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r>
        <w:rPr>
          <w:rFonts w:hint="eastAsia" w:ascii="宋体" w:hAnsi="宋体" w:cs="宋体"/>
          <w:highlight w:val="none"/>
        </w:rPr>
        <w:drawing>
          <wp:inline distT="0" distB="0" distL="114300" distR="114300">
            <wp:extent cx="2294890" cy="2243455"/>
            <wp:effectExtent l="0" t="0" r="10160" b="4445"/>
            <wp:docPr id="6" name="图片 2" descr="TIM图片2019040917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TIM图片20190409175741"/>
                    <pic:cNvPicPr>
                      <a:picLocks noChangeAspect="1"/>
                    </pic:cNvPicPr>
                  </pic:nvPicPr>
                  <pic:blipFill>
                    <a:blip r:embed="rId16"/>
                    <a:stretch>
                      <a:fillRect/>
                    </a:stretch>
                  </pic:blipFill>
                  <pic:spPr>
                    <a:xfrm>
                      <a:off x="0" y="0"/>
                      <a:ext cx="2294890" cy="2243455"/>
                    </a:xfrm>
                    <a:prstGeom prst="rect">
                      <a:avLst/>
                    </a:prstGeom>
                    <a:noFill/>
                    <a:ln>
                      <a:noFill/>
                    </a:ln>
                  </pic:spPr>
                </pic:pic>
              </a:graphicData>
            </a:graphic>
          </wp:inline>
        </w:drawing>
      </w:r>
    </w:p>
    <w:p>
      <w:pPr>
        <w:snapToGrid w:val="0"/>
        <w:spacing w:before="120" w:beforeLines="50" w:line="360" w:lineRule="auto"/>
        <w:jc w:val="center"/>
        <w:rPr>
          <w:rFonts w:ascii="宋体" w:hAnsi="宋体" w:cs="宋体"/>
          <w:sz w:val="120"/>
          <w:szCs w:val="120"/>
          <w:highlight w:val="none"/>
        </w:rPr>
      </w:pPr>
      <w:r>
        <w:rPr>
          <w:rFonts w:hint="eastAsia" w:ascii="宋体" w:hAnsi="宋体" w:cs="宋体"/>
          <w:sz w:val="120"/>
          <w:szCs w:val="120"/>
          <w:highlight w:val="none"/>
        </w:rPr>
        <w:t>竞争性磋商文件</w:t>
      </w:r>
    </w:p>
    <w:p>
      <w:pPr>
        <w:snapToGrid w:val="0"/>
        <w:spacing w:before="120" w:beforeLines="50" w:line="360" w:lineRule="auto"/>
        <w:jc w:val="center"/>
        <w:rPr>
          <w:rFonts w:ascii="宋体" w:hAnsi="宋体" w:cs="宋体"/>
          <w:b/>
          <w:sz w:val="30"/>
          <w:szCs w:val="72"/>
          <w:highlight w:val="none"/>
        </w:rPr>
      </w:pPr>
      <w:r>
        <w:rPr>
          <w:rFonts w:hint="eastAsia" w:ascii="宋体" w:hAnsi="宋体" w:cs="宋体"/>
          <w:b/>
          <w:sz w:val="48"/>
          <w:szCs w:val="48"/>
          <w:highlight w:val="none"/>
        </w:rPr>
        <w:t>（全流程电子化采购）</w:t>
      </w:r>
    </w:p>
    <w:p>
      <w:pPr>
        <w:snapToGrid w:val="0"/>
        <w:spacing w:line="360" w:lineRule="auto"/>
        <w:rPr>
          <w:rFonts w:ascii="宋体" w:hAnsi="宋体" w:cs="宋体"/>
          <w:sz w:val="30"/>
          <w:szCs w:val="72"/>
          <w:highlight w:val="none"/>
        </w:rPr>
      </w:pPr>
    </w:p>
    <w:p>
      <w:pPr>
        <w:pStyle w:val="21"/>
        <w:snapToGrid w:val="0"/>
        <w:spacing w:line="360" w:lineRule="auto"/>
        <w:ind w:firstLine="1193" w:firstLineChars="396"/>
        <w:rPr>
          <w:rFonts w:hAnsi="宋体" w:cs="宋体"/>
          <w:b/>
          <w:bCs/>
          <w:sz w:val="30"/>
          <w:szCs w:val="30"/>
          <w:highlight w:val="none"/>
        </w:rPr>
      </w:pPr>
      <w:r>
        <w:rPr>
          <w:rFonts w:hint="eastAsia" w:hAnsi="宋体" w:cs="宋体"/>
          <w:b/>
          <w:bCs/>
          <w:sz w:val="30"/>
          <w:szCs w:val="30"/>
          <w:highlight w:val="none"/>
        </w:rPr>
        <w:t>项目</w:t>
      </w:r>
      <w:r>
        <w:rPr>
          <w:rFonts w:hint="eastAsia" w:hAnsi="宋体" w:cs="宋体"/>
          <w:b/>
          <w:bCs/>
          <w:w w:val="95"/>
          <w:sz w:val="30"/>
          <w:szCs w:val="30"/>
          <w:highlight w:val="none"/>
        </w:rPr>
        <w:t>名称</w:t>
      </w:r>
      <w:r>
        <w:rPr>
          <w:rFonts w:hint="eastAsia" w:hAnsi="宋体" w:cs="宋体"/>
          <w:b/>
          <w:bCs/>
          <w:sz w:val="30"/>
          <w:szCs w:val="30"/>
          <w:highlight w:val="none"/>
        </w:rPr>
        <w:t>：</w:t>
      </w:r>
      <w:r>
        <w:rPr>
          <w:rFonts w:hint="eastAsia" w:hAnsi="宋体" w:cs="宋体"/>
          <w:b/>
          <w:bCs/>
          <w:spacing w:val="-20"/>
          <w:sz w:val="30"/>
          <w:szCs w:val="30"/>
          <w:highlight w:val="none"/>
        </w:rPr>
        <w:t>广西道路运输运政及动态监控技术服务项目</w:t>
      </w:r>
    </w:p>
    <w:p>
      <w:pPr>
        <w:snapToGrid w:val="0"/>
        <w:spacing w:line="360" w:lineRule="auto"/>
        <w:ind w:firstLine="1145" w:firstLineChars="400"/>
        <w:rPr>
          <w:rFonts w:hint="eastAsia" w:ascii="宋体" w:hAnsi="宋体" w:eastAsia="宋体" w:cs="宋体"/>
          <w:b/>
          <w:bCs/>
          <w:w w:val="95"/>
          <w:sz w:val="30"/>
          <w:szCs w:val="30"/>
          <w:highlight w:val="none"/>
          <w:lang w:eastAsia="zh-CN"/>
        </w:rPr>
      </w:pPr>
      <w:r>
        <w:rPr>
          <w:rFonts w:hint="eastAsia" w:ascii="宋体" w:hAnsi="宋体" w:cs="宋体"/>
          <w:b/>
          <w:bCs/>
          <w:w w:val="95"/>
          <w:sz w:val="30"/>
          <w:szCs w:val="30"/>
          <w:highlight w:val="none"/>
        </w:rPr>
        <w:t>项目</w:t>
      </w:r>
      <w:r>
        <w:rPr>
          <w:rFonts w:hint="eastAsia" w:ascii="宋体" w:hAnsi="宋体" w:cs="宋体"/>
          <w:b/>
          <w:bCs/>
          <w:sz w:val="30"/>
          <w:szCs w:val="30"/>
          <w:highlight w:val="none"/>
        </w:rPr>
        <w:t>编号</w:t>
      </w:r>
      <w:r>
        <w:rPr>
          <w:rFonts w:hint="eastAsia" w:ascii="宋体" w:hAnsi="宋体" w:cs="宋体"/>
          <w:b/>
          <w:bCs/>
          <w:w w:val="95"/>
          <w:sz w:val="30"/>
          <w:szCs w:val="30"/>
          <w:highlight w:val="none"/>
        </w:rPr>
        <w:t>：</w:t>
      </w:r>
      <w:r>
        <w:rPr>
          <w:rFonts w:hint="eastAsia" w:ascii="宋体" w:hAnsi="宋体" w:cs="宋体"/>
          <w:b/>
          <w:bCs/>
          <w:w w:val="95"/>
          <w:sz w:val="30"/>
          <w:szCs w:val="30"/>
          <w:highlight w:val="none"/>
          <w:lang w:eastAsia="zh-CN"/>
        </w:rPr>
        <w:t>GXZC2024-C3-003406-JGJD</w:t>
      </w:r>
    </w:p>
    <w:p>
      <w:pPr>
        <w:snapToGrid w:val="0"/>
        <w:spacing w:line="360" w:lineRule="auto"/>
        <w:ind w:firstLine="1145" w:firstLineChars="400"/>
        <w:rPr>
          <w:rFonts w:ascii="宋体" w:hAnsi="宋体" w:cs="宋体"/>
          <w:b/>
          <w:bCs/>
          <w:w w:val="95"/>
          <w:sz w:val="30"/>
          <w:szCs w:val="30"/>
          <w:highlight w:val="none"/>
        </w:rPr>
      </w:pPr>
    </w:p>
    <w:p>
      <w:pPr>
        <w:snapToGrid w:val="0"/>
        <w:spacing w:line="360" w:lineRule="auto"/>
        <w:ind w:firstLine="1145" w:firstLineChars="400"/>
        <w:rPr>
          <w:rFonts w:ascii="宋体" w:hAnsi="宋体" w:cs="宋体"/>
          <w:b/>
          <w:bCs/>
          <w:w w:val="95"/>
          <w:sz w:val="30"/>
          <w:szCs w:val="30"/>
          <w:highlight w:val="none"/>
        </w:rPr>
      </w:pPr>
    </w:p>
    <w:p>
      <w:pPr>
        <w:pStyle w:val="21"/>
        <w:snapToGrid w:val="0"/>
        <w:spacing w:line="360" w:lineRule="auto"/>
        <w:ind w:firstLine="1125" w:firstLineChars="393"/>
        <w:rPr>
          <w:rFonts w:hAnsi="宋体" w:cs="宋体"/>
          <w:b/>
          <w:bCs/>
          <w:w w:val="95"/>
          <w:sz w:val="30"/>
          <w:szCs w:val="30"/>
          <w:highlight w:val="none"/>
        </w:rPr>
      </w:pPr>
      <w:r>
        <w:rPr>
          <w:rFonts w:hint="eastAsia" w:hAnsi="宋体" w:cs="宋体"/>
          <w:b/>
          <w:bCs/>
          <w:w w:val="95"/>
          <w:sz w:val="30"/>
          <w:szCs w:val="30"/>
          <w:highlight w:val="none"/>
        </w:rPr>
        <w:t>采 购 人：广西壮族自治区道路运输发展中心</w:t>
      </w:r>
    </w:p>
    <w:p>
      <w:pPr>
        <w:pStyle w:val="21"/>
        <w:snapToGrid w:val="0"/>
        <w:spacing w:line="360" w:lineRule="auto"/>
        <w:ind w:firstLine="1125" w:firstLineChars="393"/>
        <w:rPr>
          <w:rFonts w:hAnsi="宋体" w:cs="宋体"/>
          <w:b/>
          <w:bCs/>
          <w:w w:val="95"/>
          <w:sz w:val="30"/>
          <w:szCs w:val="30"/>
          <w:highlight w:val="none"/>
        </w:rPr>
      </w:pPr>
      <w:r>
        <w:rPr>
          <w:rFonts w:hint="eastAsia" w:hAnsi="宋体" w:cs="宋体"/>
          <w:b/>
          <w:bCs/>
          <w:w w:val="95"/>
          <w:sz w:val="30"/>
          <w:szCs w:val="30"/>
          <w:highlight w:val="none"/>
        </w:rPr>
        <w:t>采购代理机构：广西建设工程机电设备招标中心有限公司</w:t>
      </w:r>
    </w:p>
    <w:p>
      <w:pPr>
        <w:snapToGrid w:val="0"/>
        <w:spacing w:before="50" w:after="120" w:line="360" w:lineRule="auto"/>
        <w:jc w:val="center"/>
        <w:rPr>
          <w:rFonts w:ascii="宋体" w:hAnsi="宋体" w:cs="宋体"/>
          <w:b/>
          <w:bCs/>
          <w:w w:val="95"/>
          <w:kern w:val="0"/>
          <w:sz w:val="30"/>
          <w:szCs w:val="30"/>
          <w:highlight w:val="none"/>
        </w:rPr>
      </w:pPr>
      <w:r>
        <w:rPr>
          <w:rFonts w:hint="eastAsia" w:ascii="宋体" w:hAnsi="宋体" w:cs="宋体"/>
          <w:b/>
          <w:bCs/>
          <w:w w:val="95"/>
          <w:sz w:val="30"/>
          <w:szCs w:val="30"/>
          <w:highlight w:val="none"/>
        </w:rPr>
        <w:t>2024年</w:t>
      </w:r>
      <w:r>
        <w:rPr>
          <w:rFonts w:hint="eastAsia" w:ascii="宋体" w:hAnsi="宋体" w:cs="宋体"/>
          <w:b/>
          <w:bCs/>
          <w:w w:val="95"/>
          <w:sz w:val="30"/>
          <w:szCs w:val="30"/>
          <w:highlight w:val="none"/>
          <w:lang w:val="en-US" w:eastAsia="zh-CN"/>
        </w:rPr>
        <w:t>5</w:t>
      </w:r>
      <w:r>
        <w:rPr>
          <w:rFonts w:hint="eastAsia" w:ascii="宋体" w:hAnsi="宋体" w:cs="宋体"/>
          <w:b/>
          <w:bCs/>
          <w:w w:val="95"/>
          <w:sz w:val="30"/>
          <w:szCs w:val="30"/>
          <w:highlight w:val="none"/>
        </w:rPr>
        <w:t>月</w:t>
      </w:r>
      <w:r>
        <w:rPr>
          <w:rFonts w:hint="eastAsia" w:ascii="宋体" w:hAnsi="宋体" w:cs="宋体"/>
          <w:b/>
          <w:bCs/>
          <w:w w:val="95"/>
          <w:sz w:val="30"/>
          <w:szCs w:val="30"/>
          <w:highlight w:val="none"/>
          <w:lang w:val="en-US" w:eastAsia="zh-CN"/>
        </w:rPr>
        <w:t>6</w:t>
      </w:r>
      <w:r>
        <w:rPr>
          <w:rFonts w:hint="eastAsia" w:ascii="宋体" w:hAnsi="宋体" w:cs="宋体"/>
          <w:b/>
          <w:bCs/>
          <w:w w:val="95"/>
          <w:sz w:val="30"/>
          <w:szCs w:val="30"/>
          <w:highlight w:val="none"/>
        </w:rPr>
        <w:t>日</w:t>
      </w:r>
    </w:p>
    <w:p>
      <w:pPr>
        <w:pStyle w:val="14"/>
        <w:ind w:firstLine="803"/>
        <w:jc w:val="center"/>
        <w:rPr>
          <w:rFonts w:ascii="宋体" w:hAnsi="宋体" w:cs="宋体"/>
          <w:b/>
          <w:bCs/>
          <w:w w:val="95"/>
          <w:sz w:val="30"/>
          <w:szCs w:val="30"/>
          <w:highlight w:val="none"/>
        </w:rPr>
        <w:sectPr>
          <w:headerReference r:id="rId4" w:type="first"/>
          <w:headerReference r:id="rId3" w:type="default"/>
          <w:footerReference r:id="rId5" w:type="default"/>
          <w:footerReference r:id="rId6"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pPr>
        <w:spacing w:line="400" w:lineRule="exact"/>
        <w:jc w:val="center"/>
        <w:rPr>
          <w:rFonts w:ascii="宋体" w:hAnsi="宋体" w:cs="宋体"/>
          <w:b/>
          <w:sz w:val="44"/>
          <w:szCs w:val="44"/>
          <w:highlight w:val="none"/>
        </w:rPr>
      </w:pPr>
    </w:p>
    <w:p>
      <w:pPr>
        <w:pStyle w:val="25"/>
        <w:tabs>
          <w:tab w:val="right" w:leader="dot" w:pos="9643"/>
        </w:tabs>
        <w:spacing w:line="480" w:lineRule="auto"/>
        <w:rPr>
          <w:rFonts w:ascii="宋体" w:hAnsi="宋体" w:cs="宋体"/>
          <w:b/>
          <w:bCs/>
          <w:sz w:val="32"/>
          <w:szCs w:val="32"/>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"_Toc32264" </w:instrText>
      </w:r>
      <w:r>
        <w:rPr>
          <w:highlight w:val="none"/>
        </w:rPr>
        <w:fldChar w:fldCharType="separate"/>
      </w:r>
      <w:r>
        <w:rPr>
          <w:rFonts w:hint="eastAsia" w:ascii="宋体" w:hAnsi="宋体" w:cs="宋体"/>
          <w:b/>
          <w:bCs/>
          <w:sz w:val="32"/>
          <w:szCs w:val="32"/>
          <w:highlight w:val="none"/>
        </w:rPr>
        <w:t>第一章  竞争性磋</w:t>
      </w:r>
      <w:bookmarkStart w:id="0" w:name="_Hlt135924181"/>
      <w:r>
        <w:rPr>
          <w:rFonts w:hint="eastAsia" w:ascii="宋体" w:hAnsi="宋体" w:cs="宋体"/>
          <w:b/>
          <w:bCs/>
          <w:sz w:val="32"/>
          <w:szCs w:val="32"/>
          <w:highlight w:val="none"/>
        </w:rPr>
        <w:t>商</w:t>
      </w:r>
      <w:bookmarkEnd w:id="0"/>
      <w:r>
        <w:rPr>
          <w:rFonts w:hint="eastAsia" w:ascii="宋体" w:hAnsi="宋体" w:cs="宋体"/>
          <w:b/>
          <w:bCs/>
          <w:sz w:val="32"/>
          <w:szCs w:val="32"/>
          <w:highlight w:val="none"/>
        </w:rPr>
        <w:t>公告</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_Toc32264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3</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25"/>
        <w:tabs>
          <w:tab w:val="right" w:leader="dot" w:pos="9643"/>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"_Toc26836" </w:instrText>
      </w:r>
      <w:r>
        <w:rPr>
          <w:highlight w:val="none"/>
        </w:rPr>
        <w:fldChar w:fldCharType="separate"/>
      </w:r>
      <w:r>
        <w:rPr>
          <w:rFonts w:hint="eastAsia" w:ascii="宋体" w:hAnsi="宋体" w:cs="宋体"/>
          <w:b/>
          <w:bCs/>
          <w:sz w:val="32"/>
          <w:szCs w:val="32"/>
          <w:highlight w:val="none"/>
        </w:rPr>
        <w:t>第二章  采购需</w:t>
      </w:r>
      <w:bookmarkStart w:id="1" w:name="_Hlt137127195"/>
      <w:r>
        <w:rPr>
          <w:rFonts w:hint="eastAsia" w:ascii="宋体" w:hAnsi="宋体" w:cs="宋体"/>
          <w:b/>
          <w:bCs/>
          <w:sz w:val="32"/>
          <w:szCs w:val="32"/>
          <w:highlight w:val="none"/>
        </w:rPr>
        <w:t>求</w:t>
      </w:r>
      <w:bookmarkEnd w:id="1"/>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_Toc26836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6</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25"/>
        <w:tabs>
          <w:tab w:val="right" w:leader="dot" w:pos="9643"/>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"_Toc2072" </w:instrText>
      </w:r>
      <w:r>
        <w:rPr>
          <w:highlight w:val="none"/>
        </w:rPr>
        <w:fldChar w:fldCharType="separate"/>
      </w:r>
      <w:r>
        <w:rPr>
          <w:rFonts w:hint="eastAsia" w:ascii="宋体" w:hAnsi="宋体" w:cs="宋体"/>
          <w:b/>
          <w:bCs/>
          <w:sz w:val="32"/>
          <w:szCs w:val="32"/>
          <w:highlight w:val="none"/>
        </w:rPr>
        <w:t>第三章  供应</w:t>
      </w:r>
      <w:bookmarkStart w:id="2" w:name="_Hlt135905307"/>
      <w:r>
        <w:rPr>
          <w:rFonts w:hint="eastAsia" w:ascii="宋体" w:hAnsi="宋体" w:cs="宋体"/>
          <w:b/>
          <w:bCs/>
          <w:sz w:val="32"/>
          <w:szCs w:val="32"/>
          <w:highlight w:val="none"/>
        </w:rPr>
        <w:t>商</w:t>
      </w:r>
      <w:bookmarkEnd w:id="2"/>
      <w:r>
        <w:rPr>
          <w:rFonts w:hint="eastAsia" w:ascii="宋体" w:hAnsi="宋体" w:cs="宋体"/>
          <w:b/>
          <w:bCs/>
          <w:sz w:val="32"/>
          <w:szCs w:val="32"/>
          <w:highlight w:val="none"/>
        </w:rPr>
        <w:t>须知</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_Toc2072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10</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25"/>
        <w:tabs>
          <w:tab w:val="right" w:leader="dot" w:pos="9643"/>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"_Toc1088" </w:instrText>
      </w:r>
      <w:r>
        <w:rPr>
          <w:highlight w:val="none"/>
        </w:rPr>
        <w:fldChar w:fldCharType="separate"/>
      </w:r>
      <w:r>
        <w:rPr>
          <w:rFonts w:hint="eastAsia" w:ascii="宋体" w:hAnsi="宋体" w:cs="宋体"/>
          <w:b/>
          <w:bCs/>
          <w:sz w:val="32"/>
          <w:szCs w:val="32"/>
          <w:highlight w:val="none"/>
        </w:rPr>
        <w:t>第四章  评审程序、评审方法和评审标准</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_Toc1088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28</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25"/>
        <w:tabs>
          <w:tab w:val="right" w:leader="dot" w:pos="9643"/>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"_Toc22302" </w:instrText>
      </w:r>
      <w:r>
        <w:rPr>
          <w:highlight w:val="none"/>
        </w:rPr>
        <w:fldChar w:fldCharType="separate"/>
      </w:r>
      <w:r>
        <w:rPr>
          <w:rFonts w:hint="eastAsia" w:ascii="宋体" w:hAnsi="宋体" w:cs="宋体"/>
          <w:b/>
          <w:bCs/>
          <w:sz w:val="32"/>
          <w:szCs w:val="32"/>
          <w:highlight w:val="none"/>
        </w:rPr>
        <w:t>第五章  响应文</w:t>
      </w:r>
      <w:bookmarkStart w:id="3" w:name="_Hlt135897174"/>
      <w:bookmarkStart w:id="4" w:name="_Hlt135897173"/>
      <w:r>
        <w:rPr>
          <w:rFonts w:hint="eastAsia" w:ascii="宋体" w:hAnsi="宋体" w:cs="宋体"/>
          <w:b/>
          <w:bCs/>
          <w:sz w:val="32"/>
          <w:szCs w:val="32"/>
          <w:highlight w:val="none"/>
        </w:rPr>
        <w:t>件</w:t>
      </w:r>
      <w:bookmarkEnd w:id="3"/>
      <w:bookmarkEnd w:id="4"/>
      <w:r>
        <w:rPr>
          <w:rFonts w:hint="eastAsia" w:ascii="宋体" w:hAnsi="宋体" w:cs="宋体"/>
          <w:b/>
          <w:bCs/>
          <w:sz w:val="32"/>
          <w:szCs w:val="32"/>
          <w:highlight w:val="none"/>
        </w:rPr>
        <w:t>格式</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_Toc22302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36</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25"/>
        <w:tabs>
          <w:tab w:val="right" w:leader="dot" w:pos="9643"/>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"_Toc18676" </w:instrText>
      </w:r>
      <w:r>
        <w:rPr>
          <w:highlight w:val="none"/>
        </w:rPr>
        <w:fldChar w:fldCharType="separate"/>
      </w:r>
      <w:r>
        <w:rPr>
          <w:rFonts w:hint="eastAsia" w:ascii="宋体" w:hAnsi="宋体" w:cs="宋体"/>
          <w:b/>
          <w:bCs/>
          <w:sz w:val="32"/>
          <w:szCs w:val="32"/>
          <w:highlight w:val="none"/>
        </w:rPr>
        <w:t>第六章  合同</w:t>
      </w:r>
      <w:bookmarkStart w:id="5" w:name="_Hlt135924190"/>
      <w:bookmarkStart w:id="6" w:name="_Hlt137127063"/>
      <w:bookmarkStart w:id="7" w:name="_Hlt137127064"/>
      <w:r>
        <w:rPr>
          <w:rFonts w:hint="eastAsia" w:ascii="宋体" w:hAnsi="宋体" w:cs="宋体"/>
          <w:b/>
          <w:bCs/>
          <w:sz w:val="32"/>
          <w:szCs w:val="32"/>
          <w:highlight w:val="none"/>
        </w:rPr>
        <w:t>文</w:t>
      </w:r>
      <w:bookmarkEnd w:id="5"/>
      <w:bookmarkEnd w:id="6"/>
      <w:bookmarkEnd w:id="7"/>
      <w:bookmarkStart w:id="8" w:name="_Hlt135924167"/>
      <w:bookmarkStart w:id="9" w:name="_Hlt135924166"/>
      <w:r>
        <w:rPr>
          <w:rFonts w:hint="eastAsia" w:ascii="宋体" w:hAnsi="宋体" w:cs="宋体"/>
          <w:b/>
          <w:bCs/>
          <w:sz w:val="32"/>
          <w:szCs w:val="32"/>
          <w:highlight w:val="none"/>
        </w:rPr>
        <w:t>本</w:t>
      </w:r>
      <w:bookmarkEnd w:id="8"/>
      <w:bookmarkEnd w:id="9"/>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_Toc18676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63</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25"/>
        <w:tabs>
          <w:tab w:val="right" w:leader="dot" w:pos="9643"/>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"_Toc13011" </w:instrText>
      </w:r>
      <w:r>
        <w:rPr>
          <w:highlight w:val="none"/>
        </w:rPr>
        <w:fldChar w:fldCharType="separate"/>
      </w:r>
      <w:r>
        <w:rPr>
          <w:rFonts w:hint="eastAsia" w:ascii="宋体" w:hAnsi="宋体" w:cs="宋体"/>
          <w:b/>
          <w:bCs/>
          <w:sz w:val="32"/>
          <w:szCs w:val="32"/>
          <w:highlight w:val="none"/>
        </w:rPr>
        <w:t>第七章  质疑、投诉</w:t>
      </w:r>
      <w:bookmarkStart w:id="10" w:name="_Hlt137580637"/>
      <w:bookmarkStart w:id="11" w:name="_Hlt137580638"/>
      <w:r>
        <w:rPr>
          <w:rFonts w:hint="eastAsia" w:ascii="宋体" w:hAnsi="宋体" w:cs="宋体"/>
          <w:b/>
          <w:bCs/>
          <w:sz w:val="32"/>
          <w:szCs w:val="32"/>
          <w:highlight w:val="none"/>
        </w:rPr>
        <w:t>材</w:t>
      </w:r>
      <w:bookmarkEnd w:id="10"/>
      <w:bookmarkEnd w:id="11"/>
      <w:r>
        <w:rPr>
          <w:rFonts w:hint="eastAsia" w:ascii="宋体" w:hAnsi="宋体" w:cs="宋体"/>
          <w:b/>
          <w:bCs/>
          <w:sz w:val="32"/>
          <w:szCs w:val="32"/>
          <w:highlight w:val="none"/>
        </w:rPr>
        <w:t>料格式</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_Toc13011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68</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27"/>
        <w:spacing w:line="480" w:lineRule="auto"/>
        <w:rPr>
          <w:rFonts w:ascii="宋体" w:hAnsi="宋体" w:cs="宋体"/>
          <w:b/>
          <w:sz w:val="32"/>
          <w:szCs w:val="32"/>
          <w:highlight w:val="none"/>
        </w:rPr>
      </w:pPr>
      <w:r>
        <w:rPr>
          <w:rFonts w:hint="eastAsia" w:ascii="宋体" w:hAnsi="宋体" w:cs="宋体"/>
          <w:b/>
          <w:bCs/>
          <w:sz w:val="24"/>
          <w:highlight w:val="none"/>
        </w:rPr>
        <w:fldChar w:fldCharType="end"/>
      </w:r>
    </w:p>
    <w:p>
      <w:pPr>
        <w:spacing w:line="400" w:lineRule="exact"/>
        <w:rPr>
          <w:rFonts w:ascii="宋体" w:hAnsi="宋体" w:cs="宋体"/>
          <w:b/>
          <w:sz w:val="32"/>
          <w:szCs w:val="32"/>
          <w:highlight w:val="none"/>
        </w:rPr>
        <w:sectPr>
          <w:headerReference r:id="rId8" w:type="first"/>
          <w:footerReference r:id="rId10" w:type="first"/>
          <w:headerReference r:id="rId7" w:type="default"/>
          <w:footerReference r:id="rId9" w:type="default"/>
          <w:pgSz w:w="11911" w:h="16838"/>
          <w:pgMar w:top="1134" w:right="1134" w:bottom="1134" w:left="1134" w:header="720" w:footer="720" w:gutter="0"/>
          <w:cols w:space="720" w:num="1"/>
          <w:docGrid w:linePitch="312" w:charSpace="0"/>
        </w:sectPr>
      </w:pPr>
    </w:p>
    <w:p>
      <w:pPr>
        <w:pStyle w:val="3"/>
        <w:spacing w:before="360" w:after="360" w:line="400" w:lineRule="exact"/>
        <w:jc w:val="center"/>
        <w:rPr>
          <w:rFonts w:ascii="宋体" w:hAnsi="宋体" w:cs="宋体"/>
          <w:highlight w:val="none"/>
        </w:rPr>
      </w:pPr>
      <w:bookmarkStart w:id="12" w:name="_Toc18838"/>
      <w:bookmarkStart w:id="13" w:name="_Toc27000"/>
      <w:bookmarkStart w:id="14" w:name="_Toc11382"/>
      <w:bookmarkStart w:id="15" w:name="_Toc80886925"/>
      <w:bookmarkStart w:id="16" w:name="_Toc15624"/>
      <w:bookmarkStart w:id="17" w:name="_Toc11989"/>
      <w:bookmarkStart w:id="18" w:name="_Toc32264"/>
      <w:bookmarkStart w:id="19" w:name="_Toc12242"/>
      <w:r>
        <w:rPr>
          <w:rFonts w:hint="eastAsia" w:ascii="宋体" w:hAnsi="宋体" w:cs="宋体"/>
          <w:highlight w:val="none"/>
        </w:rPr>
        <w:t>第一章 竞争性磋商公告</w:t>
      </w:r>
      <w:bookmarkEnd w:id="12"/>
      <w:bookmarkEnd w:id="13"/>
      <w:bookmarkEnd w:id="14"/>
      <w:bookmarkEnd w:id="15"/>
      <w:bookmarkEnd w:id="16"/>
      <w:bookmarkEnd w:id="17"/>
      <w:bookmarkEnd w:id="18"/>
      <w:bookmarkEnd w:id="19"/>
      <w:bookmarkStart w:id="20" w:name="_Toc35393629"/>
      <w:bookmarkStart w:id="21" w:name="_Toc35393798"/>
      <w:bookmarkStart w:id="22" w:name="_Toc35393623"/>
      <w:bookmarkStart w:id="23" w:name="_Toc28359081"/>
      <w:bookmarkStart w:id="24" w:name="_Toc28359004"/>
      <w:bookmarkStart w:id="25" w:name="_Toc28359012"/>
      <w:bookmarkStart w:id="26" w:name="_Toc35393792"/>
      <w:bookmarkStart w:id="27" w:name="_Toc44229878"/>
      <w:bookmarkStart w:id="28" w:name="_Toc28359089"/>
    </w:p>
    <w:p>
      <w:pPr>
        <w:jc w:val="center"/>
        <w:rPr>
          <w:rFonts w:ascii="宋体" w:hAnsi="宋体" w:cs="宋体"/>
          <w:b/>
          <w:sz w:val="36"/>
          <w:szCs w:val="36"/>
          <w:highlight w:val="none"/>
        </w:rPr>
      </w:pPr>
      <w:r>
        <w:rPr>
          <w:rFonts w:hint="eastAsia" w:ascii="宋体" w:hAnsi="宋体" w:cs="宋体"/>
          <w:b/>
          <w:sz w:val="28"/>
          <w:szCs w:val="28"/>
          <w:highlight w:val="none"/>
        </w:rPr>
        <w:t>广西建设工程机电设备招标中心有限公司关于广西道路运输运政及动态监控技术服务项目【</w:t>
      </w:r>
      <w:r>
        <w:rPr>
          <w:rFonts w:hint="eastAsia" w:ascii="宋体" w:hAnsi="宋体" w:cs="宋体"/>
          <w:b/>
          <w:sz w:val="28"/>
          <w:szCs w:val="28"/>
          <w:highlight w:val="none"/>
          <w:lang w:eastAsia="zh-CN"/>
        </w:rPr>
        <w:t>GXZC2024-C3-003406-JGJD</w:t>
      </w:r>
      <w:r>
        <w:rPr>
          <w:rFonts w:hint="eastAsia" w:ascii="宋体" w:hAnsi="宋体" w:cs="宋体"/>
          <w:b/>
          <w:sz w:val="28"/>
          <w:szCs w:val="28"/>
          <w:highlight w:val="none"/>
        </w:rPr>
        <w:t>】的竞争性磋商公告</w:t>
      </w:r>
    </w:p>
    <w:p>
      <w:pPr>
        <w:pStyle w:val="2"/>
        <w:rPr>
          <w:rFonts w:ascii="宋体" w:hAnsi="宋体" w:cs="宋体"/>
          <w:highlight w:val="none"/>
        </w:rPr>
      </w:pPr>
    </w:p>
    <w:bookmarkEnd w:id="20"/>
    <w:bookmarkEnd w:id="21"/>
    <w:bookmarkEnd w:id="22"/>
    <w:bookmarkEnd w:id="23"/>
    <w:bookmarkEnd w:id="24"/>
    <w:bookmarkEnd w:id="25"/>
    <w:bookmarkEnd w:id="26"/>
    <w:bookmarkEnd w:id="27"/>
    <w:bookmarkEnd w:id="28"/>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rFonts w:ascii="宋体" w:hAnsi="宋体" w:cs="宋体"/>
                <w:szCs w:val="21"/>
                <w:highlight w:val="none"/>
              </w:rPr>
            </w:pPr>
            <w:r>
              <w:rPr>
                <w:rFonts w:hint="eastAsia" w:ascii="宋体" w:hAnsi="宋体" w:cs="宋体"/>
                <w:szCs w:val="21"/>
                <w:highlight w:val="none"/>
              </w:rPr>
              <w:t>项目概况：</w:t>
            </w:r>
          </w:p>
          <w:p>
            <w:pPr>
              <w:spacing w:line="360" w:lineRule="auto"/>
              <w:ind w:firstLine="420" w:firstLineChars="200"/>
              <w:rPr>
                <w:rFonts w:ascii="宋体" w:hAnsi="宋体" w:cs="宋体"/>
                <w:bCs/>
                <w:sz w:val="24"/>
                <w:highlight w:val="none"/>
              </w:rPr>
            </w:pPr>
            <w:r>
              <w:rPr>
                <w:rFonts w:hint="eastAsia" w:ascii="宋体" w:hAnsi="宋体" w:cs="宋体"/>
                <w:szCs w:val="21"/>
                <w:highlight w:val="none"/>
                <w:u w:val="single"/>
              </w:rPr>
              <w:t>广西道路运输运政及动态监控技术服务项目</w:t>
            </w:r>
            <w:r>
              <w:rPr>
                <w:rFonts w:hint="eastAsia" w:ascii="宋体" w:hAnsi="宋体" w:cs="宋体"/>
                <w:szCs w:val="21"/>
                <w:highlight w:val="none"/>
              </w:rPr>
              <w:t>采购项目的潜在供应商应在广西政府采购云平台（https://www.gcy.zfcg.gxzf.gov.cn/）获取（下载）竞争性磋商文件，并于</w:t>
            </w:r>
            <w:r>
              <w:rPr>
                <w:rFonts w:hint="eastAsia" w:ascii="宋体" w:hAnsi="宋体" w:cs="宋体"/>
                <w:b/>
                <w:bCs/>
                <w:szCs w:val="21"/>
                <w:highlight w:val="none"/>
                <w:u w:val="single"/>
              </w:rPr>
              <w:t>2024年</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月</w:t>
            </w:r>
            <w:r>
              <w:rPr>
                <w:rFonts w:hint="eastAsia" w:ascii="宋体" w:hAnsi="宋体" w:cs="宋体"/>
                <w:b/>
                <w:bCs/>
                <w:szCs w:val="21"/>
                <w:highlight w:val="none"/>
                <w:u w:val="single"/>
                <w:lang w:val="en-US" w:eastAsia="zh-CN"/>
              </w:rPr>
              <w:t>17</w:t>
            </w:r>
            <w:r>
              <w:rPr>
                <w:rFonts w:hint="eastAsia" w:ascii="宋体" w:hAnsi="宋体" w:cs="宋体"/>
                <w:b/>
                <w:bCs/>
                <w:szCs w:val="21"/>
                <w:highlight w:val="none"/>
                <w:u w:val="single"/>
              </w:rPr>
              <w:t>日9时30分</w:t>
            </w:r>
            <w:r>
              <w:rPr>
                <w:rFonts w:hint="eastAsia" w:ascii="宋体" w:hAnsi="宋体" w:cs="宋体"/>
                <w:bCs/>
                <w:szCs w:val="21"/>
                <w:highlight w:val="none"/>
                <w:u w:val="single"/>
              </w:rPr>
              <w:t>（</w:t>
            </w:r>
            <w:r>
              <w:rPr>
                <w:rFonts w:hint="eastAsia" w:ascii="宋体" w:hAnsi="宋体" w:cs="宋体"/>
                <w:bCs/>
                <w:szCs w:val="21"/>
                <w:highlight w:val="none"/>
              </w:rPr>
              <w:t>北京时间）前提交（上传）</w:t>
            </w:r>
            <w:r>
              <w:rPr>
                <w:rFonts w:hint="eastAsia" w:ascii="宋体" w:hAnsi="宋体" w:cs="宋体"/>
                <w:szCs w:val="21"/>
                <w:highlight w:val="none"/>
              </w:rPr>
              <w:t>响应</w:t>
            </w:r>
            <w:r>
              <w:rPr>
                <w:rFonts w:hint="eastAsia" w:ascii="宋体" w:hAnsi="宋体" w:cs="宋体"/>
                <w:bCs/>
                <w:szCs w:val="21"/>
                <w:highlight w:val="none"/>
              </w:rPr>
              <w:t>文件</w:t>
            </w:r>
            <w:r>
              <w:rPr>
                <w:rFonts w:hint="eastAsia" w:ascii="宋体" w:hAnsi="宋体" w:cs="宋体"/>
                <w:szCs w:val="21"/>
                <w:highlight w:val="none"/>
              </w:rPr>
              <w:t>。</w:t>
            </w:r>
          </w:p>
        </w:tc>
      </w:tr>
    </w:tbl>
    <w:p>
      <w:pPr>
        <w:spacing w:line="390" w:lineRule="exact"/>
        <w:ind w:firstLine="482" w:firstLineChars="200"/>
        <w:rPr>
          <w:rFonts w:ascii="宋体" w:hAnsi="宋体" w:cs="宋体"/>
          <w:b/>
          <w:bCs/>
          <w:sz w:val="24"/>
          <w:highlight w:val="none"/>
        </w:rPr>
      </w:pPr>
      <w:r>
        <w:rPr>
          <w:rFonts w:hint="eastAsia" w:ascii="宋体" w:hAnsi="宋体" w:cs="宋体"/>
          <w:b/>
          <w:bCs/>
          <w:sz w:val="24"/>
          <w:highlight w:val="none"/>
        </w:rPr>
        <w:t>一、项目基本情况</w:t>
      </w:r>
    </w:p>
    <w:p>
      <w:pPr>
        <w:spacing w:line="360" w:lineRule="auto"/>
        <w:ind w:firstLine="422" w:firstLineChars="200"/>
        <w:rPr>
          <w:rFonts w:hint="eastAsia" w:ascii="宋体" w:hAnsi="宋体" w:eastAsia="宋体" w:cs="宋体"/>
          <w:szCs w:val="21"/>
          <w:highlight w:val="none"/>
          <w:lang w:eastAsia="zh-CN"/>
        </w:rPr>
      </w:pPr>
      <w:r>
        <w:rPr>
          <w:rFonts w:hint="eastAsia" w:ascii="宋体" w:hAnsi="宋体" w:cs="宋体"/>
          <w:b/>
          <w:bCs/>
          <w:szCs w:val="21"/>
          <w:highlight w:val="none"/>
        </w:rPr>
        <w:t>项目编号：</w:t>
      </w:r>
      <w:r>
        <w:rPr>
          <w:rFonts w:hint="eastAsia" w:ascii="宋体" w:hAnsi="宋体" w:cs="宋体"/>
          <w:szCs w:val="21"/>
          <w:highlight w:val="none"/>
          <w:lang w:eastAsia="zh-CN"/>
        </w:rPr>
        <w:t>GXZC2024-C3-003406-JGJD</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项目名称：</w:t>
      </w:r>
      <w:r>
        <w:rPr>
          <w:rFonts w:hint="eastAsia" w:ascii="宋体" w:hAnsi="宋体" w:cs="宋体"/>
          <w:szCs w:val="21"/>
          <w:highlight w:val="none"/>
        </w:rPr>
        <w:t>广西道路运输运政及动态监控技术服务项目</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采购方式：</w:t>
      </w:r>
      <w:r>
        <w:rPr>
          <w:rFonts w:hint="eastAsia" w:ascii="宋体" w:hAnsi="宋体" w:cs="宋体"/>
          <w:szCs w:val="21"/>
          <w:highlight w:val="none"/>
        </w:rPr>
        <w:t>竞争性磋商</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预算金额（元）</w:t>
      </w:r>
      <w:r>
        <w:rPr>
          <w:rFonts w:hint="eastAsia" w:ascii="宋体" w:hAnsi="宋体" w:cs="宋体"/>
          <w:szCs w:val="21"/>
          <w:highlight w:val="none"/>
        </w:rPr>
        <w:t>：</w:t>
      </w:r>
      <w:r>
        <w:rPr>
          <w:rFonts w:hint="eastAsia" w:ascii="宋体" w:hAnsi="宋体"/>
          <w:iCs/>
          <w:szCs w:val="21"/>
          <w:highlight w:val="none"/>
        </w:rPr>
        <w:t>1900000.00</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采购需求：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标项名称:广西道路运输运政及动态监控技术服务项目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数量:1</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预算金额（元）:1900000.00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简要规格描述或项目基本概况介绍、用途：广西道路运输运政及动态监控技术服务项目1项，具体详见竞争性磋商文件。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最高限价（元）：1900000.00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合同履约期限：2024年12月1日至2025年11月30日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本项目是否接受联合体：</w:t>
      </w:r>
      <w:r>
        <w:rPr>
          <w:rFonts w:hint="eastAsia" w:ascii="宋体" w:hAnsi="宋体" w:cs="宋体"/>
          <w:b/>
          <w:bCs/>
          <w:highlight w:val="none"/>
        </w:rPr>
        <w:sym w:font="Wingdings 2" w:char="00A3"/>
      </w:r>
      <w:r>
        <w:rPr>
          <w:rFonts w:hint="eastAsia" w:ascii="宋体" w:hAnsi="宋体" w:cs="宋体"/>
          <w:b/>
          <w:bCs/>
          <w:highlight w:val="none"/>
        </w:rPr>
        <w:t>是，</w:t>
      </w:r>
      <w:r>
        <w:rPr>
          <w:rFonts w:hint="eastAsia" w:ascii="宋体" w:hAnsi="宋体" w:cs="宋体"/>
          <w:b/>
          <w:bCs/>
          <w:highlight w:val="none"/>
        </w:rPr>
        <w:sym w:font="Wingdings 2" w:char="0052"/>
      </w:r>
      <w:r>
        <w:rPr>
          <w:rFonts w:hint="eastAsia" w:ascii="宋体" w:hAnsi="宋体" w:cs="宋体"/>
          <w:b/>
          <w:bCs/>
          <w:highlight w:val="none"/>
        </w:rPr>
        <w:t>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备注：无</w:t>
      </w:r>
    </w:p>
    <w:p>
      <w:pPr>
        <w:spacing w:line="390" w:lineRule="exact"/>
        <w:ind w:firstLine="482" w:firstLineChars="200"/>
        <w:rPr>
          <w:rFonts w:ascii="宋体" w:hAnsi="宋体" w:cs="宋体"/>
          <w:b/>
          <w:bCs/>
          <w:sz w:val="24"/>
          <w:highlight w:val="none"/>
        </w:rPr>
      </w:pPr>
      <w:bookmarkStart w:id="29" w:name="_Toc28359013"/>
      <w:bookmarkStart w:id="30" w:name="_Toc44229879"/>
      <w:bookmarkStart w:id="31" w:name="_Toc28359090"/>
      <w:bookmarkStart w:id="32" w:name="_Toc35393630"/>
      <w:bookmarkStart w:id="33" w:name="_Toc35393799"/>
      <w:r>
        <w:rPr>
          <w:rFonts w:hint="eastAsia" w:ascii="宋体" w:hAnsi="宋体" w:cs="宋体"/>
          <w:b/>
          <w:bCs/>
          <w:sz w:val="24"/>
          <w:highlight w:val="none"/>
        </w:rPr>
        <w:t>二、申请人的资格</w:t>
      </w:r>
      <w:bookmarkEnd w:id="29"/>
      <w:bookmarkEnd w:id="30"/>
      <w:bookmarkEnd w:id="31"/>
      <w:bookmarkEnd w:id="32"/>
      <w:bookmarkEnd w:id="33"/>
      <w:r>
        <w:rPr>
          <w:rFonts w:hint="eastAsia" w:ascii="宋体" w:hAnsi="宋体" w:cs="宋体"/>
          <w:b/>
          <w:bCs/>
          <w:sz w:val="24"/>
          <w:highlight w:val="none"/>
        </w:rPr>
        <w:t>要求</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2.落实政府采购政策需满足的资格要求：本项目为</w:t>
      </w:r>
      <w:r>
        <w:rPr>
          <w:rFonts w:hint="eastAsia" w:ascii="宋体" w:hAnsi="宋体"/>
          <w:szCs w:val="21"/>
          <w:highlight w:val="none"/>
        </w:rPr>
        <w:t>专门面向小微企业采购项目（</w:t>
      </w:r>
      <w:r>
        <w:rPr>
          <w:rFonts w:hint="eastAsia" w:ascii="宋体" w:hAnsi="宋体"/>
          <w:szCs w:val="21"/>
          <w:highlight w:val="none"/>
          <w:lang w:eastAsia="zh-CN"/>
        </w:rPr>
        <w:t>竞标</w:t>
      </w:r>
      <w:r>
        <w:rPr>
          <w:rFonts w:hint="eastAsia" w:ascii="宋体" w:hAnsi="宋体"/>
          <w:szCs w:val="21"/>
          <w:highlight w:val="none"/>
        </w:rPr>
        <w:t>供应商应为小</w:t>
      </w:r>
      <w:r>
        <w:rPr>
          <w:rFonts w:hint="eastAsia" w:ascii="宋体" w:hAnsi="宋体"/>
          <w:szCs w:val="21"/>
          <w:highlight w:val="none"/>
          <w:lang w:eastAsia="zh-CN"/>
        </w:rPr>
        <w:t>型企业或</w:t>
      </w:r>
      <w:r>
        <w:rPr>
          <w:rFonts w:hint="eastAsia" w:ascii="宋体" w:hAnsi="宋体"/>
          <w:szCs w:val="21"/>
          <w:highlight w:val="none"/>
        </w:rPr>
        <w:t>微</w:t>
      </w:r>
      <w:r>
        <w:rPr>
          <w:rFonts w:hint="eastAsia" w:ascii="宋体" w:hAnsi="宋体"/>
          <w:szCs w:val="21"/>
          <w:highlight w:val="none"/>
          <w:lang w:eastAsia="zh-CN"/>
        </w:rPr>
        <w:t>型</w:t>
      </w:r>
      <w:r>
        <w:rPr>
          <w:rFonts w:hint="eastAsia" w:ascii="宋体" w:hAnsi="宋体"/>
          <w:szCs w:val="21"/>
          <w:highlight w:val="none"/>
        </w:rPr>
        <w:t>企业</w:t>
      </w:r>
      <w:r>
        <w:rPr>
          <w:rFonts w:hint="eastAsia" w:ascii="宋体" w:hAnsi="宋体"/>
          <w:szCs w:val="21"/>
          <w:highlight w:val="none"/>
          <w:lang w:eastAsia="zh-CN"/>
        </w:rPr>
        <w:t>或</w:t>
      </w:r>
      <w:r>
        <w:rPr>
          <w:rFonts w:hint="eastAsia" w:ascii="宋体" w:hAnsi="宋体"/>
          <w:szCs w:val="21"/>
          <w:highlight w:val="none"/>
        </w:rPr>
        <w:t>监狱企业</w:t>
      </w:r>
      <w:r>
        <w:rPr>
          <w:rFonts w:hint="eastAsia" w:ascii="宋体" w:hAnsi="宋体" w:cs="宋体"/>
          <w:szCs w:val="21"/>
          <w:highlight w:val="none"/>
        </w:rPr>
        <w:t>或</w:t>
      </w:r>
      <w:r>
        <w:rPr>
          <w:rFonts w:hint="eastAsia" w:ascii="宋体" w:hAnsi="宋体"/>
          <w:szCs w:val="21"/>
          <w:highlight w:val="none"/>
        </w:rPr>
        <w:t>残疾人福利性单位)</w:t>
      </w:r>
      <w:r>
        <w:rPr>
          <w:rFonts w:hint="eastAsia" w:ascii="宋体" w:hAnsi="宋体" w:cs="宋体"/>
          <w:szCs w:val="21"/>
          <w:highlight w:val="none"/>
        </w:rPr>
        <w:t>；</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3.本项目的特定资格要求：无。</w:t>
      </w:r>
    </w:p>
    <w:p>
      <w:pPr>
        <w:spacing w:line="390" w:lineRule="exact"/>
        <w:ind w:firstLine="482" w:firstLineChars="200"/>
        <w:rPr>
          <w:rFonts w:ascii="宋体" w:hAnsi="宋体" w:cs="宋体"/>
          <w:b/>
          <w:bCs/>
          <w:sz w:val="24"/>
          <w:highlight w:val="none"/>
        </w:rPr>
      </w:pPr>
      <w:r>
        <w:rPr>
          <w:rFonts w:hint="eastAsia" w:ascii="宋体" w:hAnsi="宋体" w:cs="宋体"/>
          <w:b/>
          <w:bCs/>
          <w:sz w:val="24"/>
          <w:highlight w:val="none"/>
        </w:rPr>
        <w:t>三、获取采购文件</w:t>
      </w:r>
    </w:p>
    <w:p>
      <w:pPr>
        <w:spacing w:line="390" w:lineRule="exact"/>
        <w:ind w:firstLine="420" w:firstLineChars="200"/>
        <w:rPr>
          <w:rFonts w:ascii="宋体" w:hAnsi="宋体" w:cs="宋体"/>
          <w:bCs/>
          <w:kern w:val="0"/>
          <w:szCs w:val="21"/>
          <w:highlight w:val="none"/>
        </w:rPr>
      </w:pPr>
      <w:bookmarkStart w:id="34" w:name="_Toc28359005"/>
      <w:bookmarkStart w:id="35" w:name="_Toc28359082"/>
      <w:bookmarkStart w:id="36" w:name="_Toc35393624"/>
      <w:bookmarkStart w:id="37" w:name="_Toc35393793"/>
      <w:r>
        <w:rPr>
          <w:rFonts w:hint="eastAsia" w:ascii="宋体" w:hAnsi="宋体" w:cs="宋体"/>
          <w:bCs/>
          <w:kern w:val="0"/>
          <w:szCs w:val="21"/>
          <w:highlight w:val="none"/>
        </w:rPr>
        <w:t>时间：</w:t>
      </w:r>
      <w:r>
        <w:rPr>
          <w:rFonts w:hint="eastAsia" w:ascii="宋体" w:hAnsi="宋体" w:cs="宋体"/>
          <w:b/>
          <w:kern w:val="0"/>
          <w:szCs w:val="21"/>
          <w:highlight w:val="none"/>
        </w:rPr>
        <w:t>2024年</w:t>
      </w:r>
      <w:r>
        <w:rPr>
          <w:rFonts w:hint="eastAsia" w:ascii="宋体" w:hAnsi="宋体" w:cs="宋体"/>
          <w:b/>
          <w:kern w:val="0"/>
          <w:szCs w:val="21"/>
          <w:highlight w:val="none"/>
          <w:lang w:val="en-US" w:eastAsia="zh-CN"/>
        </w:rPr>
        <w:t>5</w:t>
      </w:r>
      <w:r>
        <w:rPr>
          <w:rFonts w:hint="eastAsia" w:ascii="宋体" w:hAnsi="宋体" w:cs="宋体"/>
          <w:b/>
          <w:kern w:val="0"/>
          <w:szCs w:val="21"/>
          <w:highlight w:val="none"/>
        </w:rPr>
        <w:t>月</w:t>
      </w:r>
      <w:r>
        <w:rPr>
          <w:rFonts w:hint="eastAsia" w:ascii="宋体" w:hAnsi="宋体" w:cs="宋体"/>
          <w:b/>
          <w:kern w:val="0"/>
          <w:szCs w:val="21"/>
          <w:highlight w:val="none"/>
          <w:lang w:val="en-US" w:eastAsia="zh-CN"/>
        </w:rPr>
        <w:t>6</w:t>
      </w:r>
      <w:r>
        <w:rPr>
          <w:rFonts w:hint="eastAsia" w:ascii="宋体" w:hAnsi="宋体" w:cs="宋体"/>
          <w:b/>
          <w:kern w:val="0"/>
          <w:szCs w:val="21"/>
          <w:highlight w:val="none"/>
        </w:rPr>
        <w:t>日至2024年</w:t>
      </w:r>
      <w:r>
        <w:rPr>
          <w:rFonts w:hint="eastAsia" w:ascii="宋体" w:hAnsi="宋体" w:cs="宋体"/>
          <w:b/>
          <w:kern w:val="0"/>
          <w:szCs w:val="21"/>
          <w:highlight w:val="none"/>
          <w:lang w:val="en-US" w:eastAsia="zh-CN"/>
        </w:rPr>
        <w:t>5</w:t>
      </w:r>
      <w:r>
        <w:rPr>
          <w:rFonts w:hint="eastAsia" w:ascii="宋体" w:hAnsi="宋体" w:cs="宋体"/>
          <w:b/>
          <w:kern w:val="0"/>
          <w:szCs w:val="21"/>
          <w:highlight w:val="none"/>
        </w:rPr>
        <w:t>月</w:t>
      </w:r>
      <w:r>
        <w:rPr>
          <w:rFonts w:hint="eastAsia" w:ascii="宋体" w:hAnsi="宋体" w:cs="宋体"/>
          <w:b/>
          <w:kern w:val="0"/>
          <w:szCs w:val="21"/>
          <w:highlight w:val="none"/>
          <w:lang w:val="en-US" w:eastAsia="zh-CN"/>
        </w:rPr>
        <w:t>11</w:t>
      </w:r>
      <w:r>
        <w:rPr>
          <w:rFonts w:hint="eastAsia" w:ascii="宋体" w:hAnsi="宋体" w:cs="宋体"/>
          <w:b/>
          <w:kern w:val="0"/>
          <w:szCs w:val="21"/>
          <w:highlight w:val="none"/>
        </w:rPr>
        <w:t>日</w:t>
      </w:r>
      <w:r>
        <w:rPr>
          <w:rFonts w:hint="eastAsia" w:ascii="宋体" w:hAnsi="宋体" w:cs="宋体"/>
          <w:bCs/>
          <w:kern w:val="0"/>
          <w:szCs w:val="21"/>
          <w:highlight w:val="none"/>
        </w:rPr>
        <w:t>，每天上午00:00至11:59，下午12:00至23:59（北京时间，法定节假日除外）；</w:t>
      </w:r>
    </w:p>
    <w:p>
      <w:pPr>
        <w:spacing w:line="390" w:lineRule="exact"/>
        <w:ind w:firstLine="420" w:firstLineChars="200"/>
        <w:rPr>
          <w:rFonts w:ascii="宋体" w:hAnsi="宋体" w:cs="宋体"/>
          <w:szCs w:val="21"/>
          <w:highlight w:val="none"/>
        </w:rPr>
      </w:pPr>
      <w:r>
        <w:rPr>
          <w:rFonts w:hint="eastAsia" w:ascii="宋体" w:hAnsi="宋体" w:cs="宋体"/>
          <w:bCs/>
          <w:kern w:val="0"/>
          <w:szCs w:val="21"/>
          <w:highlight w:val="none"/>
        </w:rPr>
        <w:t>地点（网址）：</w:t>
      </w:r>
      <w:r>
        <w:rPr>
          <w:rFonts w:hint="eastAsia" w:ascii="宋体" w:hAnsi="宋体" w:cs="宋体"/>
          <w:szCs w:val="21"/>
          <w:highlight w:val="none"/>
        </w:rPr>
        <w:t>广西政府采购云平台（https://www.gcy.zfcg.gxzf.gov.cn/）</w:t>
      </w:r>
    </w:p>
    <w:p>
      <w:pPr>
        <w:pStyle w:val="14"/>
        <w:spacing w:line="390" w:lineRule="exact"/>
        <w:rPr>
          <w:rFonts w:ascii="宋体" w:hAnsi="宋体" w:cs="宋体"/>
          <w:b/>
          <w:bCs/>
          <w:sz w:val="24"/>
          <w:highlight w:val="none"/>
        </w:rPr>
      </w:pPr>
      <w:r>
        <w:rPr>
          <w:rFonts w:hint="eastAsia" w:ascii="宋体" w:hAnsi="宋体" w:cs="宋体"/>
          <w:szCs w:val="21"/>
          <w:highlight w:val="none"/>
        </w:rPr>
        <w:t>　　方式：网上下载。本项目不发放纸质文件，潜在供应商可自行登录广西政府采购云平台下载采购文件，电子响应文件制作需要基于广西政府采购云平台获取的采购文件编制。</w:t>
      </w:r>
    </w:p>
    <w:p>
      <w:pPr>
        <w:snapToGrid w:val="0"/>
        <w:spacing w:line="390" w:lineRule="exact"/>
        <w:ind w:firstLine="420" w:firstLineChars="200"/>
        <w:rPr>
          <w:rFonts w:ascii="宋体" w:hAnsi="宋体" w:cs="宋体"/>
          <w:szCs w:val="21"/>
          <w:highlight w:val="none"/>
        </w:rPr>
      </w:pPr>
      <w:r>
        <w:rPr>
          <w:rFonts w:hint="eastAsia" w:ascii="宋体" w:hAnsi="宋体" w:cs="宋体"/>
          <w:szCs w:val="21"/>
          <w:highlight w:val="none"/>
        </w:rPr>
        <w:t>售价（元）：0</w:t>
      </w:r>
    </w:p>
    <w:p>
      <w:pPr>
        <w:spacing w:line="390" w:lineRule="exact"/>
        <w:ind w:firstLine="482" w:firstLineChars="200"/>
        <w:rPr>
          <w:rFonts w:ascii="宋体" w:hAnsi="宋体" w:cs="宋体"/>
          <w:b/>
          <w:bCs/>
          <w:sz w:val="24"/>
          <w:highlight w:val="none"/>
        </w:rPr>
      </w:pPr>
      <w:r>
        <w:rPr>
          <w:rFonts w:hint="eastAsia" w:ascii="宋体" w:hAnsi="宋体" w:cs="宋体"/>
          <w:b/>
          <w:bCs/>
          <w:sz w:val="24"/>
          <w:highlight w:val="none"/>
        </w:rPr>
        <w:t>四、</w:t>
      </w:r>
      <w:bookmarkEnd w:id="34"/>
      <w:bookmarkEnd w:id="35"/>
      <w:bookmarkEnd w:id="36"/>
      <w:bookmarkEnd w:id="37"/>
      <w:r>
        <w:rPr>
          <w:rFonts w:hint="eastAsia" w:ascii="宋体" w:hAnsi="宋体" w:cs="宋体"/>
          <w:b/>
          <w:bCs/>
          <w:sz w:val="24"/>
          <w:highlight w:val="none"/>
        </w:rPr>
        <w:t>响应文件提交</w:t>
      </w:r>
    </w:p>
    <w:p>
      <w:pPr>
        <w:spacing w:line="390" w:lineRule="exact"/>
        <w:ind w:firstLine="420" w:firstLineChars="200"/>
        <w:rPr>
          <w:rFonts w:ascii="宋体" w:hAnsi="宋体" w:cs="宋体"/>
          <w:bCs/>
          <w:szCs w:val="21"/>
          <w:highlight w:val="none"/>
        </w:rPr>
      </w:pPr>
      <w:r>
        <w:rPr>
          <w:rFonts w:hint="eastAsia" w:ascii="宋体" w:hAnsi="宋体" w:cs="宋体"/>
          <w:szCs w:val="21"/>
          <w:highlight w:val="none"/>
        </w:rPr>
        <w:t>1、首次响应文件提交截止时间</w:t>
      </w:r>
      <w:r>
        <w:rPr>
          <w:rFonts w:hint="eastAsia" w:ascii="宋体" w:hAnsi="宋体" w:cs="宋体"/>
          <w:bCs/>
          <w:szCs w:val="21"/>
          <w:highlight w:val="none"/>
        </w:rPr>
        <w:t>：</w:t>
      </w:r>
      <w:r>
        <w:rPr>
          <w:rFonts w:hint="eastAsia" w:ascii="宋体" w:hAnsi="宋体" w:cs="宋体"/>
          <w:b/>
          <w:szCs w:val="21"/>
          <w:highlight w:val="none"/>
        </w:rPr>
        <w:t>2024年</w:t>
      </w:r>
      <w:r>
        <w:rPr>
          <w:rFonts w:hint="eastAsia" w:ascii="宋体" w:hAnsi="宋体" w:cs="宋体"/>
          <w:b/>
          <w:szCs w:val="21"/>
          <w:highlight w:val="none"/>
          <w:lang w:val="en-US" w:eastAsia="zh-CN"/>
        </w:rPr>
        <w:t>5</w:t>
      </w:r>
      <w:r>
        <w:rPr>
          <w:rFonts w:hint="eastAsia" w:ascii="宋体" w:hAnsi="宋体" w:cs="宋体"/>
          <w:b/>
          <w:szCs w:val="21"/>
          <w:highlight w:val="none"/>
        </w:rPr>
        <w:t>月</w:t>
      </w:r>
      <w:r>
        <w:rPr>
          <w:rFonts w:hint="eastAsia" w:ascii="宋体" w:hAnsi="宋体" w:cs="宋体"/>
          <w:b/>
          <w:szCs w:val="21"/>
          <w:highlight w:val="none"/>
          <w:lang w:val="en-US" w:eastAsia="zh-CN"/>
        </w:rPr>
        <w:t>17</w:t>
      </w:r>
      <w:r>
        <w:rPr>
          <w:rFonts w:hint="eastAsia" w:ascii="宋体" w:hAnsi="宋体" w:cs="宋体"/>
          <w:b/>
          <w:szCs w:val="21"/>
          <w:highlight w:val="none"/>
        </w:rPr>
        <w:t>日09:30:00</w:t>
      </w:r>
      <w:r>
        <w:rPr>
          <w:rFonts w:hint="eastAsia" w:ascii="宋体" w:hAnsi="宋体" w:cs="宋体"/>
          <w:bCs/>
          <w:szCs w:val="21"/>
          <w:highlight w:val="none"/>
        </w:rPr>
        <w:t>（北京时间）</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2、首次响应文件提交地点：请登录广西政府采购云平台投标客户端投标。</w:t>
      </w:r>
    </w:p>
    <w:p>
      <w:pPr>
        <w:spacing w:line="390" w:lineRule="exact"/>
        <w:ind w:firstLine="482" w:firstLineChars="200"/>
        <w:rPr>
          <w:rFonts w:ascii="宋体" w:hAnsi="宋体" w:cs="宋体"/>
          <w:b/>
          <w:bCs/>
          <w:sz w:val="24"/>
          <w:highlight w:val="none"/>
        </w:rPr>
      </w:pPr>
      <w:r>
        <w:rPr>
          <w:rFonts w:hint="eastAsia" w:ascii="宋体" w:hAnsi="宋体" w:cs="宋体"/>
          <w:b/>
          <w:bCs/>
          <w:sz w:val="24"/>
          <w:highlight w:val="none"/>
        </w:rPr>
        <w:t>五、开启（首次响应文件开启时间）</w:t>
      </w:r>
    </w:p>
    <w:p>
      <w:pPr>
        <w:spacing w:line="390" w:lineRule="exact"/>
        <w:ind w:firstLine="420" w:firstLineChars="200"/>
        <w:rPr>
          <w:rFonts w:ascii="宋体" w:hAnsi="宋体" w:cs="宋体"/>
          <w:bCs/>
          <w:szCs w:val="21"/>
          <w:highlight w:val="none"/>
        </w:rPr>
      </w:pPr>
      <w:r>
        <w:rPr>
          <w:rFonts w:hint="eastAsia" w:ascii="宋体" w:hAnsi="宋体" w:cs="宋体"/>
          <w:szCs w:val="21"/>
          <w:highlight w:val="none"/>
        </w:rPr>
        <w:t>时间：</w:t>
      </w:r>
      <w:r>
        <w:rPr>
          <w:rFonts w:hint="eastAsia" w:ascii="宋体" w:hAnsi="宋体" w:cs="宋体"/>
          <w:b/>
          <w:bCs/>
          <w:szCs w:val="21"/>
          <w:highlight w:val="none"/>
        </w:rPr>
        <w:t>2024年</w:t>
      </w:r>
      <w:r>
        <w:rPr>
          <w:rFonts w:hint="eastAsia" w:ascii="宋体" w:hAnsi="宋体" w:cs="宋体"/>
          <w:b/>
          <w:bCs/>
          <w:szCs w:val="21"/>
          <w:highlight w:val="none"/>
          <w:lang w:val="en-US" w:eastAsia="zh-CN"/>
        </w:rPr>
        <w:t>5</w:t>
      </w:r>
      <w:r>
        <w:rPr>
          <w:rFonts w:hint="eastAsia" w:ascii="宋体" w:hAnsi="宋体" w:cs="宋体"/>
          <w:b/>
          <w:bCs/>
          <w:szCs w:val="21"/>
          <w:highlight w:val="none"/>
        </w:rPr>
        <w:t>月</w:t>
      </w:r>
      <w:r>
        <w:rPr>
          <w:rFonts w:hint="eastAsia" w:ascii="宋体" w:hAnsi="宋体" w:cs="宋体"/>
          <w:b/>
          <w:bCs/>
          <w:szCs w:val="21"/>
          <w:highlight w:val="none"/>
          <w:lang w:val="en-US" w:eastAsia="zh-CN"/>
        </w:rPr>
        <w:t>17</w:t>
      </w:r>
      <w:r>
        <w:rPr>
          <w:rFonts w:hint="eastAsia" w:ascii="宋体" w:hAnsi="宋体" w:cs="宋体"/>
          <w:b/>
          <w:bCs/>
          <w:szCs w:val="21"/>
          <w:highlight w:val="none"/>
        </w:rPr>
        <w:t>日09:30:00</w:t>
      </w:r>
      <w:r>
        <w:rPr>
          <w:rFonts w:hint="eastAsia" w:ascii="宋体" w:hAnsi="宋体" w:cs="宋体"/>
          <w:bCs/>
          <w:szCs w:val="21"/>
          <w:highlight w:val="none"/>
        </w:rPr>
        <w:t>（北京时间）</w:t>
      </w:r>
      <w:r>
        <w:rPr>
          <w:rFonts w:hint="eastAsia" w:ascii="宋体" w:hAnsi="宋体" w:cs="宋体"/>
          <w:szCs w:val="21"/>
          <w:highlight w:val="none"/>
        </w:rPr>
        <w:t>后</w:t>
      </w:r>
    </w:p>
    <w:p>
      <w:pPr>
        <w:spacing w:line="390" w:lineRule="exact"/>
        <w:ind w:firstLine="420" w:firstLineChars="200"/>
        <w:rPr>
          <w:rFonts w:ascii="宋体" w:hAnsi="宋体" w:cs="宋体"/>
          <w:bCs/>
          <w:szCs w:val="21"/>
          <w:highlight w:val="none"/>
          <w:u w:val="single"/>
        </w:rPr>
      </w:pPr>
      <w:r>
        <w:rPr>
          <w:rFonts w:hint="eastAsia" w:ascii="宋体" w:hAnsi="宋体" w:cs="宋体"/>
          <w:szCs w:val="21"/>
          <w:highlight w:val="none"/>
        </w:rPr>
        <w:t>地点：广西政府采购云平台电子开标大厅</w:t>
      </w:r>
    </w:p>
    <w:p>
      <w:pPr>
        <w:spacing w:line="390" w:lineRule="exact"/>
        <w:ind w:firstLine="482" w:firstLineChars="200"/>
        <w:rPr>
          <w:rFonts w:ascii="宋体" w:hAnsi="宋体" w:cs="宋体"/>
          <w:b/>
          <w:bCs/>
          <w:sz w:val="24"/>
          <w:highlight w:val="none"/>
        </w:rPr>
      </w:pPr>
      <w:bookmarkStart w:id="38" w:name="_Toc28359084"/>
      <w:bookmarkStart w:id="39" w:name="_Toc28359007"/>
      <w:bookmarkStart w:id="40" w:name="_Toc35393625"/>
      <w:bookmarkStart w:id="41" w:name="_Toc35393794"/>
      <w:r>
        <w:rPr>
          <w:rFonts w:hint="eastAsia" w:ascii="宋体" w:hAnsi="宋体" w:cs="宋体"/>
          <w:b/>
          <w:bCs/>
          <w:sz w:val="24"/>
          <w:highlight w:val="none"/>
        </w:rPr>
        <w:t>六、公告期限</w:t>
      </w:r>
      <w:bookmarkEnd w:id="38"/>
      <w:bookmarkEnd w:id="39"/>
      <w:bookmarkEnd w:id="40"/>
      <w:bookmarkEnd w:id="41"/>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pPr>
        <w:spacing w:line="390" w:lineRule="exact"/>
        <w:ind w:firstLine="482" w:firstLineChars="200"/>
        <w:rPr>
          <w:rFonts w:ascii="宋体" w:hAnsi="宋体" w:cs="宋体"/>
          <w:b/>
          <w:bCs/>
          <w:sz w:val="24"/>
          <w:highlight w:val="none"/>
        </w:rPr>
      </w:pPr>
      <w:bookmarkStart w:id="42" w:name="_Toc35393795"/>
      <w:bookmarkStart w:id="43" w:name="_Toc35393626"/>
      <w:r>
        <w:rPr>
          <w:rFonts w:hint="eastAsia" w:ascii="宋体" w:hAnsi="宋体" w:cs="宋体"/>
          <w:b/>
          <w:bCs/>
          <w:sz w:val="24"/>
          <w:highlight w:val="none"/>
        </w:rPr>
        <w:t>七、其他补充事宜</w:t>
      </w:r>
      <w:bookmarkEnd w:id="42"/>
      <w:bookmarkEnd w:id="43"/>
    </w:p>
    <w:p>
      <w:pPr>
        <w:spacing w:line="390" w:lineRule="exact"/>
        <w:ind w:firstLine="420" w:firstLineChars="200"/>
        <w:rPr>
          <w:rFonts w:ascii="宋体" w:hAnsi="宋体" w:cs="宋体"/>
          <w:kern w:val="0"/>
          <w:szCs w:val="21"/>
          <w:highlight w:val="none"/>
        </w:rPr>
      </w:pPr>
      <w:bookmarkStart w:id="44" w:name="_Hlk37429585"/>
      <w:r>
        <w:rPr>
          <w:rFonts w:hint="eastAsia" w:ascii="宋体" w:hAnsi="宋体" w:cs="宋体"/>
          <w:kern w:val="0"/>
          <w:szCs w:val="21"/>
          <w:highlight w:val="none"/>
        </w:rPr>
        <w:t>1.磋商保证金：</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磋商保证金金额：</w:t>
      </w:r>
      <w:r>
        <w:rPr>
          <w:rFonts w:hint="eastAsia" w:ascii="宋体" w:hAnsi="宋体" w:cs="宋体"/>
          <w:b/>
          <w:bCs/>
          <w:kern w:val="0"/>
          <w:szCs w:val="21"/>
          <w:highlight w:val="none"/>
        </w:rPr>
        <w:t>人民币壹万玖仟元整（</w:t>
      </w:r>
      <w:r>
        <w:rPr>
          <w:rFonts w:ascii="Arial" w:hAnsi="Arial" w:cs="Arial"/>
          <w:b/>
          <w:bCs/>
          <w:kern w:val="0"/>
          <w:szCs w:val="21"/>
          <w:highlight w:val="none"/>
        </w:rPr>
        <w:t>¥</w:t>
      </w:r>
      <w:r>
        <w:rPr>
          <w:rFonts w:hint="eastAsia" w:ascii="宋体" w:hAnsi="宋体" w:cs="宋体"/>
          <w:b/>
          <w:bCs/>
          <w:kern w:val="0"/>
          <w:szCs w:val="21"/>
          <w:highlight w:val="none"/>
        </w:rPr>
        <w:t>19000.00）</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磋商保证金的缴纳方式：银行转账、支票、汇票、本票或者金融机构、担保机构出具的保函等非现金形式提交。采用银行转账方式的，在首次响应文件提交截止时间前交至采购代理机构指定账户并且到账；</w:t>
      </w:r>
      <w:r>
        <w:rPr>
          <w:rFonts w:hint="eastAsia" w:ascii="宋体" w:hAnsi="宋体" w:cs="宋体"/>
          <w:szCs w:val="21"/>
          <w:highlight w:val="none"/>
        </w:rPr>
        <w:t>（竞标人转账时，须在银行转账底单上备注项目标识如“【项目编号：</w:t>
      </w:r>
      <w:r>
        <w:rPr>
          <w:rFonts w:hint="eastAsia" w:ascii="宋体" w:hAnsi="宋体" w:cs="宋体"/>
          <w:szCs w:val="21"/>
          <w:highlight w:val="none"/>
          <w:lang w:eastAsia="zh-CN"/>
        </w:rPr>
        <w:t>GXZC2024-C3-003406-JGJD</w:t>
      </w:r>
      <w:r>
        <w:rPr>
          <w:rFonts w:hint="eastAsia" w:ascii="宋体" w:hAnsi="宋体" w:cs="宋体"/>
          <w:szCs w:val="21"/>
          <w:highlight w:val="none"/>
        </w:rPr>
        <w:t>】</w:t>
      </w:r>
      <w:r>
        <w:rPr>
          <w:rFonts w:hint="eastAsia" w:ascii="宋体" w:hAnsi="宋体" w:cs="宋体"/>
          <w:kern w:val="0"/>
          <w:szCs w:val="21"/>
          <w:highlight w:val="none"/>
        </w:rPr>
        <w:t>磋商</w:t>
      </w:r>
      <w:r>
        <w:rPr>
          <w:rFonts w:hint="eastAsia" w:ascii="宋体" w:hAnsi="宋体" w:cs="宋体"/>
          <w:szCs w:val="21"/>
          <w:highlight w:val="none"/>
        </w:rPr>
        <w:t>保证金”</w:t>
      </w:r>
      <w:r>
        <w:rPr>
          <w:rFonts w:hint="eastAsia" w:ascii="宋体" w:hAnsi="宋体" w:cs="宋体"/>
          <w:kern w:val="0"/>
          <w:szCs w:val="21"/>
          <w:highlight w:val="none"/>
        </w:rPr>
        <w:t>缴纳磋商保证金指定账户的信息：</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开户名称： 广西建设工程机电设备招标中心有限公司 </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开户银行： 招商银行南宁分行营业部</w:t>
      </w:r>
    </w:p>
    <w:p>
      <w:pPr>
        <w:spacing w:line="390" w:lineRule="exact"/>
        <w:ind w:firstLine="420" w:firstLineChars="200"/>
        <w:rPr>
          <w:rFonts w:ascii="宋体" w:hAnsi="宋体" w:cs="宋体"/>
          <w:kern w:val="0"/>
          <w:szCs w:val="21"/>
          <w:highlight w:val="none"/>
        </w:rPr>
      </w:pPr>
      <w:r>
        <w:rPr>
          <w:rFonts w:hint="eastAsia" w:ascii="宋体" w:hAnsi="宋体" w:cs="宋体"/>
          <w:szCs w:val="21"/>
          <w:highlight w:val="none"/>
        </w:rPr>
        <w:t>账    号： 7719  0142  3310  201</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采用支票、汇票、本票或者保函等方式的，在首次响应文件提交截止时间前，供应商必须提交单独密封的支票、汇票、本票或者保函等原件给采购代理机构。否则视为无效磋商保证金。</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2.</w:t>
      </w:r>
      <w:bookmarkStart w:id="45" w:name="_Hlk37429595"/>
      <w:r>
        <w:rPr>
          <w:rFonts w:hint="eastAsia" w:ascii="宋体" w:hAnsi="宋体" w:cs="宋体"/>
          <w:kern w:val="0"/>
          <w:szCs w:val="21"/>
          <w:highlight w:val="none"/>
        </w:rPr>
        <w:t>网上查询地址</w:t>
      </w:r>
    </w:p>
    <w:bookmarkEnd w:id="44"/>
    <w:bookmarkEnd w:id="45"/>
    <w:p>
      <w:pPr>
        <w:spacing w:line="390" w:lineRule="exact"/>
        <w:ind w:firstLine="420" w:firstLineChars="200"/>
        <w:rPr>
          <w:rFonts w:ascii="宋体" w:hAnsi="宋体" w:cs="宋体"/>
          <w:kern w:val="0"/>
          <w:szCs w:val="21"/>
          <w:highlight w:val="none"/>
        </w:rPr>
      </w:pPr>
      <w:bookmarkStart w:id="46" w:name="_Hlk37429674"/>
      <w:r>
        <w:rPr>
          <w:rFonts w:hint="eastAsia" w:ascii="宋体" w:hAnsi="宋体" w:cs="宋体"/>
          <w:kern w:val="0"/>
          <w:szCs w:val="21"/>
          <w:highlight w:val="none"/>
        </w:rPr>
        <w:t>http://www.ccgp.gov.cn (中国政府采购网),http://zfcg.gxzf.gov.cn (广西政府采购网) ，http://www.guangxibid.com.cn/（广西招标网），https://ygcg.bbwcq.com（广西阳光采购服务平台）。</w:t>
      </w:r>
    </w:p>
    <w:bookmarkEnd w:id="46"/>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3. 本项目需要落实的政府采购政策</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（1）政府采购促进中小企业发展。</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（4）政府采购促进残疾人就业政策。</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（5）政府采购支持监狱企业发展。</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90" w:lineRule="exact"/>
        <w:ind w:firstLine="422" w:firstLineChars="200"/>
        <w:rPr>
          <w:rFonts w:ascii="宋体" w:hAnsi="宋体" w:cs="宋体"/>
          <w:b/>
          <w:bCs/>
          <w:kern w:val="0"/>
          <w:szCs w:val="21"/>
          <w:highlight w:val="none"/>
        </w:rPr>
      </w:pPr>
      <w:r>
        <w:rPr>
          <w:rFonts w:hint="eastAsia" w:ascii="宋体" w:hAnsi="宋体" w:cs="宋体"/>
          <w:b/>
          <w:bCs/>
          <w:kern w:val="0"/>
          <w:szCs w:val="21"/>
          <w:highlight w:val="none"/>
        </w:rPr>
        <w:t>6.在线竞标的有关说明：</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（1）响应文件提交方式：本项目为全流程电子化项目，通过广西政府采购云平台（https://www.gcy.zfcg.gxzf.gov.cn/）实行在线电子响应，</w:t>
      </w:r>
      <w:r>
        <w:rPr>
          <w:rFonts w:hint="eastAsia" w:ascii="宋体" w:hAnsi="宋体" w:cs="宋体"/>
          <w:highlight w:val="none"/>
        </w:rPr>
        <w:t>供应商应先安装广西政府采购云平台新版客户端（新版客户端下载路径：广西政府采购网（访问地址http://zfcg.gxzf.gov.cn/）—办事服务—下载专区）</w:t>
      </w:r>
      <w:r>
        <w:rPr>
          <w:rFonts w:hint="eastAsia" w:ascii="宋体" w:hAnsi="宋体" w:cs="宋体"/>
          <w:kern w:val="0"/>
          <w:szCs w:val="21"/>
          <w:highlight w:val="none"/>
        </w:rPr>
        <w:t>，并按照本项目采购文件和广西政府采购云平台的要求编制、加密后在响应文件提交截止时间前通过网络上传至广西政府采购云平台，</w:t>
      </w:r>
      <w:r>
        <w:rPr>
          <w:rFonts w:hint="eastAsia" w:ascii="宋体" w:hAnsi="宋体" w:cs="宋体"/>
          <w:b/>
          <w:bCs/>
          <w:kern w:val="0"/>
          <w:szCs w:val="21"/>
          <w:highlight w:val="none"/>
        </w:rPr>
        <w:t>供应商在广西政府采购云平台提交电子版响应文件时，请填写参加远程开标活动经办人联系方式</w:t>
      </w:r>
      <w:r>
        <w:rPr>
          <w:rFonts w:hint="eastAsia" w:ascii="宋体" w:hAnsi="宋体" w:cs="宋体"/>
          <w:kern w:val="0"/>
          <w:szCs w:val="21"/>
          <w:highlight w:val="none"/>
        </w:rPr>
        <w:t>。</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90" w:lineRule="exact"/>
        <w:ind w:firstLine="422" w:firstLineChars="200"/>
        <w:rPr>
          <w:rFonts w:ascii="宋体" w:hAnsi="宋体" w:cs="宋体"/>
          <w:b/>
          <w:bCs/>
          <w:kern w:val="0"/>
          <w:szCs w:val="21"/>
          <w:highlight w:val="none"/>
        </w:rPr>
      </w:pPr>
      <w:r>
        <w:rPr>
          <w:rFonts w:hint="eastAsia" w:ascii="宋体" w:hAnsi="宋体" w:cs="宋体"/>
          <w:b/>
          <w:bCs/>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（5）供应商需要在具备有摄像头及语音功能且互联网网络状况良好的电脑登录广西政府采购云平台远程开标大厅参与本次磋商，否则后果自负。</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90" w:lineRule="exact"/>
        <w:ind w:firstLine="482" w:firstLineChars="200"/>
        <w:rPr>
          <w:rFonts w:ascii="宋体" w:hAnsi="宋体" w:cs="宋体"/>
          <w:bCs/>
          <w:sz w:val="24"/>
          <w:highlight w:val="none"/>
        </w:rPr>
      </w:pPr>
      <w:r>
        <w:rPr>
          <w:rFonts w:hint="eastAsia" w:ascii="宋体" w:hAnsi="宋体" w:cs="宋体"/>
          <w:b/>
          <w:kern w:val="44"/>
          <w:sz w:val="24"/>
          <w:highlight w:val="none"/>
        </w:rPr>
        <w:t>八、凡对本次采购提出询问，请按以下方式联系。</w:t>
      </w:r>
    </w:p>
    <w:p>
      <w:pPr>
        <w:spacing w:line="390" w:lineRule="exact"/>
        <w:ind w:firstLine="420" w:firstLineChars="200"/>
        <w:rPr>
          <w:rFonts w:ascii="宋体" w:hAnsi="宋体" w:cs="宋体"/>
          <w:kern w:val="0"/>
          <w:szCs w:val="21"/>
          <w:highlight w:val="none"/>
        </w:rPr>
      </w:pPr>
      <w:bookmarkStart w:id="47" w:name="_Toc35393808"/>
      <w:bookmarkStart w:id="48" w:name="_Toc28359098"/>
      <w:bookmarkStart w:id="49" w:name="_Toc28359021"/>
      <w:bookmarkStart w:id="50" w:name="_Toc35393639"/>
      <w:r>
        <w:rPr>
          <w:rFonts w:hint="eastAsia" w:ascii="宋体" w:hAnsi="宋体" w:cs="宋体"/>
          <w:kern w:val="0"/>
          <w:szCs w:val="21"/>
          <w:highlight w:val="none"/>
        </w:rPr>
        <w:t>1.采购单位名称：广西壮族自治区道路运输发展中心</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联系地址：南宁青秀区厢竹大道4号</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联 系 人：覃宇昀      联系电话：0771-2115425</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2.采购代理机构名称：广西建设工程机电设备招标中心有限公司 </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地址：南宁市良庆区凯旋路15号南宁绿地中心5号楼6楼612</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联系人：江艳妹       联系电话：0771-2804614</w:t>
      </w:r>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3.项目联系方式</w:t>
      </w:r>
      <w:bookmarkEnd w:id="47"/>
      <w:bookmarkEnd w:id="48"/>
      <w:bookmarkEnd w:id="49"/>
      <w:bookmarkEnd w:id="50"/>
    </w:p>
    <w:p>
      <w:pPr>
        <w:spacing w:line="390" w:lineRule="exact"/>
        <w:ind w:firstLine="420" w:firstLineChars="200"/>
        <w:rPr>
          <w:rFonts w:ascii="宋体" w:hAnsi="宋体" w:cs="宋体"/>
          <w:kern w:val="0"/>
          <w:szCs w:val="21"/>
          <w:highlight w:val="none"/>
        </w:rPr>
      </w:pPr>
      <w:r>
        <w:rPr>
          <w:rFonts w:hint="eastAsia" w:ascii="宋体" w:hAnsi="宋体" w:cs="宋体"/>
          <w:kern w:val="0"/>
          <w:szCs w:val="21"/>
          <w:highlight w:val="none"/>
        </w:rPr>
        <w:t>联系人：江艳妹       联系电话：0771-2804614</w:t>
      </w:r>
    </w:p>
    <w:p>
      <w:pPr>
        <w:pStyle w:val="2"/>
        <w:rPr>
          <w:rFonts w:ascii="宋体" w:hAnsi="宋体" w:cs="宋体"/>
          <w:szCs w:val="21"/>
          <w:highlight w:val="none"/>
        </w:rPr>
      </w:pPr>
    </w:p>
    <w:p>
      <w:pPr>
        <w:rPr>
          <w:rFonts w:ascii="宋体" w:hAnsi="宋体" w:cs="宋体"/>
          <w:kern w:val="0"/>
          <w:szCs w:val="21"/>
          <w:highlight w:val="none"/>
        </w:rPr>
      </w:pPr>
    </w:p>
    <w:p>
      <w:pPr>
        <w:spacing w:line="390" w:lineRule="exact"/>
        <w:ind w:firstLine="420" w:firstLineChars="200"/>
        <w:jc w:val="right"/>
        <w:rPr>
          <w:rFonts w:ascii="宋体" w:hAnsi="宋体" w:cs="宋体"/>
          <w:kern w:val="0"/>
          <w:szCs w:val="21"/>
          <w:highlight w:val="none"/>
        </w:rPr>
      </w:pPr>
      <w:r>
        <w:rPr>
          <w:rFonts w:hint="eastAsia" w:ascii="宋体" w:hAnsi="宋体" w:cs="宋体"/>
          <w:kern w:val="0"/>
          <w:szCs w:val="21"/>
          <w:highlight w:val="none"/>
        </w:rPr>
        <w:t>广西建设工程机电设备招标中心有限公司</w:t>
      </w:r>
    </w:p>
    <w:p>
      <w:pPr>
        <w:spacing w:line="390" w:lineRule="exact"/>
        <w:ind w:firstLine="420" w:firstLineChars="200"/>
        <w:jc w:val="right"/>
        <w:rPr>
          <w:rFonts w:ascii="宋体" w:hAnsi="宋体" w:cs="宋体"/>
          <w:kern w:val="0"/>
          <w:szCs w:val="21"/>
          <w:highlight w:val="none"/>
        </w:rPr>
      </w:pPr>
      <w:r>
        <w:rPr>
          <w:rFonts w:hint="eastAsia" w:ascii="宋体" w:hAnsi="宋体" w:cs="宋体"/>
          <w:kern w:val="0"/>
          <w:szCs w:val="21"/>
          <w:highlight w:val="none"/>
        </w:rPr>
        <w:t>2024年</w:t>
      </w:r>
      <w:r>
        <w:rPr>
          <w:rFonts w:hint="eastAsia" w:ascii="宋体" w:hAnsi="宋体" w:cs="宋体"/>
          <w:kern w:val="0"/>
          <w:szCs w:val="21"/>
          <w:highlight w:val="none"/>
          <w:lang w:val="en-US" w:eastAsia="zh-CN"/>
        </w:rPr>
        <w:t>5</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6</w:t>
      </w:r>
      <w:r>
        <w:rPr>
          <w:rFonts w:hint="eastAsia" w:ascii="宋体" w:hAnsi="宋体" w:cs="宋体"/>
          <w:kern w:val="0"/>
          <w:szCs w:val="21"/>
          <w:highlight w:val="none"/>
        </w:rPr>
        <w:t>日</w:t>
      </w:r>
    </w:p>
    <w:p>
      <w:pPr>
        <w:rPr>
          <w:rFonts w:ascii="宋体" w:hAnsi="宋体" w:cs="宋体"/>
          <w:sz w:val="32"/>
          <w:szCs w:val="32"/>
          <w:highlight w:val="none"/>
        </w:rPr>
      </w:pPr>
      <w:bookmarkStart w:id="51" w:name="_Toc9127"/>
      <w:bookmarkStart w:id="52" w:name="_Toc25520"/>
      <w:bookmarkStart w:id="53" w:name="_Toc22325"/>
      <w:bookmarkStart w:id="54" w:name="_Toc7184"/>
      <w:bookmarkStart w:id="55" w:name="_Toc11093"/>
      <w:bookmarkStart w:id="56" w:name="_Toc26836"/>
      <w:bookmarkStart w:id="57" w:name="_Toc80886926"/>
      <w:bookmarkStart w:id="58" w:name="_Toc22760"/>
      <w:r>
        <w:rPr>
          <w:rFonts w:hint="eastAsia" w:ascii="宋体" w:hAnsi="宋体" w:cs="宋体"/>
          <w:sz w:val="32"/>
          <w:szCs w:val="32"/>
          <w:highlight w:val="none"/>
        </w:rPr>
        <w:br w:type="page"/>
      </w:r>
    </w:p>
    <w:p>
      <w:pPr>
        <w:pStyle w:val="3"/>
        <w:spacing w:before="100" w:after="90" w:line="240" w:lineRule="auto"/>
        <w:jc w:val="center"/>
        <w:rPr>
          <w:rFonts w:ascii="宋体" w:hAnsi="宋体" w:cs="宋体"/>
          <w:bCs w:val="0"/>
          <w:sz w:val="32"/>
          <w:szCs w:val="32"/>
          <w:highlight w:val="none"/>
        </w:rPr>
      </w:pPr>
      <w:r>
        <w:rPr>
          <w:rFonts w:hint="eastAsia" w:ascii="宋体" w:hAnsi="宋体" w:cs="宋体"/>
          <w:bCs w:val="0"/>
          <w:sz w:val="32"/>
          <w:szCs w:val="32"/>
          <w:highlight w:val="none"/>
        </w:rPr>
        <w:t>第二章 采购需求</w:t>
      </w:r>
      <w:bookmarkEnd w:id="51"/>
      <w:bookmarkEnd w:id="52"/>
      <w:bookmarkEnd w:id="53"/>
      <w:bookmarkEnd w:id="54"/>
      <w:bookmarkEnd w:id="55"/>
      <w:bookmarkEnd w:id="56"/>
      <w:bookmarkEnd w:id="57"/>
    </w:p>
    <w:bookmarkEnd w:id="58"/>
    <w:p>
      <w:pPr>
        <w:spacing w:line="450" w:lineRule="exact"/>
        <w:jc w:val="left"/>
        <w:rPr>
          <w:rFonts w:ascii="宋体" w:hAnsi="宋体" w:cs="宋体"/>
          <w:b/>
          <w:bCs/>
          <w:szCs w:val="21"/>
          <w:highlight w:val="none"/>
        </w:rPr>
      </w:pPr>
      <w:r>
        <w:rPr>
          <w:rFonts w:hint="eastAsia" w:ascii="宋体" w:hAnsi="宋体" w:cs="宋体"/>
          <w:b/>
          <w:bCs/>
          <w:szCs w:val="21"/>
          <w:highlight w:val="none"/>
        </w:rPr>
        <w:t>说明：</w:t>
      </w:r>
    </w:p>
    <w:p>
      <w:pPr>
        <w:spacing w:line="450" w:lineRule="exact"/>
        <w:ind w:firstLine="420" w:firstLineChars="200"/>
        <w:jc w:val="left"/>
        <w:rPr>
          <w:rFonts w:ascii="宋体" w:hAnsi="宋体" w:cs="宋体"/>
          <w:szCs w:val="21"/>
          <w:highlight w:val="none"/>
        </w:rPr>
      </w:pPr>
      <w:r>
        <w:rPr>
          <w:rFonts w:hint="eastAsia" w:ascii="宋体" w:hAnsi="宋体" w:cs="宋体"/>
          <w:highlight w:val="none"/>
        </w:rPr>
        <w:t>1、为落实政府采购政策需满足的要求：</w:t>
      </w:r>
    </w:p>
    <w:p>
      <w:pPr>
        <w:spacing w:line="450" w:lineRule="exact"/>
        <w:ind w:firstLine="420" w:firstLineChars="200"/>
        <w:jc w:val="left"/>
        <w:rPr>
          <w:rFonts w:ascii="宋体" w:hAnsi="宋体" w:cs="宋体"/>
          <w:szCs w:val="21"/>
          <w:highlight w:val="none"/>
        </w:rPr>
      </w:pPr>
      <w:r>
        <w:rPr>
          <w:rFonts w:hint="eastAsia" w:ascii="宋体" w:hAnsi="宋体" w:cs="宋体"/>
          <w:szCs w:val="21"/>
          <w:highlight w:val="none"/>
        </w:rPr>
        <w:t>（1）本竞争性磋商文件所称中小企业必须符合《政府采购促进中小企业发展管理办法》（财库〔2020〕46号）的规定。</w:t>
      </w:r>
    </w:p>
    <w:p>
      <w:pPr>
        <w:spacing w:line="450" w:lineRule="exact"/>
        <w:ind w:firstLine="420" w:firstLineChars="200"/>
        <w:jc w:val="left"/>
        <w:rPr>
          <w:rFonts w:ascii="宋体" w:hAnsi="宋体" w:cs="宋体"/>
          <w:szCs w:val="21"/>
          <w:highlight w:val="none"/>
        </w:rPr>
      </w:pPr>
      <w:r>
        <w:rPr>
          <w:rFonts w:hint="eastAsia" w:ascii="宋体" w:hAnsi="宋体" w:cs="宋体"/>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szCs w:val="21"/>
          <w:highlight w:val="none"/>
        </w:rPr>
        <w:t>否则响应文件按无效处理</w:t>
      </w:r>
      <w:r>
        <w:rPr>
          <w:rFonts w:hint="eastAsia" w:ascii="宋体" w:hAnsi="宋体" w:cs="宋体"/>
          <w:szCs w:val="21"/>
          <w:highlight w:val="none"/>
        </w:rPr>
        <w:t xml:space="preserve">。如本项目包含的配套货物属于品目清单内非标注“★”的产品时，应优先采购，具体详见“第四章 </w:t>
      </w:r>
      <w:r>
        <w:rPr>
          <w:rStyle w:val="38"/>
          <w:rFonts w:hint="eastAsia" w:ascii="宋体" w:hAnsi="宋体" w:cs="宋体"/>
          <w:color w:val="auto"/>
          <w:highlight w:val="none"/>
          <w:u w:val="none"/>
        </w:rPr>
        <w:t>评审程序、评审方法和评审标准</w:t>
      </w:r>
      <w:r>
        <w:rPr>
          <w:rFonts w:hint="eastAsia" w:ascii="宋体" w:hAnsi="宋体" w:cs="宋体"/>
          <w:szCs w:val="21"/>
          <w:highlight w:val="none"/>
        </w:rPr>
        <w:t>”。</w:t>
      </w:r>
    </w:p>
    <w:p>
      <w:pPr>
        <w:spacing w:line="450" w:lineRule="exact"/>
        <w:ind w:firstLine="413" w:firstLineChars="196"/>
        <w:rPr>
          <w:rFonts w:ascii="宋体" w:hAnsi="宋体" w:cs="宋体"/>
          <w:b/>
          <w:bCs/>
          <w:szCs w:val="21"/>
          <w:highlight w:val="none"/>
        </w:rPr>
      </w:pPr>
      <w:r>
        <w:rPr>
          <w:rFonts w:hint="eastAsia" w:ascii="宋体" w:hAnsi="宋体" w:cs="宋体"/>
          <w:b/>
          <w:bCs/>
          <w:szCs w:val="21"/>
          <w:highlight w:val="none"/>
        </w:rPr>
        <w:t>2、“实质性要求”是指磋商文件中已经指明不满足响应文件则按无效响应处理的条款，或者不能负偏离的条款，或者采购需求中带“▲”的条款。</w:t>
      </w:r>
    </w:p>
    <w:p>
      <w:pPr>
        <w:pStyle w:val="14"/>
        <w:spacing w:line="450" w:lineRule="exact"/>
        <w:ind w:firstLine="420" w:firstLineChars="200"/>
        <w:rPr>
          <w:rFonts w:ascii="宋体" w:hAnsi="宋体" w:cs="宋体"/>
          <w:highlight w:val="none"/>
        </w:rPr>
      </w:pPr>
      <w:r>
        <w:rPr>
          <w:rFonts w:hint="eastAsia" w:ascii="宋体" w:hAnsi="宋体" w:cs="宋体"/>
          <w:highlight w:val="none"/>
        </w:rPr>
        <w:t>3、如竞标产品存在侵犯他人的知识产权或者专利成果行为的，应承担相应法律责任。</w:t>
      </w:r>
    </w:p>
    <w:p>
      <w:pPr>
        <w:pStyle w:val="14"/>
        <w:spacing w:line="450" w:lineRule="exact"/>
        <w:ind w:firstLine="420" w:firstLineChars="200"/>
        <w:rPr>
          <w:rFonts w:ascii="宋体" w:hAnsi="宋体" w:cs="宋体"/>
          <w:highlight w:val="none"/>
        </w:rPr>
      </w:pPr>
      <w:r>
        <w:rPr>
          <w:rFonts w:hint="eastAsia" w:ascii="宋体" w:hAnsi="宋体" w:cs="宋体"/>
          <w:szCs w:val="21"/>
          <w:highlight w:val="none"/>
        </w:rPr>
        <w:t>4、</w:t>
      </w:r>
      <w:r>
        <w:rPr>
          <w:rFonts w:hint="eastAsia" w:ascii="宋体" w:hAnsi="宋体" w:cs="宋体"/>
          <w:highlight w:val="none"/>
        </w:rPr>
        <w:t>供应商必须自行为其竞标产品侵犯他人的知识产权或者专利成果的行为承担相应法律责任。</w:t>
      </w:r>
    </w:p>
    <w:p>
      <w:pPr>
        <w:pStyle w:val="14"/>
        <w:spacing w:line="450" w:lineRule="exact"/>
        <w:ind w:firstLine="420" w:firstLineChars="200"/>
        <w:rPr>
          <w:rFonts w:ascii="宋体" w:hAnsi="宋体" w:cs="宋体"/>
          <w:b/>
          <w:bCs/>
          <w:szCs w:val="21"/>
          <w:highlight w:val="none"/>
          <w:u w:val="single"/>
        </w:rPr>
      </w:pPr>
      <w:r>
        <w:rPr>
          <w:rFonts w:hint="eastAsia" w:ascii="宋体" w:hAnsi="宋体" w:cs="宋体"/>
          <w:highlight w:val="none"/>
        </w:rPr>
        <w:t>5、采购内容所属行业：</w:t>
      </w:r>
      <w:r>
        <w:rPr>
          <w:rFonts w:hint="eastAsia" w:ascii="宋体" w:hAnsi="宋体" w:cs="宋体"/>
          <w:b/>
          <w:bCs/>
          <w:highlight w:val="none"/>
          <w:u w:val="single"/>
        </w:rPr>
        <w:t>软件和信息技术服务业</w:t>
      </w:r>
      <w:r>
        <w:rPr>
          <w:rFonts w:hint="eastAsia" w:ascii="宋体" w:hAnsi="宋体" w:cs="宋体"/>
          <w:b/>
          <w:bCs/>
          <w:szCs w:val="21"/>
          <w:highlight w:val="none"/>
          <w:u w:val="single"/>
        </w:rPr>
        <w:t>。</w:t>
      </w:r>
    </w:p>
    <w:p>
      <w:pPr>
        <w:pStyle w:val="14"/>
        <w:spacing w:line="450" w:lineRule="exact"/>
        <w:ind w:firstLine="422" w:firstLineChars="200"/>
        <w:rPr>
          <w:rFonts w:ascii="宋体" w:hAnsi="宋体" w:cs="宋体"/>
          <w:b/>
          <w:bCs/>
          <w:szCs w:val="21"/>
          <w:highlight w:val="none"/>
          <w:u w:val="single"/>
        </w:rPr>
      </w:pPr>
    </w:p>
    <w:tbl>
      <w:tblPr>
        <w:tblStyle w:val="31"/>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99"/>
        <w:gridCol w:w="1185"/>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808" w:type="dxa"/>
            <w:gridSpan w:val="4"/>
            <w:tcBorders>
              <w:top w:val="single" w:color="auto" w:sz="4" w:space="0"/>
              <w:left w:val="single" w:color="auto" w:sz="4" w:space="0"/>
              <w:bottom w:val="single" w:color="auto" w:sz="4" w:space="0"/>
              <w:right w:val="single" w:color="auto" w:sz="4" w:space="0"/>
            </w:tcBorders>
            <w:vAlign w:val="center"/>
          </w:tcPr>
          <w:p>
            <w:pPr>
              <w:pStyle w:val="21"/>
              <w:spacing w:line="380" w:lineRule="exact"/>
              <w:jc w:val="center"/>
              <w:rPr>
                <w:rFonts w:ascii="Times New Roman" w:hAnsi="宋体"/>
                <w:b/>
                <w:kern w:val="2"/>
                <w:sz w:val="21"/>
                <w:highlight w:val="none"/>
              </w:rPr>
            </w:pPr>
            <w:bookmarkStart w:id="59" w:name="_Toc3319"/>
            <w:bookmarkStart w:id="60" w:name="_Toc80886927"/>
            <w:r>
              <w:rPr>
                <w:rFonts w:hint="eastAsia" w:hAnsi="宋体"/>
                <w:b/>
                <w:sz w:val="36"/>
                <w:szCs w:val="36"/>
                <w:highlight w:val="none"/>
              </w:rPr>
              <w:t>采购需求一览表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pStyle w:val="21"/>
              <w:spacing w:line="380" w:lineRule="exact"/>
              <w:jc w:val="center"/>
              <w:rPr>
                <w:rFonts w:ascii="Times New Roman" w:hAnsi="宋体"/>
                <w:b/>
                <w:kern w:val="2"/>
                <w:sz w:val="21"/>
                <w:highlight w:val="none"/>
              </w:rPr>
            </w:pPr>
            <w:r>
              <w:rPr>
                <w:rFonts w:hint="eastAsia" w:ascii="Times New Roman" w:hAnsi="宋体"/>
                <w:b/>
                <w:kern w:val="2"/>
                <w:sz w:val="21"/>
                <w:highlight w:val="none"/>
              </w:rPr>
              <w:t>序号</w:t>
            </w:r>
          </w:p>
        </w:tc>
        <w:tc>
          <w:tcPr>
            <w:tcW w:w="1199" w:type="dxa"/>
            <w:tcBorders>
              <w:top w:val="single" w:color="auto" w:sz="4" w:space="0"/>
              <w:left w:val="single" w:color="auto" w:sz="4" w:space="0"/>
              <w:bottom w:val="single" w:color="auto" w:sz="4" w:space="0"/>
              <w:right w:val="single" w:color="auto" w:sz="4" w:space="0"/>
            </w:tcBorders>
            <w:vAlign w:val="center"/>
          </w:tcPr>
          <w:p>
            <w:pPr>
              <w:pStyle w:val="21"/>
              <w:spacing w:line="380" w:lineRule="exact"/>
              <w:jc w:val="center"/>
              <w:rPr>
                <w:rFonts w:ascii="Times New Roman" w:hAnsi="宋体"/>
                <w:b/>
                <w:kern w:val="2"/>
                <w:sz w:val="21"/>
                <w:highlight w:val="none"/>
              </w:rPr>
            </w:pPr>
            <w:r>
              <w:rPr>
                <w:rFonts w:hint="eastAsia" w:ascii="Times New Roman" w:hAnsi="宋体"/>
                <w:b/>
                <w:kern w:val="2"/>
                <w:sz w:val="21"/>
                <w:highlight w:val="none"/>
              </w:rPr>
              <w:t>服务名称</w:t>
            </w:r>
          </w:p>
        </w:tc>
        <w:tc>
          <w:tcPr>
            <w:tcW w:w="1185" w:type="dxa"/>
            <w:tcBorders>
              <w:top w:val="single" w:color="auto" w:sz="4" w:space="0"/>
              <w:left w:val="single" w:color="auto" w:sz="4" w:space="0"/>
              <w:bottom w:val="single" w:color="auto" w:sz="4" w:space="0"/>
              <w:right w:val="single" w:color="auto" w:sz="4" w:space="0"/>
            </w:tcBorders>
            <w:vAlign w:val="center"/>
          </w:tcPr>
          <w:p>
            <w:pPr>
              <w:pStyle w:val="21"/>
              <w:spacing w:line="380" w:lineRule="exact"/>
              <w:jc w:val="center"/>
              <w:rPr>
                <w:rFonts w:ascii="Times New Roman" w:hAnsi="宋体"/>
                <w:b/>
                <w:kern w:val="2"/>
                <w:sz w:val="21"/>
                <w:highlight w:val="none"/>
              </w:rPr>
            </w:pPr>
            <w:r>
              <w:rPr>
                <w:rFonts w:hint="eastAsia" w:ascii="Times New Roman" w:hAnsi="宋体"/>
                <w:b/>
                <w:kern w:val="2"/>
                <w:sz w:val="21"/>
                <w:highlight w:val="none"/>
              </w:rPr>
              <w:t>数量</w:t>
            </w:r>
          </w:p>
        </w:tc>
        <w:tc>
          <w:tcPr>
            <w:tcW w:w="6958" w:type="dxa"/>
            <w:tcBorders>
              <w:top w:val="single" w:color="auto" w:sz="4" w:space="0"/>
              <w:left w:val="single" w:color="auto" w:sz="4" w:space="0"/>
              <w:bottom w:val="single" w:color="auto" w:sz="4" w:space="0"/>
              <w:right w:val="single" w:color="auto" w:sz="4" w:space="0"/>
            </w:tcBorders>
            <w:vAlign w:val="center"/>
          </w:tcPr>
          <w:p>
            <w:pPr>
              <w:pStyle w:val="21"/>
              <w:spacing w:line="380" w:lineRule="exact"/>
              <w:jc w:val="center"/>
              <w:rPr>
                <w:rFonts w:ascii="Times New Roman" w:hAnsi="宋体"/>
                <w:b/>
                <w:kern w:val="2"/>
                <w:sz w:val="21"/>
                <w:highlight w:val="none"/>
              </w:rPr>
            </w:pPr>
            <w:r>
              <w:rPr>
                <w:rFonts w:hint="eastAsia" w:ascii="Times New Roman" w:hAnsi="宋体"/>
                <w:b/>
                <w:kern w:val="2"/>
                <w:sz w:val="21"/>
                <w:highlight w:val="none"/>
              </w:rPr>
              <w:t>服务要求及技术需求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6" w:type="dxa"/>
            <w:tcBorders>
              <w:top w:val="single" w:color="auto" w:sz="4" w:space="0"/>
              <w:left w:val="single" w:color="auto" w:sz="4" w:space="0"/>
              <w:right w:val="single" w:color="auto" w:sz="4" w:space="0"/>
            </w:tcBorders>
            <w:vAlign w:val="center"/>
          </w:tcPr>
          <w:p>
            <w:pPr>
              <w:pStyle w:val="21"/>
              <w:spacing w:line="380" w:lineRule="exact"/>
              <w:jc w:val="center"/>
              <w:rPr>
                <w:rFonts w:hAnsi="宋体"/>
                <w:highlight w:val="none"/>
              </w:rPr>
            </w:pPr>
            <w:r>
              <w:rPr>
                <w:rFonts w:hint="eastAsia" w:hAnsi="宋体"/>
                <w:highlight w:val="none"/>
              </w:rPr>
              <w:t>1</w:t>
            </w:r>
          </w:p>
        </w:tc>
        <w:tc>
          <w:tcPr>
            <w:tcW w:w="1199"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szCs w:val="21"/>
                <w:highlight w:val="none"/>
              </w:rPr>
            </w:pPr>
            <w:r>
              <w:rPr>
                <w:rFonts w:hint="eastAsia"/>
                <w:szCs w:val="21"/>
                <w:highlight w:val="none"/>
              </w:rPr>
              <w:t>本地硬件设备运行维护服务</w:t>
            </w:r>
          </w:p>
        </w:tc>
        <w:tc>
          <w:tcPr>
            <w:tcW w:w="1185"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szCs w:val="21"/>
                <w:highlight w:val="none"/>
              </w:rPr>
            </w:pPr>
            <w:r>
              <w:rPr>
                <w:rFonts w:hint="eastAsia"/>
                <w:szCs w:val="21"/>
                <w:highlight w:val="none"/>
              </w:rPr>
              <w:t>1</w:t>
            </w:r>
            <w:r>
              <w:rPr>
                <w:rFonts w:hint="eastAsia" w:ascii="仿宋" w:hAnsi="仿宋" w:eastAsia="仿宋" w:cs="Arial"/>
                <w:sz w:val="24"/>
                <w:highlight w:val="none"/>
              </w:rPr>
              <w:t>项</w:t>
            </w:r>
          </w:p>
        </w:tc>
        <w:tc>
          <w:tcPr>
            <w:tcW w:w="6958" w:type="dxa"/>
            <w:tcBorders>
              <w:top w:val="single" w:color="auto" w:sz="4" w:space="0"/>
              <w:left w:val="single" w:color="auto" w:sz="4" w:space="0"/>
              <w:right w:val="single" w:color="auto" w:sz="4" w:space="0"/>
            </w:tcBorders>
            <w:vAlign w:val="center"/>
          </w:tcPr>
          <w:p>
            <w:pPr>
              <w:spacing w:line="380" w:lineRule="exact"/>
              <w:rPr>
                <w:rFonts w:ascii="宋体" w:hAnsi="宋体" w:cs="宋体"/>
                <w:szCs w:val="21"/>
                <w:highlight w:val="none"/>
              </w:rPr>
            </w:pPr>
            <w:r>
              <w:rPr>
                <w:szCs w:val="21"/>
                <w:highlight w:val="none"/>
              </w:rPr>
              <w:t>包含但不限于服务器、存储、防火墙、安全设备等日常安全服务、大数据政务云、交通</w:t>
            </w:r>
            <w:r>
              <w:rPr>
                <w:rFonts w:hint="eastAsia"/>
                <w:szCs w:val="21"/>
                <w:highlight w:val="none"/>
              </w:rPr>
              <w:t>云数据中心服务器（授权远程服务）、存储及备份设备等的日常运行及安全维护管理；协助各有关单位光纤接入维护。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66" w:type="dxa"/>
            <w:tcBorders>
              <w:top w:val="single" w:color="auto" w:sz="4" w:space="0"/>
              <w:left w:val="single" w:color="auto" w:sz="4" w:space="0"/>
              <w:right w:val="single" w:color="auto" w:sz="4" w:space="0"/>
            </w:tcBorders>
            <w:vAlign w:val="center"/>
          </w:tcPr>
          <w:p>
            <w:pPr>
              <w:pStyle w:val="21"/>
              <w:spacing w:line="380" w:lineRule="exact"/>
              <w:jc w:val="center"/>
              <w:rPr>
                <w:rFonts w:hAnsi="宋体"/>
                <w:highlight w:val="none"/>
              </w:rPr>
            </w:pPr>
            <w:r>
              <w:rPr>
                <w:rFonts w:hint="eastAsia" w:hAnsi="宋体"/>
                <w:highlight w:val="none"/>
              </w:rPr>
              <w:t>2</w:t>
            </w:r>
          </w:p>
        </w:tc>
        <w:tc>
          <w:tcPr>
            <w:tcW w:w="1199" w:type="dxa"/>
            <w:tcBorders>
              <w:top w:val="single" w:color="auto" w:sz="4" w:space="0"/>
              <w:left w:val="single" w:color="auto" w:sz="4" w:space="0"/>
              <w:right w:val="single" w:color="auto" w:sz="4" w:space="0"/>
            </w:tcBorders>
            <w:vAlign w:val="center"/>
          </w:tcPr>
          <w:p>
            <w:pPr>
              <w:spacing w:line="380" w:lineRule="exact"/>
              <w:jc w:val="center"/>
              <w:rPr>
                <w:szCs w:val="21"/>
                <w:highlight w:val="none"/>
              </w:rPr>
            </w:pPr>
            <w:r>
              <w:rPr>
                <w:rFonts w:hint="eastAsia"/>
                <w:szCs w:val="21"/>
                <w:highlight w:val="none"/>
              </w:rPr>
              <w:t>电子</w:t>
            </w:r>
            <w:r>
              <w:rPr>
                <w:szCs w:val="21"/>
                <w:highlight w:val="none"/>
              </w:rPr>
              <w:t>政务外网设备运行维护服务</w:t>
            </w:r>
          </w:p>
        </w:tc>
        <w:tc>
          <w:tcPr>
            <w:tcW w:w="1185" w:type="dxa"/>
            <w:tcBorders>
              <w:top w:val="single" w:color="auto" w:sz="4" w:space="0"/>
              <w:left w:val="single" w:color="auto" w:sz="4" w:space="0"/>
              <w:right w:val="single" w:color="auto" w:sz="4" w:space="0"/>
            </w:tcBorders>
            <w:vAlign w:val="center"/>
          </w:tcPr>
          <w:p>
            <w:pPr>
              <w:spacing w:line="380" w:lineRule="exact"/>
              <w:jc w:val="center"/>
              <w:rPr>
                <w:szCs w:val="21"/>
                <w:highlight w:val="none"/>
              </w:rPr>
            </w:pPr>
            <w:r>
              <w:rPr>
                <w:szCs w:val="21"/>
                <w:highlight w:val="none"/>
              </w:rPr>
              <w:t>1</w:t>
            </w:r>
            <w:r>
              <w:rPr>
                <w:rFonts w:hint="eastAsia"/>
                <w:szCs w:val="21"/>
                <w:highlight w:val="none"/>
              </w:rPr>
              <w:t>项</w:t>
            </w:r>
          </w:p>
        </w:tc>
        <w:tc>
          <w:tcPr>
            <w:tcW w:w="6958" w:type="dxa"/>
            <w:tcBorders>
              <w:top w:val="single" w:color="auto" w:sz="4" w:space="0"/>
              <w:left w:val="single" w:color="auto" w:sz="4" w:space="0"/>
              <w:right w:val="single" w:color="auto" w:sz="4" w:space="0"/>
            </w:tcBorders>
            <w:vAlign w:val="center"/>
          </w:tcPr>
          <w:p>
            <w:pPr>
              <w:spacing w:line="380" w:lineRule="exact"/>
              <w:rPr>
                <w:szCs w:val="21"/>
                <w:highlight w:val="none"/>
              </w:rPr>
            </w:pPr>
            <w:r>
              <w:rPr>
                <w:rFonts w:hint="eastAsia"/>
                <w:szCs w:val="21"/>
                <w:highlight w:val="none"/>
              </w:rPr>
              <w:t>主要</w:t>
            </w:r>
            <w:r>
              <w:rPr>
                <w:szCs w:val="21"/>
                <w:highlight w:val="none"/>
              </w:rPr>
              <w:t>包括</w:t>
            </w:r>
            <w:r>
              <w:rPr>
                <w:rFonts w:hint="eastAsia"/>
                <w:szCs w:val="21"/>
                <w:highlight w:val="none"/>
              </w:rPr>
              <w:t>电子政务</w:t>
            </w:r>
            <w:r>
              <w:rPr>
                <w:szCs w:val="21"/>
                <w:highlight w:val="none"/>
              </w:rPr>
              <w:t>外网</w:t>
            </w:r>
            <w:r>
              <w:rPr>
                <w:rFonts w:hint="eastAsia"/>
                <w:szCs w:val="21"/>
                <w:highlight w:val="none"/>
              </w:rPr>
              <w:t>服务器</w:t>
            </w:r>
            <w:r>
              <w:rPr>
                <w:szCs w:val="21"/>
                <w:highlight w:val="none"/>
              </w:rPr>
              <w:t>、存储等硬件</w:t>
            </w:r>
            <w:r>
              <w:rPr>
                <w:rFonts w:hint="eastAsia"/>
                <w:szCs w:val="21"/>
                <w:highlight w:val="none"/>
              </w:rPr>
              <w:t>等日常维护，提供安全、稳定的环境，</w:t>
            </w:r>
            <w:r>
              <w:rPr>
                <w:szCs w:val="21"/>
                <w:highlight w:val="none"/>
              </w:rPr>
              <w:t>协助做好专网接入及日常维护工作。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466" w:type="dxa"/>
            <w:tcBorders>
              <w:top w:val="single" w:color="auto" w:sz="4" w:space="0"/>
              <w:left w:val="single" w:color="auto" w:sz="4" w:space="0"/>
              <w:right w:val="single" w:color="auto" w:sz="4" w:space="0"/>
            </w:tcBorders>
            <w:vAlign w:val="center"/>
          </w:tcPr>
          <w:p>
            <w:pPr>
              <w:pStyle w:val="21"/>
              <w:spacing w:line="380" w:lineRule="exact"/>
              <w:jc w:val="center"/>
              <w:rPr>
                <w:rFonts w:hAnsi="宋体"/>
                <w:highlight w:val="none"/>
              </w:rPr>
            </w:pPr>
            <w:r>
              <w:rPr>
                <w:rFonts w:hAnsi="宋体"/>
                <w:highlight w:val="none"/>
              </w:rPr>
              <w:t>3</w:t>
            </w:r>
          </w:p>
        </w:tc>
        <w:tc>
          <w:tcPr>
            <w:tcW w:w="1199"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szCs w:val="21"/>
                <w:highlight w:val="none"/>
              </w:rPr>
            </w:pPr>
            <w:r>
              <w:rPr>
                <w:rFonts w:hint="eastAsia"/>
                <w:szCs w:val="21"/>
                <w:highlight w:val="none"/>
              </w:rPr>
              <w:t>系统软件运行维护服务</w:t>
            </w:r>
          </w:p>
        </w:tc>
        <w:tc>
          <w:tcPr>
            <w:tcW w:w="1185"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szCs w:val="21"/>
                <w:highlight w:val="none"/>
              </w:rPr>
            </w:pPr>
            <w:r>
              <w:rPr>
                <w:rFonts w:hint="eastAsia"/>
                <w:szCs w:val="21"/>
                <w:highlight w:val="none"/>
              </w:rPr>
              <w:t>1</w:t>
            </w:r>
            <w:r>
              <w:rPr>
                <w:rFonts w:hint="eastAsia" w:ascii="仿宋" w:hAnsi="仿宋" w:eastAsia="仿宋" w:cs="Arial"/>
                <w:sz w:val="24"/>
                <w:highlight w:val="none"/>
              </w:rPr>
              <w:t>项</w:t>
            </w:r>
          </w:p>
        </w:tc>
        <w:tc>
          <w:tcPr>
            <w:tcW w:w="6958" w:type="dxa"/>
            <w:tcBorders>
              <w:top w:val="single" w:color="auto" w:sz="4" w:space="0"/>
              <w:left w:val="single" w:color="auto" w:sz="4" w:space="0"/>
              <w:right w:val="single" w:color="auto" w:sz="4" w:space="0"/>
            </w:tcBorders>
            <w:vAlign w:val="center"/>
          </w:tcPr>
          <w:p>
            <w:pPr>
              <w:spacing w:line="380" w:lineRule="exact"/>
              <w:rPr>
                <w:rFonts w:ascii="宋体" w:hAnsi="宋体" w:cs="宋体"/>
                <w:szCs w:val="21"/>
                <w:highlight w:val="none"/>
              </w:rPr>
            </w:pPr>
            <w:r>
              <w:rPr>
                <w:rFonts w:hint="eastAsia"/>
                <w:szCs w:val="21"/>
                <w:highlight w:val="none"/>
              </w:rPr>
              <w:t>主要包括各操作系统、数据库管理、网络管理、备份及杀毒软件等的更新维护及日常管理；定期对系统进行巡检，避免或减少系统故障，保持业务持续性运行；巡检内容包括软件系统性能巡查、设备巡查、存储系统巡查、系统日志巡查、网络安全系统巡查、数据库系统巡查、备份系统巡查等。提供的系统符合等保三级安全要求并做好等级保护测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466" w:type="dxa"/>
            <w:tcBorders>
              <w:top w:val="single" w:color="auto" w:sz="4" w:space="0"/>
              <w:left w:val="single" w:color="auto" w:sz="4" w:space="0"/>
              <w:right w:val="single" w:color="auto" w:sz="4" w:space="0"/>
            </w:tcBorders>
            <w:vAlign w:val="center"/>
          </w:tcPr>
          <w:p>
            <w:pPr>
              <w:pStyle w:val="21"/>
              <w:spacing w:line="380" w:lineRule="exact"/>
              <w:jc w:val="center"/>
              <w:rPr>
                <w:rFonts w:hAnsi="宋体"/>
                <w:highlight w:val="none"/>
              </w:rPr>
            </w:pPr>
            <w:r>
              <w:rPr>
                <w:rFonts w:hAnsi="宋体"/>
                <w:highlight w:val="none"/>
              </w:rPr>
              <w:t>4</w:t>
            </w:r>
          </w:p>
        </w:tc>
        <w:tc>
          <w:tcPr>
            <w:tcW w:w="1199"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szCs w:val="21"/>
                <w:highlight w:val="none"/>
              </w:rPr>
            </w:pPr>
            <w:r>
              <w:rPr>
                <w:rFonts w:hint="eastAsia"/>
                <w:szCs w:val="21"/>
                <w:highlight w:val="none"/>
              </w:rPr>
              <w:t>应用软件运行维护服务</w:t>
            </w:r>
          </w:p>
        </w:tc>
        <w:tc>
          <w:tcPr>
            <w:tcW w:w="1185"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szCs w:val="21"/>
                <w:highlight w:val="none"/>
              </w:rPr>
            </w:pPr>
            <w:r>
              <w:rPr>
                <w:rFonts w:hint="eastAsia"/>
                <w:szCs w:val="21"/>
                <w:highlight w:val="none"/>
              </w:rPr>
              <w:t>1</w:t>
            </w:r>
            <w:r>
              <w:rPr>
                <w:rFonts w:hint="eastAsia" w:ascii="仿宋" w:hAnsi="仿宋" w:eastAsia="仿宋" w:cs="Arial"/>
                <w:sz w:val="24"/>
                <w:highlight w:val="none"/>
              </w:rPr>
              <w:t>项</w:t>
            </w:r>
          </w:p>
        </w:tc>
        <w:tc>
          <w:tcPr>
            <w:tcW w:w="6958" w:type="dxa"/>
            <w:tcBorders>
              <w:top w:val="single" w:color="auto" w:sz="4" w:space="0"/>
              <w:left w:val="single" w:color="auto" w:sz="4" w:space="0"/>
              <w:right w:val="single" w:color="auto" w:sz="4" w:space="0"/>
            </w:tcBorders>
            <w:vAlign w:val="center"/>
          </w:tcPr>
          <w:p>
            <w:pPr>
              <w:spacing w:line="380" w:lineRule="exact"/>
              <w:rPr>
                <w:rFonts w:ascii="宋体" w:hAnsi="宋体" w:cs="宋体"/>
                <w:szCs w:val="21"/>
                <w:highlight w:val="none"/>
              </w:rPr>
            </w:pPr>
            <w:r>
              <w:rPr>
                <w:rFonts w:hint="eastAsia"/>
                <w:szCs w:val="21"/>
                <w:highlight w:val="none"/>
              </w:rPr>
              <w:t>主要包括广西道路运输动态监控行业服务平台、广西道路运输管理信息系统、广西道路运输企业与公众服务平台、广西包车管理信息子系统、广西运政微信公众号等应用软件的日常服务，包括：系统软件安装、调试、故障清除、优化配置、软件接口优化、数据库维护、数据备份、对系统进行的功能完善及系统软件优化，提供应用软件系统故障、数据备份及管理、技术业务支持、应用</w:t>
            </w:r>
            <w:r>
              <w:rPr>
                <w:szCs w:val="21"/>
                <w:highlight w:val="none"/>
              </w:rPr>
              <w:t>软件</w:t>
            </w:r>
            <w:r>
              <w:rPr>
                <w:rFonts w:hint="eastAsia"/>
                <w:szCs w:val="21"/>
                <w:highlight w:val="none"/>
              </w:rPr>
              <w:t>日常功能修改、灾后数据恢复以及软件日常升级服务、数据规范和处理、系统性能优化、应用服务维护、与</w:t>
            </w:r>
            <w:r>
              <w:rPr>
                <w:szCs w:val="21"/>
                <w:highlight w:val="none"/>
              </w:rPr>
              <w:t>各有关单位数据交换</w:t>
            </w:r>
            <w:r>
              <w:rPr>
                <w:rFonts w:hint="eastAsia"/>
                <w:szCs w:val="21"/>
                <w:highlight w:val="none"/>
              </w:rPr>
              <w:t>及</w:t>
            </w:r>
            <w:r>
              <w:rPr>
                <w:szCs w:val="21"/>
                <w:highlight w:val="none"/>
              </w:rPr>
              <w:t>维护</w:t>
            </w:r>
            <w:r>
              <w:rPr>
                <w:rFonts w:hint="eastAsia"/>
                <w:szCs w:val="21"/>
                <w:highlight w:val="none"/>
              </w:rPr>
              <w:t>服务。根据要求出具系统月度运行情况月报和交通运输事故调查相关运输企业、运输车辆和从业人员信息，道路运输行业信息系统演示支持。提供7*24小时的热线电话技术支持服务。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466" w:type="dxa"/>
            <w:tcBorders>
              <w:top w:val="single" w:color="auto" w:sz="4" w:space="0"/>
              <w:left w:val="single" w:color="auto" w:sz="4" w:space="0"/>
              <w:right w:val="single" w:color="auto" w:sz="4" w:space="0"/>
            </w:tcBorders>
            <w:vAlign w:val="center"/>
          </w:tcPr>
          <w:p>
            <w:pPr>
              <w:pStyle w:val="21"/>
              <w:spacing w:line="380" w:lineRule="exact"/>
              <w:jc w:val="center"/>
              <w:rPr>
                <w:rFonts w:hAnsi="宋体"/>
                <w:highlight w:val="none"/>
              </w:rPr>
            </w:pPr>
            <w:r>
              <w:rPr>
                <w:rFonts w:hint="eastAsia" w:hAnsi="宋体"/>
                <w:highlight w:val="none"/>
              </w:rPr>
              <w:t>5</w:t>
            </w:r>
          </w:p>
        </w:tc>
        <w:tc>
          <w:tcPr>
            <w:tcW w:w="1199" w:type="dxa"/>
            <w:tcBorders>
              <w:top w:val="single" w:color="auto" w:sz="4" w:space="0"/>
              <w:left w:val="single" w:color="auto" w:sz="4" w:space="0"/>
              <w:right w:val="single" w:color="auto" w:sz="4" w:space="0"/>
            </w:tcBorders>
            <w:vAlign w:val="center"/>
          </w:tcPr>
          <w:p>
            <w:pPr>
              <w:spacing w:line="380" w:lineRule="exact"/>
              <w:jc w:val="center"/>
              <w:rPr>
                <w:szCs w:val="21"/>
                <w:highlight w:val="none"/>
              </w:rPr>
            </w:pPr>
            <w:r>
              <w:rPr>
                <w:rFonts w:hint="eastAsia"/>
                <w:szCs w:val="21"/>
                <w:highlight w:val="none"/>
              </w:rPr>
              <w:t>便民考核服务</w:t>
            </w:r>
          </w:p>
        </w:tc>
        <w:tc>
          <w:tcPr>
            <w:tcW w:w="1185" w:type="dxa"/>
            <w:tcBorders>
              <w:top w:val="single" w:color="auto" w:sz="4" w:space="0"/>
              <w:left w:val="single" w:color="auto" w:sz="4" w:space="0"/>
              <w:right w:val="single" w:color="auto" w:sz="4" w:space="0"/>
            </w:tcBorders>
            <w:vAlign w:val="center"/>
          </w:tcPr>
          <w:p>
            <w:pPr>
              <w:spacing w:line="380" w:lineRule="exact"/>
              <w:jc w:val="center"/>
              <w:rPr>
                <w:szCs w:val="21"/>
                <w:highlight w:val="none"/>
              </w:rPr>
            </w:pPr>
            <w:r>
              <w:rPr>
                <w:rFonts w:hint="eastAsia"/>
                <w:szCs w:val="21"/>
                <w:highlight w:val="none"/>
              </w:rPr>
              <w:t>1</w:t>
            </w:r>
            <w:r>
              <w:rPr>
                <w:rFonts w:hint="eastAsia" w:ascii="仿宋" w:hAnsi="仿宋" w:eastAsia="仿宋" w:cs="Arial"/>
                <w:sz w:val="24"/>
                <w:highlight w:val="none"/>
              </w:rPr>
              <w:t>项</w:t>
            </w:r>
          </w:p>
        </w:tc>
        <w:tc>
          <w:tcPr>
            <w:tcW w:w="6958" w:type="dxa"/>
            <w:tcBorders>
              <w:top w:val="single" w:color="auto" w:sz="4" w:space="0"/>
              <w:left w:val="single" w:color="auto" w:sz="4" w:space="0"/>
              <w:right w:val="single" w:color="auto" w:sz="4" w:space="0"/>
            </w:tcBorders>
            <w:vAlign w:val="center"/>
          </w:tcPr>
          <w:p>
            <w:pPr>
              <w:spacing w:line="380" w:lineRule="exact"/>
              <w:rPr>
                <w:szCs w:val="21"/>
                <w:highlight w:val="none"/>
              </w:rPr>
            </w:pPr>
            <w:r>
              <w:rPr>
                <w:rFonts w:hint="eastAsia"/>
                <w:szCs w:val="21"/>
                <w:highlight w:val="none"/>
              </w:rPr>
              <w:t>根据交通运输部便民服务考核要求，为提升业务办理重点评价指标数据质量、提高向部道路运政管理系统上传的运政业务数据质量、保障与便民服务系统之间政务服务的联网稳定和及时相应。配备驻场专职监督管理及专职专业技术人员，开展便民考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66" w:type="dxa"/>
            <w:tcBorders>
              <w:top w:val="single" w:color="auto" w:sz="4" w:space="0"/>
              <w:left w:val="single" w:color="auto" w:sz="4" w:space="0"/>
              <w:right w:val="single" w:color="auto" w:sz="4" w:space="0"/>
            </w:tcBorders>
            <w:vAlign w:val="center"/>
          </w:tcPr>
          <w:p>
            <w:pPr>
              <w:pStyle w:val="21"/>
              <w:spacing w:line="380" w:lineRule="exact"/>
              <w:jc w:val="center"/>
              <w:rPr>
                <w:rFonts w:hAnsi="宋体"/>
                <w:highlight w:val="none"/>
              </w:rPr>
            </w:pPr>
            <w:r>
              <w:rPr>
                <w:rFonts w:hint="eastAsia" w:hAnsi="宋体"/>
                <w:highlight w:val="none"/>
              </w:rPr>
              <w:t>6</w:t>
            </w:r>
          </w:p>
        </w:tc>
        <w:tc>
          <w:tcPr>
            <w:tcW w:w="1199" w:type="dxa"/>
            <w:tcBorders>
              <w:top w:val="single" w:color="auto" w:sz="4" w:space="0"/>
              <w:left w:val="single" w:color="auto" w:sz="4" w:space="0"/>
              <w:right w:val="single" w:color="auto" w:sz="4" w:space="0"/>
            </w:tcBorders>
            <w:vAlign w:val="center"/>
          </w:tcPr>
          <w:p>
            <w:pPr>
              <w:spacing w:line="380" w:lineRule="exact"/>
              <w:jc w:val="center"/>
              <w:rPr>
                <w:szCs w:val="21"/>
                <w:highlight w:val="none"/>
              </w:rPr>
            </w:pPr>
            <w:r>
              <w:rPr>
                <w:rFonts w:hint="eastAsia"/>
                <w:szCs w:val="21"/>
                <w:highlight w:val="none"/>
              </w:rPr>
              <w:t>通报考核服务</w:t>
            </w:r>
          </w:p>
        </w:tc>
        <w:tc>
          <w:tcPr>
            <w:tcW w:w="1185" w:type="dxa"/>
            <w:tcBorders>
              <w:top w:val="single" w:color="auto" w:sz="4" w:space="0"/>
              <w:left w:val="single" w:color="auto" w:sz="4" w:space="0"/>
              <w:right w:val="single" w:color="auto" w:sz="4" w:space="0"/>
            </w:tcBorders>
            <w:vAlign w:val="center"/>
          </w:tcPr>
          <w:p>
            <w:pPr>
              <w:spacing w:line="380" w:lineRule="exact"/>
              <w:jc w:val="center"/>
              <w:rPr>
                <w:szCs w:val="21"/>
                <w:highlight w:val="none"/>
              </w:rPr>
            </w:pPr>
            <w:r>
              <w:rPr>
                <w:rFonts w:hint="eastAsia"/>
                <w:szCs w:val="21"/>
                <w:highlight w:val="none"/>
              </w:rPr>
              <w:t>1</w:t>
            </w:r>
            <w:r>
              <w:rPr>
                <w:rFonts w:hint="eastAsia" w:ascii="仿宋" w:hAnsi="仿宋" w:eastAsia="仿宋" w:cs="Arial"/>
                <w:sz w:val="24"/>
                <w:highlight w:val="none"/>
              </w:rPr>
              <w:t>项</w:t>
            </w:r>
          </w:p>
        </w:tc>
        <w:tc>
          <w:tcPr>
            <w:tcW w:w="6958" w:type="dxa"/>
            <w:tcBorders>
              <w:top w:val="single" w:color="auto" w:sz="4" w:space="0"/>
              <w:left w:val="single" w:color="auto" w:sz="4" w:space="0"/>
              <w:right w:val="single" w:color="auto" w:sz="4" w:space="0"/>
            </w:tcBorders>
            <w:vAlign w:val="center"/>
          </w:tcPr>
          <w:p>
            <w:pPr>
              <w:spacing w:line="380" w:lineRule="exact"/>
              <w:rPr>
                <w:szCs w:val="21"/>
                <w:highlight w:val="none"/>
              </w:rPr>
            </w:pPr>
            <w:r>
              <w:rPr>
                <w:rFonts w:hint="eastAsia"/>
                <w:szCs w:val="21"/>
                <w:highlight w:val="none"/>
              </w:rPr>
              <w:t>配备驻场专职监督管理及专职专业技术人员，开展全区重点营运车辆行业服务平台月份运行情况考核通报。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66" w:type="dxa"/>
            <w:tcBorders>
              <w:top w:val="single" w:color="auto" w:sz="4" w:space="0"/>
              <w:left w:val="single" w:color="auto" w:sz="4" w:space="0"/>
              <w:right w:val="single" w:color="auto" w:sz="4" w:space="0"/>
            </w:tcBorders>
            <w:vAlign w:val="center"/>
          </w:tcPr>
          <w:p>
            <w:pPr>
              <w:pStyle w:val="21"/>
              <w:spacing w:line="380" w:lineRule="exact"/>
              <w:jc w:val="center"/>
              <w:rPr>
                <w:rFonts w:hAnsi="宋体"/>
                <w:highlight w:val="none"/>
              </w:rPr>
            </w:pPr>
            <w:r>
              <w:rPr>
                <w:rFonts w:hint="eastAsia" w:hAnsi="宋体"/>
                <w:highlight w:val="none"/>
              </w:rPr>
              <w:t>7</w:t>
            </w:r>
          </w:p>
        </w:tc>
        <w:tc>
          <w:tcPr>
            <w:tcW w:w="1199" w:type="dxa"/>
            <w:tcBorders>
              <w:top w:val="single" w:color="auto" w:sz="4" w:space="0"/>
              <w:left w:val="single" w:color="auto" w:sz="4" w:space="0"/>
              <w:right w:val="single" w:color="auto" w:sz="4" w:space="0"/>
            </w:tcBorders>
            <w:vAlign w:val="center"/>
          </w:tcPr>
          <w:p>
            <w:pPr>
              <w:spacing w:line="380" w:lineRule="exact"/>
              <w:jc w:val="center"/>
              <w:rPr>
                <w:szCs w:val="21"/>
                <w:highlight w:val="none"/>
              </w:rPr>
            </w:pPr>
            <w:r>
              <w:rPr>
                <w:rFonts w:hint="eastAsia"/>
                <w:szCs w:val="21"/>
                <w:highlight w:val="none"/>
              </w:rPr>
              <w:t>设备维修维护</w:t>
            </w:r>
          </w:p>
        </w:tc>
        <w:tc>
          <w:tcPr>
            <w:tcW w:w="1185" w:type="dxa"/>
            <w:tcBorders>
              <w:top w:val="single" w:color="auto" w:sz="4" w:space="0"/>
              <w:left w:val="single" w:color="auto" w:sz="4" w:space="0"/>
              <w:right w:val="single" w:color="auto" w:sz="4" w:space="0"/>
            </w:tcBorders>
            <w:vAlign w:val="center"/>
          </w:tcPr>
          <w:p>
            <w:pPr>
              <w:spacing w:line="380" w:lineRule="exact"/>
              <w:jc w:val="center"/>
              <w:rPr>
                <w:szCs w:val="21"/>
                <w:highlight w:val="none"/>
              </w:rPr>
            </w:pPr>
            <w:r>
              <w:rPr>
                <w:rFonts w:hint="eastAsia"/>
                <w:szCs w:val="21"/>
                <w:highlight w:val="none"/>
              </w:rPr>
              <w:t>1</w:t>
            </w:r>
            <w:r>
              <w:rPr>
                <w:rFonts w:hint="eastAsia" w:ascii="仿宋" w:hAnsi="仿宋" w:eastAsia="仿宋" w:cs="Arial"/>
                <w:sz w:val="24"/>
                <w:highlight w:val="none"/>
              </w:rPr>
              <w:t>项</w:t>
            </w:r>
          </w:p>
        </w:tc>
        <w:tc>
          <w:tcPr>
            <w:tcW w:w="6958" w:type="dxa"/>
            <w:tcBorders>
              <w:top w:val="single" w:color="auto" w:sz="4" w:space="0"/>
              <w:left w:val="single" w:color="auto" w:sz="4" w:space="0"/>
              <w:right w:val="single" w:color="auto" w:sz="4" w:space="0"/>
            </w:tcBorders>
            <w:vAlign w:val="center"/>
          </w:tcPr>
          <w:p>
            <w:pPr>
              <w:spacing w:line="380" w:lineRule="exact"/>
              <w:rPr>
                <w:szCs w:val="21"/>
                <w:highlight w:val="none"/>
              </w:rPr>
            </w:pPr>
            <w:r>
              <w:rPr>
                <w:rFonts w:hint="eastAsia"/>
                <w:szCs w:val="21"/>
                <w:highlight w:val="none"/>
              </w:rPr>
              <w:t>1.中心机关办公设备维修保养服务，中心机关电脑（含国产化相关设备）等办公设备维修及排插、网线等配件购置。</w:t>
            </w:r>
          </w:p>
          <w:p>
            <w:pPr>
              <w:spacing w:line="380" w:lineRule="exact"/>
              <w:rPr>
                <w:szCs w:val="21"/>
                <w:highlight w:val="none"/>
              </w:rPr>
            </w:pPr>
            <w:r>
              <w:rPr>
                <w:rFonts w:hint="eastAsia"/>
                <w:szCs w:val="21"/>
                <w:highlight w:val="none"/>
              </w:rPr>
              <w:t>2.中心机关各楼层网络配线间维护。</w:t>
            </w:r>
          </w:p>
          <w:p>
            <w:pPr>
              <w:spacing w:line="380" w:lineRule="exact"/>
              <w:rPr>
                <w:szCs w:val="21"/>
                <w:highlight w:val="none"/>
              </w:rPr>
            </w:pPr>
            <w:r>
              <w:rPr>
                <w:rFonts w:hint="eastAsia"/>
                <w:szCs w:val="21"/>
                <w:highlight w:val="none"/>
              </w:rPr>
              <w:t>3.中心机关道路运输信息系统演示大屏幕等设备维护。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08" w:type="dxa"/>
            <w:gridSpan w:val="4"/>
            <w:tcBorders>
              <w:top w:val="single" w:color="auto" w:sz="4" w:space="0"/>
              <w:left w:val="single" w:color="auto" w:sz="4" w:space="0"/>
              <w:right w:val="single" w:color="auto" w:sz="4" w:space="0"/>
            </w:tcBorders>
            <w:vAlign w:val="center"/>
          </w:tcPr>
          <w:p>
            <w:pPr>
              <w:spacing w:line="380" w:lineRule="exact"/>
              <w:rPr>
                <w:b/>
                <w:szCs w:val="21"/>
                <w:highlight w:val="none"/>
              </w:rPr>
            </w:pPr>
            <w:r>
              <w:rPr>
                <w:rFonts w:hint="eastAsia" w:ascii="宋体" w:hAnsi="宋体"/>
                <w:b/>
                <w:szCs w:val="21"/>
                <w:highlight w:val="none"/>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65" w:type="dxa"/>
            <w:gridSpan w:val="2"/>
            <w:tcBorders>
              <w:top w:val="single" w:color="auto" w:sz="4" w:space="0"/>
              <w:left w:val="single" w:color="auto" w:sz="4" w:space="0"/>
              <w:right w:val="single" w:color="auto" w:sz="4" w:space="0"/>
            </w:tcBorders>
            <w:vAlign w:val="center"/>
          </w:tcPr>
          <w:p>
            <w:pPr>
              <w:snapToGrid w:val="0"/>
              <w:spacing w:line="380" w:lineRule="exact"/>
              <w:jc w:val="center"/>
              <w:rPr>
                <w:rFonts w:ascii="宋体" w:hAnsi="宋体"/>
                <w:szCs w:val="21"/>
                <w:highlight w:val="none"/>
              </w:rPr>
            </w:pPr>
            <w:r>
              <w:rPr>
                <w:rFonts w:hint="eastAsia" w:ascii="宋体" w:hAnsi="宋体"/>
                <w:szCs w:val="21"/>
                <w:highlight w:val="none"/>
              </w:rPr>
              <w:t>▲服务期限</w:t>
            </w:r>
          </w:p>
        </w:tc>
        <w:tc>
          <w:tcPr>
            <w:tcW w:w="8143" w:type="dxa"/>
            <w:gridSpan w:val="2"/>
            <w:tcBorders>
              <w:top w:val="single" w:color="auto" w:sz="4" w:space="0"/>
              <w:left w:val="single" w:color="auto" w:sz="4" w:space="0"/>
              <w:right w:val="single" w:color="auto" w:sz="4" w:space="0"/>
            </w:tcBorders>
            <w:vAlign w:val="center"/>
          </w:tcPr>
          <w:p>
            <w:pPr>
              <w:spacing w:line="380" w:lineRule="exact"/>
              <w:rPr>
                <w:color w:val="FF0000"/>
                <w:szCs w:val="21"/>
                <w:highlight w:val="none"/>
              </w:rPr>
            </w:pPr>
            <w:r>
              <w:rPr>
                <w:rFonts w:hint="eastAsia" w:ascii="宋体" w:hAnsi="宋体"/>
                <w:bCs/>
                <w:szCs w:val="21"/>
                <w:highlight w:val="none"/>
              </w:rPr>
              <w:t>2024年12月1日至2025年11月30日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665" w:type="dxa"/>
            <w:gridSpan w:val="2"/>
            <w:tcBorders>
              <w:top w:val="single" w:color="auto" w:sz="4" w:space="0"/>
              <w:left w:val="single" w:color="auto" w:sz="4" w:space="0"/>
              <w:right w:val="single" w:color="auto" w:sz="4" w:space="0"/>
            </w:tcBorders>
            <w:vAlign w:val="center"/>
          </w:tcPr>
          <w:p>
            <w:pPr>
              <w:snapToGrid w:val="0"/>
              <w:spacing w:line="380" w:lineRule="exact"/>
              <w:jc w:val="center"/>
              <w:rPr>
                <w:rFonts w:ascii="宋体" w:hAnsi="宋体"/>
                <w:szCs w:val="21"/>
                <w:highlight w:val="none"/>
              </w:rPr>
            </w:pPr>
            <w:r>
              <w:rPr>
                <w:rFonts w:hint="eastAsia" w:ascii="宋体" w:hAnsi="宋体"/>
                <w:szCs w:val="21"/>
                <w:highlight w:val="none"/>
              </w:rPr>
              <w:t>服务地点</w:t>
            </w:r>
          </w:p>
        </w:tc>
        <w:tc>
          <w:tcPr>
            <w:tcW w:w="8143" w:type="dxa"/>
            <w:gridSpan w:val="2"/>
            <w:tcBorders>
              <w:top w:val="single" w:color="auto" w:sz="4" w:space="0"/>
              <w:left w:val="single" w:color="auto" w:sz="4" w:space="0"/>
              <w:right w:val="single" w:color="auto" w:sz="4" w:space="0"/>
            </w:tcBorders>
            <w:vAlign w:val="center"/>
          </w:tcPr>
          <w:p>
            <w:pPr>
              <w:spacing w:line="380" w:lineRule="exact"/>
              <w:rPr>
                <w:szCs w:val="21"/>
                <w:highlight w:val="none"/>
              </w:rPr>
            </w:pPr>
            <w:r>
              <w:rPr>
                <w:rFonts w:hint="eastAsia" w:ascii="宋体" w:hAnsi="宋体"/>
                <w:szCs w:val="21"/>
                <w:highlight w:val="none"/>
              </w:rPr>
              <w:t>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65" w:type="dxa"/>
            <w:gridSpan w:val="2"/>
            <w:tcBorders>
              <w:top w:val="single" w:color="auto" w:sz="4" w:space="0"/>
              <w:left w:val="single" w:color="auto" w:sz="4" w:space="0"/>
              <w:right w:val="single" w:color="auto" w:sz="4" w:space="0"/>
            </w:tcBorders>
            <w:vAlign w:val="center"/>
          </w:tcPr>
          <w:p>
            <w:pPr>
              <w:snapToGrid w:val="0"/>
              <w:spacing w:line="380" w:lineRule="exact"/>
              <w:jc w:val="center"/>
              <w:rPr>
                <w:rFonts w:ascii="宋体" w:hAnsi="宋体"/>
                <w:szCs w:val="21"/>
                <w:highlight w:val="none"/>
              </w:rPr>
            </w:pPr>
            <w:r>
              <w:rPr>
                <w:rFonts w:hint="eastAsia" w:ascii="宋体" w:hAnsi="宋体"/>
                <w:szCs w:val="21"/>
                <w:highlight w:val="none"/>
              </w:rPr>
              <w:t>付款条件</w:t>
            </w:r>
          </w:p>
        </w:tc>
        <w:tc>
          <w:tcPr>
            <w:tcW w:w="8143" w:type="dxa"/>
            <w:gridSpan w:val="2"/>
            <w:tcBorders>
              <w:top w:val="single" w:color="auto" w:sz="4" w:space="0"/>
              <w:left w:val="single" w:color="auto" w:sz="4" w:space="0"/>
              <w:right w:val="single" w:color="auto" w:sz="4" w:space="0"/>
            </w:tcBorders>
            <w:vAlign w:val="center"/>
          </w:tcPr>
          <w:p>
            <w:pPr>
              <w:ind w:firstLine="420" w:firstLineChars="200"/>
              <w:rPr>
                <w:szCs w:val="21"/>
                <w:highlight w:val="none"/>
              </w:rPr>
            </w:pPr>
            <w:r>
              <w:rPr>
                <w:rFonts w:hint="eastAsia"/>
                <w:highlight w:val="none"/>
              </w:rPr>
              <w:t>签订合同后十个工作日内，采购人向成交供应商支付合同总额的70%，合同签订三个月后，采购人向成交供应商支付合同总额的30%。成交供应商自收到合同价款之日起三个工作日内，开具发票给采购人。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65" w:type="dxa"/>
            <w:gridSpan w:val="2"/>
            <w:tcBorders>
              <w:top w:val="single" w:color="auto" w:sz="4" w:space="0"/>
              <w:left w:val="single" w:color="auto" w:sz="4" w:space="0"/>
              <w:right w:val="single" w:color="auto" w:sz="4" w:space="0"/>
            </w:tcBorders>
            <w:vAlign w:val="center"/>
          </w:tcPr>
          <w:p>
            <w:pPr>
              <w:snapToGrid w:val="0"/>
              <w:spacing w:line="380" w:lineRule="exact"/>
              <w:jc w:val="center"/>
              <w:rPr>
                <w:rFonts w:ascii="宋体" w:hAnsi="宋体"/>
                <w:szCs w:val="21"/>
                <w:highlight w:val="none"/>
              </w:rPr>
            </w:pPr>
            <w:r>
              <w:rPr>
                <w:rFonts w:hint="eastAsia" w:ascii="宋体" w:hAnsi="宋体"/>
                <w:szCs w:val="21"/>
                <w:highlight w:val="none"/>
              </w:rPr>
              <w:t>报价要求</w:t>
            </w:r>
          </w:p>
        </w:tc>
        <w:tc>
          <w:tcPr>
            <w:tcW w:w="8143" w:type="dxa"/>
            <w:gridSpan w:val="2"/>
            <w:tcBorders>
              <w:top w:val="single" w:color="auto" w:sz="4" w:space="0"/>
              <w:left w:val="single" w:color="auto" w:sz="4" w:space="0"/>
              <w:right w:val="single" w:color="auto" w:sz="4" w:space="0"/>
            </w:tcBorders>
            <w:vAlign w:val="center"/>
          </w:tcPr>
          <w:p>
            <w:pPr>
              <w:spacing w:line="380" w:lineRule="exact"/>
              <w:rPr>
                <w:rFonts w:ascii="宋体" w:hAnsi="宋体"/>
                <w:szCs w:val="21"/>
                <w:highlight w:val="none"/>
              </w:rPr>
            </w:pPr>
            <w:r>
              <w:rPr>
                <w:rFonts w:hint="eastAsia"/>
                <w:highlight w:val="none"/>
              </w:rPr>
              <w:t>本项目为总价包干，报价包含所有服务内容、</w:t>
            </w:r>
            <w:r>
              <w:rPr>
                <w:rFonts w:hint="eastAsia" w:ascii="宋体" w:hAnsi="宋体" w:cs="宋体"/>
                <w:szCs w:val="21"/>
                <w:highlight w:val="none"/>
              </w:rPr>
              <w:t>服务中包含货物</w:t>
            </w:r>
            <w:r>
              <w:rPr>
                <w:rFonts w:hint="eastAsia"/>
                <w:highlight w:val="none"/>
              </w:rPr>
              <w:t>所涉及的设备、备品备件、标准附件、专用工具、人员薪酬、交通费、安装、调试、技术支持、培训、检测检验、必要的保费、各项税费、招标代理服务费及其它所有成本费用的总和。</w:t>
            </w:r>
            <w:r>
              <w:rPr>
                <w:rFonts w:hint="eastAsia" w:ascii="宋体" w:hAnsi="宋体" w:cs="宋体"/>
                <w:highlight w:val="none"/>
              </w:rPr>
              <w:t>由供应商根据采购文件所提供的资料自行测算磋商报价；一经中标，磋商报价总价作为成交供应商与采购人签订的合同金额，合同期限内不</w:t>
            </w:r>
            <w:r>
              <w:rPr>
                <w:rFonts w:hint="eastAsia" w:ascii="宋体" w:hAnsi="宋体" w:cs="宋体"/>
                <w:szCs w:val="21"/>
                <w:highlight w:val="none"/>
              </w:rPr>
              <w:t>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665" w:type="dxa"/>
            <w:gridSpan w:val="2"/>
            <w:tcBorders>
              <w:top w:val="single" w:color="auto" w:sz="4" w:space="0"/>
              <w:left w:val="single" w:color="auto" w:sz="4" w:space="0"/>
              <w:right w:val="single" w:color="auto" w:sz="4" w:space="0"/>
            </w:tcBorders>
            <w:vAlign w:val="center"/>
          </w:tcPr>
          <w:p>
            <w:pPr>
              <w:snapToGrid w:val="0"/>
              <w:spacing w:line="380" w:lineRule="exact"/>
              <w:jc w:val="center"/>
              <w:rPr>
                <w:rFonts w:ascii="宋体" w:hAnsi="宋体"/>
                <w:szCs w:val="21"/>
                <w:highlight w:val="none"/>
              </w:rPr>
            </w:pPr>
            <w:r>
              <w:rPr>
                <w:rFonts w:hint="eastAsia" w:ascii="宋体" w:hAnsi="宋体"/>
                <w:szCs w:val="21"/>
                <w:highlight w:val="none"/>
              </w:rPr>
              <w:t>其它要求</w:t>
            </w:r>
          </w:p>
        </w:tc>
        <w:tc>
          <w:tcPr>
            <w:tcW w:w="8143" w:type="dxa"/>
            <w:gridSpan w:val="2"/>
            <w:tcBorders>
              <w:top w:val="single" w:color="auto" w:sz="4" w:space="0"/>
              <w:left w:val="single" w:color="auto" w:sz="4" w:space="0"/>
              <w:right w:val="single" w:color="auto" w:sz="4" w:space="0"/>
            </w:tcBorders>
            <w:vAlign w:val="center"/>
          </w:tcPr>
          <w:p>
            <w:pPr>
              <w:spacing w:line="380" w:lineRule="exact"/>
              <w:rPr>
                <w:rFonts w:ascii="宋体" w:hAnsi="宋体"/>
                <w:szCs w:val="21"/>
                <w:highlight w:val="none"/>
              </w:rPr>
            </w:pPr>
            <w:r>
              <w:rPr>
                <w:rFonts w:hint="eastAsia" w:ascii="宋体" w:hAnsi="宋体"/>
                <w:szCs w:val="21"/>
                <w:highlight w:val="none"/>
              </w:rPr>
              <w:t>（一）服务质量要求</w:t>
            </w:r>
          </w:p>
          <w:p>
            <w:pPr>
              <w:spacing w:line="380" w:lineRule="exact"/>
              <w:rPr>
                <w:rFonts w:ascii="宋体" w:hAnsi="宋体"/>
                <w:szCs w:val="21"/>
                <w:highlight w:val="none"/>
              </w:rPr>
            </w:pPr>
            <w:r>
              <w:rPr>
                <w:rFonts w:hint="eastAsia" w:ascii="宋体" w:hAnsi="宋体"/>
                <w:szCs w:val="21"/>
                <w:highlight w:val="none"/>
              </w:rPr>
              <w:t>1、竞标人具备相关信息化系统的开发和运行维护经验。</w:t>
            </w:r>
          </w:p>
          <w:p>
            <w:pPr>
              <w:spacing w:line="380" w:lineRule="exact"/>
              <w:rPr>
                <w:rFonts w:ascii="宋体" w:hAnsi="宋体"/>
                <w:szCs w:val="21"/>
                <w:highlight w:val="none"/>
              </w:rPr>
            </w:pPr>
            <w:r>
              <w:rPr>
                <w:rFonts w:hint="eastAsia" w:ascii="宋体" w:hAnsi="宋体"/>
                <w:szCs w:val="21"/>
                <w:highlight w:val="none"/>
              </w:rPr>
              <w:t>2、竞标人具备操作系统、数据库系统、杀毒软件、备份软件（爱数）和中间件等系统软件类似软件运维经验。</w:t>
            </w:r>
          </w:p>
          <w:p>
            <w:pPr>
              <w:spacing w:line="380" w:lineRule="exact"/>
              <w:rPr>
                <w:rFonts w:ascii="宋体" w:hAnsi="宋体"/>
                <w:szCs w:val="21"/>
                <w:highlight w:val="none"/>
              </w:rPr>
            </w:pPr>
            <w:r>
              <w:rPr>
                <w:rFonts w:hint="eastAsia" w:ascii="宋体" w:hAnsi="宋体"/>
                <w:szCs w:val="21"/>
                <w:highlight w:val="none"/>
              </w:rPr>
              <w:t>3、竞标人需提供驻场服务人员</w:t>
            </w:r>
            <w:r>
              <w:rPr>
                <w:rFonts w:ascii="宋体" w:hAnsi="宋体"/>
                <w:szCs w:val="21"/>
                <w:highlight w:val="none"/>
              </w:rPr>
              <w:t>7</w:t>
            </w:r>
            <w:r>
              <w:rPr>
                <w:rFonts w:hint="eastAsia" w:ascii="宋体" w:hAnsi="宋体"/>
                <w:szCs w:val="21"/>
                <w:highlight w:val="none"/>
              </w:rPr>
              <w:t>人并提供本项目拟投入人员的分配方案。</w:t>
            </w:r>
          </w:p>
          <w:p>
            <w:pPr>
              <w:spacing w:line="380" w:lineRule="exact"/>
              <w:rPr>
                <w:rFonts w:ascii="宋体" w:hAnsi="宋体"/>
                <w:szCs w:val="21"/>
                <w:highlight w:val="none"/>
              </w:rPr>
            </w:pPr>
            <w:r>
              <w:rPr>
                <w:rFonts w:hint="eastAsia" w:ascii="宋体" w:hAnsi="宋体"/>
                <w:szCs w:val="21"/>
                <w:highlight w:val="none"/>
              </w:rPr>
              <w:t>4、竞标人提供7*24小时专人职守服务，实时响应内部服务请求，详细记录问题解决情况。面向全区各级道路运输管理机构和道路运输企业提供业务</w:t>
            </w:r>
            <w:r>
              <w:rPr>
                <w:rFonts w:ascii="宋体" w:hAnsi="宋体"/>
                <w:szCs w:val="21"/>
                <w:highlight w:val="none"/>
              </w:rPr>
              <w:t>及</w:t>
            </w:r>
            <w:r>
              <w:rPr>
                <w:rFonts w:hint="eastAsia" w:ascii="宋体" w:hAnsi="宋体"/>
                <w:szCs w:val="21"/>
                <w:highlight w:val="none"/>
              </w:rPr>
              <w:t>技术支持，包括通过网络、电话远程业务技术协助，现场业务技术支持。面向交通</w:t>
            </w:r>
            <w:r>
              <w:rPr>
                <w:rFonts w:ascii="宋体" w:hAnsi="宋体"/>
                <w:szCs w:val="21"/>
                <w:highlight w:val="none"/>
              </w:rPr>
              <w:t>运输部</w:t>
            </w:r>
            <w:r>
              <w:rPr>
                <w:rFonts w:hint="eastAsia" w:ascii="宋体" w:hAnsi="宋体"/>
                <w:szCs w:val="21"/>
                <w:highlight w:val="none"/>
              </w:rPr>
              <w:t>、行政审批、公安、安监等管理部门和动态监控企业的监控平台使用提供涉及道路运政相关业务及数据联通技术服务。</w:t>
            </w:r>
          </w:p>
          <w:p>
            <w:pPr>
              <w:spacing w:line="380" w:lineRule="exact"/>
              <w:rPr>
                <w:rFonts w:ascii="宋体" w:hAnsi="宋体"/>
                <w:szCs w:val="21"/>
                <w:highlight w:val="none"/>
              </w:rPr>
            </w:pPr>
            <w:r>
              <w:rPr>
                <w:rFonts w:hint="eastAsia" w:ascii="宋体" w:hAnsi="宋体"/>
                <w:szCs w:val="21"/>
                <w:highlight w:val="none"/>
              </w:rPr>
              <w:t>5、竞标人应建立规范的内部管理制度。严格管理专职专业技术人员，保证服务态度良好、问题解决及时、重大问题及时反馈、运维记录详细。</w:t>
            </w:r>
          </w:p>
          <w:p>
            <w:pPr>
              <w:spacing w:line="380" w:lineRule="exact"/>
              <w:rPr>
                <w:rFonts w:ascii="宋体" w:hAnsi="宋体"/>
                <w:szCs w:val="21"/>
                <w:highlight w:val="none"/>
              </w:rPr>
            </w:pPr>
            <w:r>
              <w:rPr>
                <w:rFonts w:hint="eastAsia" w:ascii="宋体" w:hAnsi="宋体"/>
                <w:szCs w:val="21"/>
                <w:highlight w:val="none"/>
              </w:rPr>
              <w:t>6、竞标人应建立常见系统故障、道路运输事故应急预案，以便出现事故后，及时作出响应，降低事故后果。</w:t>
            </w:r>
          </w:p>
          <w:p>
            <w:pPr>
              <w:spacing w:line="380" w:lineRule="exact"/>
              <w:rPr>
                <w:rFonts w:ascii="宋体" w:hAnsi="宋体"/>
                <w:szCs w:val="21"/>
                <w:highlight w:val="none"/>
              </w:rPr>
            </w:pPr>
            <w:r>
              <w:rPr>
                <w:rFonts w:hint="eastAsia" w:ascii="宋体" w:hAnsi="宋体"/>
                <w:szCs w:val="21"/>
                <w:highlight w:val="none"/>
              </w:rPr>
              <w:t>7、竞标人有义务对专职专业技术人员进行岗前操作培训，以便更好地掌握平台运维技能。</w:t>
            </w:r>
          </w:p>
          <w:p>
            <w:pPr>
              <w:spacing w:line="380" w:lineRule="exact"/>
              <w:rPr>
                <w:rFonts w:ascii="宋体" w:hAnsi="宋体"/>
                <w:szCs w:val="21"/>
                <w:highlight w:val="none"/>
              </w:rPr>
            </w:pPr>
            <w:r>
              <w:rPr>
                <w:rFonts w:hint="eastAsia" w:ascii="宋体" w:hAnsi="宋体"/>
                <w:szCs w:val="21"/>
                <w:highlight w:val="none"/>
              </w:rPr>
              <w:t>8、当出现系统崩溃导致业务停止、数据丢失等系统故障时，竞标人应在30分钟内进行响应，2小时内到达现场，2小时内提出处理方案，12小时内解决故障。</w:t>
            </w:r>
          </w:p>
          <w:p>
            <w:pPr>
              <w:spacing w:line="380" w:lineRule="exact"/>
              <w:rPr>
                <w:rFonts w:ascii="宋体" w:hAnsi="宋体"/>
                <w:szCs w:val="21"/>
                <w:highlight w:val="none"/>
              </w:rPr>
            </w:pPr>
            <w:r>
              <w:rPr>
                <w:rFonts w:hint="eastAsia" w:ascii="宋体" w:hAnsi="宋体"/>
                <w:szCs w:val="21"/>
                <w:highlight w:val="none"/>
              </w:rPr>
              <w:t>（二）服务规范要求</w:t>
            </w:r>
          </w:p>
          <w:p>
            <w:pPr>
              <w:spacing w:line="380" w:lineRule="exact"/>
              <w:rPr>
                <w:rFonts w:ascii="宋体" w:hAnsi="宋体"/>
                <w:szCs w:val="21"/>
                <w:highlight w:val="none"/>
              </w:rPr>
            </w:pPr>
            <w:r>
              <w:rPr>
                <w:rFonts w:hint="eastAsia" w:ascii="宋体" w:hAnsi="宋体"/>
                <w:szCs w:val="21"/>
                <w:highlight w:val="none"/>
              </w:rPr>
              <w:t>1、遵守用户的规章制度，严格按照规章制度办事。</w:t>
            </w:r>
          </w:p>
          <w:p>
            <w:pPr>
              <w:spacing w:line="380" w:lineRule="exact"/>
              <w:rPr>
                <w:rFonts w:ascii="宋体" w:hAnsi="宋体"/>
                <w:szCs w:val="21"/>
                <w:highlight w:val="none"/>
              </w:rPr>
            </w:pPr>
            <w:r>
              <w:rPr>
                <w:rFonts w:hint="eastAsia" w:ascii="宋体" w:hAnsi="宋体"/>
                <w:szCs w:val="21"/>
                <w:highlight w:val="none"/>
              </w:rPr>
              <w:t>2、对被支持单位的网络、主机、系统软件、应用软件等的密码、核心参数、业务数据等负有保密责任，不得随意复制和传播。</w:t>
            </w:r>
          </w:p>
          <w:p>
            <w:pPr>
              <w:spacing w:line="380" w:lineRule="exact"/>
              <w:rPr>
                <w:rFonts w:ascii="宋体" w:hAnsi="宋体"/>
                <w:szCs w:val="21"/>
                <w:highlight w:val="none"/>
              </w:rPr>
            </w:pPr>
            <w:r>
              <w:rPr>
                <w:rFonts w:hint="eastAsia" w:ascii="宋体" w:hAnsi="宋体"/>
                <w:szCs w:val="21"/>
                <w:highlight w:val="none"/>
              </w:rPr>
              <w:t>3、为防止静电和保持机房清洁，人员进入机房前应穿工作服或戴专用鞋套。</w:t>
            </w:r>
          </w:p>
          <w:p>
            <w:pPr>
              <w:spacing w:line="380" w:lineRule="exact"/>
              <w:rPr>
                <w:rFonts w:ascii="宋体" w:hAnsi="宋体"/>
                <w:szCs w:val="21"/>
                <w:highlight w:val="none"/>
              </w:rPr>
            </w:pPr>
            <w:r>
              <w:rPr>
                <w:rFonts w:hint="eastAsia" w:ascii="宋体" w:hAnsi="宋体"/>
                <w:szCs w:val="21"/>
                <w:highlight w:val="none"/>
              </w:rPr>
              <w:t>4、为防止损坏机房内设备设施，禁止带强磁物品、放射性物品、武器、易燃物、易爆物、腐蚀性等危险品、液体及与工作无关物品进入机房。</w:t>
            </w:r>
          </w:p>
          <w:p>
            <w:pPr>
              <w:spacing w:line="380" w:lineRule="exact"/>
              <w:rPr>
                <w:rFonts w:ascii="宋体" w:hAnsi="宋体"/>
                <w:szCs w:val="21"/>
                <w:highlight w:val="none"/>
              </w:rPr>
            </w:pPr>
            <w:r>
              <w:rPr>
                <w:rFonts w:hint="eastAsia" w:ascii="宋体" w:hAnsi="宋体"/>
                <w:szCs w:val="21"/>
                <w:highlight w:val="none"/>
              </w:rPr>
              <w:t>5、为防止巡检人员误触碰设备，进入机房前检查灯光照明，明确工作对象及巡检路线，加强现场监护。</w:t>
            </w:r>
          </w:p>
          <w:p>
            <w:pPr>
              <w:spacing w:line="380" w:lineRule="exact"/>
              <w:rPr>
                <w:rFonts w:ascii="宋体" w:hAnsi="宋体"/>
                <w:szCs w:val="21"/>
                <w:highlight w:val="none"/>
              </w:rPr>
            </w:pPr>
            <w:r>
              <w:rPr>
                <w:rFonts w:hint="eastAsia" w:ascii="宋体" w:hAnsi="宋体"/>
                <w:szCs w:val="21"/>
                <w:highlight w:val="none"/>
              </w:rPr>
              <w:t>6、严格按照服务工作流程规范进行日常工作，如果发生由于日常工作遗漏和疏忽导致业户的数据丢失或被攻击、未授权的配置变更等影响业主业务正常开展的情况，将根据情节严重对相关责任人进行相应的处罚。</w:t>
            </w:r>
          </w:p>
          <w:p>
            <w:pPr>
              <w:pStyle w:val="2"/>
              <w:spacing w:line="380" w:lineRule="exact"/>
              <w:rPr>
                <w:rFonts w:ascii="宋体" w:hAnsi="宋体"/>
                <w:sz w:val="21"/>
                <w:szCs w:val="21"/>
                <w:highlight w:val="none"/>
              </w:rPr>
            </w:pPr>
            <w:r>
              <w:rPr>
                <w:rFonts w:hint="eastAsia" w:ascii="宋体" w:hAnsi="宋体"/>
                <w:sz w:val="21"/>
                <w:szCs w:val="21"/>
                <w:highlight w:val="none"/>
              </w:rPr>
              <w:t>7、竞标人须配合做好国产化相关工作。</w:t>
            </w:r>
          </w:p>
          <w:p>
            <w:pPr>
              <w:spacing w:line="380" w:lineRule="exact"/>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服务期间须按照国家网络安全及信息保密安全有关管理规定做好网络安全保密工作。指定具体网络安全责任人，建立独立的管理技术团队负责项目实施过程中的网络安全管理。网络安全责任人及工作人员有变更、</w:t>
            </w:r>
            <w:r>
              <w:rPr>
                <w:rFonts w:hint="eastAsia"/>
                <w:highlight w:val="none"/>
              </w:rPr>
              <w:t>成交供应商</w:t>
            </w:r>
            <w:r>
              <w:rPr>
                <w:rFonts w:hint="eastAsia" w:ascii="宋体" w:hAnsi="宋体" w:cs="宋体"/>
                <w:szCs w:val="21"/>
                <w:highlight w:val="none"/>
              </w:rPr>
              <w:t>工作人员有业务转型或</w:t>
            </w:r>
            <w:r>
              <w:rPr>
                <w:rFonts w:hint="eastAsia"/>
                <w:highlight w:val="none"/>
              </w:rPr>
              <w:t>成交供应商</w:t>
            </w:r>
            <w:r>
              <w:rPr>
                <w:rFonts w:hint="eastAsia" w:ascii="宋体" w:hAnsi="宋体" w:cs="宋体"/>
                <w:szCs w:val="21"/>
                <w:highlight w:val="none"/>
              </w:rPr>
              <w:t>因自身原因有合并重组等的须提前向</w:t>
            </w:r>
            <w:r>
              <w:rPr>
                <w:rFonts w:hint="eastAsia" w:ascii="宋体" w:hAnsi="宋体" w:cs="宋体"/>
                <w:szCs w:val="21"/>
                <w:highlight w:val="none"/>
                <w:lang w:eastAsia="zh-CN"/>
              </w:rPr>
              <w:t>采购人</w:t>
            </w:r>
            <w:r>
              <w:rPr>
                <w:rFonts w:hint="eastAsia" w:ascii="宋体" w:hAnsi="宋体" w:cs="宋体"/>
                <w:szCs w:val="21"/>
                <w:highlight w:val="none"/>
              </w:rPr>
              <w:t>进行书面说明，未经</w:t>
            </w:r>
            <w:r>
              <w:rPr>
                <w:rFonts w:hint="eastAsia" w:ascii="宋体" w:hAnsi="宋体" w:cs="宋体"/>
                <w:szCs w:val="21"/>
                <w:highlight w:val="none"/>
                <w:lang w:eastAsia="zh-CN"/>
              </w:rPr>
              <w:t>采购人</w:t>
            </w:r>
            <w:r>
              <w:rPr>
                <w:rFonts w:hint="eastAsia" w:ascii="宋体" w:hAnsi="宋体" w:cs="宋体"/>
                <w:szCs w:val="21"/>
                <w:highlight w:val="none"/>
              </w:rPr>
              <w:t>同意，</w:t>
            </w:r>
            <w:r>
              <w:rPr>
                <w:rFonts w:hint="eastAsia"/>
                <w:highlight w:val="none"/>
              </w:rPr>
              <w:t>成交供应商</w:t>
            </w:r>
            <w:r>
              <w:rPr>
                <w:rFonts w:hint="eastAsia" w:ascii="宋体" w:hAnsi="宋体" w:cs="宋体"/>
                <w:szCs w:val="21"/>
                <w:highlight w:val="none"/>
              </w:rPr>
              <w:t>不得私自将在</w:t>
            </w:r>
            <w:r>
              <w:rPr>
                <w:rFonts w:hint="eastAsia" w:ascii="宋体" w:hAnsi="宋体" w:cs="宋体"/>
                <w:szCs w:val="21"/>
                <w:highlight w:val="none"/>
                <w:lang w:eastAsia="zh-CN"/>
              </w:rPr>
              <w:t>采购人</w:t>
            </w:r>
            <w:r>
              <w:rPr>
                <w:rFonts w:hint="eastAsia" w:ascii="宋体" w:hAnsi="宋体" w:cs="宋体"/>
                <w:szCs w:val="21"/>
                <w:highlight w:val="none"/>
              </w:rPr>
              <w:t>工作期间的项目任务进行分包、转包。成交供应商必须承担为采购人保守相关保密信息的义务和责任，包括以下内容：成交供应商应严格控制了解项目关键资料的人员范围，对参与项目运维的有关工作人员要明确保密责任，严格保密纪律，不得泄漏、使用系统数据信息用于其他用途。</w:t>
            </w:r>
          </w:p>
          <w:p>
            <w:pPr>
              <w:spacing w:line="380" w:lineRule="exact"/>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服务期间涉及的政务数据和其他数据须分开处理，不得私自将工作中处理的数据进行变更处理。成交人在服务期间处理数据，涉及到个人信息时，须按照国家个人信息保护相关管理规定，做好数据处理存储工作。采购人具有所有权、使用权和访问权，采购人不得私自更改、访问、利用和销毁服务期间涉及到的政务数据信息。</w:t>
            </w:r>
          </w:p>
          <w:p>
            <w:pPr>
              <w:spacing w:line="380" w:lineRule="exact"/>
              <w:rPr>
                <w:szCs w:val="21"/>
                <w:highlight w:val="none"/>
              </w:rPr>
            </w:pPr>
            <w:r>
              <w:rPr>
                <w:rFonts w:hint="eastAsia" w:ascii="宋体" w:hAnsi="宋体"/>
                <w:szCs w:val="21"/>
                <w:highlight w:val="none"/>
              </w:rPr>
              <w:t>▲</w:t>
            </w:r>
            <w:r>
              <w:rPr>
                <w:rFonts w:ascii="宋体" w:hAnsi="宋体"/>
                <w:bCs/>
                <w:szCs w:val="21"/>
                <w:highlight w:val="none"/>
              </w:rPr>
              <w:t>10</w:t>
            </w:r>
            <w:r>
              <w:rPr>
                <w:rFonts w:hint="eastAsia" w:ascii="宋体" w:hAnsi="宋体"/>
                <w:bCs/>
                <w:szCs w:val="21"/>
                <w:highlight w:val="none"/>
              </w:rPr>
              <w:t>、成交供应商必须与采购人签订保密协议。</w:t>
            </w:r>
          </w:p>
        </w:tc>
      </w:tr>
    </w:tbl>
    <w:p>
      <w:pPr>
        <w:ind w:left="119"/>
        <w:rPr>
          <w:rFonts w:ascii="宋体" w:hAnsi="宋体" w:cs="宋体"/>
          <w:sz w:val="32"/>
          <w:szCs w:val="32"/>
          <w:highlight w:val="none"/>
        </w:rPr>
      </w:pPr>
    </w:p>
    <w:p>
      <w:pPr>
        <w:ind w:left="119"/>
        <w:rPr>
          <w:rFonts w:ascii="宋体" w:hAnsi="宋体" w:cs="宋体"/>
          <w:sz w:val="32"/>
          <w:szCs w:val="32"/>
          <w:highlight w:val="none"/>
        </w:rPr>
      </w:pPr>
      <w:r>
        <w:rPr>
          <w:rFonts w:hint="eastAsia" w:ascii="宋体" w:hAnsi="宋体" w:cs="宋体"/>
          <w:sz w:val="32"/>
          <w:szCs w:val="32"/>
          <w:highlight w:val="none"/>
        </w:rPr>
        <w:t>附件1：</w:t>
      </w:r>
    </w:p>
    <w:p>
      <w:pPr>
        <w:widowControl/>
        <w:jc w:val="center"/>
        <w:rPr>
          <w:rFonts w:ascii="宋体" w:hAnsi="宋体" w:cs="宋体"/>
          <w:b/>
          <w:bCs/>
          <w:kern w:val="0"/>
          <w:sz w:val="30"/>
          <w:szCs w:val="30"/>
          <w:highlight w:val="none"/>
        </w:rPr>
      </w:pPr>
      <w:r>
        <w:rPr>
          <w:rFonts w:hint="eastAsia" w:ascii="宋体" w:hAnsi="宋体" w:cs="宋体"/>
          <w:b/>
          <w:sz w:val="30"/>
          <w:szCs w:val="30"/>
          <w:highlight w:val="none"/>
        </w:rPr>
        <w:t>中小微企业划型标准</w:t>
      </w:r>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pacing w:line="28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noWrap/>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noWrap/>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计量单位</w:t>
            </w:r>
          </w:p>
        </w:tc>
        <w:tc>
          <w:tcPr>
            <w:tcW w:w="1125" w:type="dxa"/>
            <w:noWrap/>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noWrap/>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noWrap/>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noWrap/>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rFonts w:ascii="宋体" w:hAnsi="宋体" w:cs="宋体"/>
                <w:sz w:val="18"/>
                <w:szCs w:val="21"/>
                <w:highlight w:val="none"/>
              </w:rPr>
            </w:pPr>
            <w:r>
              <w:rPr>
                <w:rFonts w:hint="eastAsia" w:ascii="宋体" w:hAnsi="宋体" w:cs="宋体"/>
                <w:sz w:val="18"/>
                <w:szCs w:val="21"/>
                <w:highlight w:val="none"/>
              </w:rPr>
              <w:t>农、林、牧、渔业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工业 *</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建筑业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批发业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noWrap/>
            <w:vAlign w:val="center"/>
          </w:tcPr>
          <w:p>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零售业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noWrap/>
            <w:vAlign w:val="center"/>
          </w:tcPr>
          <w:p>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ign w:val="center"/>
          </w:tcPr>
          <w:p>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交通运输业 *</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仓储业*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邮政业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住宿业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餐饮业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信息传输业 *</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软件和信息技术服务业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房地产开发经营</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物业管理</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noWrap/>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宋体" w:hAnsi="宋体" w:cs="宋体"/>
                <w:sz w:val="18"/>
                <w:szCs w:val="21"/>
                <w:highlight w:val="none"/>
              </w:rPr>
            </w:pPr>
            <w:r>
              <w:rPr>
                <w:rFonts w:hint="eastAsia" w:ascii="宋体" w:hAnsi="宋体" w:cs="宋体"/>
                <w:sz w:val="18"/>
                <w:szCs w:val="21"/>
                <w:highlight w:val="none"/>
              </w:rPr>
              <w:t>租赁和商务服务业</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宋体" w:hAnsi="宋体" w:cs="宋体"/>
                <w:sz w:val="18"/>
                <w:szCs w:val="21"/>
                <w:highlight w:val="none"/>
              </w:rPr>
            </w:pP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rFonts w:ascii="宋体" w:hAnsi="宋体" w:cs="宋体"/>
                <w:sz w:val="18"/>
                <w:szCs w:val="21"/>
                <w:highlight w:val="none"/>
              </w:rPr>
            </w:pPr>
            <w:r>
              <w:rPr>
                <w:rFonts w:hint="eastAsia" w:ascii="宋体" w:hAnsi="宋体" w:cs="宋体"/>
                <w:sz w:val="18"/>
                <w:szCs w:val="21"/>
                <w:highlight w:val="none"/>
              </w:rPr>
              <w:t>其他未列明行业 *</w:t>
            </w:r>
          </w:p>
        </w:tc>
        <w:tc>
          <w:tcPr>
            <w:tcW w:w="136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pPr>
        <w:widowControl/>
        <w:rPr>
          <w:rFonts w:ascii="宋体" w:hAnsi="宋体" w:cs="宋体"/>
          <w:kern w:val="0"/>
          <w:szCs w:val="21"/>
          <w:highlight w:val="none"/>
        </w:rPr>
      </w:pPr>
      <w:r>
        <w:rPr>
          <w:rFonts w:hint="eastAsia" w:ascii="宋体" w:hAnsi="宋体" w:cs="宋体"/>
          <w:kern w:val="0"/>
          <w:szCs w:val="21"/>
          <w:highlight w:val="none"/>
        </w:rPr>
        <w:t>说明：</w:t>
      </w:r>
    </w:p>
    <w:p>
      <w:pPr>
        <w:adjustRightInd w:val="0"/>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1.大型、中型和小型企业须同时满足所列指标的下限，否则下划一档。微型企业只须满足所列指标中的一项即可。</w:t>
      </w:r>
    </w:p>
    <w:p>
      <w:pPr>
        <w:adjustRightInd w:val="0"/>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420" w:firstLineChars="200"/>
        <w:rPr>
          <w:rFonts w:ascii="宋体" w:hAnsi="宋体" w:cs="宋体"/>
          <w:kern w:val="0"/>
          <w:sz w:val="24"/>
          <w:highlight w:val="none"/>
        </w:rPr>
      </w:pPr>
      <w:r>
        <w:rPr>
          <w:rFonts w:hint="eastAsia" w:ascii="宋体" w:hAnsi="宋体" w:cs="宋体"/>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spacing w:line="480" w:lineRule="auto"/>
        <w:jc w:val="center"/>
        <w:rPr>
          <w:rFonts w:ascii="宋体" w:hAnsi="宋体" w:cs="宋体"/>
          <w:highlight w:val="none"/>
        </w:rPr>
      </w:pPr>
      <w:bookmarkStart w:id="61" w:name="_Toc7704"/>
      <w:bookmarkStart w:id="62" w:name="_Toc9239"/>
      <w:bookmarkStart w:id="63" w:name="_Toc19152"/>
      <w:bookmarkStart w:id="64" w:name="_Toc13614"/>
      <w:bookmarkStart w:id="65" w:name="_Toc2072"/>
      <w:bookmarkStart w:id="66" w:name="_Toc24174"/>
      <w:r>
        <w:rPr>
          <w:rFonts w:hint="eastAsia" w:ascii="宋体" w:hAnsi="宋体" w:cs="宋体"/>
          <w:bCs w:val="0"/>
          <w:sz w:val="32"/>
          <w:szCs w:val="32"/>
          <w:highlight w:val="none"/>
        </w:rPr>
        <w:t>第三章 供应商须知</w:t>
      </w:r>
      <w:bookmarkEnd w:id="59"/>
      <w:bookmarkEnd w:id="60"/>
      <w:bookmarkEnd w:id="61"/>
      <w:bookmarkEnd w:id="62"/>
      <w:bookmarkEnd w:id="63"/>
      <w:bookmarkEnd w:id="64"/>
      <w:bookmarkEnd w:id="65"/>
      <w:bookmarkEnd w:id="66"/>
    </w:p>
    <w:p>
      <w:pPr>
        <w:pStyle w:val="4"/>
        <w:jc w:val="center"/>
        <w:rPr>
          <w:rFonts w:ascii="宋体" w:hAnsi="宋体" w:cs="宋体"/>
          <w:b w:val="0"/>
          <w:highlight w:val="none"/>
        </w:rPr>
      </w:pPr>
      <w:bookmarkStart w:id="67" w:name="_Toc9482"/>
      <w:bookmarkStart w:id="68" w:name="_Toc80886928"/>
      <w:bookmarkStart w:id="69" w:name="_Toc30660"/>
      <w:r>
        <w:rPr>
          <w:rFonts w:hint="eastAsia" w:ascii="宋体" w:hAnsi="宋体" w:cs="宋体"/>
          <w:b w:val="0"/>
          <w:highlight w:val="none"/>
        </w:rPr>
        <w:t>第一节 供应商须知前附表</w:t>
      </w:r>
      <w:bookmarkEnd w:id="67"/>
      <w:bookmarkEnd w:id="68"/>
      <w:bookmarkEnd w:id="69"/>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1937"/>
        <w:gridCol w:w="6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1937"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条款内容</w:t>
            </w:r>
          </w:p>
        </w:tc>
        <w:tc>
          <w:tcPr>
            <w:tcW w:w="6869" w:type="dxa"/>
          </w:tcPr>
          <w:p>
            <w:pPr>
              <w:spacing w:line="360" w:lineRule="auto"/>
              <w:jc w:val="center"/>
              <w:rPr>
                <w:rFonts w:ascii="宋体" w:hAnsi="宋体" w:cs="宋体"/>
                <w:b/>
                <w:szCs w:val="21"/>
                <w:highlight w:val="none"/>
              </w:rPr>
            </w:pPr>
            <w:r>
              <w:rPr>
                <w:rFonts w:hint="eastAsia" w:ascii="宋体" w:hAnsi="宋体" w:cs="宋体"/>
                <w:b/>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3.1</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供应商资格条件</w:t>
            </w:r>
          </w:p>
        </w:tc>
        <w:tc>
          <w:tcPr>
            <w:tcW w:w="6869" w:type="dxa"/>
          </w:tcPr>
          <w:p>
            <w:pPr>
              <w:spacing w:line="360" w:lineRule="auto"/>
              <w:rPr>
                <w:rFonts w:ascii="宋体" w:hAnsi="宋体" w:cs="宋体"/>
                <w:szCs w:val="21"/>
                <w:highlight w:val="none"/>
              </w:rPr>
            </w:pPr>
            <w:r>
              <w:rPr>
                <w:rFonts w:hint="eastAsia" w:ascii="宋体" w:hAnsi="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5.1</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是否接受联合体竞标</w:t>
            </w:r>
          </w:p>
        </w:tc>
        <w:tc>
          <w:tcPr>
            <w:tcW w:w="6869" w:type="dxa"/>
            <w:vAlign w:val="center"/>
          </w:tcPr>
          <w:p>
            <w:pPr>
              <w:spacing w:line="360" w:lineRule="auto"/>
              <w:rPr>
                <w:rFonts w:ascii="宋体" w:hAnsi="宋体" w:cs="宋体"/>
                <w:szCs w:val="21"/>
                <w:highlight w:val="none"/>
              </w:rPr>
            </w:pPr>
            <w:bookmarkStart w:id="70" w:name="PO_3000001868_PM007"/>
            <w:r>
              <w:rPr>
                <w:rFonts w:hint="eastAsia" w:ascii="宋体" w:hAnsi="宋体" w:cs="宋体"/>
                <w:szCs w:val="21"/>
                <w:highlight w:val="none"/>
              </w:rPr>
              <w:t>详见竞争性磋商公告</w:t>
            </w:r>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5.2</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联合体竞标要求</w:t>
            </w:r>
          </w:p>
        </w:tc>
        <w:tc>
          <w:tcPr>
            <w:tcW w:w="6869" w:type="dxa"/>
            <w:vAlign w:val="center"/>
          </w:tcPr>
          <w:p>
            <w:pPr>
              <w:spacing w:line="360" w:lineRule="auto"/>
              <w:rPr>
                <w:rFonts w:ascii="宋体" w:hAnsi="宋体" w:cs="宋体"/>
                <w:szCs w:val="21"/>
                <w:highlight w:val="none"/>
              </w:rPr>
            </w:pPr>
            <w:r>
              <w:rPr>
                <w:rFonts w:hint="eastAsia" w:ascii="宋体" w:hAnsi="宋体" w:cs="宋体"/>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6.1</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是否允许分包</w:t>
            </w:r>
          </w:p>
        </w:tc>
        <w:tc>
          <w:tcPr>
            <w:tcW w:w="6869" w:type="dxa"/>
            <w:vAlign w:val="center"/>
          </w:tcPr>
          <w:p>
            <w:pPr>
              <w:pStyle w:val="14"/>
              <w:spacing w:line="360" w:lineRule="auto"/>
              <w:rPr>
                <w:rFonts w:ascii="宋体" w:hAnsi="宋体" w:cs="宋体"/>
                <w:szCs w:val="21"/>
                <w:highlight w:val="none"/>
              </w:rPr>
            </w:pPr>
            <w:r>
              <w:rPr>
                <w:rFonts w:hint="eastAsia" w:ascii="宋体" w:hAnsi="宋体" w:cs="宋体"/>
                <w:szCs w:val="21"/>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12.1.1</w:t>
            </w:r>
          </w:p>
        </w:tc>
        <w:tc>
          <w:tcPr>
            <w:tcW w:w="1937" w:type="dxa"/>
            <w:vAlign w:val="center"/>
          </w:tcPr>
          <w:p>
            <w:pPr>
              <w:snapToGrid w:val="0"/>
              <w:spacing w:line="360" w:lineRule="auto"/>
              <w:jc w:val="center"/>
              <w:rPr>
                <w:rFonts w:ascii="宋体" w:hAnsi="宋体" w:cs="宋体"/>
                <w:szCs w:val="21"/>
                <w:highlight w:val="none"/>
              </w:rPr>
            </w:pPr>
            <w:r>
              <w:rPr>
                <w:rFonts w:hint="eastAsia" w:ascii="宋体" w:hAnsi="宋体" w:cs="宋体"/>
                <w:b/>
                <w:szCs w:val="21"/>
                <w:highlight w:val="none"/>
              </w:rPr>
              <w:t>资格证明文件组成</w:t>
            </w:r>
          </w:p>
        </w:tc>
        <w:tc>
          <w:tcPr>
            <w:tcW w:w="6869" w:type="dxa"/>
            <w:vAlign w:val="center"/>
          </w:tcPr>
          <w:p>
            <w:pPr>
              <w:pStyle w:val="14"/>
              <w:spacing w:line="360" w:lineRule="auto"/>
              <w:rPr>
                <w:rFonts w:ascii="宋体" w:hAnsi="宋体" w:cs="宋体"/>
                <w:szCs w:val="21"/>
                <w:highlight w:val="none"/>
              </w:rPr>
            </w:pPr>
            <w:r>
              <w:rPr>
                <w:rFonts w:hint="eastAsia" w:ascii="宋体" w:hAnsi="宋体" w:cs="宋体"/>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rPr>
              <w:t>2.供应商依法缴纳税收的相关材料（</w:t>
            </w:r>
            <w:r>
              <w:rPr>
                <w:rFonts w:hint="eastAsia" w:ascii="宋体" w:hAnsi="宋体" w:cs="宋体"/>
                <w:szCs w:val="21"/>
                <w:highlight w:val="none"/>
                <w:u w:val="single"/>
              </w:rPr>
              <w:t>投标截止日期前半年内连续3个月</w:t>
            </w:r>
            <w:r>
              <w:rPr>
                <w:rFonts w:hint="eastAsia" w:ascii="宋体" w:hAnsi="宋体" w:cs="宋体"/>
                <w:szCs w:val="21"/>
                <w:highlight w:val="none"/>
              </w:rPr>
              <w:t>的依法缴纳税收的凭据复印件；</w:t>
            </w:r>
            <w:r>
              <w:rPr>
                <w:rFonts w:hint="eastAsia" w:ascii="宋体" w:hAnsi="宋体" w:cs="宋体"/>
                <w:highlight w:val="none"/>
              </w:rPr>
              <w:t>依法免税的，必须提供相应文件证明其依法免税。</w:t>
            </w:r>
            <w:r>
              <w:rPr>
                <w:rFonts w:hint="eastAsia" w:ascii="宋体" w:hAnsi="宋体" w:cs="宋体"/>
                <w:szCs w:val="21"/>
                <w:highlight w:val="none"/>
              </w:rPr>
              <w:t>从成立之日起到响应文件提交截止时间止不足要求月数的，只需提供从成立之日起的依法缴纳税收</w:t>
            </w:r>
            <w:r>
              <w:rPr>
                <w:rFonts w:hint="eastAsia" w:ascii="宋体" w:hAnsi="宋体" w:cs="宋体"/>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rPr>
              <w:t>3.供应商依法缴纳社会保障资金的相关材料（</w:t>
            </w:r>
            <w:r>
              <w:rPr>
                <w:rFonts w:hint="eastAsia" w:ascii="宋体" w:hAnsi="宋体" w:cs="宋体"/>
                <w:szCs w:val="21"/>
                <w:highlight w:val="none"/>
                <w:u w:val="single"/>
              </w:rPr>
              <w:t>投标截止日期前半年内连续3个月</w:t>
            </w:r>
            <w:r>
              <w:rPr>
                <w:rFonts w:hint="eastAsia" w:ascii="宋体" w:hAnsi="宋体" w:cs="宋体"/>
                <w:szCs w:val="21"/>
                <w:highlight w:val="none"/>
              </w:rPr>
              <w:t>的依法缴纳社会保障资金的缴费凭证（专用收据或者社会保险缴纳清单）复印件；</w:t>
            </w:r>
            <w:r>
              <w:rPr>
                <w:rFonts w:hint="eastAsia" w:ascii="宋体" w:hAnsi="宋体" w:cs="宋体"/>
                <w:highlight w:val="none"/>
              </w:rPr>
              <w:t>依法不需要缴纳社会保障资金的，必须提供相应文件证明不需要缴纳社会保障资金。</w:t>
            </w:r>
            <w:r>
              <w:rPr>
                <w:rFonts w:hint="eastAsia" w:ascii="宋体" w:hAnsi="宋体" w:cs="宋体"/>
                <w:szCs w:val="21"/>
                <w:highlight w:val="none"/>
              </w:rPr>
              <w:t>从成立之日起到响应文件提交截止时间止不足要求月数的只需提供从成立之日起的依法缴纳社会保障资金的</w:t>
            </w:r>
            <w:r>
              <w:rPr>
                <w:rFonts w:hint="eastAsia" w:ascii="宋体" w:hAnsi="宋体" w:cs="宋体"/>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rPr>
              <w:t>4.供应商财务状况报告（2022年或2023年财务报表复印件或者银行出具的资信证明；供应商属于</w:t>
            </w:r>
            <w:r>
              <w:rPr>
                <w:rFonts w:hint="eastAsia" w:ascii="宋体" w:hAnsi="宋体" w:cs="宋体"/>
                <w:highlight w:val="none"/>
              </w:rPr>
              <w:t>成立时间</w:t>
            </w:r>
            <w:r>
              <w:rPr>
                <w:rFonts w:hint="eastAsia" w:ascii="宋体" w:hAnsi="宋体" w:cs="宋体"/>
                <w:kern w:val="0"/>
                <w:highlight w:val="none"/>
              </w:rPr>
              <w:t>在规定年度之后</w:t>
            </w:r>
            <w:r>
              <w:rPr>
                <w:rFonts w:hint="eastAsia" w:ascii="宋体" w:hAnsi="宋体" w:cs="宋体"/>
                <w:highlight w:val="none"/>
              </w:rPr>
              <w:t>的</w:t>
            </w:r>
            <w:r>
              <w:rPr>
                <w:rFonts w:hint="eastAsia" w:ascii="宋体" w:hAnsi="宋体" w:cs="宋体"/>
                <w:szCs w:val="21"/>
                <w:highlight w:val="none"/>
              </w:rPr>
              <w:t>法人或其他组织</w:t>
            </w:r>
            <w:r>
              <w:rPr>
                <w:rFonts w:hint="eastAsia" w:ascii="宋体" w:hAnsi="宋体" w:cs="宋体"/>
                <w:highlight w:val="none"/>
              </w:rPr>
              <w:t>，需提供成立之日起至响应文件提交截止时间前的月报表</w:t>
            </w:r>
            <w:r>
              <w:rPr>
                <w:rFonts w:hint="eastAsia" w:ascii="宋体" w:hAnsi="宋体" w:cs="宋体"/>
                <w:szCs w:val="21"/>
                <w:highlight w:val="none"/>
              </w:rPr>
              <w:t>或银行出具的资信证明；资信证明应在有效期内，未注明有效期的，银行出具时间至响应文件提交截止时间不超过一年）；</w:t>
            </w:r>
            <w:r>
              <w:rPr>
                <w:rFonts w:hint="eastAsia" w:ascii="宋体" w:hAnsi="宋体" w:cs="宋体"/>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Cs/>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rPr>
              <w:t>5.竞标声明函；（</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rPr>
              <w:t>6.供应商直接控股股东信息表。（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rPr>
              <w:t>7.供应商直接管理关系信息表。（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rPr>
              <w:t>8.落</w:t>
            </w:r>
            <w:r>
              <w:rPr>
                <w:rFonts w:hint="eastAsia"/>
                <w:highlight w:val="none"/>
              </w:rPr>
              <w:t>实政府采购政策需满足的资格要求的证明文件：中小企业声明函(或监狱企业</w:t>
            </w:r>
            <w:r>
              <w:rPr>
                <w:rFonts w:hint="eastAsia"/>
                <w:highlight w:val="none"/>
                <w:lang w:eastAsia="zh-CN"/>
              </w:rPr>
              <w:t>证明材料或</w:t>
            </w:r>
            <w:r>
              <w:rPr>
                <w:rFonts w:hint="eastAsia"/>
                <w:highlight w:val="none"/>
              </w:rPr>
              <w:t>残疾人福利企业声明函)。</w:t>
            </w:r>
            <w:r>
              <w:rPr>
                <w:rFonts w:hint="eastAsia" w:ascii="宋体" w:hAnsi="宋体" w:cs="宋体"/>
                <w:szCs w:val="21"/>
                <w:highlight w:val="none"/>
              </w:rPr>
              <w:t>；（</w:t>
            </w:r>
            <w:r>
              <w:rPr>
                <w:rFonts w:hint="eastAsia" w:ascii="宋体" w:hAnsi="宋体" w:cs="宋体"/>
                <w:b/>
                <w:bCs/>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rPr>
              <w:t>9.除竞争性磋商文件规定必须提供以外，供应商认为需要提供的其他证明材料。（</w:t>
            </w:r>
            <w:r>
              <w:rPr>
                <w:rFonts w:hint="eastAsia" w:ascii="宋体" w:hAnsi="宋体" w:cs="宋体"/>
                <w:b/>
                <w:bCs/>
                <w:szCs w:val="21"/>
                <w:highlight w:val="none"/>
              </w:rPr>
              <w:t>如有，请提供</w:t>
            </w:r>
            <w:r>
              <w:rPr>
                <w:rFonts w:hint="eastAsia" w:ascii="宋体" w:hAnsi="宋体" w:cs="宋体"/>
                <w:szCs w:val="21"/>
                <w:highlight w:val="none"/>
              </w:rPr>
              <w:t>）</w:t>
            </w:r>
          </w:p>
          <w:p>
            <w:pPr>
              <w:pStyle w:val="14"/>
              <w:spacing w:line="360" w:lineRule="auto"/>
              <w:rPr>
                <w:rFonts w:ascii="宋体" w:hAnsi="宋体" w:cs="宋体"/>
                <w:b/>
                <w:szCs w:val="21"/>
                <w:highlight w:val="none"/>
              </w:rPr>
            </w:pPr>
            <w:r>
              <w:rPr>
                <w:rFonts w:hint="eastAsia" w:ascii="宋体" w:hAnsi="宋体" w:cs="宋体"/>
                <w:b/>
                <w:szCs w:val="21"/>
                <w:highlight w:val="none"/>
              </w:rPr>
              <w:t>注：</w:t>
            </w:r>
          </w:p>
          <w:p>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注：</w:t>
            </w:r>
          </w:p>
          <w:p>
            <w:pPr>
              <w:snapToGrid w:val="0"/>
              <w:spacing w:line="360" w:lineRule="auto"/>
              <w:jc w:val="left"/>
              <w:rPr>
                <w:rFonts w:ascii="宋体" w:hAnsi="宋体" w:cs="宋体"/>
                <w:b/>
                <w:szCs w:val="21"/>
                <w:highlight w:val="none"/>
              </w:rPr>
            </w:pPr>
            <w:r>
              <w:rPr>
                <w:rFonts w:hint="eastAsia" w:ascii="宋体" w:hAnsi="宋体" w:cs="宋体"/>
                <w:b/>
                <w:szCs w:val="21"/>
                <w:highlight w:val="none"/>
              </w:rPr>
              <w:t>1.以上标明“必须提供”的材料属于复印件的，必须加盖供应商公章，否则响应文件按无效响应处理。</w:t>
            </w:r>
          </w:p>
          <w:p>
            <w:pPr>
              <w:pStyle w:val="14"/>
              <w:spacing w:line="360" w:lineRule="auto"/>
              <w:rPr>
                <w:rFonts w:ascii="宋体" w:hAnsi="宋体" w:cs="宋体"/>
                <w:b/>
                <w:szCs w:val="21"/>
                <w:highlight w:val="none"/>
              </w:rPr>
            </w:pPr>
            <w:r>
              <w:rPr>
                <w:rFonts w:hint="eastAsia" w:ascii="宋体" w:hAnsi="宋体" w:cs="宋体"/>
                <w:b/>
                <w:szCs w:val="21"/>
                <w:highlight w:val="none"/>
              </w:rPr>
              <w:t>2</w:t>
            </w:r>
            <w:r>
              <w:rPr>
                <w:rFonts w:hint="eastAsia" w:ascii="宋体" w:hAnsi="宋体"/>
                <w:b/>
                <w:bCs/>
                <w:szCs w:val="21"/>
                <w:highlight w:val="none"/>
              </w:rPr>
              <w:t>.分公司参加竞标的，应当取得总公司授权</w:t>
            </w:r>
            <w:r>
              <w:rPr>
                <w:rFonts w:hint="eastAsia" w:ascii="宋体" w:hAnsi="宋体" w:cs="宋体"/>
                <w:b/>
                <w:szCs w:val="21"/>
                <w:highlight w:val="none"/>
              </w:rPr>
              <w:t>，否则响应文件按无效响应处理。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1937"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商务文件组成</w:t>
            </w:r>
          </w:p>
        </w:tc>
        <w:tc>
          <w:tcPr>
            <w:tcW w:w="6869" w:type="dxa"/>
            <w:vAlign w:val="center"/>
          </w:tcPr>
          <w:p>
            <w:pPr>
              <w:spacing w:line="360" w:lineRule="auto"/>
              <w:rPr>
                <w:rFonts w:ascii="宋体" w:hAnsi="宋体" w:cs="宋体"/>
                <w:szCs w:val="21"/>
                <w:highlight w:val="none"/>
              </w:rPr>
            </w:pPr>
            <w:r>
              <w:rPr>
                <w:rFonts w:hint="eastAsia" w:ascii="宋体" w:hAnsi="宋体" w:cs="宋体"/>
                <w:szCs w:val="21"/>
                <w:highlight w:val="none"/>
              </w:rPr>
              <w:t>1.无串通竞标行为的承诺函；（</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rPr>
              <w:t>2.法定代表人身份证明及法定代表人有效身份证正反面复印件；（</w:t>
            </w:r>
            <w:r>
              <w:rPr>
                <w:rFonts w:hint="eastAsia" w:ascii="宋体" w:hAnsi="宋体" w:cs="宋体"/>
                <w:b/>
                <w:bCs/>
                <w:szCs w:val="21"/>
                <w:highlight w:val="none"/>
              </w:rPr>
              <w:t>除自然人竞标外</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3.法定代表人授权委托书及委托代理人有效身份证正反面复印件（格式后附）；（</w:t>
            </w:r>
            <w:r>
              <w:rPr>
                <w:rFonts w:hint="eastAsia" w:ascii="宋体" w:hAnsi="宋体" w:cs="宋体"/>
                <w:b/>
                <w:szCs w:val="21"/>
                <w:highlight w:val="none"/>
              </w:rPr>
              <w:t>委托时必须提供，否则响应文件按无效响应处理</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4.磋商保证金提交凭证；（</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5.商务条款偏离表；（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6.供应商情况介绍；（</w:t>
            </w:r>
            <w:r>
              <w:rPr>
                <w:rFonts w:hint="eastAsia" w:ascii="宋体" w:hAnsi="宋体" w:cs="宋体"/>
                <w:b/>
                <w:bCs/>
                <w:szCs w:val="21"/>
                <w:highlight w:val="none"/>
              </w:rPr>
              <w:t>如有，请提供</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7.对应采购需求的商务条款提供的其他文件资料；（</w:t>
            </w:r>
            <w:r>
              <w:rPr>
                <w:rFonts w:hint="eastAsia" w:ascii="宋体" w:hAnsi="宋体" w:cs="宋体"/>
                <w:b/>
                <w:bCs/>
                <w:szCs w:val="21"/>
                <w:highlight w:val="none"/>
              </w:rPr>
              <w:t>如有，请提供</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8.供应商认为需要提供的其他有关资料。（</w:t>
            </w:r>
            <w:r>
              <w:rPr>
                <w:rFonts w:hint="eastAsia" w:ascii="宋体" w:hAnsi="宋体" w:cs="宋体"/>
                <w:b/>
                <w:bCs/>
                <w:szCs w:val="21"/>
                <w:highlight w:val="none"/>
              </w:rPr>
              <w:t>如有，请提供</w:t>
            </w:r>
            <w:r>
              <w:rPr>
                <w:rFonts w:hint="eastAsia" w:ascii="宋体" w:hAnsi="宋体" w:cs="宋体"/>
                <w:szCs w:val="21"/>
                <w:highlight w:val="none"/>
              </w:rPr>
              <w:t>）</w:t>
            </w:r>
          </w:p>
          <w:p>
            <w:pPr>
              <w:snapToGrid w:val="0"/>
              <w:spacing w:line="360" w:lineRule="auto"/>
              <w:jc w:val="left"/>
              <w:rPr>
                <w:rFonts w:ascii="宋体" w:hAnsi="宋体" w:cs="宋体"/>
                <w:b/>
                <w:szCs w:val="21"/>
                <w:highlight w:val="none"/>
              </w:rPr>
            </w:pPr>
            <w:r>
              <w:rPr>
                <w:rFonts w:hint="eastAsia" w:ascii="宋体" w:hAnsi="宋体" w:cs="宋体"/>
                <w:b/>
                <w:szCs w:val="21"/>
                <w:highlight w:val="none"/>
              </w:rPr>
              <w:t xml:space="preserve">注： </w:t>
            </w:r>
          </w:p>
          <w:p>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1.法定代表人授权委托书必须由法定代表人及其委托代理人签字，并加盖供应商公章，否则响应文件按无效响应处理。</w:t>
            </w:r>
          </w:p>
          <w:p>
            <w:pPr>
              <w:spacing w:line="360" w:lineRule="auto"/>
              <w:ind w:firstLine="413" w:firstLineChars="196"/>
              <w:rPr>
                <w:rFonts w:ascii="宋体" w:hAnsi="宋体" w:cs="宋体"/>
                <w:b/>
                <w:szCs w:val="21"/>
                <w:highlight w:val="none"/>
              </w:rPr>
            </w:pPr>
            <w:r>
              <w:rPr>
                <w:rFonts w:hint="eastAsia" w:ascii="宋体" w:hAnsi="宋体" w:cs="宋体"/>
                <w:b/>
                <w:szCs w:val="21"/>
                <w:highlight w:val="none"/>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ascii="宋体" w:hAnsi="宋体" w:cs="宋体"/>
                <w:szCs w:val="21"/>
                <w:highlight w:val="none"/>
              </w:rPr>
            </w:pPr>
          </w:p>
        </w:tc>
        <w:tc>
          <w:tcPr>
            <w:tcW w:w="1937"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技术文件组成</w:t>
            </w:r>
          </w:p>
        </w:tc>
        <w:tc>
          <w:tcPr>
            <w:tcW w:w="6869" w:type="dxa"/>
            <w:vAlign w:val="center"/>
          </w:tcPr>
          <w:p>
            <w:pPr>
              <w:spacing w:line="360" w:lineRule="auto"/>
              <w:rPr>
                <w:rFonts w:ascii="宋体" w:hAnsi="宋体" w:cs="宋体"/>
                <w:szCs w:val="21"/>
                <w:highlight w:val="none"/>
              </w:rPr>
            </w:pPr>
            <w:r>
              <w:rPr>
                <w:rFonts w:hint="eastAsia" w:ascii="宋体" w:hAnsi="宋体" w:cs="宋体"/>
                <w:szCs w:val="21"/>
                <w:highlight w:val="none"/>
              </w:rPr>
              <w:t>1.服务需求偏离表；（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2.项目需求理解；（</w:t>
            </w:r>
            <w:r>
              <w:rPr>
                <w:rFonts w:hint="eastAsia" w:ascii="宋体" w:hAnsi="宋体" w:cs="宋体"/>
                <w:b/>
                <w:bCs/>
                <w:szCs w:val="21"/>
                <w:highlight w:val="none"/>
              </w:rPr>
              <w:t>如有，请提供</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highlight w:val="none"/>
              </w:rPr>
              <w:t>3.</w:t>
            </w:r>
            <w:r>
              <w:rPr>
                <w:rFonts w:hint="eastAsia" w:ascii="宋体" w:hAnsi="宋体" w:cs="宋体"/>
                <w:szCs w:val="21"/>
                <w:highlight w:val="none"/>
              </w:rPr>
              <w:t>技术服务方案</w:t>
            </w:r>
            <w:r>
              <w:rPr>
                <w:rFonts w:hint="eastAsia" w:ascii="宋体" w:hAnsi="宋体" w:cs="宋体"/>
                <w:highlight w:val="none"/>
              </w:rPr>
              <w:t>；</w:t>
            </w:r>
            <w:r>
              <w:rPr>
                <w:rFonts w:hint="eastAsia" w:ascii="宋体" w:hAnsi="宋体" w:cs="宋体"/>
                <w:szCs w:val="21"/>
                <w:highlight w:val="none"/>
              </w:rPr>
              <w:t>（</w:t>
            </w:r>
            <w:r>
              <w:rPr>
                <w:rFonts w:hint="eastAsia" w:ascii="宋体" w:hAnsi="宋体" w:cs="宋体"/>
                <w:b/>
                <w:bCs/>
                <w:szCs w:val="21"/>
                <w:highlight w:val="none"/>
              </w:rPr>
              <w:t>如有，请提供</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4.运维售后服务方案；（</w:t>
            </w:r>
            <w:r>
              <w:rPr>
                <w:rFonts w:hint="eastAsia" w:ascii="宋体" w:hAnsi="宋体" w:cs="宋体"/>
                <w:b/>
                <w:bCs/>
                <w:szCs w:val="21"/>
                <w:highlight w:val="none"/>
              </w:rPr>
              <w:t>如有，请提供</w:t>
            </w:r>
            <w:r>
              <w:rPr>
                <w:rFonts w:hint="eastAsia" w:ascii="宋体" w:hAnsi="宋体" w:cs="宋体"/>
                <w:szCs w:val="21"/>
                <w:highlight w:val="none"/>
              </w:rPr>
              <w:t>）</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5.项目人员配备</w:t>
            </w:r>
            <w:r>
              <w:rPr>
                <w:rFonts w:hint="eastAsia" w:ascii="宋体" w:hAnsi="宋体" w:cs="宋体"/>
                <w:szCs w:val="21"/>
                <w:highlight w:val="none"/>
                <w:lang w:eastAsia="zh-CN"/>
              </w:rPr>
              <w:t>、业绩、服务能力；</w:t>
            </w:r>
            <w:r>
              <w:rPr>
                <w:rFonts w:hint="eastAsia" w:ascii="宋体" w:hAnsi="宋体" w:cs="宋体"/>
                <w:szCs w:val="21"/>
                <w:highlight w:val="none"/>
              </w:rPr>
              <w:t>（</w:t>
            </w:r>
            <w:r>
              <w:rPr>
                <w:rFonts w:hint="eastAsia" w:ascii="宋体" w:hAnsi="宋体" w:cs="宋体"/>
                <w:b/>
                <w:bCs/>
                <w:szCs w:val="21"/>
                <w:highlight w:val="none"/>
              </w:rPr>
              <w:t>如有，请提供</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.对应采购需求的服务需求提供的其他文件资料；（</w:t>
            </w:r>
            <w:r>
              <w:rPr>
                <w:rFonts w:hint="eastAsia" w:ascii="宋体" w:hAnsi="宋体" w:cs="宋体"/>
                <w:b/>
                <w:bCs/>
                <w:szCs w:val="21"/>
                <w:highlight w:val="none"/>
              </w:rPr>
              <w:t>如有，请提供</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lang w:val="en-US" w:eastAsia="zh-CN"/>
              </w:rPr>
              <w:t>7</w:t>
            </w:r>
            <w:bookmarkStart w:id="172" w:name="_GoBack"/>
            <w:bookmarkEnd w:id="172"/>
            <w:r>
              <w:rPr>
                <w:rFonts w:hint="eastAsia" w:ascii="宋体" w:hAnsi="宋体" w:cs="宋体"/>
                <w:szCs w:val="21"/>
                <w:highlight w:val="none"/>
              </w:rPr>
              <w:t>.供应商认为需要提供的其他有关资料。（</w:t>
            </w:r>
            <w:r>
              <w:rPr>
                <w:rFonts w:hint="eastAsia" w:ascii="宋体" w:hAnsi="宋体" w:cs="宋体"/>
                <w:b/>
                <w:bCs/>
                <w:szCs w:val="21"/>
                <w:highlight w:val="none"/>
              </w:rPr>
              <w:t>如有，请提供</w:t>
            </w:r>
            <w:r>
              <w:rPr>
                <w:rFonts w:hint="eastAsia" w:ascii="宋体" w:hAnsi="宋体" w:cs="宋体"/>
                <w:szCs w:val="21"/>
                <w:highlight w:val="none"/>
              </w:rPr>
              <w:t>）</w:t>
            </w:r>
          </w:p>
          <w:p>
            <w:pPr>
              <w:spacing w:line="360" w:lineRule="auto"/>
              <w:rPr>
                <w:rFonts w:ascii="宋体" w:hAnsi="宋体" w:cs="宋体"/>
                <w:b/>
                <w:szCs w:val="21"/>
                <w:highlight w:val="none"/>
              </w:rPr>
            </w:pPr>
            <w:r>
              <w:rPr>
                <w:rFonts w:hint="eastAsia" w:ascii="宋体" w:hAnsi="宋体" w:cs="宋体"/>
                <w:b/>
                <w:szCs w:val="21"/>
                <w:highlight w:val="none"/>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12.1.3</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b/>
                <w:bCs/>
                <w:szCs w:val="21"/>
                <w:highlight w:val="none"/>
              </w:rPr>
              <w:t>报价文件组成</w:t>
            </w:r>
          </w:p>
        </w:tc>
        <w:tc>
          <w:tcPr>
            <w:tcW w:w="6869" w:type="dxa"/>
            <w:vAlign w:val="center"/>
          </w:tcPr>
          <w:p>
            <w:pPr>
              <w:spacing w:line="360" w:lineRule="auto"/>
              <w:jc w:val="left"/>
              <w:rPr>
                <w:rFonts w:ascii="宋体" w:hAnsi="宋体" w:cs="宋体"/>
                <w:szCs w:val="21"/>
                <w:highlight w:val="none"/>
              </w:rPr>
            </w:pPr>
            <w:r>
              <w:rPr>
                <w:rFonts w:hint="eastAsia" w:ascii="宋体" w:hAnsi="宋体" w:cs="宋体"/>
                <w:szCs w:val="21"/>
                <w:highlight w:val="none"/>
              </w:rPr>
              <w:t>1.响应函；</w:t>
            </w:r>
            <w:r>
              <w:rPr>
                <w:rFonts w:hint="eastAsia" w:ascii="宋体" w:hAnsi="宋体" w:cs="宋体"/>
                <w:b/>
                <w:szCs w:val="21"/>
                <w:highlight w:val="none"/>
              </w:rPr>
              <w:t>（必须提供，否则响应文件按无效响应处理）</w:t>
            </w:r>
          </w:p>
          <w:p>
            <w:pPr>
              <w:spacing w:line="360" w:lineRule="auto"/>
              <w:rPr>
                <w:rFonts w:ascii="宋体" w:hAnsi="宋体" w:cs="宋体"/>
                <w:szCs w:val="21"/>
                <w:highlight w:val="none"/>
              </w:rPr>
            </w:pPr>
            <w:r>
              <w:rPr>
                <w:rFonts w:hint="eastAsia" w:ascii="宋体" w:hAnsi="宋体" w:cs="宋体"/>
                <w:szCs w:val="21"/>
                <w:highlight w:val="none"/>
              </w:rPr>
              <w:t>2.响应报价表；（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3.供应商针对报价需要说明的其他文件和说明。（</w:t>
            </w:r>
            <w:r>
              <w:rPr>
                <w:rFonts w:hint="eastAsia" w:ascii="宋体" w:hAnsi="宋体" w:cs="宋体"/>
                <w:b/>
                <w:bCs/>
                <w:szCs w:val="21"/>
                <w:highlight w:val="none"/>
              </w:rPr>
              <w:t>如有，请提供</w:t>
            </w:r>
            <w:r>
              <w:rPr>
                <w:rFonts w:hint="eastAsia" w:ascii="宋体" w:hAnsi="宋体" w:cs="宋体"/>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12.2</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响应文件电子版要求</w:t>
            </w:r>
          </w:p>
        </w:tc>
        <w:tc>
          <w:tcPr>
            <w:tcW w:w="6869" w:type="dxa"/>
            <w:vAlign w:val="center"/>
          </w:tcPr>
          <w:p>
            <w:pPr>
              <w:snapToGrid w:val="0"/>
              <w:spacing w:line="360" w:lineRule="auto"/>
              <w:jc w:val="left"/>
              <w:rPr>
                <w:rFonts w:ascii="宋体" w:hAnsi="宋体" w:cs="宋体"/>
                <w:szCs w:val="21"/>
                <w:highlight w:val="none"/>
              </w:rPr>
            </w:pPr>
            <w:r>
              <w:rPr>
                <w:rFonts w:hint="eastAsia" w:ascii="宋体" w:hAnsi="宋体" w:cs="宋体"/>
                <w:szCs w:val="21"/>
                <w:highlight w:val="none"/>
              </w:rPr>
              <w:t>1.响应文件电子版要求：按照本竞争性磋商文件“第五章 响应文件格式”编写，第五章未附格式的，由供应商自行拟定。</w:t>
            </w:r>
          </w:p>
          <w:p>
            <w:pPr>
              <w:snapToGrid w:val="0"/>
              <w:spacing w:line="360" w:lineRule="auto"/>
              <w:jc w:val="left"/>
              <w:rPr>
                <w:rFonts w:ascii="宋体" w:hAnsi="宋体" w:cs="宋体"/>
                <w:szCs w:val="21"/>
                <w:highlight w:val="none"/>
              </w:rPr>
            </w:pPr>
            <w:r>
              <w:rPr>
                <w:rFonts w:hint="eastAsia" w:ascii="宋体" w:hAnsi="宋体" w:cs="宋体"/>
                <w:szCs w:val="21"/>
                <w:highlight w:val="none"/>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响应报价要求</w:t>
            </w:r>
          </w:p>
        </w:tc>
        <w:tc>
          <w:tcPr>
            <w:tcW w:w="6869" w:type="dxa"/>
            <w:vAlign w:val="center"/>
          </w:tcPr>
          <w:p>
            <w:pPr>
              <w:snapToGrid w:val="0"/>
              <w:spacing w:line="360" w:lineRule="auto"/>
              <w:jc w:val="left"/>
              <w:rPr>
                <w:rFonts w:ascii="宋体" w:hAnsi="宋体" w:cs="宋体"/>
                <w:highlight w:val="none"/>
              </w:rPr>
            </w:pPr>
            <w:r>
              <w:rPr>
                <w:rFonts w:hint="eastAsia" w:ascii="宋体" w:hAnsi="宋体" w:cs="宋体"/>
                <w:highlight w:val="none"/>
              </w:rPr>
              <w:t>响应报价必须包含满足本次竞标全部采购需求所应提供的服务，以及伴随的货物和工程（如有）的价格；包含竞标服务、货物、工程的成本、运输（含保险）、安装（如有）、调试、检验、技术服务、培训、</w:t>
            </w:r>
            <w:r>
              <w:rPr>
                <w:rFonts w:hint="eastAsia" w:ascii="宋体" w:hAnsi="宋体" w:cs="宋体"/>
                <w:bCs/>
                <w:szCs w:val="21"/>
                <w:highlight w:val="none"/>
              </w:rPr>
              <w:t>验收、</w:t>
            </w:r>
            <w:r>
              <w:rPr>
                <w:rFonts w:hint="eastAsia" w:ascii="宋体" w:hAnsi="宋体" w:cs="宋体"/>
                <w:highlight w:val="none"/>
              </w:rPr>
              <w:t>税费等所有费用。（采购需求另有约定的，从其约定。）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16.2</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竞标有效期</w:t>
            </w:r>
          </w:p>
        </w:tc>
        <w:tc>
          <w:tcPr>
            <w:tcW w:w="6869" w:type="dxa"/>
            <w:vAlign w:val="center"/>
          </w:tcPr>
          <w:p>
            <w:pPr>
              <w:pStyle w:val="12"/>
              <w:widowControl w:val="0"/>
              <w:tabs>
                <w:tab w:val="clear" w:pos="454"/>
              </w:tabs>
              <w:snapToGrid w:val="0"/>
              <w:spacing w:afterLines="0" w:line="360" w:lineRule="auto"/>
              <w:ind w:left="283" w:hanging="283" w:hangingChars="135"/>
              <w:rPr>
                <w:rFonts w:ascii="宋体" w:hAnsi="宋体" w:cs="宋体"/>
                <w:kern w:val="2"/>
                <w:sz w:val="21"/>
                <w:szCs w:val="21"/>
                <w:highlight w:val="none"/>
              </w:rPr>
            </w:pPr>
            <w:r>
              <w:rPr>
                <w:rFonts w:hint="eastAsia" w:ascii="宋体" w:hAnsi="宋体" w:cs="宋体"/>
                <w:kern w:val="2"/>
                <w:sz w:val="21"/>
                <w:szCs w:val="21"/>
                <w:highlight w:val="none"/>
              </w:rPr>
              <w:t>自首次响应文件提交截止之日起</w:t>
            </w:r>
            <w:r>
              <w:rPr>
                <w:rFonts w:hint="eastAsia" w:ascii="宋体" w:hAnsi="宋体" w:cs="宋体"/>
                <w:kern w:val="2"/>
                <w:sz w:val="21"/>
                <w:szCs w:val="21"/>
                <w:highlight w:val="none"/>
                <w:u w:val="single"/>
              </w:rPr>
              <w:t xml:space="preserve"> 60 </w:t>
            </w:r>
            <w:r>
              <w:rPr>
                <w:rFonts w:hint="eastAsia" w:ascii="宋体" w:hAnsi="宋体" w:cs="宋体"/>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磋商保证金</w:t>
            </w:r>
          </w:p>
        </w:tc>
        <w:tc>
          <w:tcPr>
            <w:tcW w:w="6869" w:type="dxa"/>
            <w:vAlign w:val="center"/>
          </w:tcPr>
          <w:p>
            <w:pPr>
              <w:snapToGrid w:val="0"/>
              <w:spacing w:line="360" w:lineRule="auto"/>
              <w:rPr>
                <w:rFonts w:ascii="宋体" w:hAnsi="宋体" w:cs="宋体"/>
                <w:b/>
                <w:bCs/>
                <w:szCs w:val="21"/>
                <w:highlight w:val="none"/>
              </w:rPr>
            </w:pPr>
            <w:r>
              <w:rPr>
                <w:rFonts w:hint="eastAsia" w:ascii="宋体" w:hAnsi="宋体" w:cs="宋体"/>
                <w:b/>
                <w:bCs/>
                <w:szCs w:val="21"/>
                <w:highlight w:val="none"/>
              </w:rPr>
              <w:t>本项目需要缴</w:t>
            </w:r>
            <w:r>
              <w:rPr>
                <w:rFonts w:hint="eastAsia" w:ascii="宋体" w:hAnsi="宋体" w:cs="宋体"/>
                <w:b/>
                <w:bCs/>
                <w:kern w:val="0"/>
                <w:szCs w:val="21"/>
                <w:highlight w:val="none"/>
              </w:rPr>
              <w:t>纳</w:t>
            </w:r>
            <w:r>
              <w:rPr>
                <w:rFonts w:hint="eastAsia" w:ascii="宋体" w:hAnsi="宋体" w:cs="宋体"/>
                <w:b/>
                <w:bCs/>
                <w:szCs w:val="21"/>
                <w:highlight w:val="none"/>
              </w:rPr>
              <w:t>磋商保证金，相关要求如下：</w:t>
            </w:r>
          </w:p>
          <w:p>
            <w:pPr>
              <w:snapToGrid w:val="0"/>
              <w:spacing w:line="360" w:lineRule="auto"/>
              <w:rPr>
                <w:rFonts w:ascii="宋体" w:hAnsi="宋体" w:cs="宋体"/>
                <w:szCs w:val="21"/>
                <w:highlight w:val="none"/>
              </w:rPr>
            </w:pPr>
            <w:r>
              <w:rPr>
                <w:rFonts w:hint="eastAsia" w:ascii="宋体" w:hAnsi="宋体" w:cs="宋体"/>
                <w:szCs w:val="21"/>
                <w:highlight w:val="none"/>
              </w:rPr>
              <w:t>1.磋商保证金的缴纳方式：详见竞争性磋商公告。</w:t>
            </w:r>
          </w:p>
          <w:p>
            <w:pPr>
              <w:snapToGrid w:val="0"/>
              <w:spacing w:line="360" w:lineRule="auto"/>
              <w:rPr>
                <w:rFonts w:ascii="宋体" w:hAnsi="宋体" w:cs="宋体"/>
                <w:szCs w:val="21"/>
                <w:highlight w:val="none"/>
              </w:rPr>
            </w:pPr>
            <w:r>
              <w:rPr>
                <w:rFonts w:hint="eastAsia" w:ascii="宋体" w:hAnsi="宋体" w:cs="宋体"/>
                <w:szCs w:val="21"/>
                <w:highlight w:val="none"/>
              </w:rPr>
              <w:t>2.磋商保证金的金额：详见竞争性磋商公告。</w:t>
            </w:r>
          </w:p>
          <w:p>
            <w:pPr>
              <w:snapToGrid w:val="0"/>
              <w:spacing w:line="360" w:lineRule="auto"/>
              <w:rPr>
                <w:rFonts w:ascii="宋体" w:hAnsi="宋体" w:cs="宋体"/>
                <w:szCs w:val="21"/>
                <w:highlight w:val="none"/>
              </w:rPr>
            </w:pPr>
            <w:r>
              <w:rPr>
                <w:rFonts w:hint="eastAsia" w:ascii="宋体" w:hAnsi="宋体" w:cs="宋体"/>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szCs w:val="21"/>
                <w:highlight w:val="none"/>
              </w:rPr>
              <w:t>否则响应文件按无效响应处理</w:t>
            </w:r>
            <w:r>
              <w:rPr>
                <w:rFonts w:hint="eastAsia" w:ascii="宋体" w:hAnsi="宋体" w:cs="宋体"/>
                <w:szCs w:val="21"/>
                <w:highlight w:val="none"/>
              </w:rPr>
              <w:t>。</w:t>
            </w:r>
          </w:p>
          <w:p>
            <w:pPr>
              <w:snapToGrid w:val="0"/>
              <w:spacing w:line="360" w:lineRule="auto"/>
              <w:rPr>
                <w:rFonts w:ascii="宋体" w:hAnsi="宋体" w:cs="宋体"/>
                <w:szCs w:val="21"/>
                <w:highlight w:val="none"/>
              </w:rPr>
            </w:pPr>
            <w:r>
              <w:rPr>
                <w:rFonts w:hint="eastAsia" w:ascii="宋体" w:hAnsi="宋体" w:cs="宋体"/>
                <w:szCs w:val="21"/>
                <w:highlight w:val="none"/>
              </w:rPr>
              <w:t>4.磋商保证金采用支票、汇票、本票或者金融机构、担保机构出具的保函等缴纳方式的，供应商应将支票、汇票、本票或者金融机构、担保机构出具的保函等的复印件</w:t>
            </w:r>
            <w:r>
              <w:rPr>
                <w:rFonts w:hint="eastAsia" w:ascii="宋体" w:hAnsi="宋体" w:cs="宋体"/>
                <w:highlight w:val="none"/>
              </w:rPr>
              <w:t>或者金融机构、担保机构出具的电子保函</w:t>
            </w:r>
            <w:r>
              <w:rPr>
                <w:rFonts w:hint="eastAsia" w:ascii="宋体" w:hAnsi="宋体" w:cs="宋体"/>
                <w:szCs w:val="21"/>
                <w:highlight w:val="none"/>
              </w:rPr>
              <w:t>作为磋商保证金提交凭证，放置于商务文件中，</w:t>
            </w:r>
            <w:r>
              <w:rPr>
                <w:rFonts w:hint="eastAsia" w:ascii="宋体" w:hAnsi="宋体" w:cs="宋体"/>
                <w:b/>
                <w:szCs w:val="21"/>
                <w:highlight w:val="none"/>
              </w:rPr>
              <w:t>否则响应文件按无效响应处理</w:t>
            </w:r>
            <w:r>
              <w:rPr>
                <w:rFonts w:hint="eastAsia" w:ascii="宋体" w:hAnsi="宋体" w:cs="宋体"/>
                <w:szCs w:val="21"/>
                <w:highlight w:val="none"/>
              </w:rPr>
              <w:t>。供应商必须在</w:t>
            </w:r>
            <w:r>
              <w:rPr>
                <w:rFonts w:hint="eastAsia" w:ascii="宋体" w:hAnsi="宋体" w:cs="宋体"/>
                <w:kern w:val="0"/>
                <w:szCs w:val="21"/>
                <w:highlight w:val="none"/>
              </w:rPr>
              <w:t>首次响应文件提交截止时间前</w:t>
            </w:r>
            <w:r>
              <w:rPr>
                <w:rFonts w:hint="eastAsia" w:ascii="宋体" w:hAnsi="宋体" w:cs="宋体"/>
                <w:szCs w:val="21"/>
                <w:highlight w:val="none"/>
              </w:rPr>
              <w:t>将支票、汇票、本票或者金融机构、担保机构出具的保函等原件（</w:t>
            </w:r>
            <w:r>
              <w:rPr>
                <w:rFonts w:hint="eastAsia" w:ascii="宋体" w:hAnsi="宋体" w:cs="宋体"/>
                <w:highlight w:val="none"/>
              </w:rPr>
              <w:t>电子保函除外</w:t>
            </w:r>
            <w:r>
              <w:rPr>
                <w:rFonts w:hint="eastAsia" w:ascii="宋体" w:hAnsi="宋体" w:cs="宋体"/>
                <w:szCs w:val="21"/>
                <w:highlight w:val="none"/>
              </w:rPr>
              <w:t>）提交给采购代理机构，由采购代理机构向供应商出具回执，并妥善保管。</w:t>
            </w:r>
          </w:p>
          <w:p>
            <w:pPr>
              <w:snapToGrid w:val="0"/>
              <w:spacing w:line="360" w:lineRule="auto"/>
              <w:rPr>
                <w:rFonts w:ascii="宋体" w:hAnsi="宋体" w:cs="宋体"/>
                <w:szCs w:val="21"/>
                <w:highlight w:val="none"/>
              </w:rPr>
            </w:pPr>
            <w:r>
              <w:rPr>
                <w:rFonts w:hint="eastAsia" w:ascii="宋体" w:hAnsi="宋体" w:cs="宋体"/>
                <w:szCs w:val="21"/>
                <w:highlight w:val="none"/>
              </w:rPr>
              <w:t>5.磋商保证金指定账户：详见竞争性磋商公告。</w:t>
            </w:r>
          </w:p>
          <w:p>
            <w:pPr>
              <w:snapToGrid w:val="0"/>
              <w:spacing w:line="360" w:lineRule="auto"/>
              <w:rPr>
                <w:rFonts w:ascii="宋体" w:hAnsi="宋体" w:cs="宋体"/>
                <w:b/>
                <w:szCs w:val="21"/>
                <w:highlight w:val="none"/>
              </w:rPr>
            </w:pPr>
            <w:r>
              <w:rPr>
                <w:rFonts w:hint="eastAsia" w:ascii="宋体" w:hAnsi="宋体" w:cs="宋体"/>
                <w:szCs w:val="21"/>
                <w:highlight w:val="none"/>
              </w:rPr>
              <w:t>6.供应商为联合体的，可以由联合体中的一方或者多方共同缴纳磋商保证金，其缴纳的磋商保证金对联合体各方均具有约束力。</w:t>
            </w:r>
          </w:p>
          <w:p>
            <w:pPr>
              <w:snapToGrid w:val="0"/>
              <w:spacing w:line="360" w:lineRule="auto"/>
              <w:rPr>
                <w:rFonts w:ascii="宋体" w:hAnsi="宋体" w:cs="宋体"/>
                <w:b/>
                <w:szCs w:val="21"/>
                <w:highlight w:val="none"/>
              </w:rPr>
            </w:pPr>
            <w:r>
              <w:rPr>
                <w:rFonts w:hint="eastAsia" w:ascii="宋体" w:hAnsi="宋体" w:cs="宋体"/>
                <w:b/>
                <w:szCs w:val="21"/>
                <w:highlight w:val="none"/>
              </w:rPr>
              <w:t xml:space="preserve">备注： </w:t>
            </w:r>
          </w:p>
          <w:p>
            <w:pPr>
              <w:snapToGrid w:val="0"/>
              <w:spacing w:line="360" w:lineRule="auto"/>
              <w:rPr>
                <w:rFonts w:ascii="宋体" w:hAnsi="宋体" w:cs="宋体"/>
                <w:b/>
                <w:szCs w:val="21"/>
                <w:highlight w:val="none"/>
              </w:rPr>
            </w:pPr>
            <w:r>
              <w:rPr>
                <w:rFonts w:hint="eastAsia" w:ascii="宋体" w:hAnsi="宋体" w:cs="宋体"/>
                <w:b/>
                <w:szCs w:val="21"/>
                <w:highlight w:val="none"/>
              </w:rPr>
              <w:t>1.磋商保证金在首次响应文件提交截止时间后提交的，或者不按规定缴纳方式缴纳的，或者未足额缴纳的（包含保函额度不足的），视为无效磋商保证金。</w:t>
            </w:r>
          </w:p>
          <w:p>
            <w:pPr>
              <w:snapToGrid w:val="0"/>
              <w:spacing w:line="360" w:lineRule="auto"/>
              <w:rPr>
                <w:rFonts w:ascii="宋体" w:hAnsi="宋体" w:cs="宋体"/>
                <w:b/>
                <w:szCs w:val="21"/>
                <w:highlight w:val="none"/>
              </w:rPr>
            </w:pPr>
            <w:r>
              <w:rPr>
                <w:rFonts w:hint="eastAsia" w:ascii="宋体" w:hAnsi="宋体" w:cs="宋体"/>
                <w:b/>
                <w:szCs w:val="21"/>
                <w:highlight w:val="none"/>
              </w:rPr>
              <w:t>2.供应商采用现金方式或者从个人账户（自然人竞标除外）转出的磋商保证金，视为无效磋商保证金。</w:t>
            </w:r>
          </w:p>
          <w:p>
            <w:pPr>
              <w:snapToGrid w:val="0"/>
              <w:spacing w:line="360" w:lineRule="auto"/>
              <w:rPr>
                <w:rFonts w:ascii="宋体" w:hAnsi="宋体" w:cs="宋体"/>
                <w:b/>
                <w:szCs w:val="21"/>
                <w:highlight w:val="none"/>
              </w:rPr>
            </w:pPr>
            <w:r>
              <w:rPr>
                <w:rFonts w:hint="eastAsia" w:ascii="宋体" w:hAnsi="宋体" w:cs="宋体"/>
                <w:b/>
                <w:szCs w:val="21"/>
                <w:highlight w:val="none"/>
              </w:rPr>
              <w:t>3.支票、汇票或者本票出现无效或者背书情形的，视为无效磋商保证金。</w:t>
            </w:r>
          </w:p>
          <w:p>
            <w:pPr>
              <w:snapToGrid w:val="0"/>
              <w:spacing w:line="360" w:lineRule="auto"/>
              <w:rPr>
                <w:rFonts w:ascii="宋体" w:hAnsi="宋体" w:cs="宋体"/>
                <w:b/>
                <w:szCs w:val="21"/>
                <w:highlight w:val="none"/>
              </w:rPr>
            </w:pPr>
            <w:r>
              <w:rPr>
                <w:rFonts w:hint="eastAsia" w:ascii="宋体" w:hAnsi="宋体" w:cs="宋体"/>
                <w:b/>
                <w:szCs w:val="21"/>
                <w:highlight w:val="none"/>
              </w:rPr>
              <w:t>4.保函有效期低于竞标有效期的，视为无效磋商保证金。</w:t>
            </w:r>
          </w:p>
          <w:p>
            <w:pPr>
              <w:autoSpaceDE w:val="0"/>
              <w:autoSpaceDN w:val="0"/>
              <w:snapToGrid w:val="0"/>
              <w:spacing w:line="360" w:lineRule="auto"/>
              <w:textAlignment w:val="bottom"/>
              <w:rPr>
                <w:rFonts w:ascii="宋体" w:hAnsi="宋体" w:cs="宋体"/>
                <w:szCs w:val="21"/>
                <w:highlight w:val="none"/>
              </w:rPr>
            </w:pPr>
            <w:r>
              <w:rPr>
                <w:rFonts w:hint="eastAsia" w:ascii="宋体" w:hAnsi="宋体" w:cs="宋体"/>
                <w:b/>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963" w:type="dxa"/>
            <w:vMerge w:val="restar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20.1</w:t>
            </w:r>
          </w:p>
        </w:tc>
        <w:tc>
          <w:tcPr>
            <w:tcW w:w="1937" w:type="dxa"/>
            <w:vAlign w:val="center"/>
          </w:tcPr>
          <w:p>
            <w:pPr>
              <w:jc w:val="center"/>
              <w:rPr>
                <w:rFonts w:ascii="宋体" w:hAnsi="宋体" w:cs="宋体"/>
                <w:szCs w:val="21"/>
                <w:highlight w:val="none"/>
              </w:rPr>
            </w:pPr>
            <w:r>
              <w:rPr>
                <w:rFonts w:hint="eastAsia" w:ascii="宋体" w:hAnsi="宋体" w:cs="宋体"/>
                <w:szCs w:val="21"/>
                <w:highlight w:val="none"/>
              </w:rPr>
              <w:t>首次响应文件提交截止时间</w:t>
            </w:r>
          </w:p>
        </w:tc>
        <w:tc>
          <w:tcPr>
            <w:tcW w:w="6869" w:type="dxa"/>
            <w:vAlign w:val="center"/>
          </w:tcPr>
          <w:p>
            <w:pPr>
              <w:snapToGrid w:val="0"/>
              <w:spacing w:line="360" w:lineRule="auto"/>
              <w:jc w:val="left"/>
              <w:rPr>
                <w:rFonts w:ascii="宋体" w:hAnsi="宋体" w:cs="宋体"/>
                <w:szCs w:val="21"/>
                <w:highlight w:val="none"/>
                <w:u w:val="single"/>
              </w:rPr>
            </w:pPr>
            <w:r>
              <w:rPr>
                <w:rFonts w:hint="eastAsia" w:ascii="宋体" w:hAnsi="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ascii="宋体" w:hAnsi="宋体" w:cs="宋体"/>
                <w:szCs w:val="21"/>
                <w:highlight w:val="none"/>
              </w:rPr>
            </w:pP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首次响应文件开启时间</w:t>
            </w:r>
          </w:p>
        </w:tc>
        <w:tc>
          <w:tcPr>
            <w:tcW w:w="6869" w:type="dxa"/>
            <w:vAlign w:val="center"/>
          </w:tcPr>
          <w:p>
            <w:pPr>
              <w:snapToGrid w:val="0"/>
              <w:spacing w:line="360" w:lineRule="auto"/>
              <w:jc w:val="left"/>
              <w:rPr>
                <w:rFonts w:ascii="宋体" w:hAnsi="宋体" w:cs="宋体"/>
                <w:szCs w:val="21"/>
                <w:highlight w:val="none"/>
              </w:rPr>
            </w:pPr>
            <w:r>
              <w:rPr>
                <w:rFonts w:hint="eastAsia" w:ascii="宋体" w:hAnsi="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ascii="宋体" w:hAnsi="宋体" w:cs="宋体"/>
                <w:szCs w:val="21"/>
                <w:highlight w:val="none"/>
              </w:rPr>
            </w:pP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首次响应文件提交地点</w:t>
            </w:r>
          </w:p>
        </w:tc>
        <w:tc>
          <w:tcPr>
            <w:tcW w:w="6869" w:type="dxa"/>
            <w:vAlign w:val="center"/>
          </w:tcPr>
          <w:p>
            <w:pPr>
              <w:snapToGrid w:val="0"/>
              <w:spacing w:line="360" w:lineRule="auto"/>
              <w:jc w:val="left"/>
              <w:rPr>
                <w:rFonts w:ascii="宋体" w:hAnsi="宋体" w:cs="宋体"/>
                <w:szCs w:val="21"/>
                <w:highlight w:val="none"/>
                <w:u w:val="single"/>
              </w:rPr>
            </w:pPr>
            <w:r>
              <w:rPr>
                <w:rFonts w:hint="eastAsia" w:ascii="宋体" w:hAnsi="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20.6</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备份响应文件</w:t>
            </w:r>
          </w:p>
        </w:tc>
        <w:tc>
          <w:tcPr>
            <w:tcW w:w="6869" w:type="dxa"/>
            <w:vAlign w:val="center"/>
          </w:tcPr>
          <w:p>
            <w:pPr>
              <w:snapToGrid w:val="0"/>
              <w:spacing w:line="360" w:lineRule="auto"/>
              <w:jc w:val="left"/>
              <w:rPr>
                <w:rFonts w:ascii="宋体" w:hAnsi="宋体" w:cs="宋体"/>
                <w:szCs w:val="21"/>
                <w:highlight w:val="none"/>
              </w:rPr>
            </w:pPr>
            <w:r>
              <w:rPr>
                <w:rFonts w:hint="eastAsia" w:ascii="宋体" w:hAnsi="宋体" w:cs="宋体"/>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26</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负偏离要求</w:t>
            </w:r>
          </w:p>
        </w:tc>
        <w:tc>
          <w:tcPr>
            <w:tcW w:w="6869" w:type="dxa"/>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商务条款中允许负偏离的条款数为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pPr>
              <w:snapToGrid w:val="0"/>
              <w:spacing w:line="360" w:lineRule="auto"/>
              <w:rPr>
                <w:rFonts w:ascii="宋体" w:hAnsi="宋体" w:cs="宋体"/>
                <w:szCs w:val="21"/>
                <w:highlight w:val="none"/>
              </w:rPr>
            </w:pPr>
            <w:r>
              <w:rPr>
                <w:rFonts w:hint="eastAsia" w:ascii="宋体" w:hAnsi="宋体" w:cs="宋体"/>
                <w:szCs w:val="21"/>
                <w:highlight w:val="none"/>
              </w:rPr>
              <w:t>技术要求中允许负偏离的条款数为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ascii="宋体" w:hAnsi="宋体" w:cs="宋体"/>
                <w:szCs w:val="21"/>
                <w:highlight w:val="none"/>
              </w:rPr>
            </w:pPr>
          </w:p>
        </w:tc>
        <w:tc>
          <w:tcPr>
            <w:tcW w:w="1937" w:type="dxa"/>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评审方法</w:t>
            </w:r>
          </w:p>
        </w:tc>
        <w:tc>
          <w:tcPr>
            <w:tcW w:w="6869" w:type="dxa"/>
            <w:vAlign w:val="center"/>
          </w:tcPr>
          <w:p>
            <w:pPr>
              <w:pStyle w:val="14"/>
              <w:spacing w:line="360" w:lineRule="auto"/>
              <w:rPr>
                <w:rFonts w:ascii="宋体" w:hAnsi="宋体" w:cs="宋体"/>
                <w:szCs w:val="21"/>
                <w:highlight w:val="none"/>
              </w:rPr>
            </w:pPr>
            <w:r>
              <w:rPr>
                <w:rFonts w:hint="eastAsia" w:ascii="宋体" w:hAnsi="宋体" w:cs="宋体"/>
                <w:highlight w:val="none"/>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ascii="宋体" w:hAnsi="宋体" w:cs="宋体"/>
                <w:szCs w:val="21"/>
                <w:highlight w:val="none"/>
              </w:rPr>
            </w:pPr>
          </w:p>
        </w:tc>
        <w:tc>
          <w:tcPr>
            <w:tcW w:w="1937" w:type="dxa"/>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磋商的顺序</w:t>
            </w:r>
          </w:p>
        </w:tc>
        <w:tc>
          <w:tcPr>
            <w:tcW w:w="6869" w:type="dxa"/>
            <w:vAlign w:val="center"/>
          </w:tcPr>
          <w:p>
            <w:pPr>
              <w:pStyle w:val="14"/>
              <w:spacing w:line="360" w:lineRule="auto"/>
              <w:rPr>
                <w:rFonts w:ascii="宋体" w:hAnsi="宋体" w:cs="宋体"/>
                <w:szCs w:val="21"/>
                <w:highlight w:val="none"/>
              </w:rPr>
            </w:pPr>
            <w:r>
              <w:rPr>
                <w:rFonts w:hint="eastAsia" w:ascii="宋体" w:hAnsi="宋体" w:cs="宋体"/>
                <w:szCs w:val="21"/>
                <w:highlight w:val="none"/>
              </w:rPr>
              <w:t>如采用视频会议形式进行磋商，将按照提交首次响应文件的顺序，通知磋商时，若某供应商不在通知现场时，该供应商排序到最后磋商，按照签到的顺序由其下一位供应商先参与磋商。</w:t>
            </w:r>
          </w:p>
          <w:p>
            <w:pPr>
              <w:pStyle w:val="14"/>
              <w:spacing w:line="360" w:lineRule="auto"/>
              <w:rPr>
                <w:rFonts w:ascii="宋体" w:hAnsi="宋体" w:cs="宋体"/>
                <w:b/>
                <w:szCs w:val="21"/>
                <w:highlight w:val="none"/>
              </w:rPr>
            </w:pPr>
            <w:r>
              <w:rPr>
                <w:rFonts w:hint="eastAsia" w:ascii="宋体" w:hAnsi="宋体" w:cs="宋体"/>
                <w:b/>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28</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履约保证金</w:t>
            </w:r>
          </w:p>
        </w:tc>
        <w:tc>
          <w:tcPr>
            <w:tcW w:w="6869" w:type="dxa"/>
            <w:vAlign w:val="center"/>
          </w:tcPr>
          <w:p>
            <w:pPr>
              <w:autoSpaceDE w:val="0"/>
              <w:autoSpaceDN w:val="0"/>
              <w:snapToGrid w:val="0"/>
              <w:spacing w:line="360" w:lineRule="auto"/>
              <w:textAlignment w:val="bottom"/>
              <w:rPr>
                <w:rFonts w:ascii="宋体" w:hAnsi="宋体" w:cs="宋体"/>
                <w:szCs w:val="21"/>
                <w:highlight w:val="none"/>
              </w:rPr>
            </w:pPr>
            <w:r>
              <w:rPr>
                <w:rFonts w:hint="eastAsia" w:ascii="宋体" w:hAnsi="宋体" w:cs="宋体"/>
                <w:b/>
                <w:bCs/>
                <w:szCs w:val="21"/>
                <w:highlight w:val="none"/>
              </w:rPr>
              <w:t>本项目收取履约保证金</w:t>
            </w:r>
            <w:r>
              <w:rPr>
                <w:rFonts w:hint="eastAsia" w:ascii="宋体" w:hAnsi="宋体" w:cs="宋体"/>
                <w:szCs w:val="21"/>
                <w:highlight w:val="none"/>
              </w:rPr>
              <w:t>，具体规定如下：</w:t>
            </w:r>
          </w:p>
          <w:p>
            <w:pPr>
              <w:spacing w:line="360" w:lineRule="auto"/>
              <w:contextualSpacing/>
              <w:rPr>
                <w:rFonts w:ascii="宋体" w:hAnsi="宋体" w:cs="宋体"/>
                <w:szCs w:val="21"/>
                <w:highlight w:val="none"/>
              </w:rPr>
            </w:pPr>
            <w:r>
              <w:rPr>
                <w:rFonts w:hint="eastAsia" w:ascii="宋体" w:hAnsi="宋体" w:cs="宋体"/>
                <w:szCs w:val="21"/>
                <w:highlight w:val="none"/>
              </w:rPr>
              <w:t>履约保证金金额：按成交金额的</w:t>
            </w:r>
            <w:r>
              <w:rPr>
                <w:rFonts w:hint="eastAsia" w:ascii="宋体" w:hAnsi="宋体" w:cs="宋体"/>
                <w:szCs w:val="21"/>
                <w:highlight w:val="none"/>
                <w:u w:val="single"/>
              </w:rPr>
              <w:t xml:space="preserve">2 </w:t>
            </w:r>
            <w:r>
              <w:rPr>
                <w:rFonts w:hint="eastAsia" w:ascii="宋体" w:hAnsi="宋体" w:cs="宋体"/>
                <w:szCs w:val="21"/>
                <w:highlight w:val="none"/>
              </w:rPr>
              <w:t>%，</w:t>
            </w:r>
            <w:r>
              <w:rPr>
                <w:rFonts w:hint="eastAsia" w:ascii="宋体" w:hAnsi="宋体" w:cs="宋体"/>
                <w:highlight w:val="none"/>
              </w:rPr>
              <w:t>成交供应商在合同签订前支付到采购人指定账户</w:t>
            </w:r>
            <w:r>
              <w:rPr>
                <w:rFonts w:hint="eastAsia" w:ascii="宋体" w:hAnsi="宋体" w:cs="宋体"/>
                <w:szCs w:val="21"/>
                <w:highlight w:val="none"/>
              </w:rPr>
              <w:t>。</w:t>
            </w:r>
          </w:p>
          <w:p>
            <w:pPr>
              <w:spacing w:line="360" w:lineRule="auto"/>
              <w:contextualSpacing/>
              <w:rPr>
                <w:rFonts w:ascii="宋体" w:hAnsi="宋体" w:cs="宋体"/>
                <w:szCs w:val="21"/>
                <w:highlight w:val="none"/>
              </w:rPr>
            </w:pPr>
            <w:r>
              <w:rPr>
                <w:rFonts w:hint="eastAsia" w:ascii="宋体" w:hAnsi="宋体" w:cs="宋体"/>
                <w:szCs w:val="21"/>
                <w:highlight w:val="none"/>
              </w:rPr>
              <w:t>履约保证金提交方式：银行转账、支票、汇票、本票或者银行、保险机构出具的保函等非现金方式。</w:t>
            </w:r>
          </w:p>
          <w:p>
            <w:pPr>
              <w:spacing w:line="360" w:lineRule="auto"/>
              <w:contextualSpacing/>
              <w:rPr>
                <w:rFonts w:ascii="宋体" w:hAnsi="宋体" w:cs="宋体"/>
                <w:szCs w:val="21"/>
                <w:highlight w:val="none"/>
                <w:u w:val="single"/>
              </w:rPr>
            </w:pPr>
            <w:r>
              <w:rPr>
                <w:rFonts w:hint="eastAsia" w:ascii="宋体" w:hAnsi="宋体" w:cs="宋体"/>
                <w:szCs w:val="21"/>
                <w:highlight w:val="none"/>
              </w:rPr>
              <w:t>履约保证金退付方式、时间及条件：</w:t>
            </w:r>
            <w:r>
              <w:rPr>
                <w:rFonts w:hint="eastAsia" w:ascii="宋体" w:hAnsi="宋体" w:cs="宋体"/>
                <w:szCs w:val="21"/>
                <w:highlight w:val="none"/>
                <w:u w:val="single"/>
              </w:rPr>
              <w:t>由成交供应商向履约保证金收取单位提供《广西壮族自治区政府采购项目合同验收书》（详见桂财采〔2015〕22号），保证金收取单位在收到合格材料后5个工作日内办理退还手续（不计利息）。</w:t>
            </w:r>
          </w:p>
          <w:p>
            <w:pPr>
              <w:spacing w:line="360" w:lineRule="auto"/>
              <w:contextualSpacing/>
              <w:rPr>
                <w:rFonts w:ascii="宋体" w:hAnsi="宋体" w:cs="宋体"/>
                <w:szCs w:val="21"/>
                <w:highlight w:val="none"/>
              </w:rPr>
            </w:pPr>
            <w:r>
              <w:rPr>
                <w:rFonts w:hint="eastAsia" w:ascii="宋体" w:hAnsi="宋体" w:cs="宋体"/>
                <w:szCs w:val="21"/>
                <w:highlight w:val="none"/>
              </w:rPr>
              <w:t>履约保证金指定账户：</w:t>
            </w:r>
          </w:p>
          <w:p>
            <w:pPr>
              <w:spacing w:line="360" w:lineRule="auto"/>
              <w:rPr>
                <w:rFonts w:ascii="宋体" w:hAnsi="宋体" w:cs="宋体"/>
                <w:szCs w:val="21"/>
                <w:highlight w:val="none"/>
                <w:u w:val="single"/>
              </w:rPr>
            </w:pPr>
            <w:r>
              <w:rPr>
                <w:rFonts w:hint="eastAsia" w:ascii="宋体" w:hAnsi="宋体" w:cs="宋体"/>
                <w:szCs w:val="21"/>
                <w:highlight w:val="none"/>
              </w:rPr>
              <w:t>开户名称：广西壮族自治区道路运输发展中心</w:t>
            </w:r>
          </w:p>
          <w:p>
            <w:pPr>
              <w:spacing w:line="360" w:lineRule="auto"/>
              <w:rPr>
                <w:rFonts w:ascii="宋体" w:hAnsi="宋体" w:cs="宋体"/>
                <w:szCs w:val="21"/>
                <w:highlight w:val="none"/>
                <w:u w:val="single"/>
              </w:rPr>
            </w:pPr>
            <w:r>
              <w:rPr>
                <w:rFonts w:hint="eastAsia" w:ascii="宋体" w:hAnsi="宋体" w:cs="宋体"/>
                <w:szCs w:val="21"/>
                <w:highlight w:val="none"/>
                <w:u w:val="single"/>
              </w:rPr>
              <w:t>银行账户：2102101109221017081</w:t>
            </w:r>
          </w:p>
          <w:p>
            <w:pPr>
              <w:spacing w:line="360" w:lineRule="auto"/>
              <w:rPr>
                <w:rFonts w:ascii="宋体" w:hAnsi="宋体" w:cs="宋体"/>
                <w:szCs w:val="21"/>
                <w:highlight w:val="none"/>
                <w:u w:val="single"/>
              </w:rPr>
            </w:pPr>
            <w:r>
              <w:rPr>
                <w:rFonts w:hint="eastAsia" w:ascii="宋体" w:hAnsi="宋体" w:cs="宋体"/>
                <w:szCs w:val="21"/>
                <w:highlight w:val="none"/>
                <w:u w:val="single"/>
              </w:rPr>
              <w:t>开户银行：工行南宁市公园支行</w:t>
            </w:r>
          </w:p>
          <w:p>
            <w:pPr>
              <w:spacing w:line="360" w:lineRule="auto"/>
              <w:rPr>
                <w:rFonts w:ascii="宋体" w:hAnsi="宋体" w:cs="宋体"/>
                <w:szCs w:val="21"/>
                <w:highlight w:val="none"/>
                <w:u w:val="single"/>
              </w:rPr>
            </w:pPr>
            <w:r>
              <w:rPr>
                <w:rFonts w:hint="eastAsia" w:ascii="宋体" w:hAnsi="宋体" w:cs="宋体"/>
                <w:szCs w:val="21"/>
                <w:highlight w:val="none"/>
                <w:u w:val="single"/>
              </w:rPr>
              <w:t>行号：102611010117</w:t>
            </w:r>
          </w:p>
          <w:p>
            <w:pPr>
              <w:spacing w:line="360" w:lineRule="auto"/>
              <w:rPr>
                <w:rFonts w:ascii="宋体" w:hAnsi="宋体" w:cs="宋体"/>
                <w:szCs w:val="21"/>
                <w:highlight w:val="none"/>
              </w:rPr>
            </w:pPr>
            <w:r>
              <w:rPr>
                <w:rFonts w:hint="eastAsia" w:ascii="宋体" w:hAnsi="宋体" w:cs="宋体"/>
                <w:szCs w:val="21"/>
                <w:highlight w:val="none"/>
              </w:rPr>
              <w:t>备注：</w:t>
            </w:r>
          </w:p>
          <w:p>
            <w:pPr>
              <w:spacing w:line="360" w:lineRule="auto"/>
              <w:rPr>
                <w:rFonts w:ascii="宋体" w:hAnsi="宋体" w:cs="宋体"/>
                <w:b/>
                <w:szCs w:val="21"/>
                <w:highlight w:val="none"/>
              </w:rPr>
            </w:pPr>
            <w:r>
              <w:rPr>
                <w:rFonts w:hint="eastAsia" w:ascii="宋体" w:hAnsi="宋体" w:cs="宋体"/>
                <w:b/>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ascii="宋体" w:hAnsi="宋体" w:cs="宋体"/>
                <w:b/>
                <w:szCs w:val="21"/>
                <w:highlight w:val="none"/>
              </w:rPr>
            </w:pPr>
            <w:r>
              <w:rPr>
                <w:rFonts w:hint="eastAsia" w:ascii="宋体" w:hAnsi="宋体" w:cs="宋体"/>
                <w:b/>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ascii="宋体" w:hAnsi="宋体" w:cs="宋体"/>
                <w:b/>
                <w:szCs w:val="21"/>
                <w:highlight w:val="none"/>
              </w:rPr>
            </w:pPr>
            <w:r>
              <w:rPr>
                <w:rFonts w:hint="eastAsia" w:ascii="宋体" w:hAnsi="宋体" w:cs="宋体"/>
                <w:b/>
                <w:szCs w:val="21"/>
                <w:highlight w:val="none"/>
              </w:rPr>
              <w:t>3.采用金融、担保机构出具保函的，必须为无条件保函，否则视为未按规定提交履约保证金。开具银行保函的银行，应是具有办理相关业务资格的银行业法人及分支机构。办理保证保险的保险公司，应是经银保监会批准可以经营保证保险业务的保险公司及分支机构。开具担保保函的工程担保公司应是具有金融监管机构颁发的担保业务经营许可证。</w:t>
            </w:r>
          </w:p>
          <w:p>
            <w:pPr>
              <w:spacing w:line="360" w:lineRule="auto"/>
              <w:rPr>
                <w:rFonts w:ascii="宋体" w:hAnsi="宋体" w:cs="宋体"/>
                <w:szCs w:val="21"/>
                <w:highlight w:val="none"/>
              </w:rPr>
            </w:pPr>
            <w:r>
              <w:rPr>
                <w:rFonts w:hint="eastAsia" w:ascii="宋体" w:hAnsi="宋体" w:cs="宋体"/>
                <w:b/>
                <w:szCs w:val="21"/>
                <w:highlight w:val="none"/>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29.5</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签订合同携带的材料</w:t>
            </w:r>
          </w:p>
        </w:tc>
        <w:tc>
          <w:tcPr>
            <w:tcW w:w="6869" w:type="dxa"/>
            <w:vAlign w:val="center"/>
          </w:tcPr>
          <w:p>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1、委托代理人负责签订合同的，须携带有效的法定代表人授权委托书及其委托代理人身份证原件等其他资格证件。</w:t>
            </w:r>
          </w:p>
          <w:p>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2、法定代表人负责签订合同的，须携带法定代表人身份证明原件及身份证原件等其他证明材料。</w:t>
            </w:r>
          </w:p>
          <w:p>
            <w:pPr>
              <w:autoSpaceDE w:val="0"/>
              <w:autoSpaceDN w:val="0"/>
              <w:snapToGrid w:val="0"/>
              <w:spacing w:line="360" w:lineRule="auto"/>
              <w:textAlignment w:val="bottom"/>
              <w:rPr>
                <w:rFonts w:ascii="宋体" w:hAnsi="宋体" w:cs="宋体"/>
                <w:highlight w:val="none"/>
              </w:rPr>
            </w:pPr>
            <w:r>
              <w:rPr>
                <w:rFonts w:hint="eastAsia" w:ascii="宋体" w:hAnsi="宋体" w:cs="宋体"/>
                <w:szCs w:val="21"/>
                <w:highlight w:val="none"/>
              </w:rPr>
              <w:t>3、电子采购合同需要供应商通过有效CA证书进行电子签名与签章。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31.2</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接收质疑函方式</w:t>
            </w:r>
          </w:p>
        </w:tc>
        <w:tc>
          <w:tcPr>
            <w:tcW w:w="6869" w:type="dxa"/>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ascii="宋体" w:hAnsi="宋体" w:cs="宋体"/>
                <w:szCs w:val="21"/>
                <w:highlight w:val="none"/>
              </w:rPr>
            </w:pP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质疑联系部门及联系方式</w:t>
            </w:r>
          </w:p>
        </w:tc>
        <w:tc>
          <w:tcPr>
            <w:tcW w:w="6869" w:type="dxa"/>
            <w:vAlign w:val="center"/>
          </w:tcPr>
          <w:p>
            <w:pPr>
              <w:numPr>
                <w:ilvl w:val="0"/>
                <w:numId w:val="2"/>
              </w:numPr>
              <w:snapToGrid w:val="0"/>
              <w:spacing w:line="360" w:lineRule="auto"/>
              <w:rPr>
                <w:rFonts w:ascii="宋体" w:hAnsi="宋体" w:cs="宋体"/>
                <w:szCs w:val="21"/>
                <w:highlight w:val="none"/>
              </w:rPr>
            </w:pPr>
            <w:bookmarkStart w:id="71" w:name="PO_3000001868_PM031_3"/>
            <w:r>
              <w:rPr>
                <w:rFonts w:hint="eastAsia" w:ascii="宋体" w:hAnsi="宋体" w:cs="宋体"/>
                <w:szCs w:val="21"/>
                <w:highlight w:val="none"/>
              </w:rPr>
              <w:t>名称：</w:t>
            </w:r>
            <w:bookmarkEnd w:id="71"/>
            <w:r>
              <w:rPr>
                <w:rFonts w:hint="eastAsia" w:ascii="宋体" w:hAnsi="宋体" w:cs="宋体"/>
                <w:highlight w:val="none"/>
              </w:rPr>
              <w:t>广西壮族自治区道路运输发展中心</w:t>
            </w:r>
          </w:p>
          <w:p>
            <w:pPr>
              <w:snapToGrid w:val="0"/>
              <w:spacing w:line="360" w:lineRule="auto"/>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highlight w:val="none"/>
              </w:rPr>
              <w:t>0771-2115425</w:t>
            </w:r>
          </w:p>
          <w:p>
            <w:pPr>
              <w:snapToGrid w:val="0"/>
              <w:spacing w:line="360" w:lineRule="auto"/>
              <w:rPr>
                <w:rFonts w:ascii="宋体" w:hAnsi="宋体" w:cs="宋体"/>
                <w:szCs w:val="21"/>
                <w:highlight w:val="none"/>
              </w:rPr>
            </w:pPr>
            <w:r>
              <w:rPr>
                <w:rFonts w:hint="eastAsia" w:ascii="宋体" w:hAnsi="宋体" w:cs="宋体"/>
                <w:szCs w:val="21"/>
                <w:highlight w:val="none"/>
              </w:rPr>
              <w:t>通讯地址：南宁青秀区厢竹大道4号</w:t>
            </w:r>
          </w:p>
          <w:p>
            <w:pPr>
              <w:snapToGrid w:val="0"/>
              <w:spacing w:line="360" w:lineRule="auto"/>
              <w:rPr>
                <w:rFonts w:ascii="宋体" w:hAnsi="宋体" w:cs="宋体"/>
                <w:szCs w:val="21"/>
                <w:highlight w:val="none"/>
              </w:rPr>
            </w:pPr>
            <w:r>
              <w:rPr>
                <w:rFonts w:hint="eastAsia" w:ascii="宋体" w:hAnsi="宋体" w:cs="宋体"/>
                <w:szCs w:val="21"/>
                <w:highlight w:val="none"/>
              </w:rPr>
              <w:t>（2）名称：</w:t>
            </w:r>
            <w:r>
              <w:rPr>
                <w:rFonts w:hint="eastAsia" w:ascii="宋体" w:hAnsi="宋体" w:cs="宋体"/>
                <w:highlight w:val="none"/>
              </w:rPr>
              <w:t>广西建设工程机电设备招标中心有限公司</w:t>
            </w:r>
          </w:p>
          <w:p>
            <w:pPr>
              <w:snapToGrid w:val="0"/>
              <w:spacing w:line="360" w:lineRule="auto"/>
              <w:rPr>
                <w:rFonts w:ascii="宋体" w:hAnsi="宋体" w:cs="宋体"/>
                <w:highlight w:val="none"/>
              </w:rPr>
            </w:pPr>
            <w:r>
              <w:rPr>
                <w:rFonts w:hint="eastAsia" w:ascii="宋体" w:hAnsi="宋体" w:cs="宋体"/>
                <w:szCs w:val="21"/>
                <w:highlight w:val="none"/>
              </w:rPr>
              <w:t>联系地址：南宁市良庆区凯旋路15号南宁绿地中心5号楼6楼612</w:t>
            </w:r>
            <w:r>
              <w:rPr>
                <w:rFonts w:hint="eastAsia" w:ascii="宋体" w:hAnsi="宋体" w:cs="宋体"/>
                <w:highlight w:val="none"/>
              </w:rPr>
              <w:t>室</w:t>
            </w:r>
          </w:p>
          <w:p>
            <w:pPr>
              <w:snapToGrid w:val="0"/>
              <w:spacing w:line="360" w:lineRule="auto"/>
              <w:rPr>
                <w:rFonts w:ascii="宋体" w:hAnsi="宋体" w:cs="宋体"/>
                <w:szCs w:val="21"/>
                <w:highlight w:val="none"/>
              </w:rPr>
            </w:pPr>
            <w:r>
              <w:rPr>
                <w:rFonts w:hint="eastAsia" w:ascii="宋体" w:hAnsi="宋体" w:cs="宋体"/>
                <w:szCs w:val="21"/>
                <w:highlight w:val="none"/>
              </w:rPr>
              <w:t>联系电话：0771-2804614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963" w:type="dxa"/>
            <w:vMerge w:val="continue"/>
            <w:vAlign w:val="center"/>
          </w:tcPr>
          <w:p>
            <w:pPr>
              <w:spacing w:line="360" w:lineRule="auto"/>
              <w:jc w:val="center"/>
              <w:rPr>
                <w:rFonts w:ascii="宋体" w:hAnsi="宋体" w:cs="宋体"/>
                <w:szCs w:val="21"/>
                <w:highlight w:val="none"/>
              </w:rPr>
            </w:pPr>
          </w:p>
        </w:tc>
        <w:tc>
          <w:tcPr>
            <w:tcW w:w="1937" w:type="dxa"/>
            <w:vAlign w:val="center"/>
          </w:tcPr>
          <w:p>
            <w:pPr>
              <w:spacing w:line="360" w:lineRule="auto"/>
              <w:jc w:val="center"/>
              <w:rPr>
                <w:rFonts w:ascii="宋体" w:hAnsi="宋体" w:cs="宋体"/>
                <w:highlight w:val="none"/>
              </w:rPr>
            </w:pPr>
            <w:r>
              <w:rPr>
                <w:rFonts w:hint="eastAsia" w:ascii="宋体" w:hAnsi="宋体" w:cs="宋体"/>
                <w:highlight w:val="none"/>
              </w:rPr>
              <w:t>现场提交质疑办理业务</w:t>
            </w:r>
          </w:p>
          <w:p>
            <w:pPr>
              <w:spacing w:line="360" w:lineRule="auto"/>
              <w:jc w:val="center"/>
              <w:rPr>
                <w:rFonts w:ascii="宋体" w:hAnsi="宋体" w:cs="宋体"/>
                <w:szCs w:val="21"/>
                <w:highlight w:val="none"/>
              </w:rPr>
            </w:pPr>
            <w:r>
              <w:rPr>
                <w:rFonts w:hint="eastAsia" w:ascii="宋体" w:hAnsi="宋体" w:cs="宋体"/>
                <w:highlight w:val="none"/>
              </w:rPr>
              <w:t>时间</w:t>
            </w:r>
          </w:p>
        </w:tc>
        <w:tc>
          <w:tcPr>
            <w:tcW w:w="6869" w:type="dxa"/>
            <w:vAlign w:val="center"/>
          </w:tcPr>
          <w:p>
            <w:pPr>
              <w:snapToGrid w:val="0"/>
              <w:spacing w:line="360" w:lineRule="auto"/>
              <w:rPr>
                <w:rFonts w:ascii="宋体" w:hAnsi="宋体" w:cs="宋体"/>
                <w:szCs w:val="21"/>
                <w:highlight w:val="none"/>
              </w:rPr>
            </w:pPr>
            <w:r>
              <w:rPr>
                <w:rFonts w:hint="eastAsia" w:ascii="宋体" w:hAnsi="宋体" w:cs="宋体"/>
                <w:highlight w:val="none"/>
              </w:rPr>
              <w:t>质疑期内每个工作日（北京时间）上午8时00分到12时00分，下午15时00分到18时00分。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31.6</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受理投诉方式</w:t>
            </w:r>
          </w:p>
        </w:tc>
        <w:tc>
          <w:tcPr>
            <w:tcW w:w="6869" w:type="dxa"/>
            <w:vAlign w:val="center"/>
          </w:tcPr>
          <w:p>
            <w:pPr>
              <w:snapToGrid w:val="0"/>
              <w:spacing w:line="360" w:lineRule="auto"/>
              <w:rPr>
                <w:rFonts w:ascii="宋体" w:hAnsi="宋体" w:cs="宋体"/>
                <w:highlight w:val="none"/>
              </w:rPr>
            </w:pPr>
            <w:r>
              <w:rPr>
                <w:rFonts w:hint="eastAsia" w:ascii="宋体" w:hAnsi="宋体" w:cs="宋体"/>
                <w:highlight w:val="none"/>
              </w:rPr>
              <w:t>1、受理方式：纸质方式受理，投诉书正、副本（经过质疑的事项才可投诉）。</w:t>
            </w:r>
          </w:p>
          <w:p>
            <w:pPr>
              <w:snapToGrid w:val="0"/>
              <w:spacing w:line="360" w:lineRule="auto"/>
              <w:rPr>
                <w:rFonts w:ascii="宋体" w:hAnsi="宋体" w:cs="宋体"/>
                <w:highlight w:val="none"/>
              </w:rPr>
            </w:pPr>
            <w:r>
              <w:rPr>
                <w:rFonts w:hint="eastAsia" w:ascii="宋体" w:hAnsi="宋体" w:cs="宋体"/>
                <w:highlight w:val="none"/>
              </w:rPr>
              <w:t>2、通讯方式</w:t>
            </w:r>
          </w:p>
          <w:p>
            <w:pPr>
              <w:snapToGrid w:val="0"/>
              <w:spacing w:line="360" w:lineRule="auto"/>
              <w:rPr>
                <w:rFonts w:ascii="宋体" w:hAnsi="宋体" w:cs="宋体"/>
                <w:highlight w:val="none"/>
              </w:rPr>
            </w:pPr>
            <w:r>
              <w:rPr>
                <w:rFonts w:hint="eastAsia" w:ascii="宋体" w:hAnsi="宋体" w:cs="宋体"/>
                <w:highlight w:val="none"/>
              </w:rPr>
              <w:t xml:space="preserve">名称： 广西壮族自治区财政厅 </w:t>
            </w:r>
          </w:p>
          <w:p>
            <w:pPr>
              <w:snapToGrid w:val="0"/>
              <w:spacing w:line="360" w:lineRule="auto"/>
              <w:rPr>
                <w:rFonts w:ascii="宋体" w:hAnsi="宋体" w:cs="宋体"/>
                <w:highlight w:val="none"/>
              </w:rPr>
            </w:pPr>
            <w:r>
              <w:rPr>
                <w:rFonts w:hint="eastAsia" w:ascii="宋体" w:hAnsi="宋体" w:cs="宋体"/>
                <w:highlight w:val="none"/>
              </w:rPr>
              <w:t xml:space="preserve">地址： 南宁市青秀区桃源路69号 </w:t>
            </w:r>
          </w:p>
          <w:p>
            <w:pPr>
              <w:snapToGrid w:val="0"/>
              <w:spacing w:line="360" w:lineRule="auto"/>
              <w:rPr>
                <w:rFonts w:ascii="宋体" w:hAnsi="宋体" w:cs="宋体"/>
                <w:highlight w:val="none"/>
              </w:rPr>
            </w:pPr>
            <w:r>
              <w:rPr>
                <w:rFonts w:hint="eastAsia" w:ascii="宋体" w:hAnsi="宋体" w:cs="宋体"/>
                <w:highlight w:val="none"/>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33</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采购代理服务费</w:t>
            </w:r>
          </w:p>
        </w:tc>
        <w:tc>
          <w:tcPr>
            <w:tcW w:w="6869" w:type="dxa"/>
            <w:vAlign w:val="center"/>
          </w:tcPr>
          <w:p>
            <w:pPr>
              <w:pStyle w:val="21"/>
              <w:snapToGrid w:val="0"/>
              <w:spacing w:line="360" w:lineRule="auto"/>
              <w:rPr>
                <w:rFonts w:hAnsi="宋体" w:cs="宋体"/>
                <w:sz w:val="21"/>
                <w:highlight w:val="none"/>
              </w:rPr>
            </w:pPr>
            <w:r>
              <w:rPr>
                <w:rFonts w:hint="eastAsia" w:hAnsi="宋体" w:cs="宋体"/>
                <w:sz w:val="21"/>
                <w:highlight w:val="none"/>
              </w:rPr>
              <w:t>1.采购代理费支付方式：</w:t>
            </w:r>
          </w:p>
          <w:p>
            <w:pPr>
              <w:pStyle w:val="21"/>
              <w:snapToGrid w:val="0"/>
              <w:spacing w:line="360" w:lineRule="auto"/>
              <w:rPr>
                <w:rFonts w:hAnsi="宋体" w:cs="宋体"/>
                <w:sz w:val="21"/>
                <w:highlight w:val="none"/>
              </w:rPr>
            </w:pPr>
            <w:r>
              <w:rPr>
                <w:rFonts w:hint="eastAsia" w:hAnsi="宋体" w:cs="宋体"/>
                <w:sz w:val="21"/>
                <w:highlight w:val="none"/>
              </w:rPr>
              <w:t>☑本项目代理服务费由</w:t>
            </w:r>
            <w:r>
              <w:rPr>
                <w:rFonts w:hint="eastAsia" w:hAnsi="宋体" w:cs="宋体"/>
                <w:sz w:val="21"/>
                <w:highlight w:val="none"/>
                <w:u w:val="single"/>
              </w:rPr>
              <w:t>成交供应商</w:t>
            </w:r>
            <w:r>
              <w:rPr>
                <w:rFonts w:hint="eastAsia" w:hAnsi="宋体" w:cs="宋体"/>
                <w:sz w:val="21"/>
                <w:highlight w:val="none"/>
              </w:rPr>
              <w:t>领取成交通知书前，一次性向采购代理机构支付。</w:t>
            </w:r>
          </w:p>
          <w:p>
            <w:pPr>
              <w:pStyle w:val="21"/>
              <w:snapToGrid w:val="0"/>
              <w:spacing w:line="360" w:lineRule="auto"/>
              <w:rPr>
                <w:rFonts w:hAnsi="宋体" w:cs="宋体"/>
                <w:sz w:val="21"/>
                <w:highlight w:val="none"/>
              </w:rPr>
            </w:pPr>
            <w:r>
              <w:rPr>
                <w:rFonts w:hint="eastAsia" w:hAnsi="宋体" w:cs="宋体"/>
                <w:sz w:val="21"/>
                <w:highlight w:val="none"/>
              </w:rPr>
              <w:t>□采购人支付。</w:t>
            </w:r>
          </w:p>
          <w:p>
            <w:pPr>
              <w:pStyle w:val="21"/>
              <w:snapToGrid w:val="0"/>
              <w:spacing w:line="360" w:lineRule="auto"/>
              <w:rPr>
                <w:rFonts w:hAnsi="宋体" w:cs="宋体"/>
                <w:sz w:val="21"/>
                <w:highlight w:val="none"/>
              </w:rPr>
            </w:pPr>
            <w:r>
              <w:rPr>
                <w:rFonts w:hint="eastAsia" w:hAnsi="宋体" w:cs="宋体"/>
                <w:sz w:val="21"/>
                <w:highlight w:val="none"/>
              </w:rPr>
              <w:t>2.采购代理费收取标准：</w:t>
            </w:r>
          </w:p>
          <w:p>
            <w:pPr>
              <w:pStyle w:val="21"/>
              <w:snapToGrid w:val="0"/>
              <w:spacing w:line="360" w:lineRule="auto"/>
              <w:rPr>
                <w:rFonts w:hAnsi="宋体" w:cs="宋体"/>
                <w:sz w:val="21"/>
                <w:highlight w:val="none"/>
              </w:rPr>
            </w:pPr>
            <w:r>
              <w:rPr>
                <w:rFonts w:hint="eastAsia" w:hAnsi="宋体" w:cs="宋体"/>
                <w:sz w:val="21"/>
                <w:highlight w:val="none"/>
              </w:rPr>
              <w:t>☑以项目（☑成交金额/□采购预算/□暂定成交金额/□其他）为计费额，按本须知正文第32.2条规定的收费计算标准（□货物类/</w:t>
            </w:r>
            <w:r>
              <w:rPr>
                <w:rFonts w:hint="eastAsia" w:hAnsi="宋体" w:cs="宋体"/>
                <w:highlight w:val="none"/>
              </w:rPr>
              <w:t xml:space="preserve"> </w:t>
            </w:r>
            <w:r>
              <w:rPr>
                <w:rFonts w:hint="eastAsia" w:hAnsi="宋体" w:cs="宋体"/>
                <w:sz w:val="21"/>
                <w:highlight w:val="none"/>
              </w:rPr>
              <w:t>☑服务类/□工程类）采用差额定率累进法计算出收费基准价格，采购代理收费以（☑收费基准价格/□收费基准价格下浮</w:t>
            </w:r>
            <w:r>
              <w:rPr>
                <w:rFonts w:hint="eastAsia" w:hAnsi="宋体" w:cs="宋体"/>
                <w:sz w:val="21"/>
                <w:highlight w:val="none"/>
                <w:u w:val="single"/>
              </w:rPr>
              <w:t xml:space="preserve">    %</w:t>
            </w:r>
            <w:r>
              <w:rPr>
                <w:rFonts w:hint="eastAsia" w:hAnsi="宋体" w:cs="宋体"/>
                <w:sz w:val="21"/>
                <w:highlight w:val="none"/>
              </w:rPr>
              <w:t>/□收费基准价格上浮</w:t>
            </w:r>
            <w:r>
              <w:rPr>
                <w:rFonts w:hint="eastAsia" w:hAnsi="宋体" w:cs="宋体"/>
                <w:sz w:val="21"/>
                <w:highlight w:val="none"/>
                <w:u w:val="single"/>
              </w:rPr>
              <w:t xml:space="preserve">   %</w:t>
            </w:r>
            <w:r>
              <w:rPr>
                <w:rFonts w:hint="eastAsia" w:hAnsi="宋体" w:cs="宋体"/>
                <w:sz w:val="21"/>
                <w:highlight w:val="none"/>
              </w:rPr>
              <w:t>）收取</w:t>
            </w:r>
            <w:r>
              <w:rPr>
                <w:rFonts w:hint="eastAsia" w:hAnsi="宋体" w:cs="宋体"/>
                <w:sz w:val="21"/>
                <w:highlight w:val="none"/>
                <w:lang w:eastAsia="zh-CN"/>
              </w:rPr>
              <w:t>，如代理服务费低于人民币伍仟元整的，按人民币伍仟元整计算收取</w:t>
            </w:r>
            <w:r>
              <w:rPr>
                <w:rFonts w:hint="eastAsia" w:hAnsi="宋体" w:cs="宋体"/>
                <w:sz w:val="21"/>
                <w:highlight w:val="none"/>
              </w:rPr>
              <w:t>。</w:t>
            </w:r>
          </w:p>
          <w:p>
            <w:pPr>
              <w:pStyle w:val="21"/>
              <w:snapToGrid w:val="0"/>
              <w:spacing w:line="360" w:lineRule="auto"/>
              <w:rPr>
                <w:rFonts w:hAnsi="宋体" w:cs="宋体"/>
                <w:sz w:val="21"/>
                <w:highlight w:val="none"/>
                <w:u w:val="single"/>
              </w:rPr>
            </w:pPr>
            <w:r>
              <w:rPr>
                <w:rFonts w:hint="eastAsia" w:hAnsi="宋体" w:cs="宋体"/>
                <w:sz w:val="21"/>
                <w:highlight w:val="none"/>
              </w:rPr>
              <w:t>□固定采购代理收费</w:t>
            </w:r>
            <w:r>
              <w:rPr>
                <w:rFonts w:hint="eastAsia" w:hAnsi="宋体" w:cs="宋体"/>
                <w:sz w:val="21"/>
                <w:highlight w:val="none"/>
                <w:u w:val="single"/>
              </w:rPr>
              <w:t xml:space="preserve">              。</w:t>
            </w:r>
          </w:p>
          <w:p>
            <w:pPr>
              <w:pStyle w:val="21"/>
              <w:snapToGrid w:val="0"/>
              <w:spacing w:line="360" w:lineRule="auto"/>
              <w:rPr>
                <w:rFonts w:hAnsi="宋体" w:cs="宋体"/>
                <w:sz w:val="21"/>
                <w:highlight w:val="none"/>
              </w:rPr>
            </w:pPr>
            <w:r>
              <w:rPr>
                <w:rFonts w:hint="eastAsia" w:hAnsi="宋体" w:cs="宋体"/>
                <w:sz w:val="21"/>
                <w:highlight w:val="none"/>
              </w:rPr>
              <w:t>3. 采购代理费收取银行账户</w:t>
            </w:r>
          </w:p>
          <w:p>
            <w:pPr>
              <w:pStyle w:val="21"/>
              <w:snapToGrid w:val="0"/>
              <w:spacing w:line="360" w:lineRule="auto"/>
              <w:rPr>
                <w:rFonts w:hAnsi="宋体" w:cs="宋体"/>
                <w:sz w:val="21"/>
                <w:highlight w:val="none"/>
              </w:rPr>
            </w:pPr>
            <w:r>
              <w:rPr>
                <w:rFonts w:hint="eastAsia" w:hAnsi="宋体" w:cs="宋体"/>
                <w:sz w:val="21"/>
                <w:highlight w:val="none"/>
              </w:rPr>
              <w:t>开户名称：广西建设工程机电设备招标中心有限公司</w:t>
            </w:r>
          </w:p>
          <w:p>
            <w:pPr>
              <w:pStyle w:val="21"/>
              <w:snapToGrid w:val="0"/>
              <w:spacing w:line="360" w:lineRule="auto"/>
              <w:rPr>
                <w:rFonts w:hAnsi="宋体" w:cs="宋体"/>
                <w:sz w:val="21"/>
                <w:highlight w:val="none"/>
              </w:rPr>
            </w:pPr>
            <w:r>
              <w:rPr>
                <w:rFonts w:hint="eastAsia" w:hAnsi="宋体" w:cs="宋体"/>
                <w:sz w:val="21"/>
                <w:highlight w:val="none"/>
              </w:rPr>
              <w:t>开户银行：招商银行南宁分行营业部</w:t>
            </w:r>
          </w:p>
          <w:p>
            <w:pPr>
              <w:pStyle w:val="21"/>
              <w:snapToGrid w:val="0"/>
              <w:spacing w:line="360" w:lineRule="auto"/>
              <w:rPr>
                <w:rFonts w:hAnsi="宋体" w:cs="宋体"/>
                <w:sz w:val="21"/>
                <w:highlight w:val="none"/>
              </w:rPr>
            </w:pPr>
            <w:r>
              <w:rPr>
                <w:rFonts w:hint="eastAsia" w:hAnsi="宋体" w:cs="宋体"/>
                <w:sz w:val="21"/>
                <w:highlight w:val="none"/>
              </w:rPr>
              <w:t>银行账号：771901423310201</w:t>
            </w:r>
          </w:p>
          <w:p>
            <w:pPr>
              <w:snapToGrid w:val="0"/>
              <w:spacing w:line="360" w:lineRule="auto"/>
              <w:rPr>
                <w:rFonts w:ascii="宋体" w:hAnsi="宋体" w:cs="宋体"/>
                <w:kern w:val="0"/>
                <w:szCs w:val="21"/>
                <w:highlight w:val="none"/>
              </w:rPr>
            </w:pPr>
            <w:r>
              <w:rPr>
                <w:rFonts w:hint="eastAsia" w:ascii="宋体" w:hAnsi="宋体" w:cs="宋体"/>
                <w:b/>
                <w:bCs/>
                <w:highlight w:val="none"/>
              </w:rPr>
              <w:t>备注信息：（</w:t>
            </w:r>
            <w:r>
              <w:rPr>
                <w:rFonts w:hint="eastAsia" w:ascii="宋体" w:hAnsi="宋体" w:cs="宋体"/>
                <w:szCs w:val="21"/>
                <w:highlight w:val="none"/>
                <w:lang w:eastAsia="zh-CN"/>
              </w:rPr>
              <w:t>GXZC2024-C3-003406-JGJD</w:t>
            </w:r>
            <w:r>
              <w:rPr>
                <w:rFonts w:hint="eastAsia" w:ascii="宋体" w:hAnsi="宋体" w:cs="宋体"/>
                <w:b/>
                <w:bCs/>
                <w:highlight w:val="none"/>
              </w:rPr>
              <w:t>）代理服务费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34.1</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highlight w:val="none"/>
              </w:rPr>
              <w:t>解释</w:t>
            </w:r>
          </w:p>
        </w:tc>
        <w:tc>
          <w:tcPr>
            <w:tcW w:w="6869" w:type="dxa"/>
            <w:vAlign w:val="center"/>
          </w:tcPr>
          <w:p>
            <w:pPr>
              <w:snapToGrid w:val="0"/>
              <w:spacing w:line="400" w:lineRule="exact"/>
              <w:rPr>
                <w:rFonts w:ascii="宋体" w:hAnsi="宋体" w:cs="宋体"/>
                <w:b/>
                <w:kern w:val="0"/>
                <w:szCs w:val="21"/>
                <w:highlight w:val="none"/>
              </w:rPr>
            </w:pPr>
            <w:r>
              <w:rPr>
                <w:rFonts w:hint="eastAsia" w:ascii="宋体" w:hAnsi="宋体" w:cs="宋体"/>
                <w:b/>
                <w:kern w:val="0"/>
                <w:szCs w:val="21"/>
                <w:highlight w:val="none"/>
              </w:rPr>
              <w:t>解释：</w:t>
            </w:r>
            <w:r>
              <w:rPr>
                <w:rFonts w:hint="eastAsia" w:ascii="宋体" w:hAnsi="宋体" w:cs="宋体"/>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kern w:val="0"/>
                <w:szCs w:val="21"/>
                <w:highlight w:val="none"/>
              </w:rPr>
              <w:t>由采购人或者采购代理机构负责解释。</w:t>
            </w:r>
          </w:p>
          <w:p>
            <w:pPr>
              <w:snapToGrid w:val="0"/>
              <w:spacing w:line="400" w:lineRule="exact"/>
              <w:rPr>
                <w:rFonts w:ascii="宋体" w:hAnsi="宋体" w:cs="宋体"/>
                <w:b/>
                <w:kern w:val="0"/>
                <w:szCs w:val="21"/>
                <w:highlight w:val="none"/>
              </w:rPr>
            </w:pPr>
            <w:r>
              <w:rPr>
                <w:rFonts w:hint="eastAsia" w:ascii="宋体" w:hAnsi="宋体" w:cs="宋体"/>
                <w:b/>
                <w:kern w:val="0"/>
                <w:szCs w:val="21"/>
                <w:highlight w:val="none"/>
              </w:rPr>
              <w:t>法律责任：</w:t>
            </w:r>
          </w:p>
          <w:p>
            <w:pPr>
              <w:snapToGrid w:val="0"/>
              <w:spacing w:line="400" w:lineRule="exact"/>
              <w:rPr>
                <w:rFonts w:ascii="宋体" w:hAnsi="宋体" w:cs="宋体"/>
                <w:kern w:val="0"/>
                <w:szCs w:val="21"/>
                <w:highlight w:val="none"/>
              </w:rPr>
            </w:pPr>
            <w:r>
              <w:rPr>
                <w:rFonts w:hint="eastAsia" w:ascii="宋体" w:hAnsi="宋体" w:cs="宋体"/>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34.2</w:t>
            </w:r>
          </w:p>
        </w:tc>
        <w:tc>
          <w:tcPr>
            <w:tcW w:w="193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其他</w:t>
            </w:r>
          </w:p>
        </w:tc>
        <w:tc>
          <w:tcPr>
            <w:tcW w:w="6869" w:type="dxa"/>
            <w:vAlign w:val="center"/>
          </w:tcPr>
          <w:p>
            <w:pPr>
              <w:pStyle w:val="14"/>
              <w:spacing w:line="400" w:lineRule="exact"/>
              <w:ind w:firstLine="420" w:firstLineChars="200"/>
              <w:rPr>
                <w:rFonts w:ascii="宋体" w:hAnsi="宋体" w:cs="宋体"/>
                <w:szCs w:val="21"/>
                <w:highlight w:val="none"/>
              </w:rPr>
            </w:pPr>
            <w:r>
              <w:rPr>
                <w:rFonts w:hint="eastAsia" w:ascii="宋体" w:hAnsi="宋体" w:cs="宋体"/>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pPr>
              <w:pStyle w:val="14"/>
              <w:spacing w:line="400" w:lineRule="exact"/>
              <w:ind w:firstLine="420" w:firstLineChars="200"/>
              <w:rPr>
                <w:rFonts w:ascii="宋体" w:hAnsi="宋体" w:cs="宋体"/>
                <w:szCs w:val="21"/>
                <w:highlight w:val="none"/>
              </w:rPr>
            </w:pPr>
            <w:r>
              <w:rPr>
                <w:rFonts w:hint="eastAsia" w:ascii="宋体" w:hAnsi="宋体" w:cs="宋体"/>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pPr>
              <w:pStyle w:val="14"/>
              <w:tabs>
                <w:tab w:val="center" w:pos="4153"/>
                <w:tab w:val="right" w:pos="8306"/>
              </w:tabs>
              <w:spacing w:line="400" w:lineRule="exact"/>
              <w:ind w:firstLine="420" w:firstLineChars="200"/>
              <w:rPr>
                <w:rFonts w:ascii="宋体" w:hAnsi="宋体" w:cs="宋体"/>
                <w:szCs w:val="21"/>
                <w:highlight w:val="none"/>
              </w:rPr>
            </w:pPr>
            <w:r>
              <w:rPr>
                <w:rFonts w:hint="eastAsia" w:ascii="宋体" w:hAnsi="宋体" w:cs="宋体"/>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4"/>
              <w:spacing w:line="400" w:lineRule="exact"/>
              <w:ind w:firstLine="420" w:firstLineChars="200"/>
              <w:rPr>
                <w:rFonts w:ascii="宋体" w:hAnsi="宋体" w:cs="宋体"/>
                <w:szCs w:val="21"/>
                <w:highlight w:val="none"/>
              </w:rPr>
            </w:pPr>
            <w:r>
              <w:rPr>
                <w:rFonts w:hint="eastAsia" w:ascii="宋体" w:hAnsi="宋体" w:cs="宋体"/>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4"/>
              <w:spacing w:line="400" w:lineRule="exact"/>
              <w:ind w:firstLine="420" w:firstLineChars="200"/>
              <w:rPr>
                <w:rFonts w:ascii="宋体" w:hAnsi="宋体" w:cs="宋体"/>
                <w:szCs w:val="21"/>
                <w:highlight w:val="none"/>
              </w:rPr>
            </w:pPr>
            <w:r>
              <w:rPr>
                <w:rFonts w:hint="eastAsia" w:ascii="宋体" w:hAnsi="宋体" w:cs="宋体"/>
                <w:szCs w:val="21"/>
                <w:highlight w:val="none"/>
              </w:rPr>
              <w:t>5.自然人竞标的，竞争性磋商文件规定盖公章处由自然人摁手指指印。</w:t>
            </w:r>
          </w:p>
          <w:p>
            <w:pPr>
              <w:snapToGrid w:val="0"/>
              <w:spacing w:line="400" w:lineRule="exact"/>
              <w:rPr>
                <w:rFonts w:ascii="宋体" w:hAnsi="宋体" w:cs="宋体"/>
                <w:kern w:val="0"/>
                <w:szCs w:val="21"/>
                <w:highlight w:val="none"/>
              </w:rPr>
            </w:pPr>
            <w:r>
              <w:rPr>
                <w:rFonts w:hint="eastAsia" w:ascii="宋体" w:hAnsi="宋体" w:cs="宋体"/>
                <w:szCs w:val="21"/>
                <w:highlight w:val="none"/>
              </w:rPr>
              <w:t xml:space="preserve">    6.本竞争性磋商文件所称的“以上”“以下”“以内”“届满”，包括本数；所称的“不满”“超过”“以外”，不包括本数。</w:t>
            </w:r>
          </w:p>
        </w:tc>
      </w:tr>
    </w:tbl>
    <w:p>
      <w:pPr>
        <w:pStyle w:val="4"/>
        <w:spacing w:line="420" w:lineRule="exact"/>
        <w:jc w:val="center"/>
        <w:rPr>
          <w:rFonts w:ascii="宋体" w:hAnsi="宋体" w:cs="宋体"/>
          <w:b w:val="0"/>
          <w:highlight w:val="none"/>
        </w:rPr>
      </w:pPr>
      <w:r>
        <w:rPr>
          <w:rFonts w:hint="eastAsia" w:ascii="宋体" w:hAnsi="宋体" w:cs="宋体"/>
          <w:b w:val="0"/>
          <w:highlight w:val="none"/>
        </w:rPr>
        <w:br w:type="page"/>
      </w:r>
      <w:bookmarkStart w:id="72" w:name="_Toc30957"/>
      <w:bookmarkStart w:id="73" w:name="_Toc80886929"/>
      <w:bookmarkStart w:id="74" w:name="_Toc27094"/>
      <w:r>
        <w:rPr>
          <w:rFonts w:hint="eastAsia" w:ascii="宋体" w:hAnsi="宋体" w:cs="宋体"/>
          <w:b w:val="0"/>
          <w:highlight w:val="none"/>
        </w:rPr>
        <w:t>第二节 供应商须知正文</w:t>
      </w:r>
      <w:bookmarkEnd w:id="72"/>
      <w:bookmarkEnd w:id="73"/>
      <w:bookmarkEnd w:id="74"/>
    </w:p>
    <w:p>
      <w:pPr>
        <w:pStyle w:val="5"/>
        <w:spacing w:before="0" w:after="0" w:line="360" w:lineRule="auto"/>
        <w:ind w:firstLine="640" w:firstLineChars="200"/>
        <w:rPr>
          <w:rFonts w:ascii="宋体" w:hAnsi="宋体" w:cs="宋体"/>
          <w:b w:val="0"/>
          <w:highlight w:val="none"/>
        </w:rPr>
      </w:pPr>
      <w:bookmarkStart w:id="75" w:name="_Toc26166"/>
      <w:bookmarkStart w:id="76" w:name="_Toc80886930"/>
      <w:bookmarkStart w:id="77" w:name="_Toc6457"/>
      <w:r>
        <w:rPr>
          <w:rFonts w:hint="eastAsia" w:ascii="宋体" w:hAnsi="宋体" w:cs="宋体"/>
          <w:b w:val="0"/>
          <w:highlight w:val="none"/>
        </w:rPr>
        <w:t>一、总则</w:t>
      </w:r>
      <w:bookmarkEnd w:id="75"/>
      <w:bookmarkEnd w:id="76"/>
      <w:bookmarkEnd w:id="77"/>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1.适用范围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2.定义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2.1“采购人”是指依法进行政府采购的国家机关、事业单位、团体组织。</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2.4“服务”是指除货物和工程以外的其他政府采购对象。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2.5“竞标”是指供应商按照本项目竞争性磋商公告规定的方式获取磋商文件、提交响应文件并希望获得标的的行为。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2.6“响应文件”</w:t>
      </w:r>
      <w:r>
        <w:rPr>
          <w:rFonts w:hint="eastAsia" w:ascii="宋体" w:hAnsi="宋体" w:cs="宋体"/>
          <w:spacing w:val="-6"/>
          <w:szCs w:val="21"/>
          <w:highlight w:val="none"/>
        </w:rPr>
        <w:t>是指：供应商根据本磋商文件要求，编制包含资格证明、</w:t>
      </w:r>
      <w:r>
        <w:rPr>
          <w:rFonts w:hint="eastAsia" w:ascii="宋体" w:hAnsi="宋体" w:cs="宋体"/>
          <w:szCs w:val="21"/>
          <w:highlight w:val="none"/>
        </w:rPr>
        <w:t>报价文件、商务和技术文件</w:t>
      </w:r>
      <w:r>
        <w:rPr>
          <w:rFonts w:hint="eastAsia" w:ascii="宋体" w:hAnsi="宋体" w:cs="宋体"/>
          <w:spacing w:val="-6"/>
          <w:szCs w:val="21"/>
          <w:highlight w:val="none"/>
        </w:rPr>
        <w:t>等所有内容的文件。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2.8“正偏离”，是指响应文件对磋商文件“采购需求”中有关条款作出的响应优于条款要求并有利于采购人的情形。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2.10“允许负偏离的条款”是指采购需求中的不属于“实质性要求”的条款。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2.12“首次报价”是指供应商提交的首次响应文件中的报价。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2.13“评审报价”是指供应商提交的最后报价并经修正（如有）和政策功能价格扣除（如有）后的价格。</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3.供应商的资格条件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供应商的资格条件详见“供应商须知前附表”。</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4.磋商费用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5.联合体竞标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5.1本项目是否接受联合体竞标，详见“供应商须知前附表”。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5.2</w:t>
      </w:r>
      <w:r>
        <w:rPr>
          <w:rFonts w:hint="eastAsia" w:ascii="宋体" w:hAnsi="宋体" w:cs="宋体"/>
          <w:highlight w:val="none"/>
        </w:rPr>
        <w:t>如接受联合体竞标，</w:t>
      </w:r>
      <w:r>
        <w:rPr>
          <w:rFonts w:hint="eastAsia" w:ascii="宋体" w:hAnsi="宋体" w:cs="宋体"/>
          <w:szCs w:val="21"/>
          <w:highlight w:val="none"/>
        </w:rPr>
        <w:t>联合体竞标要求详见“供应商须知前附表”。</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6.转包与分包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6.1本项目不允许转包。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6.2本项目是否允许分包详见“供应商须知前附表”，本项目不允许违法分包。</w:t>
      </w:r>
    </w:p>
    <w:p>
      <w:pPr>
        <w:spacing w:line="360" w:lineRule="auto"/>
        <w:ind w:firstLine="482" w:firstLineChars="200"/>
        <w:rPr>
          <w:rFonts w:ascii="宋体" w:hAnsi="宋体" w:cs="宋体"/>
          <w:b/>
          <w:bCs/>
          <w:sz w:val="24"/>
          <w:highlight w:val="none"/>
        </w:rPr>
      </w:pPr>
      <w:bookmarkStart w:id="78" w:name="_Toc254970532"/>
      <w:bookmarkStart w:id="79" w:name="_Toc254970673"/>
      <w:r>
        <w:rPr>
          <w:rFonts w:hint="eastAsia" w:ascii="宋体" w:hAnsi="宋体" w:cs="宋体"/>
          <w:b/>
          <w:bCs/>
          <w:sz w:val="24"/>
          <w:highlight w:val="none"/>
        </w:rPr>
        <w:t>7.特别说明</w:t>
      </w:r>
      <w:bookmarkEnd w:id="78"/>
      <w:bookmarkEnd w:id="79"/>
    </w:p>
    <w:p>
      <w:pPr>
        <w:spacing w:line="360" w:lineRule="auto"/>
        <w:ind w:firstLine="420" w:firstLineChars="200"/>
        <w:rPr>
          <w:rFonts w:ascii="宋体" w:hAnsi="宋体" w:cs="宋体"/>
          <w:szCs w:val="21"/>
          <w:highlight w:val="none"/>
        </w:rPr>
      </w:pPr>
      <w:bookmarkStart w:id="80" w:name="_8.1提供相同品牌产品且通过资格审查、符合性审查的不同投标人参加同一合"/>
      <w:bookmarkEnd w:id="80"/>
      <w:r>
        <w:rPr>
          <w:rFonts w:hint="eastAsia" w:ascii="宋体" w:hAnsi="宋体" w:cs="宋体"/>
          <w:szCs w:val="21"/>
          <w:highlight w:val="none"/>
        </w:rPr>
        <w:t>7.1</w:t>
      </w:r>
      <w:bookmarkStart w:id="81" w:name="_Hlk65832145"/>
      <w:r>
        <w:rPr>
          <w:rFonts w:hint="eastAsia" w:ascii="宋体" w:hAnsi="宋体" w:cs="宋体"/>
          <w:szCs w:val="21"/>
          <w:highlight w:val="none"/>
        </w:rPr>
        <w:t>如果本磋商文件要求提供供应商或制造商的资格、信誉、荣誉、业绩与企业认证等材料的，资格、信誉、荣誉、业绩与企业认证等必须为供应商或者制造商所拥有或自身获得 。</w:t>
      </w:r>
    </w:p>
    <w:bookmarkEnd w:id="81"/>
    <w:p>
      <w:pPr>
        <w:spacing w:line="360" w:lineRule="auto"/>
        <w:ind w:firstLine="420" w:firstLineChars="200"/>
        <w:rPr>
          <w:rFonts w:ascii="宋体" w:hAnsi="宋体" w:cs="宋体"/>
          <w:szCs w:val="21"/>
          <w:highlight w:val="none"/>
        </w:rPr>
      </w:pPr>
      <w:r>
        <w:rPr>
          <w:rFonts w:hint="eastAsia" w:ascii="宋体" w:hAnsi="宋体" w:cs="宋体"/>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7.4在政府采购活动中，采购人员及相关人员与供应商有下列利害关系之一的，应当回避：</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（1）参加采购活动前3年内与供应商存在劳动关系；</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（2）参加采购活动前3年内担任供应商的董事、监事；</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（3）参加采购活动前3年内是供应商的控股股东或者实际控制人；</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（4）与供应商的法定代表人或者负责人有夫妻、直系血亲、三代以内旁系血亲或者近姻亲关系；</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（5）与供应商有其他可能影响政府采购活动公平、公正进行的关系。</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7.5有下列情形之一的视为供应商相互串通竞标，响应文件将被视为无效：</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 xml:space="preserve">（1）不同供应商的响应文件由同一单位或者个人编制；或不同供应商报名的IP地址一致的； </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（2）不同供应商委托同一单位或者个人办理竞标事宜；</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（3）不同的供应商的响应文件载明的项目管理员为同一个人；</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（4）不同供应商的响应文件异常一致或者报价呈规律性差异；</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（5）不同供应商的响应文件相互混装；</w:t>
      </w:r>
    </w:p>
    <w:p>
      <w:pPr>
        <w:tabs>
          <w:tab w:val="left" w:pos="6931"/>
        </w:tabs>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（6）不同供应商的磋商保证金从同一单位或者个人账户转出。</w:t>
      </w:r>
      <w:r>
        <w:rPr>
          <w:rFonts w:hint="eastAsia" w:ascii="宋体" w:hAnsi="宋体" w:cs="宋体"/>
          <w:b/>
          <w:bCs/>
          <w:szCs w:val="21"/>
          <w:highlight w:val="none"/>
        </w:rPr>
        <w:tab/>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7.6供应商有下列情形之一的，属于恶意串通行为，将报同级监督管理部门：</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（1）供应商直接或者间接从采购人或者采购代理机构处获得其他供应商的相关信息并修改其响应文件；</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（2）供应商按照采购人或者采购代理机构的授意撤换、修改响应文件；</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（3）供应商之间协商报价、技术方案等响应文件的实质性内容；</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（4）属于同一集团、协会、商会等组织成员的供应商按照该组织要求协同参加政府采购活动；</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（6）供应商之间商定部分供应商放弃参加政府采购活动或者放弃成交；</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ascii="宋体" w:hAnsi="宋体" w:cs="宋体"/>
          <w:b w:val="0"/>
          <w:bCs w:val="0"/>
          <w:highlight w:val="none"/>
        </w:rPr>
      </w:pPr>
      <w:bookmarkStart w:id="82" w:name="_Toc254970675"/>
      <w:bookmarkStart w:id="83" w:name="_Toc12713"/>
      <w:bookmarkStart w:id="84" w:name="_Toc80886931"/>
      <w:bookmarkStart w:id="85" w:name="_Toc27583"/>
      <w:bookmarkStart w:id="86" w:name="_Toc254970534"/>
      <w:r>
        <w:rPr>
          <w:rFonts w:hint="eastAsia" w:ascii="宋体" w:hAnsi="宋体" w:cs="宋体"/>
          <w:b w:val="0"/>
          <w:bCs w:val="0"/>
          <w:highlight w:val="none"/>
        </w:rPr>
        <w:t>二、磋商文件</w:t>
      </w:r>
      <w:bookmarkEnd w:id="82"/>
      <w:bookmarkEnd w:id="83"/>
      <w:bookmarkEnd w:id="84"/>
      <w:bookmarkEnd w:id="85"/>
      <w:bookmarkEnd w:id="86"/>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8.磋商文件的构成</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第一章 竞争性磋商公告；</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第二章 采购需求；</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第三章 供应商须知；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第四章 评审程序、评审方法和评审标准；</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第五章 响应文件格式；</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第六章 合同文本；</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第七章 质疑、投诉材料格式。</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9.供应商的询问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10.磋商文件的澄清和修改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10.4</w:t>
      </w:r>
      <w:r>
        <w:rPr>
          <w:rFonts w:hint="eastAsia" w:ascii="宋体" w:hAnsi="宋体" w:cs="宋体"/>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cs="宋体"/>
          <w:highlight w:val="none"/>
        </w:rPr>
      </w:pPr>
      <w:r>
        <w:rPr>
          <w:rFonts w:hint="eastAsia" w:ascii="宋体" w:hAnsi="宋体" w:cs="宋体"/>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ascii="宋体" w:hAnsi="宋体" w:cs="宋体"/>
          <w:kern w:val="0"/>
          <w:sz w:val="20"/>
          <w:szCs w:val="21"/>
          <w:highlight w:val="none"/>
        </w:rPr>
      </w:pPr>
      <w:r>
        <w:rPr>
          <w:rFonts w:hint="eastAsia" w:ascii="宋体" w:hAnsi="宋体" w:cs="宋体"/>
          <w:kern w:val="0"/>
          <w:sz w:val="20"/>
          <w:szCs w:val="21"/>
          <w:highlight w:val="none"/>
        </w:rPr>
        <w:t>▲</w:t>
      </w:r>
      <w:r>
        <w:rPr>
          <w:rFonts w:hint="eastAsia" w:ascii="宋体" w:hAnsi="宋体" w:cs="宋体"/>
          <w:b/>
          <w:kern w:val="0"/>
          <w:sz w:val="20"/>
          <w:szCs w:val="21"/>
          <w:highlight w:val="none"/>
        </w:rPr>
        <w:t>响应文件未按磋商文件的澄清、修改的内容编制，又不符合实质性要求的，其响应文件按无效处理。</w:t>
      </w:r>
    </w:p>
    <w:p>
      <w:pPr>
        <w:pStyle w:val="5"/>
        <w:spacing w:before="0" w:after="0" w:line="360" w:lineRule="auto"/>
        <w:ind w:firstLine="320" w:firstLineChars="100"/>
        <w:rPr>
          <w:rFonts w:ascii="宋体" w:hAnsi="宋体" w:cs="宋体"/>
          <w:b w:val="0"/>
          <w:bCs w:val="0"/>
          <w:highlight w:val="none"/>
        </w:rPr>
      </w:pPr>
      <w:r>
        <w:rPr>
          <w:rFonts w:hint="eastAsia" w:ascii="宋体" w:hAnsi="宋体" w:cs="宋体"/>
          <w:b w:val="0"/>
          <w:bCs w:val="0"/>
          <w:highlight w:val="none"/>
        </w:rPr>
        <w:t xml:space="preserve"> </w:t>
      </w:r>
      <w:bookmarkStart w:id="87" w:name="_Toc80886932"/>
      <w:bookmarkStart w:id="88" w:name="_Toc21480"/>
      <w:bookmarkStart w:id="89" w:name="_Toc21690"/>
      <w:r>
        <w:rPr>
          <w:rFonts w:hint="eastAsia" w:ascii="宋体" w:hAnsi="宋体" w:cs="宋体"/>
          <w:b w:val="0"/>
          <w:bCs w:val="0"/>
          <w:highlight w:val="none"/>
        </w:rPr>
        <w:t>三、响应文件的编制</w:t>
      </w:r>
      <w:bookmarkEnd w:id="87"/>
      <w:bookmarkEnd w:id="88"/>
      <w:bookmarkEnd w:id="89"/>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11.响应文件的编制原则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12.响应文件的组成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12.1响应文件由资格证明文件、报价文件、商务和技术文件三部分组成。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12.1.1资格证明文件：详见供应商须知前附表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12.1.2商务技术文件：详见供应商须知前附表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12.1.3报价文件：详见供应商须知前附表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12.2响应文件电子版：详见供应商须知前附表</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13.计量单位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14.竞标的风险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15.响应报价要求和构成</w:t>
      </w:r>
    </w:p>
    <w:p>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15.1响应报价应按“第五章 响应文件格式”中“响应报价表”格式填写。</w:t>
      </w:r>
    </w:p>
    <w:p>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15.2响应报价的价格构成见“供应商须知前附表”。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15.3响应报价要求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15.3.1供应商的响应报价应符合以下要求，否则响应文件按无效响应处理：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（1）供应商必须就“采购需求”中所竞标的项目/每个分标的全部内容分别作完整唯一总价报价，不得存在漏项报价；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（2）供应商必须就所竞标的项目/分标的单项内容作唯一报价。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15.3.3</w:t>
      </w:r>
      <w:bookmarkStart w:id="90" w:name="_Hlk42592874"/>
      <w:r>
        <w:rPr>
          <w:rFonts w:hint="eastAsia" w:ascii="宋体" w:hAnsi="宋体" w:cs="宋体"/>
          <w:szCs w:val="21"/>
          <w:highlight w:val="none"/>
        </w:rPr>
        <w:t>响应报价（包含首次报价、最后报价）超过分项采购预算金额或者最高限价的（如本项目公布了最高限价），其响应文件将按无效处理。</w:t>
      </w:r>
    </w:p>
    <w:bookmarkEnd w:id="90"/>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16.竞标有效期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16.3供应商的响应文件在竞标有效期内均保持有效。</w:t>
      </w:r>
    </w:p>
    <w:p>
      <w:pPr>
        <w:spacing w:line="360" w:lineRule="auto"/>
        <w:ind w:firstLine="482" w:firstLineChars="200"/>
        <w:rPr>
          <w:rFonts w:ascii="宋体" w:hAnsi="宋体" w:cs="宋体"/>
          <w:b/>
          <w:bCs/>
          <w:i/>
          <w:iCs/>
          <w:sz w:val="24"/>
          <w:highlight w:val="none"/>
        </w:rPr>
      </w:pPr>
      <w:r>
        <w:rPr>
          <w:rFonts w:hint="eastAsia" w:ascii="宋体" w:hAnsi="宋体" w:cs="宋体"/>
          <w:b/>
          <w:bCs/>
          <w:sz w:val="24"/>
          <w:highlight w:val="none"/>
        </w:rPr>
        <w:t>17.磋商保证金</w:t>
      </w:r>
    </w:p>
    <w:p>
      <w:pPr>
        <w:spacing w:line="360" w:lineRule="auto"/>
        <w:ind w:left="420" w:leftChars="200"/>
        <w:rPr>
          <w:rFonts w:ascii="宋体" w:hAnsi="宋体" w:cs="宋体"/>
          <w:szCs w:val="21"/>
          <w:highlight w:val="none"/>
        </w:rPr>
      </w:pPr>
      <w:r>
        <w:rPr>
          <w:rFonts w:hint="eastAsia" w:ascii="宋体" w:hAnsi="宋体" w:cs="宋体"/>
          <w:szCs w:val="21"/>
          <w:highlight w:val="none"/>
        </w:rPr>
        <w:t>17.1供应商须按“供应商须知前附表”的规定提交磋商保证金。</w:t>
      </w:r>
    </w:p>
    <w:p>
      <w:pPr>
        <w:spacing w:line="360" w:lineRule="auto"/>
        <w:ind w:left="420" w:leftChars="200"/>
        <w:rPr>
          <w:rFonts w:ascii="宋体" w:hAnsi="宋体" w:cs="宋体"/>
          <w:szCs w:val="21"/>
          <w:highlight w:val="none"/>
        </w:rPr>
      </w:pPr>
      <w:r>
        <w:rPr>
          <w:rFonts w:hint="eastAsia" w:ascii="宋体" w:hAnsi="宋体" w:cs="宋体"/>
          <w:szCs w:val="21"/>
          <w:highlight w:val="none"/>
        </w:rPr>
        <w:t>17.2磋商保证金的退还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17.2.1未</w:t>
      </w:r>
      <w:r>
        <w:rPr>
          <w:rFonts w:hint="eastAsia" w:ascii="宋体" w:hAnsi="宋体" w:cs="宋体"/>
          <w:spacing w:val="-6"/>
          <w:szCs w:val="21"/>
          <w:highlight w:val="none"/>
        </w:rPr>
        <w:t>成交供应商的磋商保证金自成交通知书发出之日起4个工作日内退还，退还方式如下：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（1）采用银行转账方式的，以转账方式退回到供应商银行账户。</w:t>
      </w:r>
    </w:p>
    <w:p>
      <w:pPr>
        <w:pStyle w:val="8"/>
        <w:spacing w:line="360" w:lineRule="auto"/>
        <w:ind w:firstLine="315" w:firstLineChars="150"/>
        <w:rPr>
          <w:rFonts w:ascii="宋体" w:hAnsi="宋体" w:cs="宋体"/>
          <w:szCs w:val="21"/>
          <w:highlight w:val="none"/>
        </w:rPr>
      </w:pPr>
      <w:r>
        <w:rPr>
          <w:rFonts w:hint="eastAsia" w:ascii="宋体" w:hAnsi="宋体" w:cs="宋体"/>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17.2.2成交供应商的磋商保证金自签订合同之日起4个工作日内退还，退还方式同未成交供应商的磋商保证金的退还方式；或者转为成交供应商的履约保证金。 </w:t>
      </w:r>
    </w:p>
    <w:p>
      <w:pPr>
        <w:spacing w:line="360" w:lineRule="auto"/>
        <w:ind w:left="420" w:leftChars="200"/>
        <w:rPr>
          <w:rFonts w:ascii="宋体" w:hAnsi="宋体" w:cs="宋体"/>
          <w:szCs w:val="21"/>
          <w:highlight w:val="none"/>
        </w:rPr>
      </w:pPr>
      <w:r>
        <w:rPr>
          <w:rFonts w:hint="eastAsia" w:ascii="宋体" w:hAnsi="宋体" w:cs="宋体"/>
          <w:szCs w:val="21"/>
          <w:highlight w:val="none"/>
        </w:rPr>
        <w:t>17.3磋商保证金不计息。</w:t>
      </w:r>
    </w:p>
    <w:p>
      <w:pPr>
        <w:spacing w:line="360" w:lineRule="auto"/>
        <w:ind w:left="420" w:leftChars="200"/>
        <w:rPr>
          <w:rFonts w:ascii="宋体" w:hAnsi="宋体" w:cs="宋体"/>
          <w:szCs w:val="21"/>
          <w:highlight w:val="none"/>
        </w:rPr>
      </w:pPr>
      <w:r>
        <w:rPr>
          <w:rFonts w:hint="eastAsia" w:ascii="宋体" w:hAnsi="宋体" w:cs="宋体"/>
          <w:szCs w:val="21"/>
          <w:highlight w:val="none"/>
        </w:rPr>
        <w:t xml:space="preserve">17.4供应商有下列情形之一的，磋商保证金将不予退还： </w:t>
      </w:r>
    </w:p>
    <w:p>
      <w:pPr>
        <w:spacing w:line="360" w:lineRule="auto"/>
        <w:ind w:left="420" w:leftChars="200"/>
        <w:rPr>
          <w:rFonts w:ascii="宋体" w:hAnsi="宋体" w:cs="宋体"/>
          <w:szCs w:val="21"/>
          <w:highlight w:val="none"/>
        </w:rPr>
      </w:pPr>
      <w:r>
        <w:rPr>
          <w:rFonts w:hint="eastAsia" w:ascii="宋体" w:hAnsi="宋体" w:cs="宋体"/>
          <w:szCs w:val="21"/>
          <w:highlight w:val="none"/>
        </w:rPr>
        <w:t>（1）供应商在提交响应文件截止时间后撤回响应文件的；</w:t>
      </w:r>
    </w:p>
    <w:p>
      <w:pPr>
        <w:spacing w:line="360" w:lineRule="auto"/>
        <w:ind w:left="420" w:leftChars="200"/>
        <w:rPr>
          <w:rFonts w:ascii="宋体" w:hAnsi="宋体" w:cs="宋体"/>
          <w:szCs w:val="21"/>
          <w:highlight w:val="none"/>
        </w:rPr>
      </w:pPr>
      <w:r>
        <w:rPr>
          <w:rFonts w:hint="eastAsia" w:ascii="宋体" w:hAnsi="宋体" w:cs="宋体"/>
          <w:szCs w:val="21"/>
          <w:highlight w:val="none"/>
        </w:rPr>
        <w:t>（2）供应商在响应文件中提供虚假材料的；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（3）除因不可抗力或者磋商文件认可的情形以外，成交供应商不与采购人签订合同的；</w:t>
      </w:r>
    </w:p>
    <w:p>
      <w:pPr>
        <w:spacing w:line="360" w:lineRule="auto"/>
        <w:ind w:left="420" w:leftChars="200"/>
        <w:rPr>
          <w:rFonts w:ascii="宋体" w:hAnsi="宋体" w:cs="宋体"/>
          <w:szCs w:val="21"/>
          <w:highlight w:val="none"/>
        </w:rPr>
      </w:pPr>
      <w:r>
        <w:rPr>
          <w:rFonts w:hint="eastAsia" w:ascii="宋体" w:hAnsi="宋体" w:cs="宋体"/>
          <w:szCs w:val="21"/>
          <w:highlight w:val="none"/>
        </w:rPr>
        <w:t>（4）供应商与采购人、其他供应商或者采购代理机构恶意串通的；</w:t>
      </w:r>
    </w:p>
    <w:p>
      <w:pPr>
        <w:spacing w:line="360" w:lineRule="auto"/>
        <w:ind w:left="420" w:leftChars="200"/>
        <w:rPr>
          <w:rFonts w:ascii="宋体" w:hAnsi="宋体" w:cs="宋体"/>
          <w:szCs w:val="21"/>
          <w:highlight w:val="none"/>
        </w:rPr>
      </w:pPr>
      <w:r>
        <w:rPr>
          <w:rFonts w:hint="eastAsia" w:ascii="宋体" w:hAnsi="宋体" w:cs="宋体"/>
          <w:szCs w:val="21"/>
          <w:highlight w:val="none"/>
        </w:rPr>
        <w:t>（5）磋商文件规定的其他情形。</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18.响应文件编制的要求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highlight w:val="none"/>
        </w:rPr>
        <w:t>由此引发的</w:t>
      </w:r>
      <w:r>
        <w:rPr>
          <w:rFonts w:hint="eastAsia" w:ascii="宋体" w:hAnsi="宋体" w:cs="宋体"/>
          <w:szCs w:val="21"/>
          <w:highlight w:val="none"/>
        </w:rPr>
        <w:t>后果由供应商承担。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w:t>
      </w:r>
      <w:bookmarkStart w:id="91" w:name="_Hlk65832699"/>
      <w:r>
        <w:rPr>
          <w:rFonts w:hint="eastAsia" w:ascii="宋体" w:hAnsi="宋体" w:cs="宋体"/>
          <w:szCs w:val="21"/>
          <w:highlight w:val="none"/>
        </w:rPr>
        <w:t>3响应文件须由供应商按</w:t>
      </w:r>
      <w:r>
        <w:rPr>
          <w:rFonts w:hint="eastAsia" w:ascii="宋体" w:hAnsi="宋体" w:cs="宋体"/>
          <w:kern w:val="0"/>
          <w:szCs w:val="21"/>
          <w:highlight w:val="none"/>
          <w:lang w:val="zh-CN"/>
        </w:rPr>
        <w:t>“</w:t>
      </w:r>
      <w:r>
        <w:rPr>
          <w:rFonts w:hint="eastAsia" w:ascii="宋体" w:hAnsi="宋体" w:cs="宋体"/>
          <w:szCs w:val="21"/>
          <w:highlight w:val="none"/>
        </w:rPr>
        <w:t>第五章 响应文件格式</w:t>
      </w:r>
      <w:r>
        <w:rPr>
          <w:rFonts w:hint="eastAsia" w:ascii="宋体" w:hAnsi="宋体" w:cs="宋体"/>
          <w:kern w:val="0"/>
          <w:szCs w:val="21"/>
          <w:highlight w:val="none"/>
          <w:lang w:val="zh-CN"/>
        </w:rPr>
        <w:t>”</w:t>
      </w:r>
      <w:r>
        <w:rPr>
          <w:rFonts w:hint="eastAsia" w:ascii="宋体" w:hAnsi="宋体" w:cs="宋体"/>
          <w:szCs w:val="21"/>
          <w:highlight w:val="none"/>
        </w:rPr>
        <w:t>要求进行签署、盖章</w:t>
      </w:r>
      <w:bookmarkEnd w:id="91"/>
      <w:r>
        <w:rPr>
          <w:rFonts w:hint="eastAsia" w:ascii="宋体" w:hAnsi="宋体" w:cs="宋体"/>
          <w:szCs w:val="21"/>
          <w:highlight w:val="none"/>
        </w:rPr>
        <w:t>，</w:t>
      </w:r>
      <w:r>
        <w:rPr>
          <w:rFonts w:hint="eastAsia" w:ascii="宋体" w:hAnsi="宋体" w:cs="宋体"/>
          <w:b/>
          <w:bCs/>
          <w:szCs w:val="21"/>
          <w:highlight w:val="none"/>
        </w:rPr>
        <w:t>否则其响应文件按无效响应处理</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18.4响应文件中标注的供应商名称应与营业执照（事业单位法人证书、执业许可证、自然人身份证）及供应商公章一致，</w:t>
      </w:r>
      <w:r>
        <w:rPr>
          <w:rFonts w:hint="eastAsia" w:ascii="宋体" w:hAnsi="宋体" w:cs="宋体"/>
          <w:b/>
          <w:bCs/>
          <w:szCs w:val="21"/>
          <w:highlight w:val="none"/>
        </w:rPr>
        <w:t>否则其响应文件按无效响应处理。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18.5响应文件应避免涂改、行间插字或者删除。</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19.响应文件的密封和标记</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19.2使用广西政府采购云平台电子交易客户端需要提前申领CA数字证书。</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19.3为确保网上操作合法、有效和安全，供应商应当在响应文件提交截止时间前完成在“广西政府采购云平台”的身份认证，确保在电子交易过程中能够对相关数据电文进行加密和使用电子签名。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20.响应文件的提交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20.1供应商必须在“供应商须知前附表”规定的时间和地点提交响应文件。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20.2 在响应文件提交截止时间以后，不能补充、修改响应文件。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20.3 在提交“最后报价”后，供应商不能退出磋商。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20.5 采购机构不可视情况延长提交响应文件的截止时间。</w:t>
      </w:r>
    </w:p>
    <w:p>
      <w:pPr>
        <w:spacing w:line="360" w:lineRule="auto"/>
        <w:ind w:firstLine="420" w:firstLineChars="200"/>
        <w:rPr>
          <w:rFonts w:ascii="宋体" w:hAnsi="宋体" w:cs="宋体"/>
          <w:sz w:val="24"/>
          <w:highlight w:val="none"/>
        </w:rPr>
      </w:pPr>
      <w:r>
        <w:rPr>
          <w:rFonts w:hint="eastAsia" w:ascii="宋体" w:hAnsi="宋体" w:cs="宋体"/>
          <w:szCs w:val="21"/>
          <w:highlight w:val="none"/>
        </w:rPr>
        <w:t>20.6备份响应文件。</w:t>
      </w:r>
      <w:r>
        <w:rPr>
          <w:rFonts w:hint="eastAsia" w:ascii="宋体" w:hAnsi="宋体" w:cs="宋体"/>
          <w:bCs/>
          <w:szCs w:val="21"/>
          <w:highlight w:val="none"/>
        </w:rPr>
        <w:t>详见“供应商须知前附表”。</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21.首次响应文件的补充、修改与撤回</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宋体" w:hAnsi="宋体" w:cs="宋体"/>
          <w:b/>
          <w:bCs/>
          <w:sz w:val="24"/>
          <w:highlight w:val="none"/>
        </w:rPr>
      </w:pPr>
      <w:bookmarkStart w:id="92" w:name="_Hlk45702405"/>
      <w:r>
        <w:rPr>
          <w:rFonts w:hint="eastAsia" w:ascii="宋体" w:hAnsi="宋体" w:cs="宋体"/>
          <w:b/>
          <w:bCs/>
          <w:sz w:val="24"/>
          <w:highlight w:val="none"/>
        </w:rPr>
        <w:t>22. 首次响应文件的退回</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在首次响应文件提交截止时间止提交响应文件的供应商不足3家时，电子响应文件的退回由广西政府采购云平台自动操作。</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23. 截止时间后的撤回</w:t>
      </w:r>
    </w:p>
    <w:bookmarkEnd w:id="92"/>
    <w:p>
      <w:pPr>
        <w:pStyle w:val="16"/>
        <w:spacing w:line="360" w:lineRule="auto"/>
        <w:ind w:firstLine="420" w:firstLineChars="200"/>
        <w:rPr>
          <w:rFonts w:ascii="宋体" w:hAnsi="宋体" w:cs="宋体"/>
          <w:i/>
          <w:iCs/>
          <w:szCs w:val="21"/>
          <w:highlight w:val="none"/>
        </w:rPr>
      </w:pPr>
      <w:r>
        <w:rPr>
          <w:rFonts w:hint="eastAsia" w:ascii="宋体" w:hAnsi="宋体" w:cs="宋体"/>
          <w:highlight w:val="none"/>
        </w:rPr>
        <w:t>供应商在首次响应文件提交截止时间后向采购人、采购代理机构书面申请撤回电子响应文件的，将根据本须知正文17.4的规定不予退还其磋商保证金（如有）。</w:t>
      </w:r>
    </w:p>
    <w:p>
      <w:pPr>
        <w:pStyle w:val="5"/>
        <w:spacing w:before="0" w:after="0" w:line="360" w:lineRule="auto"/>
        <w:ind w:firstLine="640" w:firstLineChars="200"/>
        <w:rPr>
          <w:rFonts w:ascii="宋体" w:hAnsi="宋体" w:cs="宋体"/>
          <w:b w:val="0"/>
          <w:bCs w:val="0"/>
          <w:highlight w:val="none"/>
        </w:rPr>
      </w:pPr>
      <w:bookmarkStart w:id="93" w:name="_Toc80886933"/>
      <w:bookmarkStart w:id="94" w:name="_Toc17876"/>
      <w:bookmarkStart w:id="95" w:name="_Toc20044"/>
      <w:r>
        <w:rPr>
          <w:rFonts w:hint="eastAsia" w:ascii="宋体" w:hAnsi="宋体" w:cs="宋体"/>
          <w:b w:val="0"/>
          <w:bCs w:val="0"/>
          <w:highlight w:val="none"/>
        </w:rPr>
        <w:t>四、评审及磋商</w:t>
      </w:r>
      <w:bookmarkEnd w:id="93"/>
      <w:bookmarkEnd w:id="94"/>
      <w:bookmarkEnd w:id="95"/>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24.磋商小组成立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25.首次响应文件的开启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25.1首次响应文件由磋商小组或者采购代理机构在“供应商须知前附表”规定的时间开启。</w:t>
      </w:r>
    </w:p>
    <w:p>
      <w:pPr>
        <w:spacing w:line="360" w:lineRule="auto"/>
        <w:ind w:firstLine="420" w:firstLineChars="200"/>
        <w:rPr>
          <w:rFonts w:ascii="宋体" w:hAnsi="宋体" w:cs="宋体"/>
          <w:bCs/>
          <w:kern w:val="0"/>
          <w:szCs w:val="21"/>
          <w:highlight w:val="none"/>
        </w:rPr>
      </w:pPr>
      <w:r>
        <w:rPr>
          <w:rFonts w:hint="eastAsia" w:ascii="宋体" w:hAnsi="宋体" w:cs="宋体"/>
          <w:kern w:val="0"/>
          <w:szCs w:val="21"/>
          <w:highlight w:val="none"/>
        </w:rPr>
        <w:t xml:space="preserve">25.2 </w:t>
      </w:r>
      <w:r>
        <w:rPr>
          <w:rFonts w:hint="eastAsia" w:ascii="宋体" w:hAnsi="宋体" w:cs="宋体"/>
          <w:bCs/>
          <w:kern w:val="0"/>
          <w:szCs w:val="21"/>
          <w:highlight w:val="none"/>
        </w:rPr>
        <w:t>响应文件解密</w:t>
      </w:r>
    </w:p>
    <w:p>
      <w:pPr>
        <w:snapToGrid w:val="0"/>
        <w:spacing w:line="360" w:lineRule="auto"/>
        <w:ind w:firstLine="420" w:firstLineChars="200"/>
        <w:rPr>
          <w:rFonts w:ascii="宋体" w:hAnsi="宋体" w:cs="宋体"/>
          <w:kern w:val="0"/>
          <w:szCs w:val="21"/>
          <w:highlight w:val="none"/>
        </w:rPr>
      </w:pPr>
      <w:r>
        <w:rPr>
          <w:rFonts w:hint="eastAsia" w:ascii="宋体" w:hAnsi="宋体" w:cs="宋体"/>
          <w:bCs/>
          <w:kern w:val="0"/>
          <w:szCs w:val="21"/>
          <w:highlight w:val="none"/>
        </w:rPr>
        <w:t>采购代理机构将在“供应商须知前附表”规定的时</w:t>
      </w:r>
      <w:r>
        <w:rPr>
          <w:rFonts w:hint="eastAsia" w:ascii="宋体" w:hAnsi="宋体" w:cs="宋体"/>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cs="宋体"/>
          <w:kern w:val="0"/>
          <w:szCs w:val="21"/>
          <w:highlight w:val="none"/>
        </w:rPr>
        <w:t>。</w:t>
      </w:r>
      <w:r>
        <w:rPr>
          <w:rFonts w:hint="eastAsia" w:ascii="宋体" w:hAnsi="宋体" w:cs="宋体"/>
          <w:kern w:val="1"/>
          <w:szCs w:val="21"/>
          <w:highlight w:val="none"/>
        </w:rPr>
        <w:t>响应文件未按时解密的</w:t>
      </w:r>
      <w:r>
        <w:rPr>
          <w:rFonts w:hint="eastAsia" w:ascii="宋体" w:hAnsi="宋体" w:cs="宋体"/>
          <w:kern w:val="0"/>
          <w:szCs w:val="21"/>
          <w:highlight w:val="none"/>
        </w:rPr>
        <w:t>，</w:t>
      </w:r>
      <w:r>
        <w:rPr>
          <w:rFonts w:hint="eastAsia" w:ascii="宋体" w:hAnsi="宋体" w:cs="宋体"/>
          <w:b/>
          <w:kern w:val="0"/>
          <w:szCs w:val="21"/>
          <w:highlight w:val="none"/>
        </w:rPr>
        <w:t>视为响应文件无效。</w:t>
      </w:r>
      <w:r>
        <w:rPr>
          <w:rFonts w:hint="eastAsia" w:ascii="宋体" w:hAnsi="宋体" w:cs="宋体"/>
          <w:kern w:val="0"/>
          <w:szCs w:val="21"/>
          <w:highlight w:val="none"/>
        </w:rPr>
        <w:t>（解密</w:t>
      </w:r>
      <w:r>
        <w:rPr>
          <w:rFonts w:hint="eastAsia" w:ascii="宋体" w:hAnsi="宋体" w:cs="宋体"/>
          <w:bCs/>
          <w:kern w:val="0"/>
          <w:szCs w:val="21"/>
          <w:highlight w:val="none"/>
        </w:rPr>
        <w:t>异常情况处理：详见本章</w:t>
      </w:r>
      <w:r>
        <w:rPr>
          <w:rFonts w:hint="eastAsia" w:ascii="宋体" w:hAnsi="宋体" w:cs="宋体"/>
          <w:kern w:val="0"/>
          <w:szCs w:val="21"/>
          <w:highlight w:val="none"/>
        </w:rPr>
        <w:t>26.4电子交易活动的中止。）</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如</w:t>
      </w:r>
      <w:r>
        <w:rPr>
          <w:rFonts w:hint="eastAsia" w:ascii="宋体" w:hAnsi="宋体" w:cs="宋体"/>
          <w:bCs/>
          <w:kern w:val="0"/>
          <w:szCs w:val="21"/>
          <w:highlight w:val="none"/>
        </w:rPr>
        <w:t>供应商成功解密响应文件，但未在广西政府采购云平台电子开标大厅参加磋商的，视同认可磋商过程和结果，</w:t>
      </w:r>
      <w:r>
        <w:rPr>
          <w:rFonts w:hint="eastAsia" w:ascii="宋体" w:hAnsi="宋体" w:cs="宋体"/>
          <w:kern w:val="0"/>
          <w:szCs w:val="21"/>
          <w:highlight w:val="none"/>
        </w:rPr>
        <w:t>由此产生的后果由供应商自行负责。 参与磋商的供应商不足3家的，不得磋商。</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26.评审程序、评审方法和评审标准</w:t>
      </w:r>
    </w:p>
    <w:p>
      <w:pPr>
        <w:spacing w:line="360" w:lineRule="auto"/>
        <w:ind w:firstLine="420" w:firstLineChars="200"/>
        <w:rPr>
          <w:rFonts w:ascii="宋体" w:hAnsi="宋体" w:cs="宋体"/>
          <w:highlight w:val="none"/>
        </w:rPr>
      </w:pPr>
      <w:r>
        <w:rPr>
          <w:rFonts w:hint="eastAsia" w:ascii="宋体" w:hAnsi="宋体" w:cs="宋体"/>
          <w:highlight w:val="none"/>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ascii="宋体" w:hAnsi="宋体" w:cs="宋体"/>
          <w:highlight w:val="none"/>
        </w:rPr>
      </w:pPr>
      <w:r>
        <w:rPr>
          <w:rFonts w:hint="eastAsia" w:ascii="宋体" w:hAnsi="宋体" w:cs="宋体"/>
          <w:highlight w:val="none"/>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cs="宋体"/>
          <w:szCs w:val="21"/>
          <w:highlight w:val="none"/>
        </w:rPr>
      </w:pPr>
      <w:r>
        <w:rPr>
          <w:rFonts w:hint="eastAsia" w:ascii="宋体" w:hAnsi="宋体" w:cs="宋体"/>
          <w:highlight w:val="none"/>
        </w:rPr>
        <w:t>26.3 采购需求负偏离要求及磋商顺序详见“供应商须知前附表</w:t>
      </w:r>
      <w:r>
        <w:rPr>
          <w:rFonts w:hint="eastAsia" w:ascii="宋体" w:hAnsi="宋体" w:cs="宋体"/>
          <w:szCs w:val="21"/>
          <w:highlight w:val="none"/>
        </w:rPr>
        <w:t>”。</w:t>
      </w:r>
    </w:p>
    <w:p>
      <w:pPr>
        <w:spacing w:line="360" w:lineRule="auto"/>
        <w:ind w:firstLine="420" w:firstLineChars="200"/>
        <w:rPr>
          <w:rFonts w:ascii="宋体" w:hAnsi="宋体" w:cs="宋体"/>
          <w:highlight w:val="none"/>
        </w:rPr>
      </w:pPr>
      <w:r>
        <w:rPr>
          <w:rFonts w:hint="eastAsia" w:ascii="宋体" w:hAnsi="宋体" w:cs="宋体"/>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highlight w:val="none"/>
        </w:rPr>
      </w:pPr>
      <w:r>
        <w:rPr>
          <w:rFonts w:hint="eastAsia" w:ascii="宋体" w:hAnsi="宋体" w:cs="宋体"/>
          <w:highlight w:val="none"/>
        </w:rPr>
        <w:t xml:space="preserve">（1）电子交易平台发生故障而无法登录访问的； </w:t>
      </w:r>
    </w:p>
    <w:p>
      <w:pPr>
        <w:spacing w:line="360" w:lineRule="auto"/>
        <w:ind w:firstLine="420" w:firstLineChars="200"/>
        <w:rPr>
          <w:rFonts w:ascii="宋体" w:hAnsi="宋体" w:cs="宋体"/>
          <w:highlight w:val="none"/>
        </w:rPr>
      </w:pPr>
      <w:r>
        <w:rPr>
          <w:rFonts w:hint="eastAsia" w:ascii="宋体" w:hAnsi="宋体" w:cs="宋体"/>
          <w:highlight w:val="none"/>
        </w:rPr>
        <w:t>（2）电子交易平台应用或数据库出现错误，不能进行正常操作的；</w:t>
      </w:r>
    </w:p>
    <w:p>
      <w:pPr>
        <w:spacing w:line="360" w:lineRule="auto"/>
        <w:ind w:firstLine="420" w:firstLineChars="200"/>
        <w:rPr>
          <w:rFonts w:ascii="宋体" w:hAnsi="宋体" w:cs="宋体"/>
          <w:highlight w:val="none"/>
        </w:rPr>
      </w:pPr>
      <w:r>
        <w:rPr>
          <w:rFonts w:hint="eastAsia" w:ascii="宋体" w:hAnsi="宋体" w:cs="宋体"/>
          <w:highlight w:val="none"/>
        </w:rPr>
        <w:t>（3）电子交易平台发现严重安全漏洞，有潜在泄密危险的；</w:t>
      </w:r>
    </w:p>
    <w:p>
      <w:pPr>
        <w:spacing w:line="360" w:lineRule="auto"/>
        <w:ind w:firstLine="420" w:firstLineChars="200"/>
        <w:rPr>
          <w:rFonts w:ascii="宋体" w:hAnsi="宋体" w:cs="宋体"/>
          <w:highlight w:val="none"/>
        </w:rPr>
      </w:pPr>
      <w:r>
        <w:rPr>
          <w:rFonts w:hint="eastAsia" w:ascii="宋体" w:hAnsi="宋体" w:cs="宋体"/>
          <w:highlight w:val="none"/>
        </w:rPr>
        <w:t xml:space="preserve">（4）病毒发作导致不能进行正常操作的； </w:t>
      </w:r>
    </w:p>
    <w:p>
      <w:pPr>
        <w:spacing w:line="360" w:lineRule="auto"/>
        <w:ind w:firstLine="420" w:firstLineChars="200"/>
        <w:rPr>
          <w:rFonts w:ascii="宋体" w:hAnsi="宋体" w:cs="宋体"/>
          <w:highlight w:val="none"/>
        </w:rPr>
      </w:pPr>
      <w:r>
        <w:rPr>
          <w:rFonts w:hint="eastAsia" w:ascii="宋体" w:hAnsi="宋体" w:cs="宋体"/>
          <w:highlight w:val="none"/>
        </w:rPr>
        <w:t>（5）其他无法保证电子交易的公平、公正和安全的情况。</w:t>
      </w:r>
    </w:p>
    <w:p>
      <w:pPr>
        <w:spacing w:line="360" w:lineRule="auto"/>
        <w:ind w:firstLine="420" w:firstLineChars="200"/>
        <w:rPr>
          <w:rFonts w:ascii="宋体" w:hAnsi="宋体" w:cs="宋体"/>
          <w:highlight w:val="none"/>
        </w:rPr>
      </w:pPr>
      <w:r>
        <w:rPr>
          <w:rFonts w:hint="eastAsia" w:ascii="宋体" w:hAnsi="宋体" w:cs="宋体"/>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ascii="宋体" w:hAnsi="宋体" w:cs="宋体"/>
          <w:b w:val="0"/>
          <w:bCs w:val="0"/>
          <w:highlight w:val="none"/>
        </w:rPr>
      </w:pPr>
      <w:bookmarkStart w:id="96" w:name="_Toc12018"/>
      <w:bookmarkStart w:id="97" w:name="_Toc80886934"/>
      <w:bookmarkStart w:id="98" w:name="_Toc17745"/>
      <w:r>
        <w:rPr>
          <w:rFonts w:hint="eastAsia" w:ascii="宋体" w:hAnsi="宋体" w:cs="宋体"/>
          <w:b w:val="0"/>
          <w:bCs w:val="0"/>
          <w:highlight w:val="none"/>
        </w:rPr>
        <w:t>五、成交及合同</w:t>
      </w:r>
      <w:bookmarkEnd w:id="96"/>
      <w:bookmarkEnd w:id="97"/>
      <w:bookmarkEnd w:id="98"/>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27.确定成交供应商及结果公告</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27.2成交通知及成交结果公告。采购代理机构应当在</w:t>
      </w:r>
      <w:r>
        <w:rPr>
          <w:rFonts w:hint="eastAsia" w:ascii="宋体" w:hAnsi="宋体" w:cs="宋体"/>
          <w:kern w:val="0"/>
          <w:szCs w:val="21"/>
          <w:highlight w:val="none"/>
        </w:rPr>
        <w:t>成交</w:t>
      </w:r>
      <w:r>
        <w:rPr>
          <w:rFonts w:hint="eastAsia" w:ascii="宋体" w:hAnsi="宋体" w:cs="宋体"/>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szCs w:val="21"/>
          <w:highlight w:val="none"/>
        </w:rPr>
      </w:pPr>
      <w:r>
        <w:rPr>
          <w:rFonts w:hint="eastAsia" w:ascii="宋体" w:hAnsi="宋体" w:cs="宋体"/>
          <w:bCs/>
          <w:szCs w:val="21"/>
          <w:highlight w:val="none"/>
        </w:rPr>
        <w:t>27.5排名第一的成交候选人放弃成交，采购人可以按照评审报告推荐的成交候选人名单排序，依法确定下一候选人为成交</w:t>
      </w:r>
      <w:r>
        <w:rPr>
          <w:rFonts w:hint="eastAsia" w:ascii="宋体" w:hAnsi="宋体" w:cs="宋体"/>
          <w:szCs w:val="21"/>
          <w:highlight w:val="none"/>
        </w:rPr>
        <w:t>供应商</w:t>
      </w:r>
      <w:r>
        <w:rPr>
          <w:rFonts w:hint="eastAsia" w:ascii="宋体" w:hAnsi="宋体" w:cs="宋体"/>
          <w:bCs/>
          <w:szCs w:val="21"/>
          <w:highlight w:val="none"/>
        </w:rPr>
        <w:t>，也可以重新开展政府采购活动</w:t>
      </w:r>
      <w:r>
        <w:rPr>
          <w:rFonts w:hint="eastAsia" w:ascii="宋体" w:hAnsi="宋体" w:cs="宋体"/>
          <w:szCs w:val="21"/>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28.履约保证金</w:t>
      </w:r>
    </w:p>
    <w:p>
      <w:pPr>
        <w:spacing w:line="360" w:lineRule="auto"/>
        <w:ind w:firstLine="424" w:firstLineChars="202"/>
        <w:rPr>
          <w:rFonts w:ascii="宋体" w:hAnsi="宋体" w:cs="宋体"/>
          <w:szCs w:val="21"/>
          <w:highlight w:val="none"/>
        </w:rPr>
      </w:pPr>
      <w:r>
        <w:rPr>
          <w:rFonts w:hint="eastAsia" w:ascii="宋体" w:hAnsi="宋体" w:cs="宋体"/>
          <w:szCs w:val="21"/>
          <w:highlight w:val="none"/>
        </w:rPr>
        <w:t>28.1 履约保证金的金额、提交方式、退付的时间和条件详见 “供应商须知前附表”。成交供应商未按规定提交履约保证金的，视为拒绝</w:t>
      </w:r>
      <w:r>
        <w:rPr>
          <w:rFonts w:hint="eastAsia" w:ascii="宋体" w:hAnsi="宋体" w:cs="宋体"/>
          <w:highlight w:val="none"/>
        </w:rPr>
        <w:t>与采购人</w:t>
      </w:r>
      <w:r>
        <w:rPr>
          <w:rFonts w:hint="eastAsia" w:ascii="宋体" w:hAnsi="宋体" w:cs="宋体"/>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rFonts w:ascii="宋体" w:hAnsi="宋体" w:cs="宋体"/>
          <w:szCs w:val="21"/>
          <w:highlight w:val="none"/>
        </w:rPr>
      </w:pPr>
      <w:r>
        <w:rPr>
          <w:rFonts w:hint="eastAsia" w:ascii="宋体" w:hAnsi="宋体" w:cs="宋体"/>
          <w:szCs w:val="21"/>
          <w:highlight w:val="none"/>
        </w:rPr>
        <w:t>28.2签订合同后，如成交供应商不按双方签订的合同规定履约，则没收其全部履约保证金，履约保证金不足以赔偿损失的，按实际损失赔偿。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szCs w:val="21"/>
          <w:highlight w:val="none"/>
        </w:rPr>
      </w:pPr>
      <w:r>
        <w:rPr>
          <w:rFonts w:hint="eastAsia" w:ascii="宋体" w:hAnsi="宋体" w:cs="宋体"/>
          <w:szCs w:val="21"/>
          <w:highlight w:val="none"/>
        </w:rPr>
        <w:t>28.3在履约保证金退还日期前，若成交供应商的开户名称、开户银行、账号有变动的，请以书面形式通知履约保证金收取单位，否则由此产生的后果由成交供应商自行承担。</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29.签订合同</w:t>
      </w:r>
    </w:p>
    <w:p>
      <w:pPr>
        <w:pStyle w:val="67"/>
        <w:snapToGrid w:val="0"/>
        <w:spacing w:before="0"/>
        <w:ind w:firstLine="420"/>
        <w:rPr>
          <w:rFonts w:ascii="宋体" w:hAnsi="宋体" w:cs="宋体"/>
          <w:sz w:val="21"/>
          <w:szCs w:val="21"/>
          <w:highlight w:val="none"/>
          <w:lang w:val="zh-CN"/>
        </w:rPr>
      </w:pPr>
      <w:r>
        <w:rPr>
          <w:rFonts w:hint="eastAsia" w:ascii="宋体" w:hAnsi="宋体" w:cs="宋体"/>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29.4如签订合同并生效后，供应商无故拒绝或延期，除按照合同条款处理外，列入不良行为记录，并给予通报。</w:t>
      </w:r>
    </w:p>
    <w:p>
      <w:pPr>
        <w:spacing w:line="360" w:lineRule="auto"/>
        <w:ind w:firstLine="420" w:firstLineChars="200"/>
        <w:rPr>
          <w:rFonts w:ascii="宋体" w:hAnsi="宋体" w:cs="宋体"/>
          <w:b/>
          <w:bCs/>
          <w:i/>
          <w:iCs/>
          <w:szCs w:val="21"/>
          <w:highlight w:val="none"/>
        </w:rPr>
      </w:pPr>
      <w:r>
        <w:rPr>
          <w:rFonts w:hint="eastAsia" w:ascii="宋体" w:hAnsi="宋体" w:cs="宋体"/>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30.政府采购合同公告</w:t>
      </w:r>
    </w:p>
    <w:p>
      <w:pPr>
        <w:spacing w:line="360" w:lineRule="auto"/>
        <w:ind w:firstLine="420" w:firstLineChars="200"/>
        <w:rPr>
          <w:rFonts w:ascii="宋体" w:hAnsi="宋体" w:cs="宋体"/>
          <w:highlight w:val="none"/>
        </w:rPr>
      </w:pPr>
      <w:r>
        <w:rPr>
          <w:rFonts w:hint="eastAsia" w:ascii="宋体" w:hAnsi="宋体" w:cs="宋体"/>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cs="宋体"/>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31. 询问、质疑和投诉</w:t>
      </w:r>
    </w:p>
    <w:p>
      <w:pPr>
        <w:spacing w:line="360" w:lineRule="auto"/>
        <w:ind w:firstLine="420" w:firstLineChars="200"/>
        <w:rPr>
          <w:rFonts w:ascii="宋体" w:hAnsi="宋体" w:cs="宋体"/>
          <w:highlight w:val="none"/>
        </w:rPr>
      </w:pPr>
      <w:r>
        <w:rPr>
          <w:rFonts w:hint="eastAsia" w:ascii="宋体" w:hAnsi="宋体" w:cs="宋体"/>
          <w:highlight w:val="none"/>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ascii="宋体" w:hAnsi="宋体" w:cs="宋体"/>
          <w:b/>
          <w:szCs w:val="21"/>
          <w:highlight w:val="none"/>
        </w:rPr>
      </w:pPr>
      <w:r>
        <w:rPr>
          <w:rFonts w:hint="eastAsia" w:ascii="宋体" w:hAnsi="宋体" w:cs="宋体"/>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highlight w:val="none"/>
          <w:shd w:val="clear" w:color="auto" w:fill="FFFFFF"/>
        </w:rPr>
        <w:t>接收质疑函的方式、联系部门、联系电话和通讯地址等信息详见</w:t>
      </w:r>
      <w:r>
        <w:rPr>
          <w:rFonts w:hint="eastAsia" w:ascii="宋体" w:hAnsi="宋体" w:cs="宋体"/>
          <w:szCs w:val="21"/>
          <w:highlight w:val="none"/>
        </w:rPr>
        <w:t>“供应商须知前附表”</w:t>
      </w:r>
      <w:r>
        <w:rPr>
          <w:rFonts w:hint="eastAsia" w:ascii="宋体" w:hAnsi="宋体" w:cs="宋体"/>
          <w:highlight w:val="none"/>
        </w:rPr>
        <w:t>。</w:t>
      </w:r>
      <w:r>
        <w:rPr>
          <w:rFonts w:hint="eastAsia" w:ascii="宋体" w:hAnsi="宋体" w:cs="宋体"/>
          <w:b/>
          <w:szCs w:val="21"/>
          <w:highlight w:val="none"/>
        </w:rPr>
        <w:t xml:space="preserve">具体质疑起算时间及处理方式如下： </w:t>
      </w:r>
    </w:p>
    <w:p>
      <w:pPr>
        <w:spacing w:line="360" w:lineRule="auto"/>
        <w:ind w:firstLine="420" w:firstLineChars="200"/>
        <w:rPr>
          <w:rFonts w:ascii="宋体" w:hAnsi="宋体" w:cs="宋体"/>
          <w:bCs/>
          <w:highlight w:val="none"/>
        </w:rPr>
      </w:pPr>
      <w:r>
        <w:rPr>
          <w:rFonts w:hint="eastAsia" w:ascii="宋体" w:hAnsi="宋体" w:cs="宋体"/>
          <w:bCs/>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highlight w:val="none"/>
        </w:rPr>
        <w:t>委托代理协议无特殊约定的，</w:t>
      </w:r>
      <w:r>
        <w:rPr>
          <w:rFonts w:hint="eastAsia" w:ascii="宋体" w:hAnsi="宋体" w:cs="宋体"/>
          <w:bCs/>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ascii="宋体" w:hAnsi="宋体" w:cs="宋体"/>
          <w:bCs/>
          <w:highlight w:val="none"/>
        </w:rPr>
      </w:pPr>
      <w:r>
        <w:rPr>
          <w:rFonts w:hint="eastAsia" w:ascii="宋体" w:hAnsi="宋体" w:cs="宋体"/>
          <w:bCs/>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ascii="宋体" w:hAnsi="宋体" w:cs="宋体"/>
          <w:bCs/>
          <w:highlight w:val="none"/>
        </w:rPr>
      </w:pPr>
      <w:r>
        <w:rPr>
          <w:rFonts w:hint="eastAsia" w:ascii="宋体" w:hAnsi="宋体" w:cs="宋体"/>
          <w:bCs/>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cs="宋体"/>
          <w:highlight w:val="none"/>
        </w:rPr>
      </w:pPr>
      <w:r>
        <w:rPr>
          <w:rFonts w:hint="eastAsia" w:ascii="宋体" w:hAnsi="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ascii="宋体" w:hAnsi="宋体" w:cs="宋体"/>
          <w:highlight w:val="none"/>
        </w:rPr>
      </w:pPr>
      <w:r>
        <w:rPr>
          <w:rFonts w:hint="eastAsia" w:ascii="宋体" w:hAnsi="宋体" w:cs="宋体"/>
          <w:b/>
          <w:bCs/>
          <w:highlight w:val="none"/>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cs="宋体"/>
          <w:highlight w:val="none"/>
        </w:rPr>
      </w:pPr>
      <w:r>
        <w:rPr>
          <w:rFonts w:hint="eastAsia" w:ascii="宋体" w:hAnsi="宋体" w:cs="宋体"/>
          <w:highlight w:val="none"/>
        </w:rPr>
        <w:t>（1）供应商的姓名或者名称、地址、邮编、联系人及联系电话；</w:t>
      </w:r>
    </w:p>
    <w:p>
      <w:pPr>
        <w:spacing w:line="360" w:lineRule="auto"/>
        <w:ind w:firstLine="420" w:firstLineChars="200"/>
        <w:rPr>
          <w:rFonts w:ascii="宋体" w:hAnsi="宋体" w:cs="宋体"/>
          <w:highlight w:val="none"/>
        </w:rPr>
      </w:pPr>
      <w:r>
        <w:rPr>
          <w:rFonts w:hint="eastAsia" w:ascii="宋体" w:hAnsi="宋体" w:cs="宋体"/>
          <w:highlight w:val="none"/>
        </w:rPr>
        <w:t>（2）质疑项目的名称、编号；</w:t>
      </w:r>
    </w:p>
    <w:p>
      <w:pPr>
        <w:spacing w:line="360" w:lineRule="auto"/>
        <w:ind w:firstLine="420" w:firstLineChars="200"/>
        <w:rPr>
          <w:rFonts w:ascii="宋体" w:hAnsi="宋体" w:cs="宋体"/>
          <w:highlight w:val="none"/>
        </w:rPr>
      </w:pPr>
      <w:r>
        <w:rPr>
          <w:rFonts w:hint="eastAsia" w:ascii="宋体" w:hAnsi="宋体" w:cs="宋体"/>
          <w:highlight w:val="none"/>
        </w:rPr>
        <w:t>（3）具体、明确的质疑事项和与质疑事项相关的请求；</w:t>
      </w:r>
    </w:p>
    <w:p>
      <w:pPr>
        <w:spacing w:line="360" w:lineRule="auto"/>
        <w:ind w:firstLine="420" w:firstLineChars="200"/>
        <w:rPr>
          <w:rFonts w:ascii="宋体" w:hAnsi="宋体" w:cs="宋体"/>
          <w:highlight w:val="none"/>
        </w:rPr>
      </w:pPr>
      <w:r>
        <w:rPr>
          <w:rFonts w:hint="eastAsia" w:ascii="宋体" w:hAnsi="宋体" w:cs="宋体"/>
          <w:highlight w:val="none"/>
        </w:rPr>
        <w:t>（4）事实依据；</w:t>
      </w:r>
    </w:p>
    <w:p>
      <w:pPr>
        <w:spacing w:line="360" w:lineRule="auto"/>
        <w:ind w:firstLine="420" w:firstLineChars="200"/>
        <w:rPr>
          <w:rFonts w:ascii="宋体" w:hAnsi="宋体" w:cs="宋体"/>
          <w:highlight w:val="none"/>
        </w:rPr>
      </w:pPr>
      <w:r>
        <w:rPr>
          <w:rFonts w:hint="eastAsia" w:ascii="宋体" w:hAnsi="宋体" w:cs="宋体"/>
          <w:highlight w:val="none"/>
        </w:rPr>
        <w:t>（5）必要的法律依据；</w:t>
      </w:r>
    </w:p>
    <w:p>
      <w:pPr>
        <w:spacing w:line="360" w:lineRule="auto"/>
        <w:ind w:firstLine="420" w:firstLineChars="200"/>
        <w:rPr>
          <w:rFonts w:ascii="宋体" w:hAnsi="宋体" w:cs="宋体"/>
          <w:highlight w:val="none"/>
        </w:rPr>
      </w:pPr>
      <w:r>
        <w:rPr>
          <w:rFonts w:hint="eastAsia" w:ascii="宋体" w:hAnsi="宋体" w:cs="宋体"/>
          <w:highlight w:val="none"/>
        </w:rPr>
        <w:t>（6）提出质疑的日期。</w:t>
      </w:r>
    </w:p>
    <w:p>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highlight w:val="none"/>
        </w:rPr>
      </w:pPr>
      <w:r>
        <w:rPr>
          <w:rFonts w:hint="eastAsia" w:ascii="宋体" w:hAnsi="宋体" w:cs="宋体"/>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pPr>
        <w:spacing w:line="360" w:lineRule="auto"/>
        <w:ind w:firstLine="422" w:firstLineChars="200"/>
        <w:rPr>
          <w:rFonts w:ascii="宋体" w:hAnsi="宋体" w:cs="宋体"/>
          <w:highlight w:val="none"/>
        </w:rPr>
      </w:pPr>
      <w:r>
        <w:rPr>
          <w:rFonts w:hint="eastAsia" w:ascii="宋体" w:hAnsi="宋体" w:cs="宋体"/>
          <w:b/>
          <w:bCs/>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highlight w:val="none"/>
        </w:rPr>
        <w:t>。</w:t>
      </w:r>
      <w:bookmarkStart w:id="99" w:name="_Toc80205930"/>
    </w:p>
    <w:p>
      <w:pPr>
        <w:pStyle w:val="5"/>
        <w:spacing w:before="0" w:after="0" w:line="360" w:lineRule="auto"/>
        <w:ind w:firstLine="313" w:firstLineChars="98"/>
        <w:rPr>
          <w:rFonts w:ascii="宋体" w:hAnsi="宋体" w:cs="宋体"/>
          <w:b w:val="0"/>
          <w:highlight w:val="none"/>
        </w:rPr>
      </w:pPr>
      <w:bookmarkStart w:id="100" w:name="_Toc80886935"/>
      <w:bookmarkStart w:id="101" w:name="_Toc9275"/>
      <w:bookmarkStart w:id="102" w:name="_Toc26989"/>
      <w:r>
        <w:rPr>
          <w:rFonts w:hint="eastAsia" w:ascii="宋体" w:hAnsi="宋体" w:cs="宋体"/>
          <w:b w:val="0"/>
          <w:bCs w:val="0"/>
          <w:highlight w:val="none"/>
        </w:rPr>
        <w:t>六</w:t>
      </w:r>
      <w:r>
        <w:rPr>
          <w:rFonts w:hint="eastAsia" w:ascii="宋体" w:hAnsi="宋体" w:cs="宋体"/>
          <w:b w:val="0"/>
          <w:highlight w:val="none"/>
        </w:rPr>
        <w:t>、验收</w:t>
      </w:r>
      <w:bookmarkEnd w:id="99"/>
      <w:bookmarkEnd w:id="100"/>
      <w:bookmarkEnd w:id="101"/>
      <w:bookmarkEnd w:id="102"/>
    </w:p>
    <w:p>
      <w:pPr>
        <w:tabs>
          <w:tab w:val="left" w:pos="0"/>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32.验收</w:t>
      </w:r>
    </w:p>
    <w:p>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highlight w:val="none"/>
        </w:rPr>
        <w:t>（如有）</w:t>
      </w:r>
      <w:r>
        <w:rPr>
          <w:rFonts w:hint="eastAsia" w:ascii="宋体" w:hAnsi="宋体" w:cs="宋体"/>
          <w:kern w:val="0"/>
          <w:szCs w:val="21"/>
          <w:highlight w:val="none"/>
        </w:rPr>
        <w:t>返还条件挂钩。履约验收的各项资料应当存档备查。</w:t>
      </w:r>
    </w:p>
    <w:p>
      <w:pPr>
        <w:tabs>
          <w:tab w:val="left" w:pos="0"/>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ascii="宋体" w:hAnsi="宋体" w:cs="宋体"/>
          <w:b w:val="0"/>
          <w:bCs w:val="0"/>
          <w:highlight w:val="none"/>
        </w:rPr>
      </w:pPr>
      <w:bookmarkStart w:id="103" w:name="_Toc80886936"/>
      <w:bookmarkStart w:id="104" w:name="_Toc10913"/>
      <w:bookmarkStart w:id="105" w:name="_Toc1170"/>
      <w:r>
        <w:rPr>
          <w:rFonts w:hint="eastAsia" w:ascii="宋体" w:hAnsi="宋体" w:cs="宋体"/>
          <w:b w:val="0"/>
          <w:bCs w:val="0"/>
          <w:highlight w:val="none"/>
        </w:rPr>
        <w:t>七、其他事项</w:t>
      </w:r>
      <w:bookmarkEnd w:id="103"/>
      <w:bookmarkEnd w:id="104"/>
      <w:bookmarkEnd w:id="105"/>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33.采购代理服务费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33.1 采购代理服务费收费标准及缴费账户详见“供应商须知前附表”。</w:t>
      </w:r>
    </w:p>
    <w:p>
      <w:pPr>
        <w:pStyle w:val="16"/>
        <w:ind w:firstLine="420" w:firstLineChars="200"/>
        <w:rPr>
          <w:rFonts w:ascii="宋体" w:hAnsi="宋体" w:cs="宋体"/>
          <w:highlight w:val="none"/>
        </w:rPr>
      </w:pPr>
      <w:r>
        <w:rPr>
          <w:rFonts w:hint="eastAsia" w:ascii="宋体" w:hAnsi="宋体" w:cs="宋体"/>
          <w:szCs w:val="21"/>
          <w:highlight w:val="none"/>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szCs w:val="21"/>
                <w:highlight w:val="none"/>
              </w:rPr>
            </w:pPr>
            <w:r>
              <w:rPr>
                <w:rFonts w:hint="eastAsia" w:ascii="宋体" w:hAnsi="宋体" w:cs="宋体"/>
                <w:szCs w:val="21"/>
                <w:highlight w:val="none"/>
              </w:rPr>
              <w:t xml:space="preserve">               费率</w:t>
            </w:r>
          </w:p>
          <w:p>
            <w:pPr>
              <w:spacing w:line="360" w:lineRule="auto"/>
              <w:rPr>
                <w:rFonts w:ascii="宋体" w:hAnsi="宋体" w:cs="宋体"/>
                <w:szCs w:val="21"/>
                <w:highlight w:val="none"/>
              </w:rPr>
            </w:pPr>
            <w:r>
              <w:rPr>
                <w:rFonts w:hint="eastAsia" w:ascii="宋体" w:hAnsi="宋体" w:cs="宋体"/>
                <w:szCs w:val="21"/>
                <w:highlight w:val="none"/>
              </w:rPr>
              <w:t>金额</w:t>
            </w:r>
          </w:p>
        </w:tc>
        <w:tc>
          <w:tcPr>
            <w:tcW w:w="1659" w:type="dxa"/>
            <w:vAlign w:val="center"/>
          </w:tcPr>
          <w:p>
            <w:pPr>
              <w:spacing w:line="360" w:lineRule="auto"/>
              <w:ind w:firstLine="105" w:firstLineChars="50"/>
              <w:jc w:val="center"/>
              <w:rPr>
                <w:rFonts w:ascii="宋体" w:hAnsi="宋体" w:cs="宋体"/>
                <w:szCs w:val="21"/>
                <w:highlight w:val="none"/>
              </w:rPr>
            </w:pPr>
            <w:r>
              <w:rPr>
                <w:rFonts w:hint="eastAsia" w:ascii="宋体" w:hAnsi="宋体" w:cs="宋体"/>
                <w:szCs w:val="21"/>
                <w:highlight w:val="none"/>
              </w:rPr>
              <w:t>货物类</w:t>
            </w:r>
          </w:p>
        </w:tc>
        <w:tc>
          <w:tcPr>
            <w:tcW w:w="153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服务类</w:t>
            </w:r>
          </w:p>
        </w:tc>
        <w:tc>
          <w:tcPr>
            <w:tcW w:w="1546"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100万元以下</w:t>
            </w:r>
          </w:p>
        </w:tc>
        <w:tc>
          <w:tcPr>
            <w:tcW w:w="1659" w:type="dxa"/>
          </w:tcPr>
          <w:p>
            <w:pPr>
              <w:spacing w:line="360" w:lineRule="auto"/>
              <w:rPr>
                <w:rFonts w:ascii="宋体" w:hAnsi="宋体" w:cs="宋体"/>
                <w:szCs w:val="21"/>
                <w:highlight w:val="none"/>
              </w:rPr>
            </w:pPr>
            <w:r>
              <w:rPr>
                <w:rFonts w:hint="eastAsia" w:ascii="宋体" w:hAnsi="宋体" w:cs="宋体"/>
                <w:kern w:val="0"/>
                <w:szCs w:val="21"/>
                <w:highlight w:val="none"/>
              </w:rPr>
              <w:t xml:space="preserve">  1.5%                </w:t>
            </w:r>
          </w:p>
        </w:tc>
        <w:tc>
          <w:tcPr>
            <w:tcW w:w="1532"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1.5%</w:t>
            </w:r>
          </w:p>
        </w:tc>
        <w:tc>
          <w:tcPr>
            <w:tcW w:w="1546"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100～500万元</w:t>
            </w:r>
          </w:p>
        </w:tc>
        <w:tc>
          <w:tcPr>
            <w:tcW w:w="1659"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1.1%                 </w:t>
            </w:r>
          </w:p>
        </w:tc>
        <w:tc>
          <w:tcPr>
            <w:tcW w:w="1532"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0.8%</w:t>
            </w:r>
          </w:p>
        </w:tc>
        <w:tc>
          <w:tcPr>
            <w:tcW w:w="1546"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500～1000万元</w:t>
            </w:r>
          </w:p>
        </w:tc>
        <w:tc>
          <w:tcPr>
            <w:tcW w:w="1659" w:type="dxa"/>
          </w:tcPr>
          <w:p>
            <w:pPr>
              <w:spacing w:line="360" w:lineRule="auto"/>
              <w:rPr>
                <w:rFonts w:ascii="宋体" w:hAnsi="宋体" w:cs="宋体"/>
                <w:szCs w:val="21"/>
                <w:highlight w:val="none"/>
              </w:rPr>
            </w:pPr>
            <w:r>
              <w:rPr>
                <w:rFonts w:hint="eastAsia" w:ascii="宋体" w:hAnsi="宋体" w:cs="宋体"/>
                <w:kern w:val="0"/>
                <w:szCs w:val="21"/>
                <w:highlight w:val="none"/>
              </w:rPr>
              <w:t xml:space="preserve">  0.8%                </w:t>
            </w:r>
          </w:p>
        </w:tc>
        <w:tc>
          <w:tcPr>
            <w:tcW w:w="1532"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0.45%</w:t>
            </w:r>
          </w:p>
        </w:tc>
        <w:tc>
          <w:tcPr>
            <w:tcW w:w="1546"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1000～5000万元</w:t>
            </w:r>
          </w:p>
        </w:tc>
        <w:tc>
          <w:tcPr>
            <w:tcW w:w="1659"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0.5%                </w:t>
            </w:r>
          </w:p>
        </w:tc>
        <w:tc>
          <w:tcPr>
            <w:tcW w:w="1532"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0.25%</w:t>
            </w:r>
          </w:p>
        </w:tc>
        <w:tc>
          <w:tcPr>
            <w:tcW w:w="1546"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5000万元～1亿元</w:t>
            </w:r>
          </w:p>
        </w:tc>
        <w:tc>
          <w:tcPr>
            <w:tcW w:w="1659"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0.25%                 </w:t>
            </w:r>
          </w:p>
        </w:tc>
        <w:tc>
          <w:tcPr>
            <w:tcW w:w="1532"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0.1%</w:t>
            </w:r>
          </w:p>
        </w:tc>
        <w:tc>
          <w:tcPr>
            <w:tcW w:w="1546" w:type="dxa"/>
          </w:tcPr>
          <w:p>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1～5亿元</w:t>
            </w:r>
          </w:p>
        </w:tc>
        <w:tc>
          <w:tcPr>
            <w:tcW w:w="1659" w:type="dxa"/>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0.05%</w:t>
            </w:r>
          </w:p>
        </w:tc>
        <w:tc>
          <w:tcPr>
            <w:tcW w:w="1532" w:type="dxa"/>
          </w:tcPr>
          <w:p>
            <w:pPr>
              <w:spacing w:line="360" w:lineRule="auto"/>
              <w:rPr>
                <w:rFonts w:ascii="宋体" w:hAnsi="宋体" w:cs="宋体"/>
                <w:szCs w:val="21"/>
                <w:highlight w:val="none"/>
              </w:rPr>
            </w:pPr>
            <w:r>
              <w:rPr>
                <w:rFonts w:hint="eastAsia" w:ascii="宋体" w:hAnsi="宋体" w:cs="宋体"/>
                <w:szCs w:val="21"/>
                <w:highlight w:val="none"/>
              </w:rPr>
              <w:t xml:space="preserve">  0.05%</w:t>
            </w:r>
          </w:p>
        </w:tc>
        <w:tc>
          <w:tcPr>
            <w:tcW w:w="1546" w:type="dxa"/>
          </w:tcPr>
          <w:p>
            <w:pPr>
              <w:spacing w:line="360" w:lineRule="auto"/>
              <w:rPr>
                <w:rFonts w:ascii="宋体" w:hAnsi="宋体" w:cs="宋体"/>
                <w:szCs w:val="21"/>
                <w:highlight w:val="none"/>
              </w:rPr>
            </w:pPr>
            <w:r>
              <w:rPr>
                <w:rFonts w:hint="eastAsia" w:ascii="宋体" w:hAnsi="宋体" w:cs="宋体"/>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5～10亿元</w:t>
            </w:r>
          </w:p>
        </w:tc>
        <w:tc>
          <w:tcPr>
            <w:tcW w:w="1659" w:type="dxa"/>
          </w:tcPr>
          <w:p>
            <w:pPr>
              <w:spacing w:line="360" w:lineRule="auto"/>
              <w:ind w:firstLine="105" w:firstLineChars="50"/>
              <w:rPr>
                <w:rFonts w:ascii="宋体" w:hAnsi="宋体" w:cs="宋体"/>
                <w:szCs w:val="21"/>
                <w:highlight w:val="none"/>
              </w:rPr>
            </w:pPr>
            <w:r>
              <w:rPr>
                <w:rFonts w:hint="eastAsia" w:ascii="宋体" w:hAnsi="宋体" w:cs="宋体"/>
                <w:szCs w:val="21"/>
                <w:highlight w:val="none"/>
              </w:rPr>
              <w:t>0.035%</w:t>
            </w:r>
          </w:p>
        </w:tc>
        <w:tc>
          <w:tcPr>
            <w:tcW w:w="1532" w:type="dxa"/>
          </w:tcPr>
          <w:p>
            <w:pPr>
              <w:spacing w:line="360" w:lineRule="auto"/>
              <w:rPr>
                <w:rFonts w:ascii="宋体" w:hAnsi="宋体" w:cs="宋体"/>
                <w:szCs w:val="21"/>
                <w:highlight w:val="none"/>
              </w:rPr>
            </w:pPr>
            <w:r>
              <w:rPr>
                <w:rFonts w:hint="eastAsia" w:ascii="宋体" w:hAnsi="宋体" w:cs="宋体"/>
                <w:szCs w:val="21"/>
                <w:highlight w:val="none"/>
              </w:rPr>
              <w:t xml:space="preserve">  0.035%</w:t>
            </w:r>
          </w:p>
        </w:tc>
        <w:tc>
          <w:tcPr>
            <w:tcW w:w="1546" w:type="dxa"/>
          </w:tcPr>
          <w:p>
            <w:pPr>
              <w:spacing w:line="360" w:lineRule="auto"/>
              <w:ind w:firstLine="105" w:firstLineChars="50"/>
              <w:rPr>
                <w:rFonts w:ascii="宋体" w:hAnsi="宋体" w:cs="宋体"/>
                <w:szCs w:val="21"/>
                <w:highlight w:val="none"/>
              </w:rPr>
            </w:pPr>
            <w:r>
              <w:rPr>
                <w:rFonts w:hint="eastAsia" w:ascii="宋体" w:hAnsi="宋体" w:cs="宋体"/>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10～50亿元</w:t>
            </w:r>
          </w:p>
        </w:tc>
        <w:tc>
          <w:tcPr>
            <w:tcW w:w="1659" w:type="dxa"/>
          </w:tcPr>
          <w:p>
            <w:pPr>
              <w:spacing w:line="360" w:lineRule="auto"/>
              <w:ind w:firstLine="105" w:firstLineChars="50"/>
              <w:rPr>
                <w:rFonts w:ascii="宋体" w:hAnsi="宋体" w:cs="宋体"/>
                <w:szCs w:val="21"/>
                <w:highlight w:val="none"/>
              </w:rPr>
            </w:pPr>
            <w:r>
              <w:rPr>
                <w:rFonts w:hint="eastAsia" w:ascii="宋体" w:hAnsi="宋体" w:cs="宋体"/>
                <w:szCs w:val="21"/>
                <w:highlight w:val="none"/>
              </w:rPr>
              <w:t>0.008%</w:t>
            </w:r>
          </w:p>
        </w:tc>
        <w:tc>
          <w:tcPr>
            <w:tcW w:w="1532" w:type="dxa"/>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0.008%</w:t>
            </w:r>
          </w:p>
        </w:tc>
        <w:tc>
          <w:tcPr>
            <w:tcW w:w="1546" w:type="dxa"/>
          </w:tcPr>
          <w:p>
            <w:pPr>
              <w:spacing w:line="360" w:lineRule="auto"/>
              <w:ind w:firstLine="105" w:firstLineChars="50"/>
              <w:rPr>
                <w:rFonts w:ascii="宋体" w:hAnsi="宋体" w:cs="宋体"/>
                <w:szCs w:val="21"/>
                <w:highlight w:val="none"/>
              </w:rPr>
            </w:pPr>
            <w:r>
              <w:rPr>
                <w:rFonts w:hint="eastAsia" w:ascii="宋体" w:hAnsi="宋体" w:cs="宋体"/>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50～100亿元</w:t>
            </w:r>
          </w:p>
        </w:tc>
        <w:tc>
          <w:tcPr>
            <w:tcW w:w="1659" w:type="dxa"/>
          </w:tcPr>
          <w:p>
            <w:pPr>
              <w:spacing w:line="360" w:lineRule="auto"/>
              <w:rPr>
                <w:rFonts w:ascii="宋体" w:hAnsi="宋体" w:cs="宋体"/>
                <w:szCs w:val="21"/>
                <w:highlight w:val="none"/>
              </w:rPr>
            </w:pPr>
            <w:r>
              <w:rPr>
                <w:rFonts w:hint="eastAsia" w:ascii="宋体" w:hAnsi="宋体" w:cs="宋体"/>
                <w:szCs w:val="21"/>
                <w:highlight w:val="none"/>
              </w:rPr>
              <w:t xml:space="preserve"> 0.006%</w:t>
            </w:r>
          </w:p>
        </w:tc>
        <w:tc>
          <w:tcPr>
            <w:tcW w:w="1532" w:type="dxa"/>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0.006%</w:t>
            </w:r>
          </w:p>
        </w:tc>
        <w:tc>
          <w:tcPr>
            <w:tcW w:w="1546" w:type="dxa"/>
          </w:tcPr>
          <w:p>
            <w:pPr>
              <w:spacing w:line="360" w:lineRule="auto"/>
              <w:ind w:firstLine="105" w:firstLineChars="50"/>
              <w:rPr>
                <w:rFonts w:ascii="宋体" w:hAnsi="宋体" w:cs="宋体"/>
                <w:szCs w:val="21"/>
                <w:highlight w:val="none"/>
              </w:rPr>
            </w:pPr>
            <w:r>
              <w:rPr>
                <w:rFonts w:hint="eastAsia" w:ascii="宋体" w:hAnsi="宋体" w:cs="宋体"/>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highlight w:val="none"/>
              </w:rPr>
            </w:pPr>
            <w:r>
              <w:rPr>
                <w:rFonts w:hint="eastAsia" w:ascii="宋体" w:hAnsi="宋体" w:cs="宋体"/>
                <w:szCs w:val="21"/>
                <w:highlight w:val="none"/>
              </w:rPr>
              <w:t>100亿以上</w:t>
            </w:r>
          </w:p>
        </w:tc>
        <w:tc>
          <w:tcPr>
            <w:tcW w:w="1659" w:type="dxa"/>
          </w:tcPr>
          <w:p>
            <w:pPr>
              <w:spacing w:line="360" w:lineRule="auto"/>
              <w:rPr>
                <w:rFonts w:ascii="宋体" w:hAnsi="宋体" w:cs="宋体"/>
                <w:szCs w:val="21"/>
                <w:highlight w:val="none"/>
              </w:rPr>
            </w:pPr>
            <w:r>
              <w:rPr>
                <w:rFonts w:hint="eastAsia" w:ascii="宋体" w:hAnsi="宋体" w:cs="宋体"/>
                <w:szCs w:val="21"/>
                <w:highlight w:val="none"/>
              </w:rPr>
              <w:t xml:space="preserve"> 0.004%</w:t>
            </w:r>
          </w:p>
        </w:tc>
        <w:tc>
          <w:tcPr>
            <w:tcW w:w="1532" w:type="dxa"/>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0.004%</w:t>
            </w:r>
          </w:p>
        </w:tc>
        <w:tc>
          <w:tcPr>
            <w:tcW w:w="1546" w:type="dxa"/>
          </w:tcPr>
          <w:p>
            <w:pPr>
              <w:spacing w:line="360" w:lineRule="auto"/>
              <w:ind w:firstLine="105" w:firstLineChars="50"/>
              <w:rPr>
                <w:rFonts w:ascii="宋体" w:hAnsi="宋体" w:cs="宋体"/>
                <w:szCs w:val="21"/>
                <w:highlight w:val="none"/>
              </w:rPr>
            </w:pPr>
            <w:r>
              <w:rPr>
                <w:rFonts w:hint="eastAsia" w:ascii="宋体" w:hAnsi="宋体" w:cs="宋体"/>
                <w:szCs w:val="21"/>
                <w:highlight w:val="none"/>
              </w:rPr>
              <w:t>0.004%</w:t>
            </w:r>
          </w:p>
        </w:tc>
      </w:tr>
    </w:tbl>
    <w:p>
      <w:pPr>
        <w:spacing w:line="360" w:lineRule="auto"/>
        <w:ind w:firstLine="420" w:firstLineChars="200"/>
        <w:rPr>
          <w:rFonts w:ascii="宋体" w:hAnsi="宋体" w:cs="宋体"/>
          <w:highlight w:val="none"/>
        </w:rPr>
      </w:pPr>
      <w:r>
        <w:rPr>
          <w:rFonts w:hint="eastAsia" w:ascii="宋体" w:hAnsi="宋体" w:cs="宋体"/>
          <w:highlight w:val="none"/>
        </w:rPr>
        <w:t>注：</w:t>
      </w:r>
    </w:p>
    <w:p>
      <w:pPr>
        <w:spacing w:line="360" w:lineRule="auto"/>
        <w:ind w:firstLine="420" w:firstLineChars="200"/>
        <w:rPr>
          <w:rFonts w:ascii="宋体" w:hAnsi="宋体" w:cs="宋体"/>
          <w:highlight w:val="none"/>
        </w:rPr>
      </w:pPr>
      <w:r>
        <w:rPr>
          <w:rFonts w:hint="eastAsia" w:ascii="宋体" w:hAnsi="宋体" w:cs="宋体"/>
          <w:highlight w:val="none"/>
        </w:rPr>
        <w:t>（1）按本表费率计算的收费为采购代理的收费基准价格；</w:t>
      </w:r>
    </w:p>
    <w:p>
      <w:pPr>
        <w:spacing w:line="360" w:lineRule="auto"/>
        <w:ind w:firstLine="420" w:firstLineChars="200"/>
        <w:rPr>
          <w:rFonts w:ascii="宋体" w:hAnsi="宋体" w:cs="宋体"/>
          <w:highlight w:val="none"/>
        </w:rPr>
      </w:pPr>
      <w:r>
        <w:rPr>
          <w:rFonts w:hint="eastAsia" w:ascii="宋体" w:hAnsi="宋体" w:cs="宋体"/>
          <w:highlight w:val="none"/>
        </w:rPr>
        <w:t>（2）采购代理收费按差额定率累进法计算。</w:t>
      </w:r>
    </w:p>
    <w:p>
      <w:pPr>
        <w:spacing w:line="360" w:lineRule="auto"/>
        <w:ind w:firstLine="420" w:firstLineChars="200"/>
        <w:rPr>
          <w:rFonts w:ascii="宋体" w:hAnsi="宋体" w:cs="宋体"/>
          <w:highlight w:val="none"/>
        </w:rPr>
      </w:pPr>
      <w:r>
        <w:rPr>
          <w:rFonts w:hint="eastAsia" w:ascii="宋体" w:hAnsi="宋体" w:cs="宋体"/>
          <w:highlight w:val="none"/>
        </w:rPr>
        <w:t>例如：本项目预算金额为198万元，计算采购代理收费额如下：</w:t>
      </w:r>
    </w:p>
    <w:p>
      <w:pPr>
        <w:spacing w:line="360" w:lineRule="auto"/>
        <w:ind w:firstLine="420" w:firstLineChars="200"/>
        <w:rPr>
          <w:rFonts w:ascii="宋体" w:hAnsi="宋体" w:cs="宋体"/>
          <w:highlight w:val="none"/>
        </w:rPr>
      </w:pPr>
      <w:r>
        <w:rPr>
          <w:rFonts w:hint="eastAsia" w:ascii="宋体" w:hAnsi="宋体" w:cs="宋体"/>
          <w:highlight w:val="none"/>
        </w:rPr>
        <w:t>100 万元 ×l.5 ％＝ 1.5 万元</w:t>
      </w:r>
    </w:p>
    <w:p>
      <w:pPr>
        <w:spacing w:line="360" w:lineRule="auto"/>
        <w:ind w:firstLine="420" w:firstLineChars="200"/>
        <w:rPr>
          <w:rFonts w:ascii="宋体" w:hAnsi="宋体" w:cs="宋体"/>
          <w:highlight w:val="none"/>
        </w:rPr>
      </w:pPr>
      <w:r>
        <w:rPr>
          <w:rFonts w:hint="eastAsia" w:ascii="宋体" w:hAnsi="宋体" w:cs="宋体"/>
          <w:highlight w:val="none"/>
        </w:rPr>
        <w:t>（ 198 － 100 ）万元 ×0.8％＝ 0.784万元</w:t>
      </w:r>
    </w:p>
    <w:p>
      <w:pPr>
        <w:spacing w:line="360" w:lineRule="auto"/>
        <w:ind w:firstLine="420" w:firstLineChars="200"/>
        <w:rPr>
          <w:rFonts w:ascii="宋体" w:hAnsi="宋体" w:cs="宋体"/>
          <w:highlight w:val="none"/>
        </w:rPr>
      </w:pPr>
      <w:r>
        <w:rPr>
          <w:rFonts w:hint="eastAsia" w:ascii="宋体" w:hAnsi="宋体" w:cs="宋体"/>
          <w:highlight w:val="none"/>
        </w:rPr>
        <w:t>合计收费＝ 1.5 ＋ 0.784＝ 2.284 万元</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34.需要补充的其他内容</w:t>
      </w:r>
    </w:p>
    <w:p>
      <w:pPr>
        <w:spacing w:line="360" w:lineRule="auto"/>
        <w:ind w:firstLine="420" w:firstLineChars="200"/>
        <w:textAlignment w:val="center"/>
        <w:rPr>
          <w:rFonts w:ascii="宋体" w:hAnsi="宋体" w:cs="宋体"/>
          <w:szCs w:val="21"/>
          <w:highlight w:val="none"/>
        </w:rPr>
      </w:pPr>
      <w:r>
        <w:rPr>
          <w:rFonts w:hint="eastAsia" w:ascii="宋体" w:hAnsi="宋体" w:cs="宋体"/>
          <w:szCs w:val="21"/>
          <w:highlight w:val="none"/>
        </w:rPr>
        <w:t>34.1本磋商文件解释规则详见“供应商须知前附表”。</w:t>
      </w:r>
    </w:p>
    <w:p>
      <w:pPr>
        <w:spacing w:line="360" w:lineRule="auto"/>
        <w:ind w:firstLine="420" w:firstLineChars="200"/>
        <w:textAlignment w:val="center"/>
        <w:rPr>
          <w:rFonts w:ascii="宋体" w:hAnsi="宋体" w:cs="宋体"/>
          <w:szCs w:val="21"/>
          <w:highlight w:val="none"/>
        </w:rPr>
      </w:pPr>
      <w:r>
        <w:rPr>
          <w:rFonts w:hint="eastAsia" w:ascii="宋体" w:hAnsi="宋体" w:cs="宋体"/>
          <w:szCs w:val="21"/>
          <w:highlight w:val="none"/>
        </w:rPr>
        <w:t>34.2 其他事项详见“供应商须知前附表”。</w:t>
      </w:r>
    </w:p>
    <w:p>
      <w:pPr>
        <w:spacing w:line="360" w:lineRule="auto"/>
        <w:ind w:firstLine="420" w:firstLineChars="200"/>
        <w:textAlignment w:val="center"/>
        <w:rPr>
          <w:rFonts w:ascii="宋体" w:hAnsi="宋体" w:cs="宋体"/>
          <w:szCs w:val="21"/>
          <w:highlight w:val="none"/>
        </w:rPr>
      </w:pPr>
      <w:r>
        <w:rPr>
          <w:rFonts w:hint="eastAsia" w:ascii="宋体" w:hAnsi="宋体" w:cs="宋体"/>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szCs w:val="21"/>
          <w:highlight w:val="none"/>
        </w:rPr>
        <w:t>，享受本文件规定的中小企业扶持政策。</w:t>
      </w:r>
    </w:p>
    <w:p>
      <w:pPr>
        <w:spacing w:line="360" w:lineRule="auto"/>
        <w:ind w:firstLine="420" w:firstLineChars="200"/>
        <w:textAlignment w:val="center"/>
        <w:rPr>
          <w:rFonts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ascii="宋体" w:hAnsi="宋体" w:cs="宋体"/>
          <w:szCs w:val="21"/>
          <w:highlight w:val="none"/>
        </w:rPr>
      </w:pPr>
      <w:r>
        <w:rPr>
          <w:rFonts w:hint="eastAsia" w:ascii="宋体" w:hAnsi="宋体" w:cs="宋体"/>
          <w:szCs w:val="21"/>
          <w:highlight w:val="none"/>
        </w:rPr>
        <w:t>依据本文件规定享受扶持政策获得政府采购合同的，小微企业不得将合同分包给大中型企业，中型企业不得将合同分包给大型企业。</w:t>
      </w:r>
    </w:p>
    <w:p>
      <w:pPr>
        <w:pStyle w:val="2"/>
        <w:rPr>
          <w:rFonts w:ascii="宋体" w:hAnsi="宋体" w:cs="宋体"/>
          <w:szCs w:val="21"/>
          <w:highlight w:val="none"/>
        </w:rPr>
      </w:pPr>
      <w:r>
        <w:rPr>
          <w:rFonts w:hint="eastAsia" w:ascii="宋体" w:hAnsi="宋体" w:cs="宋体"/>
          <w:szCs w:val="21"/>
          <w:highlight w:val="none"/>
        </w:rPr>
        <w:br w:type="page"/>
      </w:r>
    </w:p>
    <w:p>
      <w:pPr>
        <w:pStyle w:val="3"/>
        <w:spacing w:line="240" w:lineRule="auto"/>
        <w:jc w:val="center"/>
        <w:rPr>
          <w:rFonts w:ascii="宋体" w:hAnsi="宋体" w:cs="宋体"/>
          <w:highlight w:val="none"/>
        </w:rPr>
      </w:pPr>
      <w:bookmarkStart w:id="106" w:name="_Toc17511"/>
      <w:bookmarkStart w:id="107" w:name="_Toc80886937"/>
      <w:bookmarkStart w:id="108" w:name="_Toc8412"/>
      <w:bookmarkStart w:id="109" w:name="_Toc3976"/>
      <w:bookmarkStart w:id="110" w:name="_Toc3879"/>
      <w:bookmarkStart w:id="111" w:name="_Toc1088"/>
      <w:bookmarkStart w:id="112" w:name="_Toc28979"/>
      <w:bookmarkStart w:id="113" w:name="_Toc8593"/>
      <w:r>
        <w:rPr>
          <w:rFonts w:hint="eastAsia" w:ascii="宋体" w:hAnsi="宋体" w:cs="宋体"/>
          <w:highlight w:val="none"/>
        </w:rPr>
        <w:t>第四章  评审程序、评审方法和评审标准</w:t>
      </w:r>
      <w:bookmarkEnd w:id="106"/>
      <w:bookmarkEnd w:id="107"/>
      <w:bookmarkEnd w:id="108"/>
      <w:bookmarkEnd w:id="109"/>
      <w:bookmarkEnd w:id="110"/>
      <w:bookmarkEnd w:id="111"/>
      <w:bookmarkEnd w:id="112"/>
      <w:bookmarkEnd w:id="113"/>
    </w:p>
    <w:p>
      <w:pPr>
        <w:pStyle w:val="4"/>
        <w:jc w:val="center"/>
        <w:rPr>
          <w:rFonts w:ascii="宋体" w:hAnsi="宋体" w:cs="宋体"/>
          <w:b w:val="0"/>
          <w:highlight w:val="none"/>
        </w:rPr>
      </w:pPr>
      <w:bookmarkStart w:id="114" w:name="_Toc80886938"/>
      <w:bookmarkStart w:id="115" w:name="_Toc17424"/>
      <w:bookmarkStart w:id="116" w:name="_Toc11607"/>
      <w:r>
        <w:rPr>
          <w:rFonts w:hint="eastAsia" w:ascii="宋体" w:hAnsi="宋体" w:cs="宋体"/>
          <w:b w:val="0"/>
          <w:highlight w:val="none"/>
        </w:rPr>
        <w:t>第一节 评审程序和评审方法</w:t>
      </w:r>
      <w:bookmarkEnd w:id="114"/>
      <w:bookmarkEnd w:id="115"/>
      <w:bookmarkEnd w:id="116"/>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1.确认磋商文件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由磋商小组确认磋商文件。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2.资格审查</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2.1响应文件开启后，磋商小组依法对供应商的资格证明文件进行审查。</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注：采购人代表或者采购代理机构在资格审查结束前，对供应商进行信用查询。</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（1）查询渠道：广西政府采购云平台“信用中国”网站(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38"/>
          <w:rFonts w:hint="eastAsia" w:ascii="宋体" w:hAnsi="宋体" w:cs="宋体"/>
          <w:color w:val="auto"/>
          <w:highlight w:val="none"/>
          <w:u w:val="none"/>
        </w:rPr>
        <w:t>www.creditchina.gov.cn</w:t>
      </w:r>
      <w:r>
        <w:rPr>
          <w:rStyle w:val="38"/>
          <w:rFonts w:hint="eastAsia" w:ascii="宋体" w:hAnsi="宋体" w:cs="宋体"/>
          <w:color w:val="auto"/>
          <w:highlight w:val="none"/>
          <w:u w:val="none"/>
        </w:rPr>
        <w:fldChar w:fldCharType="end"/>
      </w:r>
      <w:r>
        <w:rPr>
          <w:rFonts w:hint="eastAsia" w:ascii="宋体" w:hAnsi="宋体" w:cs="宋体"/>
          <w:szCs w:val="21"/>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38"/>
          <w:rFonts w:hint="eastAsia" w:ascii="宋体" w:hAnsi="宋体" w:cs="宋体"/>
          <w:color w:val="auto"/>
          <w:highlight w:val="none"/>
          <w:u w:val="none"/>
        </w:rPr>
        <w:t>www.ccgp.gov.cn</w:t>
      </w:r>
      <w:r>
        <w:rPr>
          <w:rStyle w:val="38"/>
          <w:rFonts w:hint="eastAsia" w:ascii="宋体" w:hAnsi="宋体" w:cs="宋体"/>
          <w:color w:val="auto"/>
          <w:highlight w:val="none"/>
          <w:u w:val="none"/>
        </w:rPr>
        <w:fldChar w:fldCharType="end"/>
      </w:r>
      <w:r>
        <w:rPr>
          <w:rFonts w:hint="eastAsia" w:ascii="宋体" w:hAnsi="宋体" w:cs="宋体"/>
          <w:szCs w:val="21"/>
          <w:highlight w:val="none"/>
        </w:rPr>
        <w:t>)链接入口。</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（2）信用查询截止时点：资格审查结束前。</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查询记录和证据留存方式：在查询网站中直接打印查询记录，截图另存为电子文档作为评审资料保存。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2.3供应商有下列情形之一的，资格审查不通过，其响应文件按无效响应处理：</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（1）不具备磋商文件中规定的资格要求的；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szCs w:val="21"/>
          <w:highlight w:val="none"/>
        </w:rPr>
      </w:pPr>
      <w:bookmarkStart w:id="117" w:name="_Hlk68601553"/>
      <w:r>
        <w:rPr>
          <w:rFonts w:hint="eastAsia" w:ascii="宋体" w:hAnsi="宋体" w:cs="宋体"/>
          <w:szCs w:val="21"/>
          <w:highlight w:val="none"/>
        </w:rPr>
        <w:t>（4）同一合同项下的不同供应商，单位负责人为同一人或者存在直接控股、管理关系的；为本项目提供过整体设计、规范编制或者项目管理、监理、检测等服务的。</w:t>
      </w:r>
      <w:bookmarkEnd w:id="117"/>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3.符合性审查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spacing w:val="-6"/>
          <w:szCs w:val="21"/>
          <w:highlight w:val="none"/>
        </w:rPr>
      </w:pPr>
      <w:r>
        <w:rPr>
          <w:rFonts w:hint="eastAsia" w:ascii="宋体" w:hAnsi="宋体" w:cs="宋体"/>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spacing w:val="-6"/>
          <w:szCs w:val="21"/>
          <w:highlight w:val="none"/>
        </w:rPr>
        <w:t>。供应商为自然人的，必须由本人签字并附身份证明。</w:t>
      </w:r>
    </w:p>
    <w:p>
      <w:pPr>
        <w:spacing w:line="360" w:lineRule="auto"/>
        <w:ind w:firstLine="396" w:firstLineChars="200"/>
        <w:rPr>
          <w:rFonts w:ascii="宋体" w:hAnsi="宋体" w:cs="宋体"/>
          <w:szCs w:val="21"/>
          <w:highlight w:val="none"/>
        </w:rPr>
      </w:pPr>
      <w:r>
        <w:rPr>
          <w:rFonts w:hint="eastAsia"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（1）响应文件中响应报价表内容与响应文件中相应内容不一致的，以响应报价表为准；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（2）大写金额和小写金额不一致的，以大写金额为准；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（3）单价金额小数点或者百分比有明显错位的，以响应报价表的总价为准，并修改单价；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3.5商务技术、报价评审</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在评审时，如发现下列情形之一的，将被视为响应文件无效处理：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1）响应文件未按磋商文件要求签署、盖章；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5）未对竞标有效期作出响应或者响应文件承诺的竞标有效期不满足磋商文件要求；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6）响应文件的实质性内容未使用中文表述、使用计量单位不符合磋商文件要求；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7）响应文件中的文件资料因填写不齐全或者内容虚假或者出现其他情形而导致被磋商小组认定无效；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8）响应文件含有采购人不能接受的附加条件；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9）属于“供应商须知正文”第7.5条情形；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10）技术需求允许负偏离的条款数超过“供应商须知前附表”规定项数；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11）虚假竞标，或者出现其他情形而导致被磋商小组认定无效；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12）竞标技术方案不明确，磋商文件未允许但响应文件中存在一个或者一个以上备选（替代）竞标方案；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13）响应文件标注的项目名称或者项目编号与竞争性磋商文件标注的项目名称或者项目编号不一致的；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14）未响应磋商文件实质性要求；</w:t>
      </w:r>
    </w:p>
    <w:p>
      <w:pPr>
        <w:pStyle w:val="16"/>
        <w:ind w:firstLine="420" w:firstLineChars="200"/>
        <w:rPr>
          <w:rFonts w:ascii="宋体" w:hAnsi="宋体" w:cs="宋体"/>
          <w:highlight w:val="none"/>
        </w:rPr>
      </w:pPr>
      <w:r>
        <w:rPr>
          <w:rFonts w:hint="eastAsia" w:ascii="宋体" w:hAnsi="宋体" w:cs="宋体"/>
          <w:szCs w:val="21"/>
          <w:highlight w:val="none"/>
        </w:rPr>
        <w:t>15）提交的磋商保证金无效的或者未按照磋商文件的规定提交磋商保证金；</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16）法律、法规和磋商文件规定的其他无效情形。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（2）报价评审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 响应文件未提供“供应商须知前附表” 报价文件中规定的“响应报价表”；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2）未采用人民币报价或者未按照磋商文件标明的币种报价；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6）响应文件响应的标的数量及单位与竞争性磋商文件要求实质性不一致的。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ascii="宋体" w:hAnsi="宋体" w:cs="宋体"/>
          <w:b/>
          <w:bCs/>
          <w:sz w:val="24"/>
          <w:highlight w:val="none"/>
        </w:rPr>
      </w:pPr>
      <w:r>
        <w:rPr>
          <w:rFonts w:hint="eastAsia" w:ascii="宋体" w:hAnsi="宋体" w:cs="宋体"/>
          <w:b/>
          <w:bCs/>
          <w:sz w:val="24"/>
          <w:highlight w:val="none"/>
        </w:rPr>
        <w:t>4.磋商程序</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4.1磋商小组按照“供应商须知前附表”</w:t>
      </w:r>
      <w:r>
        <w:rPr>
          <w:rFonts w:hint="eastAsia" w:ascii="宋体" w:hAnsi="宋体" w:cs="宋体"/>
          <w:szCs w:val="21"/>
          <w:highlight w:val="none"/>
        </w:rPr>
        <w:t xml:space="preserve"> </w:t>
      </w:r>
      <w:r>
        <w:rPr>
          <w:rFonts w:hint="eastAsia" w:ascii="宋体" w:hAnsi="宋体" w:cs="宋体"/>
          <w:kern w:val="0"/>
          <w:szCs w:val="21"/>
          <w:highlight w:val="none"/>
        </w:rPr>
        <w:t>确定的</w:t>
      </w:r>
      <w:r>
        <w:rPr>
          <w:rFonts w:hint="eastAsia" w:ascii="宋体" w:hAnsi="宋体" w:cs="宋体"/>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4.5磋商中，</w:t>
      </w:r>
      <w:r>
        <w:rPr>
          <w:rFonts w:hint="eastAsia" w:ascii="宋体" w:hAnsi="宋体" w:cs="宋体"/>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b/>
          <w:highlight w:val="none"/>
        </w:rPr>
      </w:pPr>
      <w:r>
        <w:rPr>
          <w:rFonts w:hint="eastAsia" w:ascii="宋体" w:hAnsi="宋体" w:cs="宋体"/>
          <w:szCs w:val="21"/>
          <w:highlight w:val="none"/>
        </w:rPr>
        <w:t>4.6磋商小组应对磋商过程和重要磋商内容进行记录，作为评审报告一部分，磋商小组在记录上签字确认。</w:t>
      </w:r>
      <w:r>
        <w:rPr>
          <w:rFonts w:hint="eastAsia" w:ascii="宋体" w:hAnsi="宋体" w:cs="宋体"/>
          <w:b/>
          <w:highlight w:val="none"/>
        </w:rPr>
        <w:t>主要内容包括：</w:t>
      </w:r>
    </w:p>
    <w:p>
      <w:pPr>
        <w:pStyle w:val="67"/>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（1）按照相关规定进行公示的，公示情况说明；</w:t>
      </w:r>
    </w:p>
    <w:p>
      <w:pPr>
        <w:pStyle w:val="67"/>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（2）磋商日期和地点，磋商人员名单；</w:t>
      </w:r>
    </w:p>
    <w:p>
      <w:pPr>
        <w:pStyle w:val="67"/>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4.7磋商过程中重新提交的响应文件，供应商可以在开启前补充、修改。</w:t>
      </w:r>
    </w:p>
    <w:p>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ascii="宋体" w:hAnsi="宋体" w:cs="宋体"/>
          <w:szCs w:val="21"/>
          <w:highlight w:val="none"/>
        </w:rPr>
      </w:pPr>
      <w:r>
        <w:rPr>
          <w:rFonts w:hint="eastAsia" w:ascii="宋体" w:hAnsi="宋体" w:cs="宋体"/>
          <w:b/>
          <w:bCs/>
          <w:sz w:val="24"/>
          <w:highlight w:val="none"/>
        </w:rPr>
        <w:t>5. 最后报价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5.5供应商未在规定时间内提交最后报价的，视同退出磋商，其响应文件按无效处理。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5.6磋商小组收齐本项目/某一分标最后报价后统一开启，磋商小组对最后报价进行有效性、完整性和响应程度的审查。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5.7最终响应文件的报价出现前后不一致的，按照本章第3.4条的规定修正。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5.8修正后的最后报价出现下列情形的，按无效响应处理：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5.9经供应商确认修正后的最后报价作为评审及签订合同的依据。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cs="宋体"/>
          <w:sz w:val="22"/>
          <w:szCs w:val="22"/>
          <w:highlight w:val="none"/>
        </w:rPr>
        <w:t>，磋商小组应当告知有关供应商</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5.11最后报价结束后，磋商小组不得再与供应商进行任何形式的商谈。</w:t>
      </w:r>
    </w:p>
    <w:p>
      <w:pPr>
        <w:pStyle w:val="2"/>
        <w:spacing w:line="360" w:lineRule="auto"/>
        <w:ind w:firstLine="422" w:firstLineChars="200"/>
        <w:rPr>
          <w:rFonts w:ascii="宋体" w:hAnsi="宋体" w:cs="宋体"/>
          <w:highlight w:val="none"/>
        </w:rPr>
      </w:pPr>
      <w:r>
        <w:rPr>
          <w:rFonts w:hint="eastAsia" w:ascii="宋体" w:hAnsi="宋体" w:cs="宋体"/>
          <w:b/>
          <w:bCs/>
          <w:sz w:val="21"/>
          <w:szCs w:val="21"/>
          <w:highlight w:val="none"/>
        </w:rPr>
        <w:t>注：如磋商小组要求提供最后报价附件的，需按规定的时间提供。最后报价有时间限制，供应商可参照竞争性磋商文件“第五章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sz w:val="21"/>
          <w:szCs w:val="21"/>
          <w:highlight w:val="none"/>
          <w:lang w:val="zh-CN"/>
        </w:rPr>
        <w:t>。</w:t>
      </w:r>
    </w:p>
    <w:p>
      <w:pPr>
        <w:ind w:firstLine="200"/>
        <w:rPr>
          <w:rFonts w:ascii="宋体" w:hAnsi="宋体" w:cs="宋体"/>
          <w:b/>
          <w:bCs/>
          <w:sz w:val="24"/>
          <w:highlight w:val="none"/>
        </w:rPr>
      </w:pPr>
      <w:r>
        <w:rPr>
          <w:rFonts w:hint="eastAsia" w:ascii="宋体" w:hAnsi="宋体" w:cs="宋体"/>
          <w:b/>
          <w:bCs/>
          <w:sz w:val="24"/>
          <w:highlight w:val="none"/>
        </w:rPr>
        <w:t>6.比较与评价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6.1评审方法：综合评分法。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6.3评审时，磋商小组各成员应当独立对每个有效响应的文件进行评价、打分，然后汇总每个供应商每项评分因素的得分。</w:t>
      </w:r>
    </w:p>
    <w:p>
      <w:pPr>
        <w:pStyle w:val="16"/>
        <w:spacing w:line="360" w:lineRule="auto"/>
        <w:ind w:firstLine="420" w:firstLineChars="200"/>
        <w:rPr>
          <w:rFonts w:ascii="宋体" w:hAnsi="宋体" w:cs="宋体"/>
          <w:highlight w:val="none"/>
        </w:rPr>
      </w:pPr>
      <w:r>
        <w:rPr>
          <w:rFonts w:hint="eastAsia" w:ascii="宋体" w:hAnsi="宋体" w:cs="宋体"/>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highlight w:val="none"/>
        </w:rPr>
      </w:pPr>
      <w:r>
        <w:rPr>
          <w:rFonts w:hint="eastAsia" w:ascii="宋体" w:hAnsi="宋体" w:cs="宋体"/>
          <w:szCs w:val="21"/>
          <w:highlight w:val="none"/>
        </w:rPr>
        <w:t>（3）各供应商的得分为磋商小组所有成员的有效评分的算术平均数。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6.4评审</w:t>
      </w:r>
      <w:r>
        <w:rPr>
          <w:rFonts w:hint="eastAsia" w:ascii="宋体" w:hAnsi="宋体" w:cs="宋体"/>
          <w:highlight w:val="none"/>
        </w:rPr>
        <w:t>报价</w:t>
      </w:r>
      <w:r>
        <w:rPr>
          <w:rFonts w:hint="eastAsia" w:ascii="宋体" w:hAnsi="宋体" w:cs="宋体"/>
          <w:szCs w:val="21"/>
          <w:highlight w:val="none"/>
        </w:rPr>
        <w:t>为供应商的最后报价进行政策性扣除后的价格，评审</w:t>
      </w:r>
      <w:r>
        <w:rPr>
          <w:rFonts w:hint="eastAsia" w:ascii="宋体" w:hAnsi="宋体" w:cs="宋体"/>
          <w:highlight w:val="none"/>
        </w:rPr>
        <w:t>报价</w:t>
      </w:r>
      <w:r>
        <w:rPr>
          <w:rFonts w:hint="eastAsia" w:ascii="宋体" w:hAnsi="宋体" w:cs="宋体"/>
          <w:szCs w:val="21"/>
          <w:highlight w:val="none"/>
        </w:rPr>
        <w:t>只是作为评审时使用。最终成交供应商的成交金额等于最后报价（如有修正，以确认修正后的最后报价为准）。</w:t>
      </w:r>
    </w:p>
    <w:p>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6.5由磋商小组根据综合评分情况，按照评审得分由高到低顺序推荐3名以上成交候选供应商，并编写评</w:t>
      </w:r>
      <w:r>
        <w:rPr>
          <w:rFonts w:hint="eastAsia" w:ascii="宋体" w:hAnsi="宋体" w:cs="宋体"/>
          <w:kern w:val="0"/>
          <w:szCs w:val="21"/>
          <w:highlight w:val="none"/>
        </w:rPr>
        <w:t>审报告。符合本章第5.3条情形的，可以推荐2家成交候选供应商。评审得分相同的，</w:t>
      </w:r>
      <w:r>
        <w:rPr>
          <w:rFonts w:hint="eastAsia" w:ascii="宋体" w:hAnsi="宋体" w:cs="宋体"/>
          <w:bCs/>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ascii="宋体" w:hAnsi="宋体" w:cs="宋体"/>
          <w:b/>
          <w:bCs/>
          <w:sz w:val="24"/>
          <w:highlight w:val="none"/>
        </w:rPr>
      </w:pPr>
      <w:r>
        <w:rPr>
          <w:rFonts w:hint="eastAsia" w:ascii="宋体" w:hAnsi="宋体" w:cs="宋体"/>
          <w:b/>
          <w:bCs/>
          <w:sz w:val="24"/>
          <w:highlight w:val="none"/>
        </w:rPr>
        <w:t>7.评审标准</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7.1评审依据：磋商小组将以响应文件为评审依据，对供应商的报价、技术、商务等方面内容按百分制打分，总得分=报价分+技术分+商务分。（计分方法按四舍五入取至百分位）</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00" w:type="dxa"/>
            <w:vAlign w:val="center"/>
          </w:tcPr>
          <w:p>
            <w:pPr>
              <w:widowControl/>
              <w:spacing w:line="360" w:lineRule="auto"/>
              <w:jc w:val="center"/>
              <w:rPr>
                <w:rFonts w:ascii="宋体" w:hAnsi="宋体" w:cs="Tahoma"/>
                <w:b/>
                <w:bCs/>
                <w:kern w:val="0"/>
                <w:szCs w:val="21"/>
                <w:highlight w:val="none"/>
              </w:rPr>
            </w:pPr>
            <w:bookmarkStart w:id="118" w:name="_Toc80205935"/>
            <w:r>
              <w:rPr>
                <w:rFonts w:hint="eastAsia" w:ascii="宋体" w:hAnsi="宋体" w:cs="Tahoma"/>
                <w:b/>
                <w:bCs/>
                <w:kern w:val="0"/>
                <w:szCs w:val="21"/>
                <w:highlight w:val="none"/>
              </w:rPr>
              <w:t>序号</w:t>
            </w:r>
          </w:p>
        </w:tc>
        <w:tc>
          <w:tcPr>
            <w:tcW w:w="1418" w:type="dxa"/>
            <w:vAlign w:val="center"/>
          </w:tcPr>
          <w:p>
            <w:pPr>
              <w:widowControl/>
              <w:spacing w:line="360" w:lineRule="auto"/>
              <w:jc w:val="center"/>
              <w:rPr>
                <w:rFonts w:ascii="宋体" w:hAnsi="宋体" w:cs="Tahoma"/>
                <w:b/>
                <w:bCs/>
                <w:kern w:val="0"/>
                <w:szCs w:val="21"/>
                <w:highlight w:val="none"/>
              </w:rPr>
            </w:pPr>
            <w:r>
              <w:rPr>
                <w:rFonts w:hint="eastAsia" w:ascii="宋体" w:hAnsi="宋体" w:cs="Tahoma"/>
                <w:b/>
                <w:bCs/>
                <w:kern w:val="0"/>
                <w:szCs w:val="21"/>
                <w:highlight w:val="none"/>
              </w:rPr>
              <w:t>评审因素</w:t>
            </w:r>
          </w:p>
        </w:tc>
        <w:tc>
          <w:tcPr>
            <w:tcW w:w="6288" w:type="dxa"/>
            <w:vAlign w:val="center"/>
          </w:tcPr>
          <w:p>
            <w:pPr>
              <w:widowControl/>
              <w:spacing w:line="360" w:lineRule="auto"/>
              <w:jc w:val="center"/>
              <w:rPr>
                <w:rFonts w:ascii="宋体" w:hAnsi="宋体" w:cs="Tahoma"/>
                <w:b/>
                <w:bCs/>
                <w:kern w:val="0"/>
                <w:szCs w:val="21"/>
                <w:highlight w:val="none"/>
              </w:rPr>
            </w:pPr>
            <w:r>
              <w:rPr>
                <w:rFonts w:hint="eastAsia" w:ascii="宋体" w:hAnsi="宋体" w:cs="Tahoma"/>
                <w:b/>
                <w:bCs/>
                <w:kern w:val="0"/>
                <w:szCs w:val="21"/>
                <w:highlight w:val="none"/>
              </w:rPr>
              <w:t>评审因素具体内容</w:t>
            </w:r>
          </w:p>
        </w:tc>
        <w:tc>
          <w:tcPr>
            <w:tcW w:w="851" w:type="dxa"/>
            <w:vAlign w:val="center"/>
          </w:tcPr>
          <w:p>
            <w:pPr>
              <w:widowControl/>
              <w:spacing w:line="360" w:lineRule="auto"/>
              <w:jc w:val="center"/>
              <w:rPr>
                <w:rFonts w:ascii="宋体" w:hAnsi="宋体" w:cs="Tahoma"/>
                <w:b/>
                <w:bCs/>
                <w:kern w:val="0"/>
                <w:szCs w:val="21"/>
                <w:highlight w:val="none"/>
              </w:rPr>
            </w:pPr>
            <w:r>
              <w:rPr>
                <w:rFonts w:hint="eastAsia" w:ascii="宋体" w:hAnsi="宋体" w:cs="Tahoma"/>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00" w:type="dxa"/>
            <w:vAlign w:val="center"/>
          </w:tcPr>
          <w:p>
            <w:pPr>
              <w:widowControl/>
              <w:spacing w:line="360" w:lineRule="auto"/>
              <w:jc w:val="center"/>
              <w:rPr>
                <w:rFonts w:ascii="宋体" w:hAnsi="宋体" w:cs="Tahoma"/>
                <w:b/>
                <w:bCs/>
                <w:kern w:val="0"/>
                <w:szCs w:val="21"/>
                <w:highlight w:val="none"/>
              </w:rPr>
            </w:pPr>
            <w:r>
              <w:rPr>
                <w:rFonts w:hint="eastAsia" w:ascii="宋体" w:hAnsi="宋体" w:cs="Tahoma"/>
                <w:b/>
                <w:bCs/>
                <w:kern w:val="0"/>
                <w:szCs w:val="21"/>
                <w:highlight w:val="none"/>
              </w:rPr>
              <w:t>1</w:t>
            </w:r>
          </w:p>
        </w:tc>
        <w:tc>
          <w:tcPr>
            <w:tcW w:w="1418" w:type="dxa"/>
            <w:vAlign w:val="center"/>
          </w:tcPr>
          <w:p>
            <w:pPr>
              <w:widowControl/>
              <w:spacing w:line="360" w:lineRule="auto"/>
              <w:jc w:val="center"/>
              <w:rPr>
                <w:rFonts w:ascii="宋体" w:hAnsi="宋体" w:cs="Tahoma"/>
                <w:b/>
                <w:bCs/>
                <w:kern w:val="0"/>
                <w:szCs w:val="21"/>
                <w:highlight w:val="none"/>
              </w:rPr>
            </w:pPr>
            <w:r>
              <w:rPr>
                <w:rFonts w:hint="eastAsia" w:ascii="宋体" w:hAnsi="宋体" w:cs="Tahoma"/>
                <w:b/>
                <w:bCs/>
                <w:kern w:val="0"/>
                <w:szCs w:val="21"/>
                <w:highlight w:val="none"/>
              </w:rPr>
              <w:t>价格分</w:t>
            </w:r>
            <w:r>
              <w:rPr>
                <w:rFonts w:hint="eastAsia" w:ascii="宋体" w:hAnsi="宋体" w:cs="微软雅黑"/>
                <w:b/>
                <w:bCs/>
                <w:color w:val="000000"/>
                <w:szCs w:val="21"/>
                <w:highlight w:val="none"/>
              </w:rPr>
              <w:t>（满分15分）</w:t>
            </w:r>
          </w:p>
        </w:tc>
        <w:tc>
          <w:tcPr>
            <w:tcW w:w="6288" w:type="dxa"/>
          </w:tcPr>
          <w:p>
            <w:pPr>
              <w:spacing w:line="360" w:lineRule="auto"/>
              <w:ind w:firstLine="420" w:firstLineChars="200"/>
              <w:rPr>
                <w:rFonts w:ascii="宋体" w:hAnsi="宋体" w:cs="Courier New"/>
                <w:bCs/>
                <w:szCs w:val="21"/>
                <w:highlight w:val="none"/>
              </w:rPr>
            </w:pPr>
            <w:r>
              <w:rPr>
                <w:rFonts w:hint="eastAsia" w:ascii="宋体" w:hAnsi="宋体"/>
                <w:bCs/>
                <w:szCs w:val="21"/>
                <w:highlight w:val="none"/>
              </w:rPr>
              <w:t>1.本项目为专门面向小</w:t>
            </w:r>
            <w:r>
              <w:rPr>
                <w:rFonts w:hint="eastAsia" w:ascii="宋体" w:hAnsi="宋体"/>
                <w:bCs/>
                <w:szCs w:val="21"/>
                <w:highlight w:val="none"/>
                <w:lang w:eastAsia="zh-CN"/>
              </w:rPr>
              <w:t>微</w:t>
            </w:r>
            <w:r>
              <w:rPr>
                <w:rFonts w:hint="eastAsia" w:ascii="宋体" w:hAnsi="宋体"/>
                <w:bCs/>
                <w:szCs w:val="21"/>
                <w:highlight w:val="none"/>
              </w:rPr>
              <w:t>企业采购项目，按照《政府采购促进中小企业发展管理办法》（财库〔2020〕46号）的规定，对供应商最后报价不再执行价格评审优惠的扶持政策。</w:t>
            </w:r>
          </w:p>
          <w:p>
            <w:pPr>
              <w:spacing w:line="360" w:lineRule="auto"/>
              <w:ind w:firstLine="420" w:firstLineChars="200"/>
              <w:rPr>
                <w:rFonts w:ascii="宋体" w:hAnsi="宋体"/>
                <w:szCs w:val="21"/>
                <w:highlight w:val="none"/>
              </w:rPr>
            </w:pPr>
            <w:r>
              <w:rPr>
                <w:rFonts w:hint="eastAsia" w:ascii="宋体" w:hAnsi="宋体" w:cs="Courier New"/>
                <w:bCs/>
                <w:szCs w:val="21"/>
                <w:highlight w:val="none"/>
              </w:rPr>
              <w:t>（1）</w:t>
            </w:r>
            <w:r>
              <w:rPr>
                <w:rFonts w:hint="eastAsia" w:ascii="宋体" w:hAnsi="宋体"/>
                <w:szCs w:val="21"/>
                <w:highlight w:val="none"/>
              </w:rPr>
              <w:t>评审价为供应商的最后报价进行政策性扣除后的价格，评审价只是作为评审时使用。最终成交供应商的成交金额等于最后报价（如有修正，以确认修正后的最后报价为准）。</w:t>
            </w:r>
          </w:p>
          <w:p>
            <w:pPr>
              <w:pStyle w:val="21"/>
              <w:spacing w:line="360" w:lineRule="auto"/>
              <w:ind w:firstLine="420" w:firstLineChars="200"/>
              <w:rPr>
                <w:rFonts w:hAnsi="宋体" w:cs="Courier New"/>
                <w:bCs/>
                <w:kern w:val="2"/>
                <w:sz w:val="21"/>
                <w:highlight w:val="none"/>
              </w:rPr>
            </w:pPr>
            <w:r>
              <w:rPr>
                <w:rFonts w:hint="eastAsia" w:hAnsi="宋体" w:cs="Courier New"/>
                <w:bCs/>
                <w:kern w:val="2"/>
                <w:sz w:val="21"/>
                <w:highlight w:val="none"/>
              </w:rPr>
              <w:t>（2）以进入比较与评价环节的最低的评审价为基准价，基准价得分为</w:t>
            </w:r>
            <w:r>
              <w:rPr>
                <w:rFonts w:hint="eastAsia" w:hAnsi="宋体" w:cs="Courier New"/>
                <w:bCs/>
                <w:kern w:val="2"/>
                <w:sz w:val="21"/>
                <w:highlight w:val="none"/>
                <w:u w:val="single"/>
              </w:rPr>
              <w:t>15分</w:t>
            </w:r>
            <w:r>
              <w:rPr>
                <w:rFonts w:hint="eastAsia" w:hAnsi="宋体" w:cs="Courier New"/>
                <w:bCs/>
                <w:kern w:val="2"/>
                <w:sz w:val="21"/>
                <w:highlight w:val="none"/>
              </w:rPr>
              <w:t>。</w:t>
            </w:r>
          </w:p>
          <w:p>
            <w:pPr>
              <w:pStyle w:val="21"/>
              <w:spacing w:line="360" w:lineRule="auto"/>
              <w:ind w:firstLine="420" w:firstLineChars="200"/>
              <w:rPr>
                <w:rFonts w:hAnsi="宋体" w:cs="Courier New"/>
                <w:bCs/>
                <w:kern w:val="2"/>
                <w:sz w:val="21"/>
                <w:highlight w:val="none"/>
              </w:rPr>
            </w:pPr>
            <w:r>
              <w:rPr>
                <w:rFonts w:hint="eastAsia" w:hAnsi="宋体" w:cs="Courier New"/>
                <w:bCs/>
                <w:kern w:val="2"/>
                <w:sz w:val="21"/>
                <w:highlight w:val="none"/>
              </w:rPr>
              <w:t>（3）价格分计算公式：</w:t>
            </w:r>
          </w:p>
          <w:p>
            <w:pPr>
              <w:pStyle w:val="21"/>
              <w:spacing w:line="360" w:lineRule="auto"/>
              <w:ind w:firstLine="420" w:firstLineChars="200"/>
              <w:rPr>
                <w:rFonts w:hAnsi="宋体" w:cs="Courier New"/>
                <w:bCs/>
                <w:kern w:val="2"/>
                <w:sz w:val="21"/>
                <w:highlight w:val="none"/>
              </w:rPr>
            </w:pPr>
            <w:r>
              <w:rPr>
                <w:rFonts w:hint="eastAsia" w:hAnsi="宋体" w:cs="Courier New"/>
                <w:bCs/>
                <w:kern w:val="2"/>
                <w:sz w:val="21"/>
                <w:highlight w:val="none"/>
              </w:rPr>
              <w:t>报价得分=（基准价/最后报价）×</w:t>
            </w:r>
            <w:r>
              <w:rPr>
                <w:rFonts w:hint="eastAsia" w:hAnsi="宋体" w:cs="Courier New"/>
                <w:bCs/>
                <w:kern w:val="2"/>
                <w:sz w:val="21"/>
                <w:highlight w:val="none"/>
                <w:u w:val="single"/>
              </w:rPr>
              <w:t>15分</w:t>
            </w:r>
          </w:p>
        </w:tc>
        <w:tc>
          <w:tcPr>
            <w:tcW w:w="851" w:type="dxa"/>
            <w:vAlign w:val="center"/>
          </w:tcPr>
          <w:p>
            <w:pPr>
              <w:widowControl/>
              <w:spacing w:line="360" w:lineRule="auto"/>
              <w:jc w:val="center"/>
              <w:rPr>
                <w:rFonts w:ascii="宋体" w:hAnsi="宋体" w:cs="Tahoma"/>
                <w:kern w:val="0"/>
                <w:szCs w:val="21"/>
                <w:highlight w:val="none"/>
              </w:rPr>
            </w:pPr>
            <w:r>
              <w:rPr>
                <w:rFonts w:hint="eastAsia" w:ascii="宋体" w:hAnsi="宋体" w:cs="Tahoma"/>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00" w:type="dxa"/>
            <w:vAlign w:val="center"/>
          </w:tcPr>
          <w:p>
            <w:pPr>
              <w:widowControl/>
              <w:spacing w:line="360" w:lineRule="auto"/>
              <w:jc w:val="center"/>
              <w:rPr>
                <w:rFonts w:ascii="宋体" w:hAnsi="宋体" w:cs="Tahoma"/>
                <w:b/>
                <w:bCs/>
                <w:kern w:val="0"/>
                <w:szCs w:val="21"/>
                <w:highlight w:val="none"/>
              </w:rPr>
            </w:pPr>
            <w:r>
              <w:rPr>
                <w:rFonts w:hint="eastAsia" w:ascii="宋体" w:hAnsi="宋体"/>
                <w:b/>
                <w:bCs/>
                <w:kern w:val="0"/>
                <w:szCs w:val="21"/>
                <w:highlight w:val="none"/>
              </w:rPr>
              <w:t>2</w:t>
            </w:r>
          </w:p>
        </w:tc>
        <w:tc>
          <w:tcPr>
            <w:tcW w:w="1418" w:type="dxa"/>
            <w:vAlign w:val="center"/>
          </w:tcPr>
          <w:p>
            <w:pPr>
              <w:widowControl/>
              <w:spacing w:line="360" w:lineRule="auto"/>
              <w:jc w:val="center"/>
              <w:rPr>
                <w:rFonts w:ascii="宋体" w:hAnsi="宋体" w:cs="Tahoma"/>
                <w:b/>
                <w:kern w:val="0"/>
                <w:szCs w:val="21"/>
                <w:highlight w:val="none"/>
              </w:rPr>
            </w:pPr>
            <w:r>
              <w:rPr>
                <w:rFonts w:hint="eastAsia" w:ascii="宋体" w:hAnsi="宋体"/>
                <w:b/>
                <w:kern w:val="0"/>
                <w:szCs w:val="21"/>
                <w:highlight w:val="none"/>
              </w:rPr>
              <w:t>技术分</w:t>
            </w:r>
          </w:p>
        </w:tc>
        <w:tc>
          <w:tcPr>
            <w:tcW w:w="7139" w:type="dxa"/>
            <w:gridSpan w:val="2"/>
          </w:tcPr>
          <w:p>
            <w:pPr>
              <w:widowControl/>
              <w:spacing w:line="360" w:lineRule="auto"/>
              <w:jc w:val="center"/>
              <w:rPr>
                <w:rFonts w:ascii="宋体" w:hAnsi="宋体" w:cs="Tahoma"/>
                <w:b/>
                <w:kern w:val="0"/>
                <w:szCs w:val="21"/>
                <w:highlight w:val="none"/>
              </w:rPr>
            </w:pPr>
            <w:r>
              <w:rPr>
                <w:rFonts w:hint="eastAsia" w:ascii="宋体" w:hAnsi="宋体" w:cs="Tahoma"/>
                <w:b/>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jc w:val="center"/>
        </w:trPr>
        <w:tc>
          <w:tcPr>
            <w:tcW w:w="600" w:type="dxa"/>
            <w:vAlign w:val="center"/>
          </w:tcPr>
          <w:p>
            <w:pPr>
              <w:adjustRightInd w:val="0"/>
              <w:spacing w:line="360" w:lineRule="auto"/>
              <w:ind w:left="-105" w:leftChars="-50" w:right="-105" w:rightChars="-50"/>
              <w:jc w:val="center"/>
              <w:textAlignment w:val="baseline"/>
              <w:rPr>
                <w:rFonts w:ascii="宋体" w:hAnsi="宋体"/>
                <w:b/>
                <w:bCs/>
                <w:kern w:val="0"/>
                <w:szCs w:val="21"/>
                <w:highlight w:val="none"/>
              </w:rPr>
            </w:pPr>
            <w:r>
              <w:rPr>
                <w:rFonts w:hint="eastAsia" w:ascii="宋体" w:hAnsi="宋体"/>
                <w:b/>
                <w:bCs/>
                <w:kern w:val="0"/>
                <w:szCs w:val="21"/>
                <w:highlight w:val="none"/>
              </w:rPr>
              <w:t>2</w:t>
            </w:r>
            <w:r>
              <w:rPr>
                <w:rFonts w:ascii="宋体" w:hAnsi="宋体"/>
                <w:b/>
                <w:bCs/>
                <w:kern w:val="0"/>
                <w:szCs w:val="21"/>
                <w:highlight w:val="none"/>
              </w:rPr>
              <w:t>.1</w:t>
            </w:r>
          </w:p>
        </w:tc>
        <w:tc>
          <w:tcPr>
            <w:tcW w:w="1418" w:type="dxa"/>
            <w:vAlign w:val="center"/>
          </w:tcPr>
          <w:p>
            <w:pPr>
              <w:adjustRightInd w:val="0"/>
              <w:spacing w:line="360" w:lineRule="auto"/>
              <w:jc w:val="center"/>
              <w:textAlignment w:val="baseline"/>
              <w:rPr>
                <w:rFonts w:hAnsi="宋体" w:cs="宋体"/>
                <w:b/>
                <w:bCs/>
                <w:szCs w:val="21"/>
                <w:highlight w:val="none"/>
              </w:rPr>
            </w:pPr>
            <w:r>
              <w:rPr>
                <w:rFonts w:hint="eastAsia" w:hAnsi="宋体" w:cs="宋体"/>
                <w:b/>
                <w:bCs/>
                <w:szCs w:val="21"/>
                <w:highlight w:val="none"/>
              </w:rPr>
              <w:t>项目需求</w:t>
            </w:r>
          </w:p>
          <w:p>
            <w:pPr>
              <w:adjustRightInd w:val="0"/>
              <w:spacing w:line="360" w:lineRule="auto"/>
              <w:jc w:val="center"/>
              <w:textAlignment w:val="baseline"/>
              <w:rPr>
                <w:rFonts w:ascii="宋体" w:hAnsi="宋体"/>
                <w:bCs/>
                <w:kern w:val="0"/>
                <w:szCs w:val="21"/>
                <w:highlight w:val="none"/>
              </w:rPr>
            </w:pPr>
            <w:r>
              <w:rPr>
                <w:rFonts w:hint="eastAsia" w:hAnsi="宋体" w:cs="宋体"/>
                <w:b/>
                <w:bCs/>
                <w:szCs w:val="21"/>
                <w:highlight w:val="none"/>
              </w:rPr>
              <w:t>理解</w:t>
            </w:r>
            <w:r>
              <w:rPr>
                <w:rFonts w:hint="eastAsia" w:ascii="宋体" w:hAnsi="宋体" w:cs="微软雅黑"/>
                <w:b/>
                <w:color w:val="000000"/>
                <w:szCs w:val="21"/>
                <w:highlight w:val="none"/>
              </w:rPr>
              <w:t>（满分</w:t>
            </w:r>
            <w:r>
              <w:rPr>
                <w:rFonts w:ascii="宋体" w:hAnsi="宋体" w:cs="微软雅黑"/>
                <w:b/>
                <w:color w:val="000000"/>
                <w:szCs w:val="21"/>
                <w:highlight w:val="none"/>
              </w:rPr>
              <w:t>10</w:t>
            </w:r>
            <w:r>
              <w:rPr>
                <w:rFonts w:hint="eastAsia" w:ascii="宋体" w:hAnsi="宋体" w:cs="微软雅黑"/>
                <w:b/>
                <w:color w:val="000000"/>
                <w:szCs w:val="21"/>
                <w:highlight w:val="none"/>
              </w:rPr>
              <w:t>分）</w:t>
            </w:r>
          </w:p>
        </w:tc>
        <w:tc>
          <w:tcPr>
            <w:tcW w:w="6288" w:type="dxa"/>
            <w:vAlign w:val="center"/>
          </w:tcPr>
          <w:p>
            <w:pPr>
              <w:widowControl/>
              <w:snapToGrid w:val="0"/>
              <w:spacing w:line="360" w:lineRule="auto"/>
              <w:rPr>
                <w:rFonts w:hAnsi="宋体"/>
                <w:bCs/>
                <w:szCs w:val="21"/>
                <w:highlight w:val="none"/>
              </w:rPr>
            </w:pPr>
            <w:r>
              <w:rPr>
                <w:rFonts w:hint="eastAsia" w:hAnsi="宋体"/>
                <w:bCs/>
                <w:szCs w:val="21"/>
                <w:highlight w:val="none"/>
              </w:rPr>
              <w:t>一档（0分）：竞标人未提供项目需求理解得0分。</w:t>
            </w:r>
          </w:p>
          <w:p>
            <w:pPr>
              <w:widowControl/>
              <w:snapToGrid w:val="0"/>
              <w:spacing w:line="360" w:lineRule="auto"/>
              <w:rPr>
                <w:rFonts w:hAnsi="宋体"/>
                <w:bCs/>
                <w:szCs w:val="21"/>
                <w:highlight w:val="none"/>
              </w:rPr>
            </w:pPr>
            <w:r>
              <w:rPr>
                <w:rFonts w:hint="eastAsia" w:hAnsi="宋体"/>
                <w:bCs/>
                <w:szCs w:val="21"/>
                <w:highlight w:val="none"/>
              </w:rPr>
              <w:t>二档（</w:t>
            </w:r>
            <w:r>
              <w:rPr>
                <w:rFonts w:hAnsi="宋体"/>
                <w:bCs/>
                <w:szCs w:val="21"/>
                <w:highlight w:val="none"/>
              </w:rPr>
              <w:t>2</w:t>
            </w:r>
            <w:r>
              <w:rPr>
                <w:rFonts w:hint="eastAsia" w:hAnsi="宋体"/>
                <w:bCs/>
                <w:szCs w:val="21"/>
                <w:highlight w:val="none"/>
              </w:rPr>
              <w:t>分）：竞标人对本项目的理解和综合情况内容描述不清晰的；</w:t>
            </w:r>
          </w:p>
          <w:p>
            <w:pPr>
              <w:widowControl/>
              <w:snapToGrid w:val="0"/>
              <w:spacing w:line="360" w:lineRule="auto"/>
              <w:rPr>
                <w:rFonts w:hAnsi="宋体"/>
                <w:bCs/>
                <w:szCs w:val="21"/>
                <w:highlight w:val="none"/>
              </w:rPr>
            </w:pPr>
            <w:r>
              <w:rPr>
                <w:rFonts w:hint="eastAsia" w:hAnsi="宋体"/>
                <w:bCs/>
                <w:szCs w:val="21"/>
                <w:highlight w:val="none"/>
              </w:rPr>
              <w:t>三档（</w:t>
            </w:r>
            <w:r>
              <w:rPr>
                <w:rFonts w:hAnsi="宋体"/>
                <w:bCs/>
                <w:szCs w:val="21"/>
                <w:highlight w:val="none"/>
              </w:rPr>
              <w:t>5</w:t>
            </w:r>
            <w:r>
              <w:rPr>
                <w:rFonts w:hint="eastAsia" w:hAnsi="宋体"/>
                <w:bCs/>
                <w:szCs w:val="21"/>
                <w:highlight w:val="none"/>
              </w:rPr>
              <w:t>分）：竞标人对本项目的理解和综合情况基本合理、清晰的；</w:t>
            </w:r>
          </w:p>
          <w:p>
            <w:pPr>
              <w:widowControl/>
              <w:snapToGrid w:val="0"/>
              <w:spacing w:line="360" w:lineRule="auto"/>
              <w:rPr>
                <w:rFonts w:hAnsi="宋体"/>
                <w:bCs/>
                <w:szCs w:val="21"/>
                <w:highlight w:val="none"/>
              </w:rPr>
            </w:pPr>
            <w:r>
              <w:rPr>
                <w:rFonts w:hint="eastAsia" w:hAnsi="宋体"/>
                <w:bCs/>
                <w:szCs w:val="21"/>
                <w:highlight w:val="none"/>
              </w:rPr>
              <w:t>四档（1</w:t>
            </w:r>
            <w:r>
              <w:rPr>
                <w:rFonts w:hAnsi="宋体"/>
                <w:bCs/>
                <w:szCs w:val="21"/>
                <w:highlight w:val="none"/>
              </w:rPr>
              <w:t>0</w:t>
            </w:r>
            <w:r>
              <w:rPr>
                <w:rFonts w:hint="eastAsia" w:hAnsi="宋体"/>
                <w:bCs/>
                <w:szCs w:val="21"/>
                <w:highlight w:val="none"/>
              </w:rPr>
              <w:t>分）：竞标人对本项目的现状、服务需求、服务内容等的理解和综合情况分析合理、清晰明了的。</w:t>
            </w:r>
          </w:p>
        </w:tc>
        <w:tc>
          <w:tcPr>
            <w:tcW w:w="851" w:type="dxa"/>
            <w:vAlign w:val="center"/>
          </w:tcPr>
          <w:p>
            <w:pPr>
              <w:spacing w:line="360" w:lineRule="auto"/>
              <w:jc w:val="center"/>
              <w:rPr>
                <w:rFonts w:ascii="宋体" w:hAnsi="宋体" w:cs="Tahoma"/>
                <w:kern w:val="0"/>
                <w:szCs w:val="21"/>
                <w:highlight w:val="none"/>
              </w:rPr>
            </w:pPr>
            <w:r>
              <w:rPr>
                <w:rFonts w:ascii="宋体" w:hAnsi="宋体" w:cs="Tahoma"/>
                <w:kern w:val="0"/>
                <w:szCs w:val="21"/>
                <w:highlight w:val="none"/>
              </w:rPr>
              <w:t>10</w:t>
            </w:r>
            <w:r>
              <w:rPr>
                <w:rFonts w:hint="eastAsia" w:ascii="宋体" w:hAnsi="宋体" w:cs="Tahoma"/>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jc w:val="center"/>
        </w:trPr>
        <w:tc>
          <w:tcPr>
            <w:tcW w:w="600" w:type="dxa"/>
            <w:vAlign w:val="center"/>
          </w:tcPr>
          <w:p>
            <w:pPr>
              <w:adjustRightInd w:val="0"/>
              <w:spacing w:line="360" w:lineRule="auto"/>
              <w:ind w:left="-105" w:leftChars="-50" w:right="-105" w:rightChars="-50"/>
              <w:jc w:val="center"/>
              <w:textAlignment w:val="baseline"/>
              <w:rPr>
                <w:rFonts w:ascii="宋体" w:hAnsi="宋体"/>
                <w:b/>
                <w:bCs/>
                <w:kern w:val="0"/>
                <w:szCs w:val="21"/>
                <w:highlight w:val="none"/>
              </w:rPr>
            </w:pPr>
            <w:r>
              <w:rPr>
                <w:rFonts w:hint="eastAsia" w:ascii="宋体" w:hAnsi="宋体"/>
                <w:b/>
                <w:bCs/>
                <w:kern w:val="0"/>
                <w:szCs w:val="21"/>
                <w:highlight w:val="none"/>
              </w:rPr>
              <w:t>2</w:t>
            </w:r>
            <w:r>
              <w:rPr>
                <w:rFonts w:ascii="宋体" w:hAnsi="宋体"/>
                <w:b/>
                <w:bCs/>
                <w:kern w:val="0"/>
                <w:szCs w:val="21"/>
                <w:highlight w:val="none"/>
              </w:rPr>
              <w:t>.2</w:t>
            </w:r>
          </w:p>
        </w:tc>
        <w:tc>
          <w:tcPr>
            <w:tcW w:w="1418" w:type="dxa"/>
            <w:vAlign w:val="center"/>
          </w:tcPr>
          <w:p>
            <w:pPr>
              <w:adjustRightInd w:val="0"/>
              <w:spacing w:line="360" w:lineRule="auto"/>
              <w:jc w:val="center"/>
              <w:textAlignment w:val="baseline"/>
              <w:rPr>
                <w:rFonts w:ascii="宋体" w:hAnsi="宋体"/>
                <w:bCs/>
                <w:kern w:val="0"/>
                <w:szCs w:val="21"/>
                <w:highlight w:val="none"/>
              </w:rPr>
            </w:pPr>
            <w:r>
              <w:rPr>
                <w:rFonts w:hint="eastAsia" w:hAnsi="宋体" w:cs="宋体"/>
                <w:b/>
                <w:bCs/>
                <w:szCs w:val="21"/>
                <w:highlight w:val="none"/>
              </w:rPr>
              <w:t>技术服务方案分</w:t>
            </w:r>
            <w:r>
              <w:rPr>
                <w:rFonts w:hint="eastAsia" w:ascii="宋体" w:hAnsi="宋体" w:cs="微软雅黑"/>
                <w:b/>
                <w:color w:val="000000"/>
                <w:szCs w:val="21"/>
                <w:highlight w:val="none"/>
              </w:rPr>
              <w:t>（满分30分）</w:t>
            </w:r>
          </w:p>
        </w:tc>
        <w:tc>
          <w:tcPr>
            <w:tcW w:w="6288" w:type="dxa"/>
            <w:vAlign w:val="center"/>
          </w:tcPr>
          <w:p>
            <w:pPr>
              <w:widowControl/>
              <w:snapToGrid w:val="0"/>
              <w:spacing w:line="360" w:lineRule="auto"/>
              <w:rPr>
                <w:rFonts w:hAnsi="宋体"/>
                <w:bCs/>
                <w:szCs w:val="21"/>
                <w:highlight w:val="none"/>
              </w:rPr>
            </w:pPr>
            <w:r>
              <w:rPr>
                <w:rFonts w:hint="eastAsia" w:hAnsi="宋体"/>
                <w:bCs/>
                <w:szCs w:val="21"/>
                <w:highlight w:val="none"/>
              </w:rPr>
              <w:t>一档（0分）：竞标人未提供技术服务方案得0分。</w:t>
            </w:r>
          </w:p>
          <w:p>
            <w:pPr>
              <w:widowControl/>
              <w:snapToGrid w:val="0"/>
              <w:spacing w:line="360" w:lineRule="auto"/>
              <w:rPr>
                <w:rFonts w:hAnsi="宋体"/>
                <w:bCs/>
                <w:szCs w:val="21"/>
                <w:highlight w:val="none"/>
              </w:rPr>
            </w:pPr>
            <w:r>
              <w:rPr>
                <w:rFonts w:hint="eastAsia" w:hAnsi="宋体"/>
                <w:bCs/>
                <w:szCs w:val="21"/>
                <w:highlight w:val="none"/>
              </w:rPr>
              <w:t>二档（10分）：竞标人提供了技术服务方案，方案描述了项目组织实施安排、技术服务方案的；</w:t>
            </w:r>
          </w:p>
          <w:p>
            <w:pPr>
              <w:widowControl/>
              <w:snapToGrid w:val="0"/>
              <w:spacing w:line="360" w:lineRule="auto"/>
              <w:rPr>
                <w:rFonts w:hAnsi="宋体"/>
                <w:bCs/>
                <w:szCs w:val="21"/>
                <w:highlight w:val="none"/>
              </w:rPr>
            </w:pPr>
            <w:r>
              <w:rPr>
                <w:rFonts w:hint="eastAsia" w:hAnsi="宋体"/>
                <w:bCs/>
                <w:szCs w:val="21"/>
                <w:highlight w:val="none"/>
              </w:rPr>
              <w:t>三档（20分）：竞标人提供了详细的技术服务方案，方案详细描述了项目组织实施安排、人员安排以及技术服务方案，且各种服务文档规范齐全；</w:t>
            </w:r>
          </w:p>
          <w:p>
            <w:pPr>
              <w:widowControl/>
              <w:snapToGrid w:val="0"/>
              <w:spacing w:line="360" w:lineRule="auto"/>
              <w:rPr>
                <w:rFonts w:hAnsi="宋体"/>
                <w:bCs/>
                <w:szCs w:val="21"/>
                <w:highlight w:val="none"/>
              </w:rPr>
            </w:pPr>
            <w:r>
              <w:rPr>
                <w:rFonts w:hint="eastAsia" w:hAnsi="宋体"/>
                <w:bCs/>
                <w:szCs w:val="21"/>
                <w:highlight w:val="none"/>
              </w:rPr>
              <w:t>四档（30分）：竞标人提供了可行的服务方案，方案详细描述了可行的项目组织实施安排、人员安排、人员培训方案以及针对本项目提供的技术服务方案，针对本项目定制便民考核及动态监控考核方案等，且各种服务文档规范齐全。</w:t>
            </w:r>
          </w:p>
        </w:tc>
        <w:tc>
          <w:tcPr>
            <w:tcW w:w="851" w:type="dxa"/>
            <w:vAlign w:val="center"/>
          </w:tcPr>
          <w:p>
            <w:pPr>
              <w:spacing w:line="360" w:lineRule="auto"/>
              <w:jc w:val="center"/>
              <w:rPr>
                <w:rFonts w:ascii="宋体" w:hAnsi="宋体" w:cs="Tahoma"/>
                <w:kern w:val="0"/>
                <w:szCs w:val="21"/>
                <w:highlight w:val="none"/>
              </w:rPr>
            </w:pPr>
            <w:r>
              <w:rPr>
                <w:rFonts w:hint="eastAsia" w:ascii="宋体" w:hAnsi="宋体" w:cs="Tahoma"/>
                <w:kern w:val="0"/>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00" w:type="dxa"/>
            <w:vAlign w:val="center"/>
          </w:tcPr>
          <w:p>
            <w:pPr>
              <w:adjustRightInd w:val="0"/>
              <w:spacing w:line="360" w:lineRule="auto"/>
              <w:ind w:left="-105" w:leftChars="-50" w:right="-105" w:rightChars="-50"/>
              <w:jc w:val="center"/>
              <w:textAlignment w:val="baseline"/>
              <w:rPr>
                <w:rFonts w:ascii="宋体" w:hAnsi="宋体"/>
                <w:b/>
                <w:bCs/>
                <w:kern w:val="0"/>
                <w:szCs w:val="21"/>
                <w:highlight w:val="none"/>
              </w:rPr>
            </w:pPr>
            <w:r>
              <w:rPr>
                <w:rFonts w:hint="eastAsia" w:ascii="宋体" w:hAnsi="宋体"/>
                <w:b/>
                <w:bCs/>
                <w:kern w:val="0"/>
                <w:szCs w:val="21"/>
                <w:highlight w:val="none"/>
              </w:rPr>
              <w:t>2.</w:t>
            </w:r>
            <w:r>
              <w:rPr>
                <w:rFonts w:ascii="宋体" w:hAnsi="宋体"/>
                <w:b/>
                <w:bCs/>
                <w:kern w:val="0"/>
                <w:szCs w:val="21"/>
                <w:highlight w:val="none"/>
              </w:rPr>
              <w:t>3</w:t>
            </w:r>
          </w:p>
        </w:tc>
        <w:tc>
          <w:tcPr>
            <w:tcW w:w="1418" w:type="dxa"/>
            <w:vAlign w:val="center"/>
          </w:tcPr>
          <w:p>
            <w:pPr>
              <w:adjustRightInd w:val="0"/>
              <w:spacing w:line="360" w:lineRule="auto"/>
              <w:jc w:val="center"/>
              <w:textAlignment w:val="baseline"/>
              <w:rPr>
                <w:rFonts w:hAnsi="宋体" w:cs="宋体"/>
                <w:b/>
                <w:bCs/>
                <w:szCs w:val="21"/>
                <w:highlight w:val="none"/>
              </w:rPr>
            </w:pPr>
            <w:r>
              <w:rPr>
                <w:rFonts w:hint="eastAsia" w:hAnsi="宋体" w:cs="宋体"/>
                <w:b/>
                <w:bCs/>
                <w:szCs w:val="21"/>
                <w:highlight w:val="none"/>
              </w:rPr>
              <w:t>运维售后服务方案分</w:t>
            </w:r>
            <w:r>
              <w:rPr>
                <w:rFonts w:hint="eastAsia" w:ascii="宋体" w:hAnsi="宋体" w:cs="微软雅黑"/>
                <w:b/>
                <w:color w:val="000000"/>
                <w:szCs w:val="21"/>
                <w:highlight w:val="none"/>
              </w:rPr>
              <w:t>（满分2</w:t>
            </w:r>
            <w:r>
              <w:rPr>
                <w:rFonts w:ascii="宋体" w:hAnsi="宋体" w:cs="微软雅黑"/>
                <w:b/>
                <w:color w:val="000000"/>
                <w:szCs w:val="21"/>
                <w:highlight w:val="none"/>
              </w:rPr>
              <w:t>0</w:t>
            </w:r>
            <w:r>
              <w:rPr>
                <w:rFonts w:hint="eastAsia" w:ascii="宋体" w:hAnsi="宋体" w:cs="微软雅黑"/>
                <w:b/>
                <w:color w:val="000000"/>
                <w:szCs w:val="21"/>
                <w:highlight w:val="none"/>
              </w:rPr>
              <w:t>分）</w:t>
            </w:r>
          </w:p>
        </w:tc>
        <w:tc>
          <w:tcPr>
            <w:tcW w:w="6288" w:type="dxa"/>
            <w:vAlign w:val="center"/>
          </w:tcPr>
          <w:p>
            <w:pPr>
              <w:pStyle w:val="21"/>
              <w:spacing w:line="360" w:lineRule="auto"/>
              <w:rPr>
                <w:rFonts w:ascii="Calibri" w:hAnsi="Calibri"/>
                <w:bCs/>
                <w:kern w:val="2"/>
                <w:sz w:val="21"/>
                <w:szCs w:val="24"/>
                <w:highlight w:val="none"/>
                <w:shd w:val="clear" w:color="auto" w:fill="FFFFFF"/>
              </w:rPr>
            </w:pPr>
            <w:r>
              <w:rPr>
                <w:rFonts w:hint="eastAsia" w:ascii="Calibri" w:hAnsi="Calibri"/>
                <w:bCs/>
                <w:kern w:val="2"/>
                <w:sz w:val="21"/>
                <w:szCs w:val="24"/>
                <w:highlight w:val="none"/>
                <w:shd w:val="clear" w:color="auto" w:fill="FFFFFF"/>
              </w:rPr>
              <w:t>一档（0分）：竞标人未提供运维售后服务方案得0分。</w:t>
            </w:r>
          </w:p>
          <w:p>
            <w:pPr>
              <w:widowControl/>
              <w:snapToGrid w:val="0"/>
              <w:spacing w:line="360" w:lineRule="auto"/>
              <w:rPr>
                <w:rFonts w:hAnsi="宋体"/>
                <w:bCs/>
                <w:szCs w:val="21"/>
                <w:highlight w:val="none"/>
              </w:rPr>
            </w:pPr>
            <w:r>
              <w:rPr>
                <w:rFonts w:hint="eastAsia" w:hAnsi="宋体"/>
                <w:bCs/>
                <w:szCs w:val="21"/>
                <w:highlight w:val="none"/>
              </w:rPr>
              <w:t>一档（7分）：质量保证措施和售后服务承诺较简单；售后响应时间不及时或较慢，无具体承诺或不适用，服务内容、保障措施简单。</w:t>
            </w:r>
          </w:p>
          <w:p>
            <w:pPr>
              <w:widowControl/>
              <w:snapToGrid w:val="0"/>
              <w:spacing w:line="360" w:lineRule="auto"/>
              <w:rPr>
                <w:rFonts w:hAnsi="宋体"/>
                <w:bCs/>
                <w:szCs w:val="21"/>
                <w:highlight w:val="none"/>
              </w:rPr>
            </w:pPr>
            <w:r>
              <w:rPr>
                <w:rFonts w:hint="eastAsia" w:hAnsi="宋体"/>
                <w:bCs/>
                <w:szCs w:val="21"/>
                <w:highlight w:val="none"/>
              </w:rPr>
              <w:t>二档（14分）：质量保证措施和售后服务承诺基本满足采购文件要求，安排较具体，内容较完整、可行，售后响应时间满足招标文件要求，有具体承诺，服务内容、保障措施较为详细。</w:t>
            </w:r>
          </w:p>
          <w:p>
            <w:pPr>
              <w:widowControl/>
              <w:snapToGrid w:val="0"/>
              <w:spacing w:line="360" w:lineRule="auto"/>
              <w:rPr>
                <w:rFonts w:hAnsi="宋体"/>
                <w:bCs/>
                <w:szCs w:val="21"/>
                <w:highlight w:val="none"/>
              </w:rPr>
            </w:pPr>
            <w:r>
              <w:rPr>
                <w:rFonts w:hint="eastAsia" w:hAnsi="宋体"/>
                <w:bCs/>
                <w:szCs w:val="21"/>
                <w:highlight w:val="none"/>
              </w:rPr>
              <w:t>三档（2</w:t>
            </w:r>
            <w:r>
              <w:rPr>
                <w:rFonts w:hAnsi="宋体"/>
                <w:bCs/>
                <w:szCs w:val="21"/>
                <w:highlight w:val="none"/>
              </w:rPr>
              <w:t>0</w:t>
            </w:r>
            <w:r>
              <w:rPr>
                <w:rFonts w:hint="eastAsia" w:hAnsi="宋体"/>
                <w:bCs/>
                <w:szCs w:val="21"/>
                <w:highlight w:val="none"/>
              </w:rPr>
              <w:t>分）：质量保证措施和售后服务承诺充分满足采购文件要求，安排详细具体，提供具体技术支持服务、服务质量保障、服务管理规范、应急处置方案等内容，内容完整、齐全、可行，有针对性。</w:t>
            </w:r>
          </w:p>
        </w:tc>
        <w:tc>
          <w:tcPr>
            <w:tcW w:w="851" w:type="dxa"/>
            <w:vAlign w:val="center"/>
          </w:tcPr>
          <w:p>
            <w:pPr>
              <w:spacing w:line="360" w:lineRule="auto"/>
              <w:jc w:val="center"/>
              <w:rPr>
                <w:rFonts w:ascii="宋体" w:hAnsi="宋体" w:cs="Tahoma"/>
                <w:kern w:val="0"/>
                <w:szCs w:val="21"/>
                <w:highlight w:val="none"/>
              </w:rPr>
            </w:pPr>
            <w:r>
              <w:rPr>
                <w:rFonts w:ascii="宋体" w:hAnsi="宋体" w:cs="Tahoma"/>
                <w:kern w:val="0"/>
                <w:szCs w:val="21"/>
                <w:highlight w:val="none"/>
              </w:rPr>
              <w:t>20</w:t>
            </w:r>
            <w:r>
              <w:rPr>
                <w:rFonts w:hint="eastAsia" w:ascii="宋体" w:hAnsi="宋体" w:cs="Tahoma"/>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0" w:type="dxa"/>
            <w:vAlign w:val="center"/>
          </w:tcPr>
          <w:p>
            <w:pPr>
              <w:widowControl/>
              <w:spacing w:line="360" w:lineRule="auto"/>
              <w:jc w:val="center"/>
              <w:rPr>
                <w:rFonts w:ascii="宋体" w:hAnsi="宋体" w:cs="Tahoma"/>
                <w:b/>
                <w:bCs/>
                <w:kern w:val="0"/>
                <w:szCs w:val="21"/>
                <w:highlight w:val="none"/>
              </w:rPr>
            </w:pPr>
            <w:r>
              <w:rPr>
                <w:rFonts w:hint="eastAsia" w:ascii="宋体" w:hAnsi="宋体" w:cs="Tahoma"/>
                <w:b/>
                <w:bCs/>
                <w:kern w:val="0"/>
                <w:szCs w:val="21"/>
                <w:highlight w:val="none"/>
              </w:rPr>
              <w:t>3</w:t>
            </w:r>
          </w:p>
        </w:tc>
        <w:tc>
          <w:tcPr>
            <w:tcW w:w="1418" w:type="dxa"/>
            <w:vAlign w:val="center"/>
          </w:tcPr>
          <w:p>
            <w:pPr>
              <w:widowControl/>
              <w:spacing w:line="360" w:lineRule="auto"/>
              <w:jc w:val="center"/>
              <w:rPr>
                <w:rFonts w:ascii="宋体" w:hAnsi="宋体" w:cs="Courier New"/>
                <w:b/>
                <w:bCs/>
                <w:szCs w:val="21"/>
                <w:highlight w:val="none"/>
              </w:rPr>
            </w:pPr>
            <w:r>
              <w:rPr>
                <w:rFonts w:hint="eastAsia" w:ascii="宋体" w:hAnsi="宋体" w:cs="Courier New"/>
                <w:b/>
                <w:bCs/>
                <w:szCs w:val="21"/>
                <w:highlight w:val="none"/>
              </w:rPr>
              <w:t>商务分</w:t>
            </w:r>
          </w:p>
        </w:tc>
        <w:tc>
          <w:tcPr>
            <w:tcW w:w="7139" w:type="dxa"/>
            <w:gridSpan w:val="2"/>
            <w:vAlign w:val="center"/>
          </w:tcPr>
          <w:p>
            <w:pPr>
              <w:widowControl/>
              <w:spacing w:line="360" w:lineRule="auto"/>
              <w:jc w:val="center"/>
              <w:rPr>
                <w:rFonts w:ascii="宋体" w:hAnsi="宋体" w:cs="Tahoma"/>
                <w:b/>
                <w:bCs/>
                <w:kern w:val="0"/>
                <w:szCs w:val="21"/>
                <w:highlight w:val="none"/>
              </w:rPr>
            </w:pPr>
            <w:r>
              <w:rPr>
                <w:rFonts w:hint="eastAsia" w:ascii="宋体" w:hAnsi="宋体" w:cs="Tahoma"/>
                <w:b/>
                <w:bCs/>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600" w:type="dxa"/>
            <w:vAlign w:val="center"/>
          </w:tcPr>
          <w:p>
            <w:pPr>
              <w:widowControl/>
              <w:spacing w:line="360" w:lineRule="auto"/>
              <w:jc w:val="center"/>
              <w:rPr>
                <w:rFonts w:ascii="宋体" w:hAnsi="宋体" w:cs="Tahoma"/>
                <w:b/>
                <w:bCs/>
                <w:kern w:val="0"/>
                <w:szCs w:val="21"/>
                <w:highlight w:val="none"/>
              </w:rPr>
            </w:pPr>
            <w:r>
              <w:rPr>
                <w:rFonts w:hint="eastAsia" w:ascii="宋体" w:hAnsi="宋体" w:cs="Tahoma"/>
                <w:b/>
                <w:bCs/>
                <w:kern w:val="0"/>
                <w:szCs w:val="21"/>
                <w:highlight w:val="none"/>
              </w:rPr>
              <w:t>3.1</w:t>
            </w:r>
          </w:p>
        </w:tc>
        <w:tc>
          <w:tcPr>
            <w:tcW w:w="1418" w:type="dxa"/>
            <w:vAlign w:val="center"/>
          </w:tcPr>
          <w:p>
            <w:pPr>
              <w:widowControl/>
              <w:spacing w:line="360" w:lineRule="auto"/>
              <w:jc w:val="center"/>
              <w:rPr>
                <w:rFonts w:ascii="宋体" w:hAnsi="宋体" w:cs="Courier New"/>
                <w:bCs/>
                <w:szCs w:val="21"/>
                <w:highlight w:val="none"/>
              </w:rPr>
            </w:pPr>
            <w:r>
              <w:rPr>
                <w:rFonts w:hint="eastAsia" w:ascii="宋体" w:hAnsi="宋体" w:cs="Courier New"/>
                <w:b/>
                <w:szCs w:val="21"/>
                <w:highlight w:val="none"/>
              </w:rPr>
              <w:t>项目人员配备分（满分9分）</w:t>
            </w:r>
          </w:p>
        </w:tc>
        <w:tc>
          <w:tcPr>
            <w:tcW w:w="6288" w:type="dxa"/>
          </w:tcPr>
          <w:p>
            <w:pPr>
              <w:pStyle w:val="21"/>
              <w:numPr>
                <w:ilvl w:val="0"/>
                <w:numId w:val="0"/>
              </w:numPr>
              <w:spacing w:line="360" w:lineRule="auto"/>
              <w:rPr>
                <w:rFonts w:hint="eastAsia" w:hAnsi="宋体" w:cs="Courier New"/>
                <w:bCs/>
                <w:kern w:val="2"/>
                <w:sz w:val="21"/>
                <w:highlight w:val="none"/>
              </w:rPr>
            </w:pPr>
            <w:r>
              <w:rPr>
                <w:rFonts w:hint="eastAsia" w:hAnsi="宋体" w:cs="Courier New"/>
                <w:bCs/>
                <w:kern w:val="2"/>
                <w:sz w:val="21"/>
                <w:highlight w:val="none"/>
                <w:lang w:val="en-US" w:eastAsia="zh-CN"/>
              </w:rPr>
              <w:t>1、</w:t>
            </w:r>
            <w:r>
              <w:rPr>
                <w:rFonts w:hint="eastAsia" w:hAnsi="宋体" w:cs="Courier New"/>
                <w:bCs/>
                <w:kern w:val="2"/>
                <w:sz w:val="21"/>
                <w:highlight w:val="none"/>
              </w:rPr>
              <w:t>竞标人提供拟投入人员分配方案中对各组织的职责（任务）、人员构成包括主要人员的专业水平及经验方面的情况进行了详细阐述的，得5分。</w:t>
            </w:r>
          </w:p>
          <w:p>
            <w:pPr>
              <w:pStyle w:val="21"/>
              <w:numPr>
                <w:ilvl w:val="0"/>
                <w:numId w:val="0"/>
              </w:numPr>
              <w:spacing w:line="360" w:lineRule="auto"/>
              <w:rPr>
                <w:rFonts w:ascii="宋体" w:hAnsi="宋体" w:eastAsia="宋体" w:cs="Courier New"/>
                <w:bCs/>
                <w:sz w:val="21"/>
                <w:szCs w:val="21"/>
                <w:highlight w:val="none"/>
              </w:rPr>
            </w:pPr>
            <w:r>
              <w:rPr>
                <w:rFonts w:hint="eastAsia" w:ascii="宋体" w:hAnsi="宋体" w:eastAsia="宋体" w:cs="Courier New"/>
                <w:b w:val="0"/>
                <w:bCs/>
                <w:sz w:val="21"/>
                <w:szCs w:val="21"/>
                <w:highlight w:val="none"/>
              </w:rPr>
              <w:t>2、项目实施人员配置具高级工程师职称或具有中华人民共和国工业和信息化部颁发的软考高级资格证书不少于4人，每人得1分，满分4分。（须提供拟投入本项目的相关专业技术人员截标前（半年内）连续3个月加盖社保部门公章的社保缴纳明细复印件及相关证明材料（如：职称证书等），评审时以提供的证明材料为准。）</w:t>
            </w:r>
          </w:p>
        </w:tc>
        <w:tc>
          <w:tcPr>
            <w:tcW w:w="851" w:type="dxa"/>
            <w:vAlign w:val="center"/>
          </w:tcPr>
          <w:p>
            <w:pPr>
              <w:widowControl/>
              <w:spacing w:line="360" w:lineRule="auto"/>
              <w:jc w:val="center"/>
              <w:rPr>
                <w:rFonts w:ascii="宋体" w:hAnsi="宋体" w:cs="Tahoma"/>
                <w:kern w:val="0"/>
                <w:szCs w:val="21"/>
                <w:highlight w:val="none"/>
              </w:rPr>
            </w:pPr>
            <w:r>
              <w:rPr>
                <w:rFonts w:hint="eastAsia" w:ascii="宋体" w:hAnsi="宋体" w:cs="Tahoma"/>
                <w:kern w:val="0"/>
                <w:szCs w:val="21"/>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0" w:type="dxa"/>
            <w:vAlign w:val="center"/>
          </w:tcPr>
          <w:p>
            <w:pPr>
              <w:widowControl/>
              <w:spacing w:line="360" w:lineRule="auto"/>
              <w:jc w:val="center"/>
              <w:rPr>
                <w:rFonts w:ascii="宋体" w:hAnsi="宋体" w:cs="Tahoma"/>
                <w:b/>
                <w:bCs/>
                <w:kern w:val="0"/>
                <w:szCs w:val="21"/>
                <w:highlight w:val="none"/>
              </w:rPr>
            </w:pPr>
            <w:r>
              <w:rPr>
                <w:rFonts w:hint="eastAsia" w:ascii="宋体" w:hAnsi="宋体" w:cs="Tahoma"/>
                <w:b/>
                <w:bCs/>
                <w:kern w:val="0"/>
                <w:szCs w:val="21"/>
                <w:highlight w:val="none"/>
              </w:rPr>
              <w:t>3</w:t>
            </w:r>
            <w:r>
              <w:rPr>
                <w:rFonts w:ascii="宋体" w:hAnsi="宋体" w:cs="Tahoma"/>
                <w:b/>
                <w:bCs/>
                <w:kern w:val="0"/>
                <w:szCs w:val="21"/>
                <w:highlight w:val="none"/>
              </w:rPr>
              <w:t>.2</w:t>
            </w:r>
          </w:p>
        </w:tc>
        <w:tc>
          <w:tcPr>
            <w:tcW w:w="1418" w:type="dxa"/>
            <w:vAlign w:val="center"/>
          </w:tcPr>
          <w:p>
            <w:pPr>
              <w:widowControl/>
              <w:spacing w:line="360" w:lineRule="auto"/>
              <w:jc w:val="center"/>
              <w:rPr>
                <w:rFonts w:ascii="宋体" w:hAnsi="宋体" w:cs="微软雅黑"/>
                <w:b/>
                <w:bCs/>
                <w:color w:val="000000"/>
                <w:szCs w:val="21"/>
                <w:highlight w:val="none"/>
              </w:rPr>
            </w:pPr>
            <w:r>
              <w:rPr>
                <w:rFonts w:hint="eastAsia" w:ascii="宋体" w:hAnsi="宋体" w:cs="微软雅黑"/>
                <w:b/>
                <w:bCs/>
                <w:color w:val="000000"/>
                <w:szCs w:val="21"/>
                <w:highlight w:val="none"/>
              </w:rPr>
              <w:t>业绩分（满分</w:t>
            </w:r>
            <w:r>
              <w:rPr>
                <w:rFonts w:ascii="宋体" w:hAnsi="宋体" w:cs="微软雅黑"/>
                <w:b/>
                <w:bCs/>
                <w:color w:val="000000"/>
                <w:szCs w:val="21"/>
                <w:highlight w:val="none"/>
              </w:rPr>
              <w:t>10</w:t>
            </w:r>
            <w:r>
              <w:rPr>
                <w:rFonts w:hint="eastAsia" w:ascii="宋体" w:hAnsi="宋体" w:cs="微软雅黑"/>
                <w:b/>
                <w:bCs/>
                <w:color w:val="000000"/>
                <w:szCs w:val="21"/>
                <w:highlight w:val="none"/>
              </w:rPr>
              <w:t>分）</w:t>
            </w:r>
          </w:p>
        </w:tc>
        <w:tc>
          <w:tcPr>
            <w:tcW w:w="6288" w:type="dxa"/>
          </w:tcPr>
          <w:p>
            <w:pPr>
              <w:pStyle w:val="21"/>
              <w:spacing w:line="360" w:lineRule="auto"/>
              <w:rPr>
                <w:rFonts w:hAnsi="宋体" w:cs="Courier New"/>
                <w:bCs/>
                <w:kern w:val="2"/>
                <w:sz w:val="21"/>
                <w:highlight w:val="none"/>
              </w:rPr>
            </w:pPr>
            <w:r>
              <w:rPr>
                <w:rFonts w:hint="eastAsia" w:hAnsi="宋体" w:cs="Courier New"/>
                <w:bCs/>
                <w:kern w:val="2"/>
                <w:sz w:val="21"/>
                <w:highlight w:val="none"/>
              </w:rPr>
              <w:t>竞标人自2020年07月01日以来</w:t>
            </w:r>
            <w:r>
              <w:rPr>
                <w:rFonts w:hint="eastAsia" w:hAnsi="宋体" w:cs="Courier New"/>
                <w:bCs/>
                <w:kern w:val="2"/>
                <w:sz w:val="21"/>
                <w:highlight w:val="none"/>
                <w:lang w:eastAsia="zh-CN"/>
              </w:rPr>
              <w:t>完成过</w:t>
            </w:r>
            <w:r>
              <w:rPr>
                <w:rFonts w:hint="eastAsia" w:hAnsi="宋体" w:cs="Courier New"/>
                <w:bCs/>
                <w:kern w:val="2"/>
                <w:sz w:val="21"/>
                <w:highlight w:val="none"/>
              </w:rPr>
              <w:t>类似</w:t>
            </w:r>
            <w:r>
              <w:rPr>
                <w:rFonts w:hint="eastAsia" w:hAnsi="宋体" w:cs="Courier New"/>
                <w:bCs/>
                <w:kern w:val="2"/>
                <w:sz w:val="21"/>
                <w:highlight w:val="none"/>
                <w:lang w:eastAsia="zh-CN"/>
              </w:rPr>
              <w:t>项目</w:t>
            </w:r>
            <w:r>
              <w:rPr>
                <w:rFonts w:hint="eastAsia" w:hAnsi="宋体" w:cs="Courier New"/>
                <w:bCs/>
                <w:kern w:val="2"/>
                <w:sz w:val="21"/>
                <w:highlight w:val="none"/>
              </w:rPr>
              <w:t>业绩的，每提供1项得2分,满分</w:t>
            </w:r>
            <w:r>
              <w:rPr>
                <w:rFonts w:hAnsi="宋体" w:cs="Courier New"/>
                <w:bCs/>
                <w:kern w:val="2"/>
                <w:sz w:val="21"/>
                <w:highlight w:val="none"/>
              </w:rPr>
              <w:t>10</w:t>
            </w:r>
            <w:r>
              <w:rPr>
                <w:rFonts w:hint="eastAsia" w:hAnsi="宋体" w:cs="Courier New"/>
                <w:bCs/>
                <w:kern w:val="2"/>
                <w:sz w:val="21"/>
                <w:highlight w:val="none"/>
              </w:rPr>
              <w:t>分；不提供不得分。（须提供项目合同以及中标（成交）通知书复印件并加盖竞标人公章）</w:t>
            </w:r>
          </w:p>
        </w:tc>
        <w:tc>
          <w:tcPr>
            <w:tcW w:w="851" w:type="dxa"/>
            <w:vAlign w:val="center"/>
          </w:tcPr>
          <w:p>
            <w:pPr>
              <w:widowControl/>
              <w:spacing w:line="360" w:lineRule="auto"/>
              <w:jc w:val="center"/>
              <w:rPr>
                <w:rFonts w:ascii="宋体" w:hAnsi="宋体" w:cs="Tahoma"/>
                <w:kern w:val="0"/>
                <w:szCs w:val="21"/>
                <w:highlight w:val="none"/>
              </w:rPr>
            </w:pPr>
            <w:r>
              <w:rPr>
                <w:rFonts w:ascii="宋体" w:hAnsi="宋体" w:cs="Tahoma"/>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0" w:type="dxa"/>
            <w:vAlign w:val="center"/>
          </w:tcPr>
          <w:p>
            <w:pPr>
              <w:widowControl/>
              <w:spacing w:line="360" w:lineRule="auto"/>
              <w:jc w:val="center"/>
              <w:rPr>
                <w:rFonts w:ascii="宋体" w:hAnsi="宋体" w:cs="Tahoma"/>
                <w:b/>
                <w:bCs/>
                <w:kern w:val="0"/>
                <w:szCs w:val="21"/>
                <w:highlight w:val="none"/>
              </w:rPr>
            </w:pPr>
            <w:r>
              <w:rPr>
                <w:rFonts w:ascii="宋体" w:hAnsi="宋体" w:cs="Tahoma"/>
                <w:b/>
                <w:bCs/>
                <w:kern w:val="0"/>
                <w:szCs w:val="21"/>
                <w:highlight w:val="none"/>
              </w:rPr>
              <w:t>3.3</w:t>
            </w:r>
          </w:p>
        </w:tc>
        <w:tc>
          <w:tcPr>
            <w:tcW w:w="1418" w:type="dxa"/>
            <w:vAlign w:val="center"/>
          </w:tcPr>
          <w:p>
            <w:pPr>
              <w:widowControl/>
              <w:spacing w:line="360" w:lineRule="auto"/>
              <w:jc w:val="center"/>
              <w:rPr>
                <w:rFonts w:ascii="宋体" w:hAnsi="宋体" w:cs="Tahoma"/>
                <w:kern w:val="0"/>
                <w:szCs w:val="21"/>
                <w:highlight w:val="none"/>
              </w:rPr>
            </w:pPr>
            <w:r>
              <w:rPr>
                <w:rFonts w:hint="eastAsia" w:ascii="宋体" w:hAnsi="宋体" w:cs="微软雅黑"/>
                <w:b/>
                <w:bCs/>
                <w:color w:val="000000"/>
                <w:szCs w:val="21"/>
                <w:highlight w:val="none"/>
              </w:rPr>
              <w:t>服务能力（满分6分）</w:t>
            </w:r>
          </w:p>
        </w:tc>
        <w:tc>
          <w:tcPr>
            <w:tcW w:w="6288" w:type="dxa"/>
          </w:tcPr>
          <w:p>
            <w:pPr>
              <w:pStyle w:val="21"/>
              <w:spacing w:line="360" w:lineRule="auto"/>
              <w:rPr>
                <w:rFonts w:hAnsi="宋体" w:cs="Courier New"/>
                <w:bCs/>
                <w:kern w:val="2"/>
                <w:sz w:val="21"/>
                <w:highlight w:val="none"/>
              </w:rPr>
            </w:pPr>
            <w:r>
              <w:rPr>
                <w:rFonts w:hint="eastAsia" w:hAnsi="宋体" w:cs="Courier New"/>
                <w:bCs/>
                <w:kern w:val="2"/>
                <w:sz w:val="21"/>
                <w:highlight w:val="none"/>
              </w:rPr>
              <w:t>1、竞标人具有ISO9001质量管理体系认证证书得2分（须提供已通过认证机构年审合格有效的认证证书复印件并加盖竞标人公章）；</w:t>
            </w:r>
          </w:p>
          <w:p>
            <w:pPr>
              <w:pStyle w:val="21"/>
              <w:spacing w:line="360" w:lineRule="auto"/>
              <w:rPr>
                <w:rFonts w:hAnsi="宋体" w:cs="Courier New"/>
                <w:bCs/>
                <w:kern w:val="2"/>
                <w:sz w:val="21"/>
                <w:highlight w:val="none"/>
              </w:rPr>
            </w:pPr>
            <w:r>
              <w:rPr>
                <w:rFonts w:hint="eastAsia" w:hAnsi="宋体" w:cs="Courier New"/>
                <w:bCs/>
                <w:kern w:val="2"/>
                <w:sz w:val="21"/>
                <w:highlight w:val="none"/>
              </w:rPr>
              <w:t>2、竞标人具有ISO20000信息技术服务管理体系认证证书得2分（须提供已通过认证机构年审合格有效的认证证书复印件并加盖竞标人公章）；</w:t>
            </w:r>
          </w:p>
          <w:p>
            <w:pPr>
              <w:pStyle w:val="21"/>
              <w:spacing w:line="360" w:lineRule="auto"/>
              <w:rPr>
                <w:rFonts w:hAnsi="宋体" w:cs="Courier New"/>
                <w:bCs/>
                <w:kern w:val="2"/>
                <w:sz w:val="21"/>
                <w:highlight w:val="none"/>
              </w:rPr>
            </w:pPr>
            <w:r>
              <w:rPr>
                <w:rFonts w:hint="eastAsia" w:hAnsi="宋体" w:cs="Courier New"/>
                <w:bCs/>
                <w:kern w:val="2"/>
                <w:sz w:val="21"/>
                <w:highlight w:val="none"/>
              </w:rPr>
              <w:t>3、竞标人具有ISO27001信息安全管理体系认证证书得2分（须提供已通过认证机构年审合格有效的认证证书复印件并加盖竞标人公章）；</w:t>
            </w:r>
          </w:p>
          <w:p>
            <w:pPr>
              <w:pStyle w:val="21"/>
              <w:spacing w:line="360" w:lineRule="auto"/>
              <w:rPr>
                <w:rFonts w:hAnsi="宋体" w:cs="Courier New"/>
                <w:bCs/>
                <w:kern w:val="2"/>
                <w:sz w:val="21"/>
                <w:highlight w:val="none"/>
              </w:rPr>
            </w:pPr>
            <w:r>
              <w:rPr>
                <w:rFonts w:hint="eastAsia" w:hAnsi="宋体" w:cs="Courier New"/>
                <w:bCs/>
                <w:kern w:val="2"/>
                <w:sz w:val="21"/>
                <w:highlight w:val="none"/>
              </w:rPr>
              <w:t>注：不提供不得分。</w:t>
            </w:r>
          </w:p>
        </w:tc>
        <w:tc>
          <w:tcPr>
            <w:tcW w:w="851" w:type="dxa"/>
            <w:vAlign w:val="center"/>
          </w:tcPr>
          <w:p>
            <w:pPr>
              <w:widowControl/>
              <w:spacing w:line="360" w:lineRule="auto"/>
              <w:jc w:val="center"/>
              <w:rPr>
                <w:rFonts w:ascii="宋体" w:hAnsi="宋体" w:cs="Tahoma"/>
                <w:kern w:val="0"/>
                <w:szCs w:val="21"/>
                <w:highlight w:val="none"/>
              </w:rPr>
            </w:pPr>
            <w:r>
              <w:rPr>
                <w:rFonts w:hint="eastAsia" w:ascii="宋体" w:hAnsi="宋体" w:cs="Tahoma"/>
                <w:kern w:val="0"/>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06" w:type="dxa"/>
            <w:gridSpan w:val="3"/>
          </w:tcPr>
          <w:p>
            <w:pPr>
              <w:pStyle w:val="21"/>
              <w:spacing w:line="360" w:lineRule="auto"/>
              <w:ind w:firstLine="422" w:firstLineChars="200"/>
              <w:rPr>
                <w:rFonts w:hAnsi="宋体" w:cs="Courier New"/>
                <w:b/>
                <w:bCs/>
                <w:kern w:val="2"/>
                <w:sz w:val="21"/>
                <w:highlight w:val="none"/>
              </w:rPr>
            </w:pPr>
            <w:r>
              <w:rPr>
                <w:rFonts w:hint="eastAsia" w:hAnsi="宋体" w:cs="Courier New"/>
                <w:b/>
                <w:bCs/>
                <w:kern w:val="2"/>
                <w:sz w:val="21"/>
                <w:highlight w:val="none"/>
              </w:rPr>
              <w:t>总得分＝1＋2＋3</w:t>
            </w:r>
          </w:p>
        </w:tc>
        <w:tc>
          <w:tcPr>
            <w:tcW w:w="851" w:type="dxa"/>
            <w:vAlign w:val="center"/>
          </w:tcPr>
          <w:p>
            <w:pPr>
              <w:widowControl/>
              <w:spacing w:line="360" w:lineRule="auto"/>
              <w:jc w:val="center"/>
              <w:rPr>
                <w:rFonts w:ascii="宋体" w:hAnsi="宋体" w:cs="Tahoma"/>
                <w:kern w:val="0"/>
                <w:szCs w:val="21"/>
                <w:highlight w:val="none"/>
              </w:rPr>
            </w:pPr>
          </w:p>
        </w:tc>
      </w:tr>
    </w:tbl>
    <w:p>
      <w:pPr>
        <w:spacing w:line="360" w:lineRule="auto"/>
        <w:ind w:firstLine="420" w:firstLineChars="200"/>
        <w:rPr>
          <w:rFonts w:ascii="宋体" w:hAnsi="宋体" w:cs="宋体"/>
          <w:highlight w:val="none"/>
        </w:rPr>
      </w:pPr>
      <w:r>
        <w:rPr>
          <w:rFonts w:hint="eastAsia" w:ascii="宋体" w:hAnsi="宋体" w:cs="宋体"/>
          <w:highlight w:val="none"/>
        </w:rPr>
        <w:t>7.2终止竞争性磋商采购活动</w:t>
      </w:r>
    </w:p>
    <w:p>
      <w:pPr>
        <w:spacing w:line="360" w:lineRule="auto"/>
        <w:ind w:firstLine="420" w:firstLineChars="200"/>
        <w:rPr>
          <w:rFonts w:ascii="宋体" w:hAnsi="宋体" w:cs="宋体"/>
          <w:b/>
          <w:highlight w:val="none"/>
        </w:rPr>
      </w:pPr>
      <w:r>
        <w:rPr>
          <w:rFonts w:hint="eastAsia" w:ascii="宋体" w:hAnsi="宋体" w:cs="宋体"/>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ascii="宋体" w:hAnsi="宋体" w:cs="宋体"/>
          <w:b w:val="0"/>
          <w:highlight w:val="none"/>
        </w:rPr>
      </w:pPr>
      <w:bookmarkStart w:id="119" w:name="_Toc22545"/>
      <w:bookmarkStart w:id="120" w:name="_Toc11595"/>
      <w:bookmarkStart w:id="121" w:name="_Toc80886939"/>
      <w:r>
        <w:rPr>
          <w:rFonts w:hint="eastAsia" w:ascii="宋体" w:hAnsi="宋体" w:cs="宋体"/>
          <w:b w:val="0"/>
          <w:highlight w:val="none"/>
        </w:rPr>
        <w:t>第二节 评审报告</w:t>
      </w:r>
      <w:bookmarkEnd w:id="118"/>
      <w:bookmarkEnd w:id="119"/>
      <w:bookmarkEnd w:id="120"/>
      <w:bookmarkEnd w:id="121"/>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1.成交标准</w:t>
      </w:r>
    </w:p>
    <w:p>
      <w:pPr>
        <w:spacing w:line="360" w:lineRule="auto"/>
        <w:ind w:firstLine="420" w:firstLineChars="200"/>
        <w:rPr>
          <w:rFonts w:ascii="宋体" w:hAnsi="宋体" w:cs="宋体"/>
          <w:sz w:val="24"/>
          <w:highlight w:val="none"/>
        </w:rPr>
      </w:pPr>
      <w:r>
        <w:rPr>
          <w:rFonts w:hint="eastAsia" w:ascii="宋体" w:hAnsi="宋体" w:cs="宋体"/>
          <w:bCs/>
          <w:szCs w:val="21"/>
          <w:highlight w:val="none"/>
        </w:rPr>
        <w:t>由磋商小组根据综合评分情况，按照评审得分由高到低顺序推荐3名以上成交候选供应商</w:t>
      </w:r>
      <w:r>
        <w:rPr>
          <w:rFonts w:hint="eastAsia" w:ascii="宋体" w:hAnsi="宋体" w:cs="宋体"/>
          <w:highlight w:val="none"/>
        </w:rPr>
        <w:t>,并在线编写电子评审报告</w:t>
      </w:r>
      <w:r>
        <w:rPr>
          <w:rFonts w:hint="eastAsia" w:ascii="宋体" w:hAnsi="宋体" w:cs="宋体"/>
          <w:bCs/>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2.评标争议事项处理</w:t>
      </w:r>
    </w:p>
    <w:p>
      <w:pPr>
        <w:pStyle w:val="67"/>
        <w:spacing w:before="0"/>
        <w:ind w:firstLine="420"/>
        <w:rPr>
          <w:rFonts w:ascii="宋体" w:hAnsi="宋体" w:cs="宋体"/>
          <w:kern w:val="2"/>
          <w:sz w:val="21"/>
          <w:szCs w:val="24"/>
          <w:highlight w:val="none"/>
        </w:rPr>
      </w:pPr>
      <w:r>
        <w:rPr>
          <w:rFonts w:hint="eastAsia" w:ascii="宋体" w:hAnsi="宋体" w:cs="宋体"/>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pPr>
        <w:pStyle w:val="67"/>
        <w:spacing w:before="0"/>
        <w:ind w:firstLine="420"/>
        <w:rPr>
          <w:rFonts w:ascii="宋体" w:hAnsi="宋体" w:cs="宋体"/>
          <w:kern w:val="2"/>
          <w:sz w:val="21"/>
          <w:szCs w:val="24"/>
          <w:highlight w:val="none"/>
        </w:rPr>
      </w:pPr>
    </w:p>
    <w:p>
      <w:pPr>
        <w:pStyle w:val="4"/>
        <w:spacing w:before="0" w:after="0" w:line="360" w:lineRule="auto"/>
        <w:ind w:firstLine="640" w:firstLineChars="200"/>
        <w:jc w:val="center"/>
        <w:rPr>
          <w:rFonts w:ascii="宋体" w:hAnsi="宋体" w:cs="宋体"/>
          <w:b w:val="0"/>
          <w:highlight w:val="none"/>
        </w:rPr>
      </w:pPr>
      <w:bookmarkStart w:id="122" w:name="_Toc2025"/>
      <w:bookmarkStart w:id="123" w:name="_Toc80205936"/>
      <w:bookmarkStart w:id="124" w:name="_Toc80886940"/>
      <w:bookmarkStart w:id="125" w:name="_Toc20045"/>
      <w:r>
        <w:rPr>
          <w:rFonts w:hint="eastAsia" w:ascii="宋体" w:hAnsi="宋体" w:cs="宋体"/>
          <w:b w:val="0"/>
          <w:highlight w:val="none"/>
        </w:rPr>
        <w:t>第三节 评审过程的保密与录像</w:t>
      </w:r>
      <w:bookmarkEnd w:id="122"/>
      <w:bookmarkEnd w:id="123"/>
      <w:bookmarkEnd w:id="124"/>
      <w:bookmarkEnd w:id="125"/>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1.保密。</w:t>
      </w:r>
    </w:p>
    <w:p>
      <w:pPr>
        <w:widowControl/>
        <w:spacing w:line="360" w:lineRule="auto"/>
        <w:ind w:firstLine="420" w:firstLineChars="200"/>
        <w:rPr>
          <w:rFonts w:ascii="宋体" w:hAnsi="宋体" w:cs="宋体"/>
          <w:highlight w:val="none"/>
        </w:rPr>
      </w:pPr>
      <w:r>
        <w:rPr>
          <w:rFonts w:hint="eastAsia" w:ascii="宋体" w:hAnsi="宋体" w:cs="宋体"/>
          <w:highlight w:val="none"/>
        </w:rPr>
        <w:t>评审活动在严格保密的情况下进行。评审过程中凡是与响应文件评审和比较、中标成交供应商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2.录音录像。</w:t>
      </w:r>
    </w:p>
    <w:p>
      <w:pPr>
        <w:spacing w:line="360" w:lineRule="auto"/>
        <w:ind w:firstLine="420" w:firstLineChars="200"/>
        <w:rPr>
          <w:rFonts w:ascii="宋体" w:hAnsi="宋体" w:cs="宋体"/>
          <w:highlight w:val="none"/>
        </w:rPr>
      </w:pPr>
      <w:r>
        <w:rPr>
          <w:rFonts w:hint="eastAsia" w:ascii="宋体" w:hAnsi="宋体" w:cs="宋体"/>
          <w:highlight w:val="none"/>
        </w:rPr>
        <w:t>采购代理机构对评审工作现场及操作屏幕进行全过程录音录像，录音录像资料作为采购项目文件随其他文件一并存档。</w:t>
      </w:r>
    </w:p>
    <w:p>
      <w:pPr>
        <w:pStyle w:val="4"/>
        <w:jc w:val="center"/>
        <w:rPr>
          <w:rFonts w:ascii="宋体" w:hAnsi="宋体" w:cs="宋体"/>
          <w:highlight w:val="none"/>
        </w:rPr>
      </w:pPr>
      <w:r>
        <w:rPr>
          <w:rFonts w:hint="eastAsia" w:ascii="宋体" w:hAnsi="宋体" w:cs="宋体"/>
          <w:highlight w:val="none"/>
        </w:rPr>
        <w:br w:type="page"/>
      </w:r>
    </w:p>
    <w:p>
      <w:pPr>
        <w:pStyle w:val="4"/>
        <w:jc w:val="center"/>
        <w:rPr>
          <w:rFonts w:ascii="宋体" w:hAnsi="宋体" w:cs="宋体"/>
          <w:highlight w:val="none"/>
        </w:rPr>
      </w:pPr>
    </w:p>
    <w:p>
      <w:pPr>
        <w:pStyle w:val="4"/>
        <w:jc w:val="center"/>
        <w:rPr>
          <w:rFonts w:ascii="宋体" w:hAnsi="宋体" w:cs="宋体"/>
          <w:highlight w:val="none"/>
        </w:rPr>
      </w:pPr>
    </w:p>
    <w:p>
      <w:pPr>
        <w:pStyle w:val="4"/>
        <w:jc w:val="center"/>
        <w:rPr>
          <w:rFonts w:ascii="宋体" w:hAnsi="宋体" w:cs="宋体"/>
          <w:highlight w:val="none"/>
        </w:rPr>
      </w:pPr>
    </w:p>
    <w:p>
      <w:pPr>
        <w:rPr>
          <w:rFonts w:ascii="宋体" w:hAnsi="宋体" w:cs="宋体"/>
          <w:highlight w:val="none"/>
        </w:rPr>
      </w:pPr>
    </w:p>
    <w:p>
      <w:pPr>
        <w:pStyle w:val="3"/>
        <w:rPr>
          <w:rFonts w:ascii="宋体" w:hAnsi="宋体" w:cs="宋体"/>
          <w:highlight w:val="none"/>
        </w:rPr>
      </w:pPr>
    </w:p>
    <w:p>
      <w:pPr>
        <w:rPr>
          <w:rFonts w:ascii="宋体" w:hAnsi="宋体" w:cs="宋体"/>
          <w:highlight w:val="none"/>
        </w:rPr>
      </w:pPr>
    </w:p>
    <w:p>
      <w:pPr>
        <w:pStyle w:val="3"/>
        <w:jc w:val="center"/>
        <w:rPr>
          <w:rFonts w:ascii="宋体" w:hAnsi="宋体" w:cs="宋体"/>
          <w:highlight w:val="none"/>
        </w:rPr>
        <w:sectPr>
          <w:headerReference r:id="rId11" w:type="default"/>
          <w:footerReference r:id="rId12" w:type="default"/>
          <w:pgSz w:w="11911" w:h="16838"/>
          <w:pgMar w:top="1134" w:right="1134" w:bottom="1134" w:left="1134" w:header="720" w:footer="720" w:gutter="0"/>
          <w:cols w:space="720" w:num="1"/>
        </w:sectPr>
      </w:pPr>
      <w:bookmarkStart w:id="126" w:name="_Toc80886941"/>
      <w:bookmarkStart w:id="127" w:name="_Toc27282"/>
      <w:bookmarkStart w:id="128" w:name="_Toc5005"/>
      <w:bookmarkStart w:id="129" w:name="_Toc12890"/>
      <w:bookmarkStart w:id="130" w:name="_Toc17404"/>
      <w:bookmarkStart w:id="131" w:name="_Toc26272"/>
      <w:bookmarkStart w:id="132" w:name="_Toc22302"/>
      <w:bookmarkStart w:id="133" w:name="_Toc7776"/>
      <w:r>
        <w:rPr>
          <w:rFonts w:hint="eastAsia" w:ascii="宋体" w:hAnsi="宋体" w:cs="宋体"/>
          <w:highlight w:val="none"/>
        </w:rPr>
        <w:t>第五章 响应文件格式</w:t>
      </w:r>
      <w:bookmarkEnd w:id="126"/>
      <w:bookmarkEnd w:id="127"/>
      <w:bookmarkEnd w:id="128"/>
      <w:bookmarkEnd w:id="129"/>
      <w:bookmarkEnd w:id="130"/>
      <w:bookmarkEnd w:id="131"/>
      <w:bookmarkEnd w:id="132"/>
      <w:bookmarkEnd w:id="133"/>
    </w:p>
    <w:p>
      <w:pPr>
        <w:pStyle w:val="4"/>
        <w:jc w:val="center"/>
        <w:rPr>
          <w:rFonts w:ascii="宋体" w:hAnsi="宋体" w:cs="宋体"/>
          <w:bCs w:val="0"/>
          <w:highlight w:val="none"/>
        </w:rPr>
      </w:pPr>
      <w:bookmarkStart w:id="134" w:name="_Toc22245"/>
      <w:bookmarkStart w:id="135" w:name="_Toc80886943"/>
      <w:bookmarkStart w:id="136" w:name="_Toc80205939"/>
      <w:bookmarkStart w:id="137" w:name="_Toc12994"/>
      <w:r>
        <w:rPr>
          <w:rFonts w:hint="eastAsia" w:ascii="宋体" w:hAnsi="宋体" w:cs="宋体"/>
          <w:bCs w:val="0"/>
          <w:highlight w:val="none"/>
        </w:rPr>
        <w:t>第一节 资格证明文件格式</w:t>
      </w:r>
      <w:bookmarkEnd w:id="134"/>
      <w:bookmarkEnd w:id="135"/>
      <w:bookmarkEnd w:id="136"/>
      <w:bookmarkEnd w:id="137"/>
    </w:p>
    <w:p>
      <w:pPr>
        <w:snapToGrid w:val="0"/>
        <w:spacing w:before="120" w:beforeLines="50" w:after="50"/>
        <w:jc w:val="left"/>
        <w:rPr>
          <w:rFonts w:ascii="宋体" w:hAnsi="宋体" w:cs="宋体"/>
          <w:sz w:val="24"/>
          <w:highlight w:val="none"/>
        </w:rPr>
      </w:pPr>
      <w:r>
        <w:rPr>
          <w:rFonts w:hint="eastAsia" w:ascii="宋体" w:hAnsi="宋体" w:cs="宋体"/>
          <w:b/>
          <w:bCs/>
          <w:sz w:val="28"/>
          <w:szCs w:val="28"/>
          <w:highlight w:val="none"/>
        </w:rPr>
        <w:t>1.资格证明文件封面的格式</w:t>
      </w:r>
      <w:r>
        <w:rPr>
          <w:rFonts w:hint="eastAsia" w:ascii="宋体" w:hAnsi="宋体" w:cs="宋体"/>
          <w:b/>
          <w:sz w:val="28"/>
          <w:szCs w:val="28"/>
          <w:highlight w:val="none"/>
        </w:rPr>
        <w:t>（参照此格式自拟）</w:t>
      </w:r>
      <w:r>
        <w:rPr>
          <w:rFonts w:hint="eastAsia" w:ascii="宋体" w:hAnsi="宋体" w:cs="宋体"/>
          <w:b/>
          <w:bCs/>
          <w:sz w:val="28"/>
          <w:szCs w:val="28"/>
          <w:highlight w:val="none"/>
        </w:rPr>
        <w:t>：</w:t>
      </w:r>
      <w:r>
        <w:rPr>
          <w:rFonts w:hint="eastAsia" w:ascii="宋体" w:hAnsi="宋体" w:cs="宋体"/>
          <w:sz w:val="24"/>
          <w:highlight w:val="none"/>
        </w:rPr>
        <w:t xml:space="preserve">                                      </w:t>
      </w:r>
    </w:p>
    <w:p>
      <w:pPr>
        <w:snapToGrid w:val="0"/>
        <w:spacing w:before="120" w:beforeLines="50" w:after="50"/>
        <w:ind w:firstLine="6930" w:firstLineChars="3300"/>
        <w:rPr>
          <w:rFonts w:ascii="宋体" w:hAnsi="宋体" w:cs="宋体"/>
          <w:bCs/>
          <w:sz w:val="32"/>
          <w:szCs w:val="20"/>
          <w:highlight w:val="none"/>
        </w:rPr>
      </w:pPr>
      <w:r>
        <w:rPr>
          <w:rFonts w:hint="eastAsia" w:ascii="宋体" w:hAnsi="宋体" w:cs="宋体"/>
          <w:bCs/>
          <w:highlight w:val="none"/>
        </w:rPr>
        <w:t>全流程电子文件</w:t>
      </w:r>
    </w:p>
    <w:p>
      <w:pPr>
        <w:snapToGrid w:val="0"/>
        <w:spacing w:before="120" w:beforeLines="50" w:after="50"/>
        <w:rPr>
          <w:rFonts w:ascii="宋体" w:hAnsi="宋体" w:cs="宋体"/>
          <w:sz w:val="24"/>
          <w:szCs w:val="20"/>
          <w:highlight w:val="none"/>
        </w:rPr>
      </w:pPr>
    </w:p>
    <w:p>
      <w:pPr>
        <w:snapToGrid w:val="0"/>
        <w:spacing w:before="120" w:beforeLines="50" w:after="50"/>
        <w:rPr>
          <w:rFonts w:ascii="宋体" w:hAnsi="宋体" w:cs="宋体"/>
          <w:sz w:val="24"/>
          <w:szCs w:val="20"/>
          <w:highlight w:val="none"/>
        </w:rPr>
      </w:pPr>
    </w:p>
    <w:p>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资  格  证  明  文  件</w:t>
      </w: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p>
    <w:p>
      <w:pPr>
        <w:snapToGrid w:val="0"/>
        <w:spacing w:before="120" w:beforeLines="50" w:after="50"/>
        <w:ind w:firstLine="720" w:firstLineChars="225"/>
        <w:rPr>
          <w:rFonts w:ascii="宋体" w:hAnsi="宋体" w:cs="宋体"/>
          <w:bCs/>
          <w:sz w:val="32"/>
          <w:szCs w:val="32"/>
          <w:highlight w:val="none"/>
        </w:rPr>
      </w:pPr>
    </w:p>
    <w:p>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项目编号：</w:t>
      </w:r>
    </w:p>
    <w:p>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pPr>
        <w:snapToGrid w:val="0"/>
        <w:spacing w:before="120" w:beforeLines="50" w:after="50"/>
        <w:ind w:firstLine="720" w:firstLineChars="225"/>
        <w:rPr>
          <w:rFonts w:ascii="宋体" w:hAnsi="宋体" w:cs="宋体"/>
          <w:bCs/>
          <w:sz w:val="32"/>
          <w:szCs w:val="32"/>
          <w:highlight w:val="none"/>
        </w:rPr>
      </w:pPr>
    </w:p>
    <w:p>
      <w:pPr>
        <w:pStyle w:val="8"/>
        <w:snapToGrid w:val="0"/>
        <w:spacing w:before="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供应商名称：</w:t>
      </w:r>
    </w:p>
    <w:p>
      <w:pPr>
        <w:pStyle w:val="8"/>
        <w:snapToGrid w:val="0"/>
        <w:spacing w:before="50" w:after="50"/>
        <w:ind w:firstLine="720" w:firstLineChars="225"/>
        <w:rPr>
          <w:rFonts w:ascii="宋体" w:hAnsi="宋体" w:cs="宋体"/>
          <w:bCs/>
          <w:sz w:val="32"/>
          <w:szCs w:val="32"/>
          <w:highlight w:val="none"/>
        </w:rPr>
      </w:pPr>
    </w:p>
    <w:p>
      <w:pPr>
        <w:pStyle w:val="8"/>
        <w:snapToGrid w:val="0"/>
        <w:spacing w:before="50" w:after="50"/>
        <w:ind w:firstLine="720" w:firstLineChars="225"/>
        <w:rPr>
          <w:rFonts w:ascii="宋体" w:hAnsi="宋体" w:cs="宋体"/>
          <w:bCs/>
          <w:sz w:val="32"/>
          <w:szCs w:val="32"/>
          <w:highlight w:val="none"/>
        </w:rPr>
      </w:pPr>
    </w:p>
    <w:p>
      <w:pPr>
        <w:pStyle w:val="8"/>
        <w:snapToGrid w:val="0"/>
        <w:spacing w:before="50" w:after="50"/>
        <w:ind w:firstLine="720" w:firstLineChars="225"/>
        <w:rPr>
          <w:rFonts w:ascii="宋体" w:hAnsi="宋体" w:cs="宋体"/>
          <w:bCs/>
          <w:sz w:val="32"/>
          <w:szCs w:val="32"/>
          <w:highlight w:val="none"/>
        </w:rPr>
      </w:pPr>
    </w:p>
    <w:p>
      <w:pPr>
        <w:pStyle w:val="8"/>
        <w:snapToGrid w:val="0"/>
        <w:spacing w:before="50" w:after="50"/>
        <w:ind w:firstLine="1280" w:firstLineChars="400"/>
        <w:rPr>
          <w:rFonts w:ascii="宋体" w:hAnsi="宋体" w:cs="宋体"/>
          <w:bCs/>
          <w:sz w:val="32"/>
          <w:szCs w:val="32"/>
          <w:highlight w:val="none"/>
        </w:rPr>
      </w:pPr>
    </w:p>
    <w:p>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pPr>
        <w:snapToGrid w:val="0"/>
        <w:spacing w:before="120" w:beforeLines="50" w:after="50" w:line="360" w:lineRule="auto"/>
        <w:jc w:val="left"/>
        <w:rPr>
          <w:rFonts w:ascii="宋体" w:hAnsi="宋体" w:cs="宋体"/>
          <w:b/>
          <w:bCs/>
          <w:sz w:val="28"/>
          <w:szCs w:val="28"/>
          <w:highlight w:val="none"/>
        </w:rPr>
      </w:pPr>
      <w:r>
        <w:rPr>
          <w:rFonts w:hint="eastAsia" w:ascii="宋体" w:hAnsi="宋体" w:cs="宋体"/>
          <w:sz w:val="24"/>
          <w:highlight w:val="none"/>
        </w:rPr>
        <w:br w:type="page"/>
      </w:r>
      <w:r>
        <w:rPr>
          <w:rFonts w:hint="eastAsia" w:ascii="宋体" w:hAnsi="宋体" w:cs="宋体"/>
          <w:b/>
          <w:bCs/>
          <w:sz w:val="28"/>
          <w:szCs w:val="28"/>
          <w:highlight w:val="none"/>
        </w:rPr>
        <w:t>2.资格证明文件目录</w:t>
      </w:r>
    </w:p>
    <w:p>
      <w:pPr>
        <w:spacing w:line="360" w:lineRule="auto"/>
        <w:rPr>
          <w:rFonts w:ascii="宋体" w:hAnsi="宋体" w:cs="宋体"/>
          <w:b/>
          <w:bCs/>
          <w:sz w:val="28"/>
          <w:szCs w:val="28"/>
          <w:highlight w:val="none"/>
        </w:rPr>
      </w:pPr>
      <w:r>
        <w:rPr>
          <w:rFonts w:hint="eastAsia" w:ascii="宋体" w:hAnsi="宋体" w:cs="宋体"/>
          <w:sz w:val="28"/>
          <w:szCs w:val="28"/>
          <w:highlight w:val="none"/>
        </w:rPr>
        <w:t xml:space="preserve">    根据竞争性磋商文件规定及供应商提供的材料自行编写目录（部分格式后附）。</w:t>
      </w:r>
    </w:p>
    <w:p>
      <w:pPr>
        <w:spacing w:line="320" w:lineRule="exact"/>
        <w:jc w:val="left"/>
        <w:rPr>
          <w:rFonts w:ascii="宋体" w:hAnsi="宋体" w:cs="宋体"/>
          <w:b/>
          <w:bCs/>
          <w:sz w:val="28"/>
          <w:szCs w:val="28"/>
          <w:highlight w:val="none"/>
        </w:rPr>
      </w:pPr>
      <w:r>
        <w:rPr>
          <w:rFonts w:hint="eastAsia" w:ascii="宋体" w:hAnsi="宋体" w:cs="宋体"/>
          <w:szCs w:val="21"/>
          <w:highlight w:val="none"/>
        </w:rPr>
        <w:br w:type="page"/>
      </w:r>
      <w:r>
        <w:rPr>
          <w:rFonts w:hint="eastAsia" w:ascii="宋体" w:hAnsi="宋体" w:cs="宋体"/>
          <w:b/>
          <w:bCs/>
          <w:kern w:val="0"/>
          <w:sz w:val="28"/>
          <w:szCs w:val="28"/>
          <w:highlight w:val="none"/>
        </w:rPr>
        <w:t>3.</w:t>
      </w:r>
      <w:r>
        <w:rPr>
          <w:rFonts w:hint="eastAsia" w:ascii="宋体" w:hAnsi="宋体" w:cs="宋体"/>
          <w:b/>
          <w:bCs/>
          <w:kern w:val="0"/>
          <w:sz w:val="28"/>
          <w:szCs w:val="28"/>
          <w:highlight w:val="none"/>
          <w:lang w:eastAsia="zh-CN"/>
        </w:rPr>
        <w:t>竞标</w:t>
      </w:r>
      <w:r>
        <w:rPr>
          <w:rFonts w:hint="eastAsia" w:ascii="宋体" w:hAnsi="宋体" w:cs="宋体"/>
          <w:b/>
          <w:bCs/>
          <w:kern w:val="0"/>
          <w:sz w:val="28"/>
          <w:szCs w:val="28"/>
          <w:highlight w:val="none"/>
        </w:rPr>
        <w:t>声明函的格式：</w:t>
      </w:r>
    </w:p>
    <w:p>
      <w:pPr>
        <w:spacing w:line="320" w:lineRule="exact"/>
        <w:jc w:val="center"/>
        <w:rPr>
          <w:rFonts w:ascii="宋体" w:hAnsi="宋体" w:cs="宋体"/>
          <w:b/>
          <w:sz w:val="32"/>
          <w:szCs w:val="32"/>
          <w:highlight w:val="none"/>
        </w:rPr>
      </w:pPr>
    </w:p>
    <w:p>
      <w:pPr>
        <w:spacing w:line="320" w:lineRule="exact"/>
        <w:jc w:val="center"/>
        <w:rPr>
          <w:rFonts w:ascii="宋体" w:hAnsi="宋体" w:cs="宋体"/>
          <w:b/>
          <w:sz w:val="32"/>
          <w:szCs w:val="32"/>
          <w:highlight w:val="none"/>
        </w:rPr>
      </w:pPr>
      <w:r>
        <w:rPr>
          <w:rFonts w:hint="eastAsia" w:ascii="宋体" w:hAnsi="宋体" w:cs="宋体"/>
          <w:b/>
          <w:sz w:val="32"/>
          <w:szCs w:val="32"/>
          <w:highlight w:val="none"/>
          <w:lang w:eastAsia="zh-CN"/>
        </w:rPr>
        <w:t>竞标</w:t>
      </w:r>
      <w:r>
        <w:rPr>
          <w:rFonts w:hint="eastAsia" w:ascii="宋体" w:hAnsi="宋体" w:cs="宋体"/>
          <w:b/>
          <w:sz w:val="32"/>
          <w:szCs w:val="32"/>
          <w:highlight w:val="none"/>
        </w:rPr>
        <w:t>声明函</w:t>
      </w:r>
    </w:p>
    <w:p>
      <w:pPr>
        <w:spacing w:line="320" w:lineRule="exact"/>
        <w:jc w:val="center"/>
        <w:rPr>
          <w:rFonts w:ascii="宋体" w:hAnsi="宋体" w:cs="宋体"/>
          <w:sz w:val="24"/>
          <w:szCs w:val="20"/>
          <w:highlight w:val="none"/>
        </w:rPr>
      </w:pPr>
    </w:p>
    <w:p>
      <w:pPr>
        <w:spacing w:line="440" w:lineRule="exact"/>
        <w:contextualSpacing/>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（采购代理机构名称）</w:t>
      </w:r>
      <w:r>
        <w:rPr>
          <w:rFonts w:hint="eastAsia" w:ascii="宋体" w:hAnsi="宋体" w:cs="宋体"/>
          <w:sz w:val="24"/>
          <w:highlight w:val="none"/>
        </w:rPr>
        <w:t>：</w:t>
      </w:r>
    </w:p>
    <w:p>
      <w:pPr>
        <w:spacing w:line="440" w:lineRule="exact"/>
        <w:ind w:firstLine="480" w:firstLineChars="200"/>
        <w:contextualSpacing/>
        <w:rPr>
          <w:rFonts w:ascii="宋体" w:hAnsi="宋体" w:cs="宋体"/>
          <w:sz w:val="24"/>
          <w:highlight w:val="none"/>
        </w:rPr>
      </w:pPr>
      <w:r>
        <w:rPr>
          <w:rFonts w:hint="eastAsia" w:ascii="宋体" w:hAnsi="宋体" w:cs="宋体"/>
          <w:i/>
          <w:iCs/>
          <w:sz w:val="24"/>
          <w:highlight w:val="none"/>
          <w:u w:val="single"/>
        </w:rPr>
        <w:t>（供应商名称）</w:t>
      </w:r>
      <w:r>
        <w:rPr>
          <w:rFonts w:hint="eastAsia" w:ascii="宋体" w:hAnsi="宋体" w:cs="宋体"/>
          <w:sz w:val="24"/>
          <w:highlight w:val="none"/>
        </w:rPr>
        <w:t>系中华人民共和国合法供应商，经营地址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i/>
          <w:iCs/>
          <w:sz w:val="24"/>
          <w:highlight w:val="none"/>
          <w:u w:val="single"/>
        </w:rPr>
        <w:t>（项目名称）</w:t>
      </w:r>
      <w:r>
        <w:rPr>
          <w:rFonts w:hint="eastAsia" w:ascii="宋体" w:hAnsi="宋体" w:cs="宋体"/>
          <w:sz w:val="24"/>
          <w:highlight w:val="none"/>
        </w:rPr>
        <w:t>项目的竞标，为便于贵方公正、择优地确定成交供应商及其竞标产品和服务，我方就本次竞标有关事项郑重声明如下：</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3.在此，我方宣布同意如下：</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（1）将按磋商文件的约定履行合同责任和义务；</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（2）已详细审查磋商文件的全部内容，包括澄清或者更正公告（如有）；</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（3）同意提供按照贵方可能要求的与磋商有关的一切数据或者资料。</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pPr>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19"/>
        <w:tabs>
          <w:tab w:val="left" w:pos="939"/>
        </w:tabs>
        <w:spacing w:line="440" w:lineRule="exact"/>
        <w:ind w:left="0" w:leftChars="0" w:firstLine="480" w:firstLineChars="200"/>
        <w:rPr>
          <w:rFonts w:ascii="宋体" w:hAnsi="宋体" w:cs="宋体"/>
          <w:sz w:val="24"/>
          <w:highlight w:val="none"/>
        </w:rPr>
      </w:pPr>
      <w:r>
        <w:rPr>
          <w:rFonts w:hint="eastAsia" w:ascii="宋体" w:hAnsi="宋体" w:cs="宋体"/>
          <w:kern w:val="0"/>
          <w:sz w:val="24"/>
          <w:highlight w:val="none"/>
        </w:rPr>
        <w:t>6.</w:t>
      </w:r>
      <w:r>
        <w:rPr>
          <w:rFonts w:hint="eastAsia" w:ascii="宋体" w:hAnsi="宋体" w:cs="宋体"/>
          <w:sz w:val="24"/>
          <w:highlight w:val="none"/>
        </w:rPr>
        <w:t>以上事项如有虚假或者隐瞒，我方愿意承担一切后果，并不再寻求任何旨在减轻或者免除法律责任的辩解。</w:t>
      </w:r>
    </w:p>
    <w:p>
      <w:pPr>
        <w:pStyle w:val="19"/>
        <w:tabs>
          <w:tab w:val="left" w:pos="939"/>
        </w:tabs>
        <w:spacing w:line="440" w:lineRule="exact"/>
        <w:ind w:left="141" w:leftChars="67" w:firstLine="360" w:firstLineChars="150"/>
        <w:rPr>
          <w:rFonts w:ascii="宋体" w:hAnsi="宋体" w:cs="宋体"/>
          <w:sz w:val="24"/>
          <w:highlight w:val="none"/>
        </w:rPr>
      </w:pPr>
      <w:r>
        <w:rPr>
          <w:rFonts w:hint="eastAsia" w:ascii="宋体" w:hAnsi="宋体" w:cs="宋体"/>
          <w:sz w:val="24"/>
          <w:highlight w:val="none"/>
        </w:rPr>
        <w:t>特此承诺。</w:t>
      </w:r>
    </w:p>
    <w:p>
      <w:pPr>
        <w:pStyle w:val="19"/>
        <w:tabs>
          <w:tab w:val="left" w:pos="939"/>
        </w:tabs>
        <w:spacing w:line="440" w:lineRule="exact"/>
        <w:ind w:left="0" w:leftChars="0" w:firstLine="480" w:firstLineChars="200"/>
        <w:rPr>
          <w:rFonts w:ascii="宋体" w:hAnsi="宋体" w:cs="宋体"/>
          <w:sz w:val="24"/>
          <w:highlight w:val="none"/>
        </w:rPr>
      </w:pPr>
      <w:r>
        <w:rPr>
          <w:rFonts w:hint="eastAsia" w:ascii="宋体" w:hAnsi="宋体" w:cs="宋体"/>
          <w:sz w:val="24"/>
          <w:highlight w:val="none"/>
        </w:rPr>
        <w:t>注：如为联合体竞标，盖章处须加盖联合体各方公章，否则其响应文件按无效响应处理。</w:t>
      </w:r>
    </w:p>
    <w:p>
      <w:pPr>
        <w:autoSpaceDE w:val="0"/>
        <w:autoSpaceDN w:val="0"/>
        <w:spacing w:line="360" w:lineRule="auto"/>
        <w:ind w:left="4365" w:leftChars="1850" w:hanging="480" w:hangingChars="200"/>
        <w:rPr>
          <w:rFonts w:ascii="宋体" w:hAnsi="宋体" w:cs="宋体"/>
          <w:kern w:val="0"/>
          <w:sz w:val="24"/>
          <w:highlight w:val="none"/>
        </w:rPr>
      </w:pPr>
    </w:p>
    <w:p>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rPr>
          <w:rFonts w:ascii="宋体" w:hAnsi="宋体" w:cs="宋体"/>
          <w:kern w:val="0"/>
          <w:sz w:val="24"/>
          <w:highlight w:val="none"/>
          <w:lang w:val="zh-CN"/>
        </w:rPr>
      </w:pPr>
    </w:p>
    <w:p>
      <w:pPr>
        <w:snapToGrid w:val="0"/>
        <w:spacing w:line="360" w:lineRule="auto"/>
        <w:ind w:right="480"/>
        <w:rPr>
          <w:rFonts w:ascii="宋体" w:hAnsi="宋体" w:cs="宋体"/>
          <w:b/>
          <w:kern w:val="0"/>
          <w:sz w:val="32"/>
          <w:szCs w:val="32"/>
          <w:highlight w:val="none"/>
        </w:rPr>
      </w:pPr>
      <w:r>
        <w:rPr>
          <w:rFonts w:hint="eastAsia" w:ascii="宋体" w:hAnsi="宋体" w:cs="宋体"/>
          <w:b/>
          <w:kern w:val="0"/>
          <w:sz w:val="32"/>
          <w:szCs w:val="32"/>
          <w:highlight w:val="none"/>
        </w:rPr>
        <w:t>4.</w:t>
      </w:r>
      <w:r>
        <w:rPr>
          <w:rFonts w:hint="eastAsia" w:ascii="宋体" w:hAnsi="宋体" w:cs="宋体"/>
          <w:b/>
          <w:sz w:val="28"/>
          <w:szCs w:val="28"/>
          <w:highlight w:val="none"/>
        </w:rPr>
        <w:t>供应商直接控股股东信息表的格式</w:t>
      </w:r>
      <w:r>
        <w:rPr>
          <w:rFonts w:hint="eastAsia" w:ascii="宋体" w:hAnsi="宋体" w:cs="宋体"/>
          <w:sz w:val="28"/>
          <w:szCs w:val="28"/>
          <w:highlight w:val="none"/>
        </w:rPr>
        <w:t>：</w:t>
      </w:r>
    </w:p>
    <w:p>
      <w:pPr>
        <w:snapToGrid w:val="0"/>
        <w:jc w:val="left"/>
        <w:rPr>
          <w:rFonts w:ascii="宋体" w:hAnsi="宋体" w:cs="宋体"/>
          <w:sz w:val="18"/>
          <w:szCs w:val="18"/>
          <w:highlight w:val="none"/>
        </w:rPr>
      </w:pPr>
    </w:p>
    <w:p>
      <w:pPr>
        <w:snapToGrid w:val="0"/>
        <w:spacing w:before="50" w:after="120" w:afterLines="50"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r>
    </w:tbl>
    <w:p>
      <w:pPr>
        <w:snapToGrid w:val="0"/>
        <w:spacing w:line="360" w:lineRule="auto"/>
        <w:jc w:val="left"/>
        <w:rPr>
          <w:rFonts w:ascii="宋体" w:hAnsi="宋体" w:cs="宋体"/>
          <w:sz w:val="24"/>
          <w:highlight w:val="none"/>
        </w:rPr>
      </w:pPr>
      <w:r>
        <w:rPr>
          <w:rFonts w:hint="eastAsia" w:ascii="宋体" w:hAnsi="宋体" w:cs="宋体"/>
          <w:sz w:val="24"/>
          <w:highlight w:val="none"/>
        </w:rPr>
        <w:t>注：</w:t>
      </w:r>
    </w:p>
    <w:p>
      <w:pPr>
        <w:snapToGrid w:val="0"/>
        <w:spacing w:line="360" w:lineRule="auto"/>
        <w:jc w:val="left"/>
        <w:rPr>
          <w:rFonts w:ascii="宋体" w:hAnsi="宋体" w:cs="宋体"/>
          <w:sz w:val="24"/>
          <w:highlight w:val="none"/>
        </w:rPr>
      </w:pPr>
      <w:r>
        <w:rPr>
          <w:rFonts w:hint="eastAsia" w:ascii="宋体" w:hAnsi="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s="宋体"/>
          <w:sz w:val="24"/>
          <w:highlight w:val="none"/>
        </w:rPr>
      </w:pPr>
      <w:r>
        <w:rPr>
          <w:rFonts w:hint="eastAsia" w:ascii="宋体" w:hAnsi="宋体" w:cs="宋体"/>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s="宋体"/>
          <w:sz w:val="24"/>
          <w:highlight w:val="none"/>
        </w:rPr>
      </w:pPr>
      <w:r>
        <w:rPr>
          <w:rFonts w:hint="eastAsia" w:ascii="宋体" w:hAnsi="宋体" w:cs="宋体"/>
          <w:sz w:val="24"/>
          <w:highlight w:val="none"/>
        </w:rPr>
        <w:t>3.供应商不存在直接控股股东的，则填“无”。</w:t>
      </w:r>
    </w:p>
    <w:p>
      <w:pPr>
        <w:snapToGrid w:val="0"/>
        <w:spacing w:before="50" w:after="120" w:afterLines="50"/>
        <w:ind w:firstLine="180" w:firstLineChars="100"/>
        <w:jc w:val="left"/>
        <w:rPr>
          <w:rFonts w:ascii="宋体" w:hAnsi="宋体" w:cs="宋体"/>
          <w:sz w:val="18"/>
          <w:szCs w:val="18"/>
          <w:highlight w:val="none"/>
        </w:rPr>
      </w:pPr>
    </w:p>
    <w:p>
      <w:pPr>
        <w:snapToGrid w:val="0"/>
        <w:spacing w:before="50" w:after="240" w:afterLines="100" w:line="360" w:lineRule="auto"/>
        <w:jc w:val="left"/>
        <w:rPr>
          <w:rFonts w:ascii="宋体" w:hAnsi="宋体" w:cs="宋体"/>
          <w:sz w:val="24"/>
          <w:highlight w:val="none"/>
        </w:rPr>
      </w:pPr>
      <w:r>
        <w:rPr>
          <w:rFonts w:hint="eastAsia" w:ascii="宋体" w:hAnsi="宋体" w:cs="宋体"/>
          <w:sz w:val="24"/>
          <w:highlight w:val="none"/>
        </w:rPr>
        <w:t xml:space="preserve">                                     </w:t>
      </w:r>
    </w:p>
    <w:p>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cs="宋体"/>
          <w:b/>
          <w:bCs/>
          <w:sz w:val="30"/>
          <w:szCs w:val="30"/>
          <w:highlight w:val="none"/>
        </w:rPr>
      </w:pPr>
      <w:r>
        <w:rPr>
          <w:rFonts w:hint="eastAsia" w:ascii="宋体" w:hAnsi="宋体" w:cs="宋体"/>
          <w:kern w:val="0"/>
          <w:sz w:val="24"/>
          <w:highlight w:val="none"/>
          <w:lang w:val="zh-CN"/>
        </w:rPr>
        <w:t>日期：  年  月   日</w:t>
      </w:r>
    </w:p>
    <w:p>
      <w:pPr>
        <w:rPr>
          <w:rFonts w:ascii="宋体" w:hAnsi="宋体" w:cs="宋体"/>
          <w:b/>
          <w:bCs/>
          <w:sz w:val="28"/>
          <w:szCs w:val="28"/>
          <w:highlight w:val="none"/>
        </w:rPr>
      </w:pPr>
      <w:r>
        <w:rPr>
          <w:rFonts w:hint="eastAsia" w:ascii="宋体" w:hAnsi="宋体" w:cs="宋体"/>
          <w:b/>
          <w:bCs/>
          <w:sz w:val="28"/>
          <w:szCs w:val="28"/>
          <w:highlight w:val="none"/>
        </w:rPr>
        <w:br w:type="page"/>
      </w:r>
    </w:p>
    <w:p>
      <w:pPr>
        <w:snapToGrid w:val="0"/>
        <w:spacing w:line="360" w:lineRule="auto"/>
        <w:ind w:right="480"/>
        <w:rPr>
          <w:rFonts w:ascii="宋体" w:hAnsi="宋体" w:cs="宋体"/>
          <w:b/>
          <w:kern w:val="0"/>
          <w:sz w:val="32"/>
          <w:szCs w:val="32"/>
          <w:highlight w:val="none"/>
        </w:rPr>
      </w:pPr>
      <w:r>
        <w:rPr>
          <w:rFonts w:hint="eastAsia" w:ascii="宋体" w:hAnsi="宋体" w:cs="宋体"/>
          <w:b/>
          <w:kern w:val="0"/>
          <w:sz w:val="32"/>
          <w:szCs w:val="32"/>
          <w:highlight w:val="none"/>
        </w:rPr>
        <w:t>5.</w:t>
      </w:r>
      <w:r>
        <w:rPr>
          <w:rFonts w:hint="eastAsia" w:ascii="宋体" w:hAnsi="宋体" w:cs="宋体"/>
          <w:b/>
          <w:sz w:val="28"/>
          <w:szCs w:val="28"/>
          <w:highlight w:val="none"/>
        </w:rPr>
        <w:t>供应商直接管理关系信息表的格式</w:t>
      </w:r>
      <w:r>
        <w:rPr>
          <w:rFonts w:hint="eastAsia" w:ascii="宋体" w:hAnsi="宋体" w:cs="宋体"/>
          <w:sz w:val="28"/>
          <w:szCs w:val="28"/>
          <w:highlight w:val="none"/>
        </w:rPr>
        <w:t>：</w:t>
      </w:r>
    </w:p>
    <w:p>
      <w:pPr>
        <w:snapToGrid w:val="0"/>
        <w:jc w:val="left"/>
        <w:rPr>
          <w:rFonts w:ascii="宋体" w:hAnsi="宋体" w:cs="宋体"/>
          <w:sz w:val="18"/>
          <w:szCs w:val="18"/>
          <w:highlight w:val="none"/>
        </w:rPr>
      </w:pPr>
    </w:p>
    <w:p>
      <w:pPr>
        <w:snapToGrid w:val="0"/>
        <w:spacing w:line="360" w:lineRule="auto"/>
        <w:jc w:val="center"/>
        <w:rPr>
          <w:rFonts w:ascii="宋体" w:hAnsi="宋体" w:cs="宋体"/>
          <w:sz w:val="32"/>
          <w:szCs w:val="32"/>
          <w:highlight w:val="none"/>
        </w:rPr>
      </w:pPr>
      <w:r>
        <w:rPr>
          <w:rFonts w:hint="eastAsia" w:ascii="宋体" w:hAnsi="宋体" w:cs="宋体"/>
          <w:b/>
          <w:sz w:val="32"/>
          <w:szCs w:val="32"/>
          <w:highlight w:val="none"/>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highlight w:val="none"/>
              </w:rPr>
            </w:pPr>
          </w:p>
        </w:tc>
      </w:tr>
    </w:tbl>
    <w:p>
      <w:pPr>
        <w:snapToGrid w:val="0"/>
        <w:spacing w:line="360" w:lineRule="auto"/>
        <w:jc w:val="left"/>
        <w:rPr>
          <w:rFonts w:ascii="宋体" w:hAnsi="宋体" w:cs="宋体"/>
          <w:sz w:val="24"/>
          <w:highlight w:val="none"/>
        </w:rPr>
      </w:pPr>
      <w:r>
        <w:rPr>
          <w:rFonts w:hint="eastAsia" w:ascii="宋体" w:hAnsi="宋体" w:cs="宋体"/>
          <w:sz w:val="24"/>
          <w:highlight w:val="none"/>
        </w:rPr>
        <w:t>注：</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3.供应商不存在直接管理关系的，则填“无”。</w:t>
      </w:r>
    </w:p>
    <w:p>
      <w:pPr>
        <w:snapToGrid w:val="0"/>
        <w:spacing w:before="50" w:after="120" w:afterLines="50"/>
        <w:ind w:firstLine="180" w:firstLineChars="100"/>
        <w:jc w:val="left"/>
        <w:rPr>
          <w:rFonts w:ascii="宋体" w:hAnsi="宋体" w:cs="宋体"/>
          <w:sz w:val="18"/>
          <w:szCs w:val="18"/>
          <w:highlight w:val="none"/>
        </w:rPr>
      </w:pPr>
    </w:p>
    <w:p>
      <w:pPr>
        <w:snapToGrid w:val="0"/>
        <w:spacing w:before="50" w:after="240" w:afterLines="100" w:line="360" w:lineRule="auto"/>
        <w:jc w:val="left"/>
        <w:rPr>
          <w:rFonts w:ascii="宋体" w:hAnsi="宋体" w:cs="宋体"/>
          <w:sz w:val="24"/>
          <w:highlight w:val="none"/>
        </w:rPr>
      </w:pPr>
      <w:r>
        <w:rPr>
          <w:rFonts w:hint="eastAsia" w:ascii="宋体" w:hAnsi="宋体" w:cs="宋体"/>
          <w:sz w:val="24"/>
          <w:highlight w:val="none"/>
        </w:rPr>
        <w:t xml:space="preserve">                                     </w:t>
      </w:r>
    </w:p>
    <w:p>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cs="宋体"/>
          <w:b/>
          <w:bCs/>
          <w:sz w:val="30"/>
          <w:szCs w:val="30"/>
          <w:highlight w:val="none"/>
        </w:rPr>
      </w:pPr>
      <w:r>
        <w:rPr>
          <w:rFonts w:hint="eastAsia" w:ascii="宋体" w:hAnsi="宋体" w:cs="宋体"/>
          <w:kern w:val="0"/>
          <w:sz w:val="24"/>
          <w:highlight w:val="none"/>
          <w:lang w:val="zh-CN"/>
        </w:rPr>
        <w:t>日期：  年  月   日</w:t>
      </w:r>
    </w:p>
    <w:p>
      <w:pPr>
        <w:rPr>
          <w:rFonts w:ascii="宋体" w:hAnsi="宋体" w:cs="宋体"/>
          <w:b/>
          <w:kern w:val="0"/>
          <w:sz w:val="28"/>
          <w:szCs w:val="28"/>
          <w:highlight w:val="none"/>
        </w:rPr>
      </w:pPr>
      <w:r>
        <w:rPr>
          <w:rFonts w:hint="eastAsia" w:ascii="宋体" w:hAnsi="宋体" w:cs="宋体"/>
          <w:b/>
          <w:kern w:val="0"/>
          <w:sz w:val="28"/>
          <w:szCs w:val="28"/>
          <w:highlight w:val="none"/>
        </w:rPr>
        <w:br w:type="page"/>
      </w:r>
    </w:p>
    <w:p>
      <w:pPr>
        <w:pStyle w:val="4"/>
        <w:jc w:val="center"/>
        <w:rPr>
          <w:rFonts w:ascii="宋体" w:hAnsi="宋体" w:cs="宋体"/>
          <w:b w:val="0"/>
          <w:highlight w:val="none"/>
        </w:rPr>
      </w:pPr>
      <w:bookmarkStart w:id="138" w:name="_Toc20562"/>
      <w:bookmarkStart w:id="139" w:name="_Toc80205940"/>
      <w:bookmarkStart w:id="140" w:name="_Toc15951"/>
      <w:bookmarkStart w:id="141" w:name="_Toc80886944"/>
      <w:r>
        <w:rPr>
          <w:rFonts w:hint="eastAsia" w:ascii="宋体" w:hAnsi="宋体" w:cs="宋体"/>
          <w:b w:val="0"/>
          <w:bCs w:val="0"/>
          <w:highlight w:val="none"/>
        </w:rPr>
        <w:t xml:space="preserve">第二节 </w:t>
      </w:r>
      <w:r>
        <w:rPr>
          <w:rFonts w:hint="eastAsia" w:ascii="宋体" w:hAnsi="宋体" w:cs="宋体"/>
          <w:b w:val="0"/>
          <w:highlight w:val="none"/>
        </w:rPr>
        <w:t>商务技术文件格式</w:t>
      </w:r>
      <w:bookmarkEnd w:id="138"/>
      <w:bookmarkEnd w:id="139"/>
      <w:bookmarkEnd w:id="140"/>
      <w:bookmarkEnd w:id="141"/>
    </w:p>
    <w:p>
      <w:pPr>
        <w:snapToGrid w:val="0"/>
        <w:spacing w:before="120" w:beforeLines="50" w:after="50" w:line="360" w:lineRule="auto"/>
        <w:jc w:val="left"/>
        <w:rPr>
          <w:rFonts w:ascii="宋体" w:hAnsi="宋体" w:cs="宋体"/>
          <w:b/>
          <w:sz w:val="32"/>
          <w:szCs w:val="32"/>
          <w:highlight w:val="none"/>
        </w:rPr>
      </w:pPr>
      <w:r>
        <w:rPr>
          <w:rFonts w:hint="eastAsia" w:ascii="宋体" w:hAnsi="宋体" w:cs="宋体"/>
          <w:b/>
          <w:sz w:val="28"/>
          <w:szCs w:val="28"/>
          <w:highlight w:val="none"/>
        </w:rPr>
        <w:t>1.商务技术文件封面的格式（参照此格式自拟）：</w:t>
      </w:r>
    </w:p>
    <w:p>
      <w:pPr>
        <w:snapToGrid w:val="0"/>
        <w:spacing w:before="120" w:beforeLines="50" w:after="50"/>
        <w:rPr>
          <w:rFonts w:ascii="宋体" w:hAnsi="宋体" w:cs="宋体"/>
          <w:sz w:val="24"/>
          <w:highlight w:val="none"/>
        </w:rPr>
      </w:pPr>
      <w:r>
        <w:rPr>
          <w:rFonts w:hint="eastAsia" w:ascii="宋体" w:hAnsi="宋体" w:cs="宋体"/>
          <w:sz w:val="24"/>
          <w:highlight w:val="none"/>
        </w:rPr>
        <w:t xml:space="preserve">                                             </w:t>
      </w:r>
    </w:p>
    <w:p>
      <w:pPr>
        <w:snapToGrid w:val="0"/>
        <w:spacing w:before="120" w:beforeLines="50" w:after="50"/>
        <w:ind w:firstLine="6720" w:firstLineChars="3200"/>
        <w:rPr>
          <w:rFonts w:ascii="宋体" w:hAnsi="宋体" w:cs="宋体"/>
          <w:bCs/>
          <w:sz w:val="32"/>
          <w:szCs w:val="20"/>
          <w:highlight w:val="none"/>
        </w:rPr>
      </w:pPr>
      <w:r>
        <w:rPr>
          <w:rFonts w:hint="eastAsia" w:ascii="宋体" w:hAnsi="宋体" w:cs="宋体"/>
          <w:bCs/>
          <w:highlight w:val="none"/>
        </w:rPr>
        <w:t>全流程电子文件</w:t>
      </w:r>
    </w:p>
    <w:p>
      <w:pPr>
        <w:snapToGrid w:val="0"/>
        <w:spacing w:before="120" w:beforeLines="50" w:after="50"/>
        <w:rPr>
          <w:rFonts w:ascii="宋体" w:hAnsi="宋体" w:cs="宋体"/>
          <w:sz w:val="24"/>
          <w:szCs w:val="20"/>
          <w:highlight w:val="none"/>
        </w:rPr>
      </w:pPr>
    </w:p>
    <w:p>
      <w:pPr>
        <w:snapToGrid w:val="0"/>
        <w:spacing w:before="120" w:beforeLines="50" w:after="50"/>
        <w:rPr>
          <w:rFonts w:ascii="宋体" w:hAnsi="宋体" w:cs="宋体"/>
          <w:sz w:val="24"/>
          <w:szCs w:val="20"/>
          <w:highlight w:val="none"/>
        </w:rPr>
      </w:pPr>
    </w:p>
    <w:p>
      <w:pPr>
        <w:snapToGrid w:val="0"/>
        <w:spacing w:before="120" w:beforeLines="50" w:after="50"/>
        <w:rPr>
          <w:rFonts w:ascii="宋体" w:hAnsi="宋体" w:cs="宋体"/>
          <w:sz w:val="24"/>
          <w:szCs w:val="20"/>
          <w:highlight w:val="none"/>
        </w:rPr>
      </w:pPr>
    </w:p>
    <w:p>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商  务  技  术  文  件</w:t>
      </w: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p>
    <w:p>
      <w:pPr>
        <w:snapToGrid w:val="0"/>
        <w:spacing w:before="120" w:beforeLines="50" w:after="50"/>
        <w:ind w:firstLine="720" w:firstLineChars="225"/>
        <w:rPr>
          <w:rFonts w:ascii="宋体" w:hAnsi="宋体" w:cs="宋体"/>
          <w:bCs/>
          <w:sz w:val="32"/>
          <w:szCs w:val="32"/>
          <w:highlight w:val="none"/>
        </w:rPr>
      </w:pPr>
    </w:p>
    <w:p>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p>
    <w:p>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pPr>
        <w:snapToGrid w:val="0"/>
        <w:spacing w:before="120" w:beforeLines="50" w:after="50"/>
        <w:ind w:firstLine="720" w:firstLineChars="225"/>
        <w:rPr>
          <w:rFonts w:ascii="宋体" w:hAnsi="宋体" w:cs="宋体"/>
          <w:bCs/>
          <w:sz w:val="32"/>
          <w:szCs w:val="32"/>
          <w:highlight w:val="none"/>
        </w:rPr>
      </w:pPr>
    </w:p>
    <w:p>
      <w:pPr>
        <w:pStyle w:val="8"/>
        <w:snapToGrid w:val="0"/>
        <w:spacing w:before="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pPr>
        <w:pStyle w:val="8"/>
        <w:snapToGrid w:val="0"/>
        <w:spacing w:before="50" w:after="50"/>
        <w:ind w:firstLine="720" w:firstLineChars="225"/>
        <w:rPr>
          <w:rFonts w:ascii="宋体" w:hAnsi="宋体" w:cs="宋体"/>
          <w:bCs/>
          <w:sz w:val="32"/>
          <w:szCs w:val="32"/>
          <w:highlight w:val="none"/>
        </w:rPr>
      </w:pPr>
    </w:p>
    <w:p>
      <w:pPr>
        <w:pStyle w:val="8"/>
        <w:snapToGrid w:val="0"/>
        <w:spacing w:before="50" w:after="50"/>
        <w:ind w:firstLine="720" w:firstLineChars="225"/>
        <w:rPr>
          <w:rFonts w:ascii="宋体" w:hAnsi="宋体" w:cs="宋体"/>
          <w:bCs/>
          <w:sz w:val="32"/>
          <w:szCs w:val="32"/>
          <w:highlight w:val="none"/>
        </w:rPr>
      </w:pPr>
    </w:p>
    <w:p>
      <w:pPr>
        <w:pStyle w:val="8"/>
        <w:snapToGrid w:val="0"/>
        <w:spacing w:before="50" w:after="50"/>
        <w:ind w:firstLine="1280" w:firstLineChars="400"/>
        <w:rPr>
          <w:rFonts w:ascii="宋体" w:hAnsi="宋体" w:cs="宋体"/>
          <w:bCs/>
          <w:sz w:val="32"/>
          <w:szCs w:val="32"/>
          <w:highlight w:val="none"/>
        </w:rPr>
      </w:pPr>
    </w:p>
    <w:p>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pPr>
        <w:snapToGrid w:val="0"/>
        <w:spacing w:before="120" w:beforeLines="50" w:after="50" w:line="360" w:lineRule="auto"/>
        <w:ind w:left="142" w:firstLine="643" w:firstLineChars="200"/>
        <w:jc w:val="left"/>
        <w:rPr>
          <w:rFonts w:ascii="宋体" w:hAnsi="宋体" w:cs="宋体"/>
          <w:b/>
          <w:bCs/>
          <w:sz w:val="32"/>
          <w:szCs w:val="32"/>
          <w:highlight w:val="none"/>
        </w:rPr>
        <w:sectPr>
          <w:pgSz w:w="11911" w:h="16838"/>
          <w:pgMar w:top="1134" w:right="1134" w:bottom="1134" w:left="1134" w:header="720" w:footer="720" w:gutter="0"/>
          <w:cols w:space="720" w:num="1"/>
        </w:sectPr>
      </w:pPr>
    </w:p>
    <w:p>
      <w:pPr>
        <w:spacing w:line="360" w:lineRule="auto"/>
        <w:ind w:right="420"/>
        <w:rPr>
          <w:rFonts w:ascii="宋体" w:hAnsi="宋体" w:cs="宋体"/>
          <w:sz w:val="24"/>
          <w:szCs w:val="20"/>
          <w:highlight w:val="none"/>
        </w:rPr>
      </w:pPr>
      <w:r>
        <w:rPr>
          <w:rFonts w:hint="eastAsia" w:ascii="宋体" w:hAnsi="宋体" w:cs="宋体"/>
          <w:b/>
          <w:bCs/>
          <w:sz w:val="28"/>
          <w:szCs w:val="28"/>
          <w:highlight w:val="none"/>
        </w:rPr>
        <w:t>2.商务技术文件目录</w:t>
      </w:r>
    </w:p>
    <w:p>
      <w:pPr>
        <w:spacing w:line="400" w:lineRule="exact"/>
        <w:rPr>
          <w:rFonts w:ascii="宋体" w:hAnsi="宋体" w:cs="宋体"/>
          <w:sz w:val="32"/>
          <w:szCs w:val="32"/>
          <w:highlight w:val="none"/>
        </w:rPr>
      </w:pPr>
      <w:r>
        <w:rPr>
          <w:rFonts w:hint="eastAsia" w:ascii="宋体" w:hAnsi="宋体" w:cs="宋体"/>
          <w:kern w:val="0"/>
          <w:sz w:val="24"/>
          <w:highlight w:val="none"/>
        </w:rPr>
        <w:t xml:space="preserve">  根据竞争性磋商文件规定及供应商提供的材料自行编写目录（部分格式后附）。</w:t>
      </w:r>
    </w:p>
    <w:p>
      <w:pPr>
        <w:spacing w:line="520" w:lineRule="exact"/>
        <w:jc w:val="left"/>
        <w:rPr>
          <w:rFonts w:ascii="宋体" w:hAnsi="宋体" w:cs="宋体"/>
          <w:sz w:val="28"/>
          <w:szCs w:val="28"/>
          <w:highlight w:val="none"/>
        </w:rPr>
      </w:pPr>
      <w:r>
        <w:rPr>
          <w:rFonts w:hint="eastAsia" w:ascii="宋体" w:hAnsi="宋体" w:cs="宋体"/>
          <w:sz w:val="44"/>
          <w:szCs w:val="44"/>
          <w:highlight w:val="none"/>
        </w:rPr>
        <w:br w:type="page"/>
      </w:r>
      <w:r>
        <w:rPr>
          <w:rFonts w:hint="eastAsia" w:ascii="宋体" w:hAnsi="宋体" w:cs="宋体"/>
          <w:b/>
          <w:sz w:val="28"/>
          <w:szCs w:val="28"/>
          <w:highlight w:val="none"/>
        </w:rPr>
        <w:t>3.无串通竞标行为的承诺函的格式：</w:t>
      </w:r>
    </w:p>
    <w:p>
      <w:pPr>
        <w:spacing w:line="520" w:lineRule="exact"/>
        <w:jc w:val="center"/>
        <w:rPr>
          <w:rFonts w:ascii="宋体" w:hAnsi="宋体" w:cs="宋体"/>
          <w:sz w:val="44"/>
          <w:szCs w:val="44"/>
          <w:highlight w:val="none"/>
        </w:rPr>
      </w:pPr>
    </w:p>
    <w:p>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无串通竞标行为的承诺函</w:t>
      </w:r>
    </w:p>
    <w:p>
      <w:pPr>
        <w:spacing w:line="520" w:lineRule="exact"/>
        <w:ind w:firstLine="640" w:firstLineChars="200"/>
        <w:rPr>
          <w:rFonts w:ascii="宋体" w:hAnsi="宋体" w:cs="宋体"/>
          <w:sz w:val="32"/>
          <w:szCs w:val="32"/>
          <w:highlight w:val="none"/>
        </w:rPr>
      </w:pPr>
    </w:p>
    <w:p>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一、我方承诺无下列相互串通竞标的情形：</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 xml:space="preserve">1.不同供应商的响应文件由同一单位或者个人编制；或不同供应商报名的IP地址一致的； </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2.不同供应商委托同一单位或者个人办理竞标事宜；</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3.不同供应商的响应文件载明的项目管理员为同一个人；</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4.不</w:t>
      </w:r>
      <w:r>
        <w:rPr>
          <w:rFonts w:hint="eastAsia" w:ascii="宋体" w:hAnsi="宋体" w:cs="宋体"/>
          <w:spacing w:val="-6"/>
          <w:sz w:val="24"/>
          <w:highlight w:val="none"/>
        </w:rPr>
        <w:t>同供应商的响应文件异常一致或者响应报价呈规律性差异；</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5.不同供应商的响应文件相互混装；</w:t>
      </w:r>
    </w:p>
    <w:p>
      <w:pPr>
        <w:pStyle w:val="16"/>
        <w:ind w:firstLine="480" w:firstLineChars="200"/>
        <w:rPr>
          <w:rFonts w:ascii="宋体" w:hAnsi="宋体" w:cs="宋体"/>
          <w:highlight w:val="none"/>
        </w:rPr>
      </w:pPr>
      <w:r>
        <w:rPr>
          <w:rFonts w:hint="eastAsia" w:ascii="宋体" w:hAnsi="宋体" w:cs="宋体"/>
          <w:sz w:val="24"/>
          <w:highlight w:val="none"/>
        </w:rPr>
        <w:t>6.不同供应商的磋商保证金从同一单位或者个人账户转出。</w:t>
      </w:r>
    </w:p>
    <w:p>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二、我方承诺无下列恶意串通的情形：</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3.供</w:t>
      </w:r>
      <w:r>
        <w:rPr>
          <w:rFonts w:hint="eastAsia" w:ascii="宋体" w:hAnsi="宋体" w:cs="宋体"/>
          <w:spacing w:val="-6"/>
          <w:sz w:val="24"/>
          <w:highlight w:val="none"/>
        </w:rPr>
        <w:t>应商之间协商报价、技术方案等响应文件的实质性内容；</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7.供应商与采购人或者采购代理机构之间、供应商相互之间，为</w:t>
      </w:r>
      <w:r>
        <w:rPr>
          <w:rFonts w:hint="eastAsia" w:ascii="宋体" w:hAnsi="宋体" w:cs="宋体"/>
          <w:spacing w:val="-6"/>
          <w:sz w:val="24"/>
          <w:highlight w:val="none"/>
        </w:rPr>
        <w:t>谋求特定供应商成交或者排斥其他供应商的其他串通行为。</w:t>
      </w:r>
    </w:p>
    <w:p>
      <w:pPr>
        <w:spacing w:line="360" w:lineRule="auto"/>
        <w:ind w:firstLine="480" w:firstLineChars="200"/>
        <w:contextualSpacing/>
        <w:rPr>
          <w:rFonts w:ascii="宋体" w:hAnsi="宋体" w:cs="宋体"/>
          <w:sz w:val="24"/>
          <w:highlight w:val="none"/>
        </w:rPr>
      </w:pPr>
    </w:p>
    <w:p>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以上情形一经核查属实，接受政府采购监管部门对我方认定存在围标串标行为，我方愿意承担一切后果，并不再寻求任何旨在减轻或者免除法律责任的辩解。</w:t>
      </w:r>
    </w:p>
    <w:p>
      <w:pPr>
        <w:pStyle w:val="2"/>
        <w:rPr>
          <w:rFonts w:ascii="宋体" w:hAnsi="宋体" w:cs="宋体"/>
          <w:b/>
          <w:bCs/>
          <w:sz w:val="24"/>
          <w:highlight w:val="none"/>
        </w:rPr>
      </w:pPr>
    </w:p>
    <w:p>
      <w:pPr>
        <w:pStyle w:val="2"/>
        <w:rPr>
          <w:rFonts w:ascii="宋体" w:hAnsi="宋体" w:cs="宋体"/>
          <w:b/>
          <w:bCs/>
          <w:sz w:val="24"/>
          <w:highlight w:val="none"/>
        </w:rPr>
      </w:pPr>
    </w:p>
    <w:p>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供应商名称（盖公章）：</w:t>
      </w:r>
    </w:p>
    <w:p>
      <w:pPr>
        <w:spacing w:line="480" w:lineRule="auto"/>
        <w:ind w:firstLine="5040" w:firstLineChars="2100"/>
        <w:jc w:val="left"/>
        <w:rPr>
          <w:rFonts w:ascii="宋体" w:hAnsi="宋体" w:cs="宋体"/>
          <w:b/>
          <w:bCs/>
          <w:sz w:val="28"/>
          <w:szCs w:val="28"/>
          <w:highlight w:val="none"/>
        </w:rPr>
      </w:pPr>
      <w:r>
        <w:rPr>
          <w:rFonts w:hint="eastAsia" w:ascii="宋体" w:hAnsi="宋体" w:cs="宋体"/>
          <w:kern w:val="0"/>
          <w:sz w:val="24"/>
          <w:highlight w:val="none"/>
          <w:lang w:val="zh-CN"/>
        </w:rPr>
        <w:t xml:space="preserve">日期：  年  月   日   </w:t>
      </w:r>
      <w:r>
        <w:rPr>
          <w:rFonts w:hint="eastAsia" w:ascii="宋体" w:hAnsi="宋体" w:cs="宋体"/>
          <w:b/>
          <w:bCs/>
          <w:sz w:val="32"/>
          <w:szCs w:val="32"/>
          <w:highlight w:val="none"/>
        </w:rPr>
        <w:br w:type="page"/>
      </w:r>
      <w:r>
        <w:rPr>
          <w:rFonts w:hint="eastAsia" w:ascii="宋体" w:hAnsi="宋体" w:cs="宋体"/>
          <w:b/>
          <w:bCs/>
          <w:sz w:val="28"/>
          <w:szCs w:val="28"/>
          <w:highlight w:val="none"/>
        </w:rPr>
        <w:t>4.法定代表人身份证明的格式：</w:t>
      </w:r>
    </w:p>
    <w:p>
      <w:pPr>
        <w:spacing w:line="520" w:lineRule="exact"/>
        <w:jc w:val="center"/>
        <w:rPr>
          <w:rFonts w:ascii="宋体" w:hAnsi="宋体" w:cs="宋体"/>
          <w:sz w:val="32"/>
          <w:szCs w:val="32"/>
          <w:highlight w:val="none"/>
        </w:rPr>
      </w:pPr>
      <w:r>
        <w:rPr>
          <w:rFonts w:hint="eastAsia" w:ascii="宋体" w:hAnsi="宋体" w:cs="宋体"/>
          <w:bCs/>
          <w:sz w:val="32"/>
          <w:szCs w:val="32"/>
          <w:highlight w:val="none"/>
        </w:rPr>
        <w:t>法定代表人身份证明</w:t>
      </w:r>
    </w:p>
    <w:p>
      <w:pPr>
        <w:spacing w:line="360" w:lineRule="auto"/>
        <w:ind w:left="540"/>
        <w:contextualSpacing/>
        <w:rPr>
          <w:rFonts w:ascii="宋体" w:hAnsi="宋体" w:cs="宋体"/>
          <w:sz w:val="32"/>
          <w:szCs w:val="32"/>
          <w:highlight w:val="none"/>
        </w:rPr>
      </w:pPr>
    </w:p>
    <w:p>
      <w:pPr>
        <w:spacing w:line="360" w:lineRule="auto"/>
        <w:ind w:left="540"/>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pPr>
        <w:spacing w:line="360" w:lineRule="auto"/>
        <w:ind w:left="540"/>
        <w:contextualSpacing/>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360" w:lineRule="auto"/>
        <w:ind w:left="540"/>
        <w:contextualSpacing/>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pPr>
        <w:spacing w:line="360" w:lineRule="auto"/>
        <w:ind w:left="540"/>
        <w:contextualSpacing/>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pPr>
        <w:spacing w:line="360" w:lineRule="auto"/>
        <w:ind w:left="540"/>
        <w:contextualSpacing/>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w:t>
      </w:r>
    </w:p>
    <w:p>
      <w:pPr>
        <w:spacing w:line="360" w:lineRule="auto"/>
        <w:ind w:left="540"/>
        <w:contextualSpacing/>
        <w:rPr>
          <w:rFonts w:ascii="宋体" w:hAnsi="宋体" w:cs="宋体"/>
          <w:sz w:val="24"/>
          <w:highlight w:val="none"/>
        </w:rPr>
      </w:pPr>
      <w:r>
        <w:rPr>
          <w:rFonts w:hint="eastAsia" w:ascii="宋体" w:hAnsi="宋体" w:cs="宋体"/>
          <w:sz w:val="24"/>
          <w:highlight w:val="none"/>
        </w:rPr>
        <w:t>特此证明。</w:t>
      </w:r>
    </w:p>
    <w:p>
      <w:pPr>
        <w:spacing w:line="360" w:lineRule="auto"/>
        <w:ind w:left="540"/>
        <w:contextualSpacing/>
        <w:rPr>
          <w:rFonts w:ascii="宋体" w:hAnsi="宋体" w:cs="宋体"/>
          <w:sz w:val="24"/>
          <w:highlight w:val="none"/>
        </w:rPr>
      </w:pPr>
    </w:p>
    <w:p>
      <w:pPr>
        <w:spacing w:line="360" w:lineRule="auto"/>
        <w:ind w:left="540"/>
        <w:contextualSpacing/>
        <w:rPr>
          <w:rFonts w:ascii="宋体" w:hAnsi="宋体" w:cs="宋体"/>
          <w:sz w:val="24"/>
          <w:highlight w:val="none"/>
        </w:rPr>
      </w:pPr>
    </w:p>
    <w:p>
      <w:pPr>
        <w:spacing w:line="360" w:lineRule="auto"/>
        <w:ind w:left="540"/>
        <w:contextualSpacing/>
        <w:rPr>
          <w:rFonts w:ascii="宋体" w:hAnsi="宋体" w:cs="宋体"/>
          <w:sz w:val="24"/>
          <w:highlight w:val="none"/>
        </w:rPr>
      </w:pPr>
    </w:p>
    <w:p>
      <w:pPr>
        <w:spacing w:line="360" w:lineRule="auto"/>
        <w:ind w:left="540"/>
        <w:contextualSpacing/>
        <w:rPr>
          <w:rFonts w:ascii="宋体" w:hAnsi="宋体" w:cs="宋体"/>
          <w:sz w:val="24"/>
          <w:highlight w:val="none"/>
        </w:rPr>
      </w:pPr>
      <w:r>
        <w:rPr>
          <w:rFonts w:hint="eastAsia" w:ascii="宋体" w:hAnsi="宋体" w:cs="宋体"/>
          <w:sz w:val="24"/>
          <w:highlight w:val="none"/>
        </w:rPr>
        <w:t>附件：法定代表人有效身份证正反面复印件</w:t>
      </w:r>
    </w:p>
    <w:p>
      <w:pPr>
        <w:spacing w:line="360" w:lineRule="auto"/>
        <w:ind w:left="540"/>
        <w:contextualSpacing/>
        <w:rPr>
          <w:rFonts w:ascii="宋体" w:hAnsi="宋体" w:cs="宋体"/>
          <w:sz w:val="24"/>
          <w:highlight w:val="none"/>
        </w:rPr>
      </w:pPr>
    </w:p>
    <w:p>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供应商名称（盖公章）：</w:t>
      </w:r>
    </w:p>
    <w:p>
      <w:pPr>
        <w:spacing w:line="360" w:lineRule="auto"/>
        <w:contextualSpacing/>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pPr>
        <w:spacing w:line="360" w:lineRule="auto"/>
        <w:contextualSpacing/>
        <w:jc w:val="left"/>
        <w:rPr>
          <w:rFonts w:ascii="宋体" w:hAnsi="宋体" w:cs="宋体"/>
          <w:sz w:val="24"/>
          <w:highlight w:val="none"/>
        </w:rPr>
      </w:pPr>
    </w:p>
    <w:p>
      <w:pPr>
        <w:spacing w:line="360" w:lineRule="auto"/>
        <w:contextualSpacing/>
        <w:jc w:val="left"/>
        <w:rPr>
          <w:rFonts w:ascii="宋体" w:hAnsi="宋体" w:cs="宋体"/>
          <w:sz w:val="24"/>
          <w:highlight w:val="none"/>
        </w:rPr>
      </w:pPr>
    </w:p>
    <w:p>
      <w:pPr>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注：</w:t>
      </w:r>
    </w:p>
    <w:p>
      <w:pPr>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1.自然人竞标的无需提供，联合体竞标的只需牵头人出具。</w:t>
      </w:r>
    </w:p>
    <w:p>
      <w:pPr>
        <w:spacing w:line="360" w:lineRule="auto"/>
        <w:ind w:firstLine="420" w:firstLineChars="200"/>
        <w:contextualSpacing/>
        <w:jc w:val="left"/>
        <w:rPr>
          <w:rFonts w:ascii="宋体" w:hAnsi="宋体" w:cs="宋体"/>
          <w:szCs w:val="21"/>
          <w:highlight w:val="none"/>
        </w:rPr>
        <w:sectPr>
          <w:pgSz w:w="11911" w:h="16838"/>
          <w:pgMar w:top="1134" w:right="1134" w:bottom="1134" w:left="1134" w:header="720" w:footer="720" w:gutter="0"/>
          <w:cols w:space="720" w:num="1"/>
        </w:sectPr>
      </w:pPr>
      <w:r>
        <w:rPr>
          <w:rFonts w:hint="eastAsia" w:ascii="宋体" w:hAnsi="宋体" w:cs="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2" w:firstLineChars="200"/>
        <w:contextualSpacing/>
        <w:jc w:val="left"/>
        <w:rPr>
          <w:rFonts w:ascii="宋体" w:hAnsi="宋体" w:cs="宋体"/>
          <w:b/>
          <w:sz w:val="32"/>
          <w:szCs w:val="32"/>
          <w:highlight w:val="none"/>
        </w:rPr>
      </w:pPr>
      <w:r>
        <w:rPr>
          <w:rFonts w:hint="eastAsia" w:ascii="宋体" w:hAnsi="宋体" w:cs="宋体"/>
          <w:b/>
          <w:sz w:val="24"/>
          <w:highlight w:val="none"/>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2" w:hRule="atLeast"/>
          <w:jc w:val="center"/>
        </w:trPr>
        <w:tc>
          <w:tcPr>
            <w:tcW w:w="8461" w:type="dxa"/>
          </w:tcPr>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法定代表人身份证复印件粘帖处（正、反面）</w:t>
            </w:r>
          </w:p>
        </w:tc>
      </w:tr>
    </w:tbl>
    <w:p>
      <w:pPr>
        <w:adjustRightInd w:val="0"/>
        <w:snapToGrid w:val="0"/>
        <w:spacing w:line="300" w:lineRule="auto"/>
        <w:jc w:val="left"/>
        <w:rPr>
          <w:rFonts w:ascii="宋体" w:hAnsi="宋体" w:cs="宋体"/>
          <w:b/>
          <w:szCs w:val="21"/>
          <w:highlight w:val="none"/>
        </w:rPr>
      </w:pPr>
    </w:p>
    <w:p>
      <w:pPr>
        <w:spacing w:line="520" w:lineRule="exact"/>
        <w:ind w:firstLine="880"/>
        <w:jc w:val="left"/>
        <w:rPr>
          <w:rFonts w:ascii="宋体" w:hAnsi="宋体" w:cs="宋体"/>
          <w:szCs w:val="21"/>
          <w:highlight w:val="none"/>
        </w:rPr>
      </w:pPr>
    </w:p>
    <w:p>
      <w:pPr>
        <w:spacing w:line="520" w:lineRule="exact"/>
        <w:jc w:val="left"/>
        <w:rPr>
          <w:rFonts w:ascii="宋体" w:hAnsi="宋体" w:cs="宋体"/>
          <w:bCs/>
          <w:sz w:val="44"/>
          <w:szCs w:val="44"/>
          <w:highlight w:val="none"/>
        </w:rPr>
      </w:pPr>
      <w:r>
        <w:rPr>
          <w:rFonts w:hint="eastAsia" w:ascii="宋体" w:hAnsi="宋体" w:cs="宋体"/>
          <w:sz w:val="44"/>
          <w:szCs w:val="44"/>
          <w:highlight w:val="none"/>
        </w:rPr>
        <w:br w:type="page"/>
      </w:r>
      <w:r>
        <w:rPr>
          <w:rFonts w:hint="eastAsia" w:ascii="宋体" w:hAnsi="宋体" w:cs="宋体"/>
          <w:b/>
          <w:bCs/>
          <w:sz w:val="28"/>
          <w:szCs w:val="28"/>
          <w:highlight w:val="none"/>
        </w:rPr>
        <w:t>5.法定代表人授权委托书的格式：</w:t>
      </w:r>
    </w:p>
    <w:p>
      <w:pPr>
        <w:spacing w:line="500" w:lineRule="exact"/>
        <w:jc w:val="center"/>
        <w:rPr>
          <w:rFonts w:ascii="宋体" w:hAnsi="宋体" w:cs="宋体"/>
          <w:sz w:val="44"/>
          <w:szCs w:val="44"/>
          <w:highlight w:val="none"/>
        </w:rPr>
      </w:pPr>
    </w:p>
    <w:p>
      <w:pPr>
        <w:spacing w:line="520" w:lineRule="exact"/>
        <w:jc w:val="center"/>
        <w:rPr>
          <w:rFonts w:ascii="宋体" w:hAnsi="宋体" w:cs="宋体"/>
          <w:sz w:val="32"/>
          <w:szCs w:val="32"/>
          <w:highlight w:val="none"/>
        </w:rPr>
      </w:pPr>
      <w:r>
        <w:rPr>
          <w:rFonts w:hint="eastAsia" w:ascii="宋体" w:hAnsi="宋体" w:cs="宋体"/>
          <w:sz w:val="32"/>
          <w:szCs w:val="32"/>
          <w:highlight w:val="none"/>
        </w:rPr>
        <w:t>授权委托书</w:t>
      </w:r>
    </w:p>
    <w:p>
      <w:pPr>
        <w:spacing w:line="520" w:lineRule="exact"/>
        <w:jc w:val="center"/>
        <w:rPr>
          <w:rFonts w:ascii="宋体" w:hAnsi="宋体" w:cs="宋体"/>
          <w:sz w:val="32"/>
          <w:szCs w:val="32"/>
          <w:highlight w:val="none"/>
        </w:rPr>
      </w:pPr>
      <w:r>
        <w:rPr>
          <w:rFonts w:hint="eastAsia" w:ascii="宋体" w:hAnsi="宋体" w:cs="宋体"/>
          <w:sz w:val="32"/>
          <w:szCs w:val="32"/>
          <w:highlight w:val="none"/>
        </w:rPr>
        <w:t>（如有委托时）</w:t>
      </w:r>
    </w:p>
    <w:p>
      <w:pPr>
        <w:spacing w:line="520" w:lineRule="exact"/>
        <w:rPr>
          <w:rFonts w:ascii="宋体" w:hAnsi="宋体" w:cs="宋体"/>
          <w:sz w:val="32"/>
          <w:szCs w:val="32"/>
          <w:highlight w:val="none"/>
        </w:rPr>
      </w:pPr>
    </w:p>
    <w:p>
      <w:pPr>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i/>
          <w:iCs/>
          <w:sz w:val="24"/>
          <w:highlight w:val="none"/>
          <w:u w:val="single"/>
        </w:rPr>
        <w:t>（姓名）</w:t>
      </w:r>
      <w:r>
        <w:rPr>
          <w:rFonts w:hint="eastAsia" w:ascii="宋体" w:hAnsi="宋体" w:cs="宋体"/>
          <w:sz w:val="24"/>
          <w:highlight w:val="none"/>
          <w:u w:val="single"/>
        </w:rPr>
        <w:t xml:space="preserve">  </w:t>
      </w: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i/>
          <w:iCs/>
          <w:sz w:val="24"/>
          <w:highlight w:val="none"/>
          <w:u w:val="single"/>
        </w:rPr>
        <w:t>（供应商名称）</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 xml:space="preserve"> </w:t>
      </w:r>
      <w:r>
        <w:rPr>
          <w:rFonts w:hint="eastAsia" w:ascii="宋体" w:hAnsi="宋体" w:cs="宋体"/>
          <w:i/>
          <w:iCs/>
          <w:sz w:val="24"/>
          <w:highlight w:val="none"/>
          <w:u w:val="single"/>
        </w:rPr>
        <w:t>（姓名）</w:t>
      </w:r>
      <w:r>
        <w:rPr>
          <w:rFonts w:hint="eastAsia" w:ascii="宋体" w:hAnsi="宋体" w:cs="宋体"/>
          <w:sz w:val="24"/>
          <w:highlight w:val="none"/>
          <w:u w:val="single"/>
        </w:rPr>
        <w:t xml:space="preserve"> </w:t>
      </w:r>
      <w:r>
        <w:rPr>
          <w:rFonts w:hint="eastAsia" w:ascii="宋体" w:hAnsi="宋体" w:cs="宋体"/>
          <w:sz w:val="24"/>
          <w:highlight w:val="none"/>
        </w:rPr>
        <w:t>以我方的名义参加</w:t>
      </w:r>
      <w:r>
        <w:rPr>
          <w:rFonts w:hint="eastAsia" w:ascii="宋体" w:hAnsi="宋体" w:cs="宋体"/>
          <w:sz w:val="24"/>
          <w:highlight w:val="none"/>
          <w:u w:val="single"/>
        </w:rPr>
        <w:t xml:space="preserve">      </w:t>
      </w:r>
      <w:r>
        <w:rPr>
          <w:rFonts w:hint="eastAsia" w:ascii="宋体" w:hAnsi="宋体" w:cs="宋体"/>
          <w:i/>
          <w:iCs/>
          <w:sz w:val="24"/>
          <w:highlight w:val="none"/>
          <w:u w:val="single"/>
        </w:rPr>
        <w:t>（项目名称）</w:t>
      </w:r>
      <w:r>
        <w:rPr>
          <w:rFonts w:hint="eastAsia" w:ascii="宋体" w:hAnsi="宋体" w:cs="宋体"/>
          <w:sz w:val="24"/>
          <w:highlight w:val="none"/>
          <w:u w:val="single"/>
        </w:rPr>
        <w:t xml:space="preserve">        </w:t>
      </w:r>
      <w:r>
        <w:rPr>
          <w:rFonts w:hint="eastAsia" w:ascii="宋体" w:hAnsi="宋体" w:cs="宋体"/>
          <w:sz w:val="24"/>
          <w:highlight w:val="none"/>
        </w:rPr>
        <w:t>项目的竞标活动，并代表我方全权办理针对上述项目的所有采购程序和环节的具体事务和签署相关文件。</w:t>
      </w:r>
    </w:p>
    <w:p>
      <w:pPr>
        <w:spacing w:line="360" w:lineRule="auto"/>
        <w:rPr>
          <w:rFonts w:ascii="宋体" w:hAnsi="宋体" w:cs="宋体"/>
          <w:sz w:val="24"/>
          <w:highlight w:val="none"/>
        </w:rPr>
      </w:pPr>
      <w:r>
        <w:rPr>
          <w:rFonts w:hint="eastAsia" w:ascii="宋体" w:hAnsi="宋体" w:cs="宋体"/>
          <w:sz w:val="24"/>
          <w:highlight w:val="none"/>
        </w:rPr>
        <w:t xml:space="preserve">    我方对委托代理人的签字事项负全部责任。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附：委托代理人有效身份证正反面复印件</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 xml:space="preserve">委托代理人（签字）：         法定代表人（签字）：                    </w:t>
      </w:r>
    </w:p>
    <w:p>
      <w:pPr>
        <w:spacing w:line="360" w:lineRule="auto"/>
        <w:rPr>
          <w:rFonts w:ascii="宋体" w:hAnsi="宋体" w:cs="宋体"/>
          <w:sz w:val="24"/>
          <w:highlight w:val="none"/>
        </w:rPr>
      </w:pPr>
      <w:r>
        <w:rPr>
          <w:rFonts w:hint="eastAsia" w:ascii="宋体" w:hAnsi="宋体" w:cs="宋体"/>
          <w:sz w:val="24"/>
          <w:highlight w:val="none"/>
        </w:rPr>
        <w:t xml:space="preserve">委托代理人身份证号码：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rPr>
        <w:t>供应商名称（盖公章）：</w:t>
      </w:r>
    </w:p>
    <w:p>
      <w:pPr>
        <w:spacing w:line="360" w:lineRule="auto"/>
        <w:contextualSpacing/>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pPr>
        <w:spacing w:line="360" w:lineRule="auto"/>
        <w:rPr>
          <w:rFonts w:ascii="宋体" w:hAnsi="宋体" w:cs="宋体"/>
          <w:sz w:val="24"/>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 法定代表人和委托代理人必须在授权委托书上签字，</w:t>
      </w:r>
      <w:r>
        <w:rPr>
          <w:rFonts w:hint="eastAsia" w:ascii="宋体" w:hAnsi="宋体" w:cs="宋体"/>
          <w:b/>
          <w:szCs w:val="21"/>
          <w:highlight w:val="none"/>
        </w:rPr>
        <w:t>否则其响应文件按无效响应处理。</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 法人、其他组织竞标时“我方”是指“我单位”，自然人竞标时“我方”是指“本人”。</w:t>
      </w:r>
    </w:p>
    <w:p>
      <w:pPr>
        <w:widowControl/>
        <w:shd w:val="clear" w:color="auto" w:fill="FFFFFF"/>
        <w:spacing w:line="480" w:lineRule="atLeast"/>
        <w:rPr>
          <w:rFonts w:ascii="宋体" w:hAnsi="宋体" w:cs="宋体"/>
          <w:sz w:val="24"/>
          <w:highlight w:val="none"/>
        </w:rPr>
      </w:pPr>
      <w:r>
        <w:rPr>
          <w:rFonts w:hint="eastAsia" w:ascii="宋体" w:hAnsi="宋体" w:cs="宋体"/>
          <w:szCs w:val="21"/>
          <w:highlight w:val="none"/>
        </w:rPr>
        <w:br w:type="page"/>
      </w:r>
      <w:r>
        <w:rPr>
          <w:rFonts w:hint="eastAsia" w:ascii="宋体" w:hAnsi="宋体" w:cs="宋体"/>
          <w:b/>
          <w:sz w:val="28"/>
          <w:szCs w:val="28"/>
          <w:highlight w:val="none"/>
        </w:rPr>
        <w:t xml:space="preserve">6、供应商认为有必要提供的其他文件 </w:t>
      </w:r>
    </w:p>
    <w:p>
      <w:pPr>
        <w:shd w:val="clear" w:color="auto" w:fill="FFFFFF"/>
        <w:spacing w:line="520" w:lineRule="exact"/>
        <w:jc w:val="center"/>
        <w:rPr>
          <w:rFonts w:ascii="宋体" w:hAnsi="宋体" w:cs="宋体"/>
          <w:sz w:val="24"/>
          <w:highlight w:val="none"/>
        </w:rPr>
      </w:pPr>
    </w:p>
    <w:p>
      <w:pPr>
        <w:spacing w:line="520" w:lineRule="exact"/>
        <w:jc w:val="center"/>
        <w:rPr>
          <w:rFonts w:ascii="宋体" w:hAnsi="宋体" w:cs="宋体"/>
          <w:sz w:val="24"/>
          <w:highlight w:val="none"/>
        </w:rPr>
      </w:pPr>
    </w:p>
    <w:p>
      <w:pPr>
        <w:spacing w:line="520" w:lineRule="exact"/>
        <w:jc w:val="left"/>
        <w:rPr>
          <w:rFonts w:ascii="宋体" w:hAnsi="宋体" w:cs="宋体"/>
          <w:sz w:val="32"/>
          <w:szCs w:val="32"/>
          <w:highlight w:val="none"/>
        </w:rPr>
      </w:pPr>
    </w:p>
    <w:p>
      <w:pPr>
        <w:spacing w:line="520" w:lineRule="exact"/>
        <w:jc w:val="left"/>
        <w:rPr>
          <w:rFonts w:ascii="宋体" w:hAnsi="宋体" w:cs="宋体"/>
          <w:b/>
          <w:sz w:val="30"/>
          <w:szCs w:val="30"/>
          <w:highlight w:val="none"/>
        </w:rPr>
      </w:pPr>
      <w:r>
        <w:rPr>
          <w:rFonts w:hint="eastAsia" w:ascii="宋体" w:hAnsi="宋体" w:cs="宋体"/>
          <w:sz w:val="32"/>
          <w:szCs w:val="32"/>
          <w:highlight w:val="none"/>
        </w:rPr>
        <w:br w:type="page"/>
      </w:r>
      <w:r>
        <w:rPr>
          <w:rFonts w:hint="eastAsia" w:ascii="宋体" w:hAnsi="宋体" w:cs="宋体"/>
          <w:b/>
          <w:sz w:val="28"/>
          <w:szCs w:val="28"/>
          <w:highlight w:val="none"/>
        </w:rPr>
        <w:t>7.商务条款偏离表的格式：</w:t>
      </w:r>
    </w:p>
    <w:p>
      <w:pPr>
        <w:pStyle w:val="2"/>
        <w:rPr>
          <w:rFonts w:ascii="宋体" w:hAnsi="宋体" w:cs="宋体"/>
          <w:highlight w:val="none"/>
        </w:rPr>
      </w:pPr>
    </w:p>
    <w:p>
      <w:pPr>
        <w:spacing w:line="500" w:lineRule="exact"/>
        <w:jc w:val="center"/>
        <w:rPr>
          <w:rFonts w:ascii="宋体" w:hAnsi="宋体" w:cs="宋体"/>
          <w:bCs/>
          <w:sz w:val="44"/>
          <w:szCs w:val="44"/>
          <w:highlight w:val="none"/>
        </w:rPr>
      </w:pPr>
      <w:r>
        <w:rPr>
          <w:rFonts w:hint="eastAsia" w:ascii="宋体" w:hAnsi="宋体" w:cs="宋体"/>
          <w:bCs/>
          <w:sz w:val="44"/>
          <w:szCs w:val="44"/>
          <w:highlight w:val="none"/>
        </w:rPr>
        <w:t>商务条款偏离表</w:t>
      </w:r>
    </w:p>
    <w:p>
      <w:pPr>
        <w:spacing w:line="520" w:lineRule="exact"/>
        <w:rPr>
          <w:rFonts w:ascii="宋体" w:hAnsi="宋体" w:cs="宋体"/>
          <w:sz w:val="32"/>
          <w:szCs w:val="32"/>
          <w:highlight w:val="none"/>
        </w:rPr>
      </w:pPr>
    </w:p>
    <w:p>
      <w:pPr>
        <w:spacing w:line="360" w:lineRule="auto"/>
        <w:contextualSpacing/>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spacing w:line="360" w:lineRule="auto"/>
        <w:contextualSpacing/>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p>
      <w:pPr>
        <w:spacing w:line="360" w:lineRule="auto"/>
        <w:contextualSpacing/>
        <w:rPr>
          <w:rFonts w:ascii="宋体" w:hAnsi="宋体" w:cs="宋体"/>
          <w:sz w:val="24"/>
          <w:highlight w:val="none"/>
          <w:u w:val="singl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highlight w:val="none"/>
              </w:rPr>
            </w:pPr>
          </w:p>
        </w:tc>
      </w:tr>
    </w:tbl>
    <w:p>
      <w:pPr>
        <w:pStyle w:val="17"/>
        <w:spacing w:line="400" w:lineRule="exact"/>
        <w:ind w:firstLine="0" w:firstLineChars="0"/>
        <w:contextualSpacing/>
        <w:rPr>
          <w:rFonts w:ascii="宋体" w:hAnsi="宋体" w:eastAsia="宋体" w:cs="宋体"/>
          <w:sz w:val="24"/>
          <w:szCs w:val="24"/>
          <w:highlight w:val="none"/>
        </w:rPr>
      </w:pPr>
      <w:r>
        <w:rPr>
          <w:rFonts w:hint="eastAsia" w:ascii="宋体" w:hAnsi="宋体" w:eastAsia="宋体" w:cs="宋体"/>
          <w:sz w:val="24"/>
          <w:szCs w:val="24"/>
          <w:highlight w:val="none"/>
        </w:rPr>
        <w:t>注：</w:t>
      </w:r>
    </w:p>
    <w:p>
      <w:pPr>
        <w:pStyle w:val="17"/>
        <w:spacing w:line="400" w:lineRule="exact"/>
        <w:ind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1.应对照磋商文件“第二章 采购需求”中的商务条款逐条作出明确响应，并作出偏离说明。</w:t>
      </w:r>
    </w:p>
    <w:p>
      <w:pPr>
        <w:pStyle w:val="17"/>
        <w:spacing w:line="400" w:lineRule="exact"/>
        <w:ind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3.表格内容均需按要求填写，不得留空，</w:t>
      </w:r>
      <w:r>
        <w:rPr>
          <w:rFonts w:hint="eastAsia" w:ascii="宋体" w:hAnsi="宋体" w:cs="宋体"/>
          <w:b/>
          <w:bCs/>
          <w:kern w:val="0"/>
          <w:sz w:val="24"/>
          <w:highlight w:val="none"/>
        </w:rPr>
        <w:t>否则按竞标无效处理。</w:t>
      </w:r>
    </w:p>
    <w:p>
      <w:pPr>
        <w:spacing w:line="400" w:lineRule="exact"/>
        <w:ind w:firstLine="480" w:firstLineChars="200"/>
        <w:contextualSpacing/>
        <w:rPr>
          <w:rFonts w:ascii="宋体" w:hAnsi="宋体" w:cs="宋体"/>
          <w:kern w:val="0"/>
          <w:sz w:val="24"/>
          <w:highlight w:val="none"/>
        </w:rPr>
      </w:pPr>
    </w:p>
    <w:p>
      <w:pPr>
        <w:spacing w:line="360" w:lineRule="auto"/>
        <w:ind w:firstLine="3840" w:firstLineChars="1600"/>
        <w:rPr>
          <w:rFonts w:ascii="宋体" w:hAnsi="宋体" w:cs="宋体"/>
          <w:sz w:val="24"/>
          <w:highlight w:val="none"/>
        </w:rPr>
      </w:pPr>
      <w:r>
        <w:rPr>
          <w:rFonts w:hint="eastAsia" w:ascii="宋体" w:hAnsi="宋体" w:cs="宋体"/>
          <w:kern w:val="0"/>
          <w:sz w:val="24"/>
          <w:highlight w:val="none"/>
        </w:rPr>
        <w:t>供应商名称（盖公章）：</w:t>
      </w:r>
    </w:p>
    <w:p>
      <w:pPr>
        <w:spacing w:line="360" w:lineRule="auto"/>
        <w:contextualSpacing/>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pPr>
        <w:snapToGrid w:val="0"/>
        <w:spacing w:line="360" w:lineRule="auto"/>
        <w:ind w:firstLine="602" w:firstLineChars="200"/>
        <w:rPr>
          <w:rFonts w:ascii="宋体" w:hAnsi="宋体" w:cs="宋体"/>
          <w:b/>
          <w:sz w:val="30"/>
          <w:szCs w:val="30"/>
          <w:highlight w:val="none"/>
        </w:rPr>
      </w:pPr>
    </w:p>
    <w:p>
      <w:pPr>
        <w:snapToGrid w:val="0"/>
        <w:spacing w:line="360" w:lineRule="auto"/>
        <w:ind w:firstLine="602" w:firstLineChars="200"/>
        <w:rPr>
          <w:rFonts w:ascii="宋体" w:hAnsi="宋体" w:cs="宋体"/>
          <w:b/>
          <w:sz w:val="30"/>
          <w:szCs w:val="30"/>
          <w:highlight w:val="none"/>
        </w:rPr>
      </w:pPr>
    </w:p>
    <w:p>
      <w:pPr>
        <w:pStyle w:val="2"/>
        <w:rPr>
          <w:rFonts w:ascii="宋体" w:hAnsi="宋体" w:cs="宋体"/>
          <w:highlight w:val="none"/>
        </w:rPr>
      </w:pPr>
    </w:p>
    <w:p>
      <w:pPr>
        <w:snapToGrid w:val="0"/>
        <w:spacing w:line="360" w:lineRule="auto"/>
        <w:ind w:firstLine="602" w:firstLineChars="200"/>
        <w:rPr>
          <w:rFonts w:ascii="宋体" w:hAnsi="宋体" w:cs="宋体"/>
          <w:b/>
          <w:sz w:val="30"/>
          <w:szCs w:val="30"/>
          <w:highlight w:val="none"/>
        </w:rPr>
      </w:pPr>
    </w:p>
    <w:p>
      <w:pPr>
        <w:pStyle w:val="26"/>
        <w:snapToGrid w:val="0"/>
        <w:ind w:left="562" w:hanging="562"/>
        <w:rPr>
          <w:rFonts w:ascii="宋体" w:hAnsi="宋体" w:cs="宋体"/>
          <w:i/>
          <w:iCs/>
          <w:sz w:val="24"/>
          <w:highlight w:val="none"/>
        </w:rPr>
      </w:pPr>
      <w:r>
        <w:rPr>
          <w:rFonts w:hint="eastAsia" w:ascii="宋体" w:hAnsi="宋体" w:cs="宋体"/>
          <w:b/>
          <w:sz w:val="28"/>
          <w:szCs w:val="28"/>
          <w:highlight w:val="none"/>
        </w:rPr>
        <w:t>8.供应商类似的业绩证明文件</w:t>
      </w:r>
      <w:r>
        <w:rPr>
          <w:rFonts w:hint="eastAsia" w:ascii="宋体" w:hAnsi="宋体" w:cs="宋体"/>
          <w:b/>
          <w:bCs/>
          <w:sz w:val="30"/>
          <w:szCs w:val="30"/>
          <w:highlight w:val="none"/>
        </w:rPr>
        <w:t>（如有要求）：</w:t>
      </w:r>
    </w:p>
    <w:p>
      <w:pPr>
        <w:spacing w:line="360" w:lineRule="auto"/>
        <w:ind w:firstLine="2880" w:firstLineChars="900"/>
        <w:contextualSpacing/>
        <w:rPr>
          <w:rFonts w:ascii="宋体" w:hAnsi="宋体" w:cs="宋体"/>
          <w:sz w:val="32"/>
          <w:szCs w:val="32"/>
          <w:highlight w:val="none"/>
        </w:rPr>
      </w:pPr>
    </w:p>
    <w:p>
      <w:pPr>
        <w:spacing w:line="360" w:lineRule="auto"/>
        <w:ind w:firstLine="2880" w:firstLineChars="900"/>
        <w:contextualSpacing/>
        <w:rPr>
          <w:rFonts w:ascii="宋体" w:hAnsi="宋体" w:cs="宋体"/>
          <w:sz w:val="32"/>
          <w:szCs w:val="32"/>
          <w:highlight w:val="none"/>
        </w:rPr>
      </w:pPr>
      <w:r>
        <w:rPr>
          <w:rFonts w:hint="eastAsia" w:ascii="宋体" w:hAnsi="宋体" w:cs="宋体"/>
          <w:sz w:val="32"/>
          <w:szCs w:val="32"/>
          <w:highlight w:val="none"/>
        </w:rPr>
        <w:t>类似项目的业绩一览表</w:t>
      </w:r>
    </w:p>
    <w:p>
      <w:pPr>
        <w:spacing w:line="360" w:lineRule="auto"/>
        <w:contextualSpacing/>
        <w:rPr>
          <w:rFonts w:ascii="宋体" w:hAnsi="宋体" w:cs="宋体"/>
          <w:sz w:val="24"/>
          <w:highlight w:val="none"/>
          <w:u w:val="singl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highlight w:val="none"/>
              </w:rPr>
            </w:pPr>
            <w:r>
              <w:rPr>
                <w:rFonts w:hint="eastAsia" w:ascii="宋体" w:hAnsi="宋体" w:cs="宋体"/>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highlight w:val="none"/>
              </w:rPr>
            </w:pPr>
            <w:r>
              <w:rPr>
                <w:rFonts w:hint="eastAsia" w:ascii="宋体" w:hAnsi="宋体" w:cs="宋体"/>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highlight w:val="none"/>
              </w:rPr>
            </w:pPr>
            <w:r>
              <w:rPr>
                <w:rFonts w:hint="eastAsia" w:ascii="宋体" w:hAnsi="宋体" w:cs="宋体"/>
                <w:sz w:val="24"/>
                <w:highlight w:val="none"/>
              </w:rPr>
              <w:t>合同</w:t>
            </w:r>
          </w:p>
          <w:p>
            <w:pPr>
              <w:snapToGrid w:val="0"/>
              <w:spacing w:line="240" w:lineRule="exact"/>
              <w:jc w:val="center"/>
              <w:rPr>
                <w:rFonts w:ascii="宋体" w:hAnsi="宋体" w:cs="宋体"/>
                <w:sz w:val="24"/>
                <w:highlight w:val="none"/>
              </w:rPr>
            </w:pPr>
            <w:r>
              <w:rPr>
                <w:rFonts w:hint="eastAsia" w:ascii="宋体" w:hAnsi="宋体" w:cs="宋体"/>
                <w:sz w:val="24"/>
                <w:highlight w:val="none"/>
              </w:rPr>
              <w:t>金额</w:t>
            </w:r>
          </w:p>
          <w:p>
            <w:pPr>
              <w:snapToGrid w:val="0"/>
              <w:spacing w:line="240" w:lineRule="exact"/>
              <w:jc w:val="center"/>
              <w:rPr>
                <w:rFonts w:ascii="宋体" w:hAnsi="宋体" w:cs="宋体"/>
                <w:sz w:val="24"/>
                <w:highlight w:val="none"/>
              </w:rPr>
            </w:pPr>
            <w:r>
              <w:rPr>
                <w:rFonts w:hint="eastAsia" w:ascii="宋体" w:hAnsi="宋体" w:cs="宋体"/>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highlight w:val="none"/>
              </w:rPr>
            </w:pPr>
            <w:r>
              <w:rPr>
                <w:rFonts w:hint="eastAsia" w:ascii="宋体" w:hAnsi="宋体" w:cs="宋体"/>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highlight w:val="none"/>
              </w:rPr>
            </w:pPr>
            <w:r>
              <w:rPr>
                <w:rFonts w:hint="eastAsia" w:ascii="宋体" w:hAnsi="宋体" w:cs="宋体"/>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highlight w:val="none"/>
              </w:rPr>
            </w:pPr>
            <w:r>
              <w:rPr>
                <w:rFonts w:hint="eastAsia" w:ascii="宋体" w:hAnsi="宋体" w:cs="宋体"/>
                <w:sz w:val="24"/>
                <w:highlight w:val="none"/>
              </w:rPr>
              <w:t>合同或</w:t>
            </w:r>
            <w:r>
              <w:rPr>
                <w:rFonts w:hint="eastAsia" w:ascii="宋体" w:hAnsi="宋体" w:cs="宋体"/>
                <w:highlight w:val="none"/>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highlight w:val="none"/>
              </w:rPr>
            </w:pPr>
            <w:r>
              <w:rPr>
                <w:rFonts w:hint="eastAsia" w:ascii="宋体" w:hAnsi="宋体" w:cs="宋体"/>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highlight w:val="none"/>
              </w:rPr>
            </w:pPr>
            <w:r>
              <w:rPr>
                <w:rFonts w:hint="eastAsia" w:ascii="宋体" w:hAnsi="宋体" w:cs="宋体"/>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highlight w:val="none"/>
              </w:rPr>
            </w:pPr>
          </w:p>
        </w:tc>
      </w:tr>
    </w:tbl>
    <w:p>
      <w:pPr>
        <w:snapToGrid w:val="0"/>
        <w:spacing w:line="360" w:lineRule="auto"/>
        <w:ind w:firstLine="4935" w:firstLineChars="2350"/>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 w:val="24"/>
          <w:szCs w:val="20"/>
          <w:highlight w:val="none"/>
        </w:rPr>
        <w:t>注：在填写时，如本表格不适合供应商的实际情况，可参照本表格式自行制表填写，并附上相关证明材料</w:t>
      </w:r>
      <w:r>
        <w:rPr>
          <w:rFonts w:hint="eastAsia" w:ascii="宋体" w:hAnsi="宋体" w:cs="宋体"/>
          <w:highlight w:val="none"/>
        </w:rPr>
        <w:t>。</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供应商名称(盖公章)：</w:t>
      </w:r>
    </w:p>
    <w:p>
      <w:pPr>
        <w:spacing w:line="500" w:lineRule="exact"/>
        <w:jc w:val="center"/>
        <w:rPr>
          <w:rFonts w:ascii="宋体" w:hAnsi="宋体" w:cs="宋体"/>
          <w:sz w:val="32"/>
          <w:szCs w:val="32"/>
          <w:highlight w:val="none"/>
        </w:rPr>
        <w:sectPr>
          <w:pgSz w:w="11911" w:h="16838"/>
          <w:pgMar w:top="1134" w:right="1134" w:bottom="1134" w:left="1134" w:header="720" w:footer="720" w:gutter="0"/>
          <w:cols w:space="720" w:num="1"/>
        </w:sect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rPr>
          <w:rFonts w:ascii="宋体" w:hAnsi="宋体" w:cs="宋体"/>
          <w:sz w:val="28"/>
          <w:szCs w:val="28"/>
          <w:highlight w:val="none"/>
        </w:rPr>
      </w:pPr>
      <w:r>
        <w:rPr>
          <w:rFonts w:hint="eastAsia" w:ascii="宋体" w:hAnsi="宋体" w:cs="宋体"/>
          <w:b/>
          <w:sz w:val="28"/>
          <w:szCs w:val="28"/>
          <w:highlight w:val="none"/>
        </w:rPr>
        <w:t>9.服务需求偏离表的格式：</w:t>
      </w:r>
    </w:p>
    <w:p>
      <w:pPr>
        <w:spacing w:line="500" w:lineRule="exact"/>
        <w:jc w:val="center"/>
        <w:rPr>
          <w:rFonts w:ascii="宋体" w:hAnsi="宋体" w:cs="宋体"/>
          <w:bCs/>
          <w:sz w:val="44"/>
          <w:szCs w:val="44"/>
          <w:highlight w:val="none"/>
        </w:rPr>
      </w:pPr>
      <w:r>
        <w:rPr>
          <w:rFonts w:hint="eastAsia" w:ascii="宋体" w:hAnsi="宋体" w:cs="宋体"/>
          <w:b/>
          <w:sz w:val="44"/>
          <w:szCs w:val="44"/>
          <w:highlight w:val="none"/>
        </w:rPr>
        <w:t>服务需求偏离表</w:t>
      </w:r>
    </w:p>
    <w:p>
      <w:pPr>
        <w:spacing w:line="360" w:lineRule="auto"/>
        <w:contextualSpacing/>
        <w:jc w:val="left"/>
        <w:rPr>
          <w:rFonts w:ascii="宋体" w:hAnsi="宋体" w:cs="宋体"/>
          <w:sz w:val="24"/>
          <w:highlight w:val="none"/>
        </w:rPr>
      </w:pPr>
    </w:p>
    <w:p>
      <w:pPr>
        <w:spacing w:line="360" w:lineRule="auto"/>
        <w:ind w:firstLine="720" w:firstLineChars="300"/>
        <w:contextualSpacing/>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spacing w:line="360" w:lineRule="auto"/>
        <w:ind w:firstLine="720" w:firstLineChars="300"/>
        <w:contextualSpacing/>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p>
      <w:pPr>
        <w:spacing w:line="360" w:lineRule="auto"/>
        <w:ind w:firstLine="720" w:firstLineChars="300"/>
        <w:contextualSpacing/>
        <w:rPr>
          <w:rFonts w:ascii="宋体" w:hAnsi="宋体" w:cs="宋体"/>
          <w:sz w:val="24"/>
          <w:highlight w:val="none"/>
          <w:u w:val="singl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竞争性磋商文件采购需求中的技术要求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响应文件响应的技术要求</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2</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r>
    </w:tbl>
    <w:p>
      <w:pPr>
        <w:pStyle w:val="17"/>
        <w:ind w:firstLine="845"/>
        <w:rPr>
          <w:rFonts w:ascii="宋体" w:hAnsi="宋体" w:eastAsia="宋体" w:cs="宋体"/>
          <w:sz w:val="24"/>
          <w:highlight w:val="none"/>
          <w:u w:val="single"/>
        </w:rPr>
      </w:pPr>
    </w:p>
    <w:p>
      <w:pPr>
        <w:pStyle w:val="15"/>
        <w:spacing w:after="0" w:line="360" w:lineRule="auto"/>
        <w:contextualSpacing/>
        <w:rPr>
          <w:rFonts w:ascii="宋体" w:hAnsi="宋体" w:cs="宋体"/>
          <w:kern w:val="0"/>
          <w:sz w:val="24"/>
          <w:szCs w:val="24"/>
          <w:highlight w:val="none"/>
        </w:rPr>
      </w:pPr>
    </w:p>
    <w:p>
      <w:pPr>
        <w:pStyle w:val="15"/>
        <w:spacing w:after="0" w:line="480" w:lineRule="auto"/>
        <w:ind w:firstLine="420" w:firstLineChars="200"/>
        <w:contextualSpacing/>
        <w:rPr>
          <w:rFonts w:ascii="宋体" w:hAnsi="宋体" w:cs="宋体"/>
          <w:kern w:val="0"/>
          <w:sz w:val="21"/>
          <w:szCs w:val="21"/>
          <w:highlight w:val="none"/>
        </w:rPr>
      </w:pPr>
      <w:r>
        <w:rPr>
          <w:rFonts w:hint="eastAsia" w:ascii="宋体" w:hAnsi="宋体" w:cs="宋体"/>
          <w:kern w:val="0"/>
          <w:sz w:val="21"/>
          <w:szCs w:val="21"/>
          <w:highlight w:val="none"/>
        </w:rPr>
        <w:t>注：</w:t>
      </w:r>
    </w:p>
    <w:p>
      <w:pPr>
        <w:pStyle w:val="15"/>
        <w:spacing w:after="0" w:line="480" w:lineRule="auto"/>
        <w:ind w:firstLine="420" w:firstLineChars="200"/>
        <w:contextualSpacing/>
        <w:rPr>
          <w:rFonts w:ascii="宋体" w:hAnsi="宋体" w:cs="宋体"/>
          <w:kern w:val="0"/>
          <w:sz w:val="21"/>
          <w:szCs w:val="21"/>
          <w:highlight w:val="none"/>
        </w:rPr>
      </w:pPr>
      <w:r>
        <w:rPr>
          <w:rFonts w:hint="eastAsia" w:ascii="宋体" w:hAnsi="宋体" w:cs="宋体"/>
          <w:kern w:val="0"/>
          <w:sz w:val="21"/>
          <w:szCs w:val="21"/>
          <w:highlight w:val="none"/>
        </w:rPr>
        <w:t xml:space="preserve">1.说明：应对照磋商文件“第二章  </w:t>
      </w:r>
      <w:r>
        <w:rPr>
          <w:rFonts w:hint="eastAsia" w:ascii="宋体" w:hAnsi="宋体" w:cs="宋体"/>
          <w:bCs/>
          <w:sz w:val="21"/>
          <w:szCs w:val="21"/>
          <w:highlight w:val="none"/>
        </w:rPr>
        <w:t>采购需求</w:t>
      </w:r>
      <w:r>
        <w:rPr>
          <w:rFonts w:hint="eastAsia" w:ascii="宋体" w:hAnsi="宋体" w:cs="宋体"/>
          <w:kern w:val="0"/>
          <w:sz w:val="21"/>
          <w:szCs w:val="21"/>
          <w:highlight w:val="none"/>
        </w:rPr>
        <w:t>”中“需求一览表”的技术要求条款逐条作出明确响应，并作出偏离说明。</w:t>
      </w:r>
    </w:p>
    <w:p>
      <w:pPr>
        <w:pStyle w:val="17"/>
        <w:spacing w:line="480" w:lineRule="auto"/>
        <w:ind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pPr>
        <w:spacing w:line="480" w:lineRule="auto"/>
        <w:ind w:firstLine="420" w:firstLineChars="200"/>
        <w:rPr>
          <w:rFonts w:ascii="宋体" w:hAnsi="宋体" w:cs="宋体"/>
          <w:kern w:val="0"/>
          <w:szCs w:val="21"/>
          <w:highlight w:val="none"/>
        </w:rPr>
      </w:pPr>
      <w:r>
        <w:rPr>
          <w:rFonts w:hint="eastAsia" w:ascii="宋体" w:hAnsi="宋体" w:cs="宋体"/>
          <w:kern w:val="0"/>
          <w:szCs w:val="21"/>
          <w:highlight w:val="none"/>
        </w:rPr>
        <w:t>3.表格内容均需按要求填写并盖公章，不得留空，</w:t>
      </w:r>
      <w:r>
        <w:rPr>
          <w:rFonts w:hint="eastAsia" w:ascii="宋体" w:hAnsi="宋体" w:cs="宋体"/>
          <w:b/>
          <w:bCs/>
          <w:kern w:val="0"/>
          <w:szCs w:val="21"/>
          <w:highlight w:val="none"/>
        </w:rPr>
        <w:t>否则按竞标无效处理。</w:t>
      </w:r>
    </w:p>
    <w:p>
      <w:pPr>
        <w:pStyle w:val="17"/>
        <w:spacing w:line="480" w:lineRule="auto"/>
        <w:ind w:firstLine="420" w:firstLineChars="200"/>
        <w:contextualSpacing/>
        <w:rPr>
          <w:rFonts w:ascii="宋体" w:hAnsi="宋体" w:eastAsia="宋体" w:cs="宋体"/>
          <w:sz w:val="21"/>
          <w:szCs w:val="21"/>
          <w:highlight w:val="none"/>
        </w:rPr>
      </w:pPr>
    </w:p>
    <w:p>
      <w:pPr>
        <w:snapToGrid w:val="0"/>
        <w:spacing w:line="360" w:lineRule="auto"/>
        <w:rPr>
          <w:rFonts w:ascii="宋体" w:hAnsi="宋体" w:cs="宋体"/>
          <w:b/>
          <w:sz w:val="30"/>
          <w:szCs w:val="30"/>
          <w:highlight w:val="none"/>
        </w:rPr>
      </w:pPr>
    </w:p>
    <w:p>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napToGrid w:val="0"/>
        <w:spacing w:line="360" w:lineRule="auto"/>
        <w:rPr>
          <w:rFonts w:ascii="宋体" w:hAnsi="宋体" w:cs="宋体"/>
          <w:b/>
          <w:sz w:val="28"/>
          <w:szCs w:val="28"/>
          <w:highlight w:val="none"/>
        </w:rPr>
      </w:pPr>
    </w:p>
    <w:p>
      <w:pPr>
        <w:snapToGrid w:val="0"/>
        <w:spacing w:line="360" w:lineRule="auto"/>
        <w:rPr>
          <w:rFonts w:ascii="宋体" w:hAnsi="宋体" w:cs="宋体"/>
          <w:b/>
          <w:sz w:val="28"/>
          <w:szCs w:val="28"/>
          <w:highlight w:val="none"/>
        </w:rPr>
      </w:pPr>
    </w:p>
    <w:p>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10.服务方案</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（由供应商根据采购需求及采购文件要求编制）</w:t>
      </w:r>
    </w:p>
    <w:p>
      <w:pPr>
        <w:pStyle w:val="3"/>
        <w:rPr>
          <w:rFonts w:ascii="宋体" w:hAnsi="宋体" w:cs="宋体"/>
          <w:kern w:val="0"/>
          <w:sz w:val="24"/>
          <w:highlight w:val="none"/>
          <w:lang w:val="zh-CN"/>
        </w:rPr>
      </w:pPr>
    </w:p>
    <w:p>
      <w:pPr>
        <w:rPr>
          <w:rFonts w:ascii="宋体" w:hAnsi="宋体" w:cs="宋体"/>
          <w:kern w:val="0"/>
          <w:sz w:val="24"/>
          <w:highlight w:val="none"/>
          <w:lang w:val="zh-CN"/>
        </w:rPr>
      </w:pPr>
    </w:p>
    <w:p>
      <w:pPr>
        <w:pStyle w:val="3"/>
        <w:rPr>
          <w:rFonts w:ascii="宋体" w:hAnsi="宋体" w:cs="宋体"/>
          <w:kern w:val="0"/>
          <w:sz w:val="24"/>
          <w:highlight w:val="none"/>
          <w:lang w:val="zh-CN"/>
        </w:rPr>
      </w:pPr>
    </w:p>
    <w:p>
      <w:pPr>
        <w:rPr>
          <w:rFonts w:ascii="宋体" w:hAnsi="宋体" w:cs="宋体"/>
          <w:highlight w:val="none"/>
          <w:lang w:val="zh-CN"/>
        </w:rPr>
      </w:pPr>
    </w:p>
    <w:p>
      <w:pPr>
        <w:rPr>
          <w:rFonts w:ascii="宋体" w:hAnsi="宋体" w:cs="宋体"/>
          <w:highlight w:val="none"/>
          <w:lang w:val="zh-CN"/>
        </w:rPr>
      </w:pPr>
    </w:p>
    <w:p>
      <w:pPr>
        <w:pStyle w:val="3"/>
        <w:jc w:val="center"/>
        <w:rPr>
          <w:rFonts w:ascii="宋体" w:hAnsi="宋体" w:cs="宋体"/>
          <w:kern w:val="0"/>
          <w:sz w:val="24"/>
          <w:highlight w:val="none"/>
        </w:rPr>
      </w:pPr>
      <w:r>
        <w:rPr>
          <w:rFonts w:hint="eastAsia" w:ascii="宋体" w:hAnsi="宋体" w:cs="宋体"/>
          <w:kern w:val="0"/>
          <w:sz w:val="24"/>
          <w:highlight w:val="none"/>
        </w:rPr>
        <w:t>（格式自拟）</w:t>
      </w:r>
    </w:p>
    <w:p>
      <w:pPr>
        <w:rPr>
          <w:rFonts w:ascii="宋体" w:hAnsi="宋体" w:cs="宋体"/>
          <w:kern w:val="0"/>
          <w:sz w:val="24"/>
          <w:highlight w:val="none"/>
          <w:lang w:val="zh-CN"/>
        </w:rPr>
      </w:pPr>
    </w:p>
    <w:p>
      <w:pPr>
        <w:pStyle w:val="3"/>
        <w:rPr>
          <w:rFonts w:ascii="宋体" w:hAnsi="宋体" w:cs="宋体"/>
          <w:kern w:val="0"/>
          <w:sz w:val="24"/>
          <w:highlight w:val="none"/>
          <w:lang w:val="zh-CN"/>
        </w:rPr>
      </w:pPr>
    </w:p>
    <w:p>
      <w:pPr>
        <w:rPr>
          <w:rFonts w:ascii="宋体" w:hAnsi="宋体" w:cs="宋体"/>
          <w:kern w:val="0"/>
          <w:sz w:val="24"/>
          <w:highlight w:val="none"/>
          <w:lang w:val="zh-CN"/>
        </w:rPr>
      </w:pPr>
    </w:p>
    <w:p>
      <w:pPr>
        <w:pStyle w:val="3"/>
        <w:rPr>
          <w:rFonts w:ascii="宋体" w:hAnsi="宋体" w:cs="宋体"/>
          <w:highlight w:val="none"/>
          <w:lang w:val="zh-CN"/>
        </w:rPr>
      </w:pPr>
    </w:p>
    <w:p>
      <w:pPr>
        <w:rPr>
          <w:rFonts w:ascii="宋体" w:hAnsi="宋体" w:cs="宋体"/>
          <w:highlight w:val="none"/>
          <w:lang w:val="zh-CN"/>
        </w:rPr>
      </w:pPr>
    </w:p>
    <w:p>
      <w:pPr>
        <w:pStyle w:val="3"/>
        <w:ind w:firstLine="3840" w:firstLineChars="1600"/>
        <w:rPr>
          <w:rFonts w:ascii="宋体" w:hAnsi="宋体" w:cs="宋体"/>
          <w:b w:val="0"/>
          <w:bCs w:val="0"/>
          <w:kern w:val="0"/>
          <w:sz w:val="24"/>
          <w:highlight w:val="none"/>
          <w:lang w:val="zh-CN"/>
        </w:rPr>
      </w:pPr>
      <w:r>
        <w:rPr>
          <w:rFonts w:hint="eastAsia" w:ascii="宋体" w:hAnsi="宋体" w:cs="宋体"/>
          <w:b w:val="0"/>
          <w:bCs w:val="0"/>
          <w:kern w:val="0"/>
          <w:sz w:val="24"/>
          <w:highlight w:val="none"/>
          <w:lang w:val="zh-CN"/>
        </w:rPr>
        <w:t>供应商名称（盖公章）：</w:t>
      </w:r>
    </w:p>
    <w:p>
      <w:pPr>
        <w:pStyle w:val="3"/>
        <w:ind w:firstLine="6000" w:firstLineChars="2500"/>
        <w:rPr>
          <w:rFonts w:ascii="宋体" w:hAnsi="宋体" w:cs="宋体"/>
          <w:b w:val="0"/>
          <w:bCs w:val="0"/>
          <w:kern w:val="0"/>
          <w:sz w:val="24"/>
          <w:highlight w:val="none"/>
          <w:lang w:val="zh-CN"/>
        </w:rPr>
      </w:pPr>
      <w:r>
        <w:rPr>
          <w:rFonts w:hint="eastAsia" w:ascii="宋体" w:hAnsi="宋体" w:cs="宋体"/>
          <w:b w:val="0"/>
          <w:bCs w:val="0"/>
          <w:kern w:val="0"/>
          <w:sz w:val="24"/>
          <w:highlight w:val="none"/>
          <w:lang w:val="zh-CN"/>
        </w:rPr>
        <w:t>日期：  年  月   日</w:t>
      </w:r>
    </w:p>
    <w:p>
      <w:pPr>
        <w:rPr>
          <w:rFonts w:ascii="宋体" w:hAnsi="宋体" w:cs="宋体"/>
          <w:kern w:val="0"/>
          <w:sz w:val="24"/>
          <w:highlight w:val="none"/>
          <w:lang w:val="zh-CN"/>
        </w:rPr>
      </w:pPr>
    </w:p>
    <w:p>
      <w:pPr>
        <w:snapToGrid w:val="0"/>
        <w:spacing w:line="360" w:lineRule="auto"/>
        <w:rPr>
          <w:rFonts w:ascii="宋体" w:hAnsi="宋体" w:cs="宋体"/>
          <w:b/>
          <w:sz w:val="28"/>
          <w:szCs w:val="28"/>
          <w:highlight w:val="none"/>
        </w:rPr>
      </w:pPr>
    </w:p>
    <w:p>
      <w:pPr>
        <w:snapToGrid w:val="0"/>
        <w:spacing w:line="360" w:lineRule="auto"/>
        <w:rPr>
          <w:rFonts w:ascii="宋体" w:hAnsi="宋体" w:cs="宋体"/>
          <w:b/>
          <w:sz w:val="28"/>
          <w:szCs w:val="28"/>
          <w:highlight w:val="none"/>
        </w:rPr>
      </w:pPr>
    </w:p>
    <w:p>
      <w:pPr>
        <w:snapToGrid w:val="0"/>
        <w:spacing w:line="360" w:lineRule="auto"/>
        <w:rPr>
          <w:rFonts w:ascii="宋体" w:hAnsi="宋体" w:cs="宋体"/>
          <w:b/>
          <w:sz w:val="28"/>
          <w:szCs w:val="28"/>
          <w:highlight w:val="none"/>
        </w:rPr>
      </w:pPr>
    </w:p>
    <w:p>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11.项目质量保障措施</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（由供应商根据采购需求及采购文件要求编制）</w:t>
      </w:r>
    </w:p>
    <w:p>
      <w:pPr>
        <w:pStyle w:val="3"/>
        <w:rPr>
          <w:rFonts w:ascii="宋体" w:hAnsi="宋体" w:cs="宋体"/>
          <w:kern w:val="0"/>
          <w:sz w:val="24"/>
          <w:highlight w:val="none"/>
          <w:lang w:val="zh-CN"/>
        </w:rPr>
      </w:pPr>
    </w:p>
    <w:p>
      <w:pPr>
        <w:rPr>
          <w:rFonts w:ascii="宋体" w:hAnsi="宋体" w:cs="宋体"/>
          <w:kern w:val="0"/>
          <w:sz w:val="24"/>
          <w:highlight w:val="none"/>
          <w:lang w:val="zh-CN"/>
        </w:rPr>
      </w:pPr>
    </w:p>
    <w:p>
      <w:pPr>
        <w:pStyle w:val="3"/>
        <w:rPr>
          <w:rFonts w:ascii="宋体" w:hAnsi="宋体" w:cs="宋体"/>
          <w:kern w:val="0"/>
          <w:sz w:val="24"/>
          <w:highlight w:val="none"/>
          <w:lang w:val="zh-CN"/>
        </w:rPr>
      </w:pPr>
    </w:p>
    <w:p>
      <w:pPr>
        <w:rPr>
          <w:rFonts w:ascii="宋体" w:hAnsi="宋体" w:cs="宋体"/>
          <w:highlight w:val="none"/>
          <w:lang w:val="zh-CN"/>
        </w:rPr>
      </w:pPr>
    </w:p>
    <w:p>
      <w:pPr>
        <w:rPr>
          <w:rFonts w:ascii="宋体" w:hAnsi="宋体" w:cs="宋体"/>
          <w:highlight w:val="none"/>
          <w:lang w:val="zh-CN"/>
        </w:rPr>
      </w:pPr>
    </w:p>
    <w:p>
      <w:pPr>
        <w:pStyle w:val="3"/>
        <w:jc w:val="center"/>
        <w:rPr>
          <w:rFonts w:ascii="宋体" w:hAnsi="宋体" w:cs="宋体"/>
          <w:kern w:val="0"/>
          <w:sz w:val="24"/>
          <w:highlight w:val="none"/>
        </w:rPr>
      </w:pPr>
      <w:r>
        <w:rPr>
          <w:rFonts w:hint="eastAsia" w:ascii="宋体" w:hAnsi="宋体" w:cs="宋体"/>
          <w:kern w:val="0"/>
          <w:sz w:val="24"/>
          <w:highlight w:val="none"/>
        </w:rPr>
        <w:t>（格式自拟）</w:t>
      </w:r>
    </w:p>
    <w:p>
      <w:pPr>
        <w:rPr>
          <w:rFonts w:ascii="宋体" w:hAnsi="宋体" w:cs="宋体"/>
          <w:kern w:val="0"/>
          <w:sz w:val="24"/>
          <w:highlight w:val="none"/>
          <w:lang w:val="zh-CN"/>
        </w:rPr>
      </w:pPr>
    </w:p>
    <w:p>
      <w:pPr>
        <w:pStyle w:val="3"/>
        <w:rPr>
          <w:rFonts w:ascii="宋体" w:hAnsi="宋体" w:cs="宋体"/>
          <w:kern w:val="0"/>
          <w:sz w:val="24"/>
          <w:highlight w:val="none"/>
          <w:lang w:val="zh-CN"/>
        </w:rPr>
      </w:pPr>
    </w:p>
    <w:p>
      <w:pPr>
        <w:rPr>
          <w:rFonts w:ascii="宋体" w:hAnsi="宋体" w:cs="宋体"/>
          <w:kern w:val="0"/>
          <w:sz w:val="24"/>
          <w:highlight w:val="none"/>
          <w:lang w:val="zh-CN"/>
        </w:rPr>
      </w:pPr>
    </w:p>
    <w:p>
      <w:pPr>
        <w:pStyle w:val="3"/>
        <w:ind w:firstLine="3840" w:firstLineChars="1600"/>
        <w:rPr>
          <w:rFonts w:ascii="宋体" w:hAnsi="宋体" w:cs="宋体"/>
          <w:b w:val="0"/>
          <w:bCs w:val="0"/>
          <w:kern w:val="0"/>
          <w:sz w:val="24"/>
          <w:highlight w:val="none"/>
          <w:lang w:val="zh-CN"/>
        </w:rPr>
      </w:pPr>
      <w:r>
        <w:rPr>
          <w:rFonts w:hint="eastAsia" w:ascii="宋体" w:hAnsi="宋体" w:cs="宋体"/>
          <w:b w:val="0"/>
          <w:bCs w:val="0"/>
          <w:kern w:val="0"/>
          <w:sz w:val="24"/>
          <w:highlight w:val="none"/>
          <w:lang w:val="zh-CN"/>
        </w:rPr>
        <w:t>供应商名称（盖公章）：</w:t>
      </w:r>
    </w:p>
    <w:p>
      <w:pPr>
        <w:pStyle w:val="3"/>
        <w:ind w:firstLine="6000" w:firstLineChars="2500"/>
        <w:rPr>
          <w:rFonts w:ascii="宋体" w:hAnsi="宋体" w:cs="宋体"/>
          <w:b w:val="0"/>
          <w:bCs w:val="0"/>
          <w:kern w:val="0"/>
          <w:sz w:val="24"/>
          <w:highlight w:val="none"/>
          <w:lang w:val="zh-CN"/>
        </w:rPr>
      </w:pPr>
      <w:r>
        <w:rPr>
          <w:rFonts w:hint="eastAsia" w:ascii="宋体" w:hAnsi="宋体" w:cs="宋体"/>
          <w:b w:val="0"/>
          <w:bCs w:val="0"/>
          <w:kern w:val="0"/>
          <w:sz w:val="24"/>
          <w:highlight w:val="none"/>
          <w:lang w:val="zh-CN"/>
        </w:rPr>
        <w:t>日期：  年  月   日</w:t>
      </w:r>
    </w:p>
    <w:p>
      <w:pPr>
        <w:pStyle w:val="3"/>
        <w:rPr>
          <w:rFonts w:ascii="宋体" w:hAnsi="宋体" w:cs="宋体"/>
          <w:sz w:val="28"/>
          <w:szCs w:val="28"/>
          <w:highlight w:val="none"/>
        </w:rPr>
      </w:pPr>
    </w:p>
    <w:p>
      <w:pPr>
        <w:snapToGrid w:val="0"/>
        <w:spacing w:line="360" w:lineRule="auto"/>
        <w:rPr>
          <w:rFonts w:ascii="宋体" w:hAnsi="宋体" w:cs="宋体"/>
          <w:b/>
          <w:sz w:val="28"/>
          <w:szCs w:val="28"/>
          <w:highlight w:val="none"/>
        </w:rPr>
      </w:pPr>
    </w:p>
    <w:p>
      <w:pPr>
        <w:pStyle w:val="2"/>
        <w:rPr>
          <w:rFonts w:ascii="宋体" w:hAnsi="宋体" w:cs="宋体"/>
          <w:b/>
          <w:sz w:val="28"/>
          <w:szCs w:val="28"/>
          <w:highlight w:val="none"/>
        </w:rPr>
      </w:pPr>
    </w:p>
    <w:p>
      <w:pPr>
        <w:pStyle w:val="2"/>
        <w:rPr>
          <w:rFonts w:ascii="宋体" w:hAnsi="宋体" w:cs="宋体"/>
          <w:b/>
          <w:sz w:val="28"/>
          <w:szCs w:val="28"/>
          <w:highlight w:val="none"/>
        </w:rPr>
      </w:pPr>
    </w:p>
    <w:p>
      <w:pPr>
        <w:pStyle w:val="2"/>
        <w:rPr>
          <w:rFonts w:ascii="宋体" w:hAnsi="宋体" w:cs="宋体"/>
          <w:b/>
          <w:sz w:val="28"/>
          <w:szCs w:val="28"/>
          <w:highlight w:val="none"/>
        </w:rPr>
      </w:pPr>
    </w:p>
    <w:p>
      <w:pPr>
        <w:pStyle w:val="2"/>
        <w:rPr>
          <w:rFonts w:ascii="宋体" w:hAnsi="宋体" w:cs="宋体"/>
          <w:b/>
          <w:sz w:val="28"/>
          <w:szCs w:val="28"/>
          <w:highlight w:val="none"/>
        </w:rPr>
      </w:pPr>
    </w:p>
    <w:p>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12.项目实施人员一览表（如有要求）</w:t>
      </w:r>
    </w:p>
    <w:p>
      <w:pPr>
        <w:spacing w:line="360" w:lineRule="auto"/>
        <w:jc w:val="center"/>
        <w:rPr>
          <w:rFonts w:ascii="宋体" w:hAnsi="宋体" w:cs="宋体"/>
          <w:sz w:val="24"/>
          <w:highlight w:val="none"/>
        </w:rPr>
      </w:pPr>
      <w:r>
        <w:rPr>
          <w:rFonts w:hint="eastAsia" w:ascii="宋体" w:hAnsi="宋体" w:cs="宋体"/>
          <w:sz w:val="24"/>
          <w:highlight w:val="none"/>
        </w:rPr>
        <w:t>（由供应商根据采购需求及采购文件要求编制）</w:t>
      </w:r>
    </w:p>
    <w:p>
      <w:pPr>
        <w:pStyle w:val="2"/>
        <w:rPr>
          <w:rFonts w:ascii="宋体" w:hAnsi="宋体" w:cs="宋体"/>
          <w:highlight w:val="none"/>
        </w:rPr>
      </w:pPr>
    </w:p>
    <w:p>
      <w:pPr>
        <w:spacing w:line="360" w:lineRule="auto"/>
        <w:rPr>
          <w:rFonts w:ascii="宋体" w:hAnsi="宋体" w:cs="宋体"/>
          <w:kern w:val="0"/>
          <w:sz w:val="24"/>
          <w:highlight w:val="non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p>
      <w:pPr>
        <w:keepNext/>
        <w:autoSpaceDE w:val="0"/>
        <w:autoSpaceDN w:val="0"/>
        <w:spacing w:line="360" w:lineRule="auto"/>
        <w:rPr>
          <w:rFonts w:ascii="宋体" w:hAnsi="宋体" w:cs="宋体"/>
          <w:b/>
          <w:sz w:val="24"/>
          <w:highlight w:val="none"/>
        </w:rPr>
      </w:pPr>
      <w:r>
        <w:rPr>
          <w:rFonts w:hint="eastAsia" w:ascii="宋体" w:hAnsi="宋体" w:cs="宋体"/>
          <w:b/>
          <w:sz w:val="24"/>
          <w:highlight w:val="none"/>
        </w:rPr>
        <w:t>附表A:本项目的项目负责人情况表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sz w:val="24"/>
                <w:highlight w:val="none"/>
              </w:rPr>
            </w:pPr>
            <w:r>
              <w:rPr>
                <w:rFonts w:hint="eastAsia" w:ascii="宋体" w:hAnsi="宋体" w:cs="宋体"/>
                <w:sz w:val="24"/>
                <w:highlight w:val="none"/>
              </w:rPr>
              <w:t>响应截止时间前三年业绩及承担的主要工作情况，曾担任项目负责人的项目应列明细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r>
    </w:tbl>
    <w:p>
      <w:pPr>
        <w:autoSpaceDE w:val="0"/>
        <w:autoSpaceDN w:val="0"/>
        <w:spacing w:line="360" w:lineRule="auto"/>
        <w:rPr>
          <w:rFonts w:ascii="宋体" w:hAnsi="宋体" w:cs="宋体"/>
          <w:b/>
          <w:sz w:val="24"/>
          <w:highlight w:val="none"/>
        </w:rPr>
      </w:pPr>
      <w:r>
        <w:rPr>
          <w:rFonts w:hint="eastAsia" w:ascii="宋体" w:hAnsi="宋体" w:cs="宋体"/>
          <w:b/>
          <w:sz w:val="24"/>
          <w:highlight w:val="none"/>
        </w:rPr>
        <w:t>注：供应商可参照上述的格式自行编制，并注明所在响应技术文件页码。</w:t>
      </w:r>
    </w:p>
    <w:p>
      <w:pPr>
        <w:autoSpaceDE w:val="0"/>
        <w:autoSpaceDN w:val="0"/>
        <w:spacing w:line="360" w:lineRule="auto"/>
        <w:rPr>
          <w:rFonts w:ascii="宋体" w:hAnsi="宋体" w:cs="宋体"/>
          <w:b/>
          <w:sz w:val="24"/>
          <w:highlight w:val="none"/>
        </w:rPr>
      </w:pPr>
    </w:p>
    <w:p>
      <w:pPr>
        <w:autoSpaceDE w:val="0"/>
        <w:autoSpaceDN w:val="0"/>
        <w:spacing w:line="360" w:lineRule="auto"/>
        <w:rPr>
          <w:rFonts w:ascii="宋体" w:hAnsi="宋体" w:cs="宋体"/>
          <w:b/>
          <w:sz w:val="24"/>
          <w:highlight w:val="none"/>
        </w:rPr>
      </w:pPr>
      <w:r>
        <w:rPr>
          <w:rFonts w:hint="eastAsia" w:ascii="宋体" w:hAnsi="宋体" w:cs="宋体"/>
          <w:b/>
          <w:sz w:val="24"/>
          <w:highlight w:val="none"/>
        </w:rPr>
        <w:t>附表B:本项目的项目小组人员情况表</w:t>
      </w:r>
    </w:p>
    <w:tbl>
      <w:tblPr>
        <w:tblStyle w:val="31"/>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专业</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职称</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r>
    </w:tbl>
    <w:p>
      <w:pPr>
        <w:spacing w:line="360" w:lineRule="auto"/>
        <w:rPr>
          <w:rFonts w:ascii="宋体" w:hAnsi="宋体" w:cs="宋体"/>
          <w:b/>
          <w:bCs/>
          <w:sz w:val="24"/>
          <w:highlight w:val="none"/>
        </w:rPr>
      </w:pPr>
      <w:r>
        <w:rPr>
          <w:rFonts w:hint="eastAsia" w:ascii="宋体" w:hAnsi="宋体" w:cs="宋体"/>
          <w:b/>
          <w:sz w:val="24"/>
          <w:highlight w:val="none"/>
        </w:rPr>
        <w:t>注：供应商可参照上述的格式自行编制，并注明所在响应技术文件页码。</w:t>
      </w:r>
    </w:p>
    <w:p>
      <w:pPr>
        <w:snapToGrid w:val="0"/>
        <w:spacing w:line="360" w:lineRule="auto"/>
        <w:ind w:firstLine="602" w:firstLineChars="200"/>
        <w:rPr>
          <w:rFonts w:ascii="宋体" w:hAnsi="宋体" w:cs="宋体"/>
          <w:b/>
          <w:sz w:val="30"/>
          <w:szCs w:val="30"/>
          <w:highlight w:val="none"/>
        </w:rPr>
      </w:pPr>
    </w:p>
    <w:p>
      <w:pPr>
        <w:autoSpaceDE w:val="0"/>
        <w:autoSpaceDN w:val="0"/>
        <w:spacing w:line="360" w:lineRule="auto"/>
        <w:ind w:firstLine="6505" w:firstLineChars="2700"/>
        <w:rPr>
          <w:rFonts w:ascii="宋体" w:hAnsi="宋体" w:cs="宋体"/>
          <w:b/>
          <w:bCs/>
          <w:sz w:val="24"/>
          <w:highlight w:val="none"/>
        </w:rPr>
      </w:pPr>
    </w:p>
    <w:p>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autoSpaceDE w:val="0"/>
        <w:autoSpaceDN w:val="0"/>
        <w:spacing w:line="360" w:lineRule="auto"/>
        <w:ind w:firstLine="6480" w:firstLineChars="2700"/>
        <w:rPr>
          <w:rFonts w:ascii="宋体" w:hAnsi="宋体" w:cs="宋体"/>
          <w:kern w:val="0"/>
          <w:sz w:val="24"/>
          <w:highlight w:val="none"/>
          <w:lang w:val="zh-CN"/>
        </w:rPr>
      </w:pPr>
    </w:p>
    <w:p>
      <w:pPr>
        <w:autoSpaceDE w:val="0"/>
        <w:autoSpaceDN w:val="0"/>
        <w:spacing w:line="360" w:lineRule="auto"/>
        <w:ind w:firstLine="8132" w:firstLineChars="2700"/>
        <w:rPr>
          <w:rFonts w:ascii="宋体" w:hAnsi="宋体" w:cs="宋体"/>
          <w:b/>
          <w:bCs/>
          <w:sz w:val="24"/>
          <w:highlight w:val="none"/>
        </w:rPr>
      </w:pPr>
      <w:r>
        <w:rPr>
          <w:rFonts w:hint="eastAsia" w:ascii="宋体" w:hAnsi="宋体" w:cs="宋体"/>
          <w:b/>
          <w:sz w:val="30"/>
          <w:szCs w:val="30"/>
          <w:highlight w:val="none"/>
        </w:rPr>
        <w:br w:type="page"/>
      </w:r>
    </w:p>
    <w:p>
      <w:pPr>
        <w:pStyle w:val="4"/>
        <w:jc w:val="center"/>
        <w:rPr>
          <w:rFonts w:ascii="宋体" w:hAnsi="宋体" w:cs="宋体"/>
          <w:highlight w:val="none"/>
        </w:rPr>
      </w:pPr>
      <w:bookmarkStart w:id="142" w:name="_Toc80205941"/>
      <w:bookmarkStart w:id="143" w:name="_Toc80886945"/>
      <w:bookmarkStart w:id="144" w:name="_Toc12611"/>
      <w:bookmarkStart w:id="145" w:name="_Toc31035"/>
      <w:r>
        <w:rPr>
          <w:rFonts w:hint="eastAsia" w:ascii="宋体" w:hAnsi="宋体" w:cs="宋体"/>
          <w:highlight w:val="none"/>
        </w:rPr>
        <w:t>第三节 报价文件格式</w:t>
      </w:r>
      <w:bookmarkEnd w:id="142"/>
      <w:bookmarkEnd w:id="143"/>
      <w:bookmarkEnd w:id="144"/>
      <w:bookmarkEnd w:id="145"/>
    </w:p>
    <w:p>
      <w:pPr>
        <w:pStyle w:val="2"/>
        <w:rPr>
          <w:rFonts w:ascii="宋体" w:hAnsi="宋体" w:cs="宋体"/>
          <w:highlight w:val="none"/>
          <w:lang w:val="zh-CN"/>
        </w:rPr>
      </w:pPr>
      <w:r>
        <w:rPr>
          <w:rFonts w:hint="eastAsia" w:ascii="宋体" w:hAnsi="宋体" w:cs="宋体"/>
          <w:sz w:val="24"/>
          <w:highlight w:val="none"/>
        </w:rPr>
        <w:t xml:space="preserve">  </w:t>
      </w:r>
      <w:r>
        <w:rPr>
          <w:rFonts w:hint="eastAsia" w:ascii="宋体" w:hAnsi="宋体" w:cs="宋体"/>
          <w:b/>
          <w:bCs/>
          <w:sz w:val="28"/>
          <w:szCs w:val="28"/>
          <w:highlight w:val="none"/>
        </w:rPr>
        <w:t>1.报价文件封面的格式</w:t>
      </w:r>
      <w:r>
        <w:rPr>
          <w:rFonts w:hint="eastAsia" w:ascii="宋体" w:hAnsi="宋体" w:cs="宋体"/>
          <w:b/>
          <w:sz w:val="28"/>
          <w:szCs w:val="28"/>
          <w:highlight w:val="none"/>
        </w:rPr>
        <w:t>（参照此格式自拟）</w:t>
      </w:r>
      <w:r>
        <w:rPr>
          <w:rFonts w:hint="eastAsia" w:ascii="宋体" w:hAnsi="宋体" w:cs="宋体"/>
          <w:b/>
          <w:bCs/>
          <w:sz w:val="28"/>
          <w:szCs w:val="28"/>
          <w:highlight w:val="none"/>
        </w:rPr>
        <w:t>：</w:t>
      </w:r>
    </w:p>
    <w:p>
      <w:pPr>
        <w:snapToGrid w:val="0"/>
        <w:spacing w:before="120" w:beforeLines="50" w:after="50"/>
        <w:rPr>
          <w:rFonts w:ascii="宋体" w:hAnsi="宋体" w:cs="宋体"/>
          <w:sz w:val="24"/>
          <w:highlight w:val="none"/>
        </w:rPr>
      </w:pPr>
      <w:r>
        <w:rPr>
          <w:rFonts w:hint="eastAsia" w:ascii="宋体" w:hAnsi="宋体" w:cs="宋体"/>
          <w:sz w:val="24"/>
          <w:highlight w:val="none"/>
        </w:rPr>
        <w:t xml:space="preserve">                                             </w:t>
      </w:r>
    </w:p>
    <w:p>
      <w:pPr>
        <w:snapToGrid w:val="0"/>
        <w:spacing w:before="120" w:beforeLines="50" w:after="50"/>
        <w:ind w:firstLine="6720" w:firstLineChars="3200"/>
        <w:rPr>
          <w:rFonts w:ascii="宋体" w:hAnsi="宋体" w:cs="宋体"/>
          <w:bCs/>
          <w:sz w:val="32"/>
          <w:szCs w:val="20"/>
          <w:highlight w:val="none"/>
        </w:rPr>
      </w:pPr>
      <w:r>
        <w:rPr>
          <w:rFonts w:hint="eastAsia" w:ascii="宋体" w:hAnsi="宋体" w:cs="宋体"/>
          <w:bCs/>
          <w:highlight w:val="none"/>
        </w:rPr>
        <w:t>全流程电子文件</w:t>
      </w:r>
    </w:p>
    <w:p>
      <w:pPr>
        <w:snapToGrid w:val="0"/>
        <w:spacing w:before="120" w:beforeLines="50" w:after="50"/>
        <w:rPr>
          <w:rFonts w:ascii="宋体" w:hAnsi="宋体" w:cs="宋体"/>
          <w:sz w:val="24"/>
          <w:szCs w:val="20"/>
          <w:highlight w:val="none"/>
        </w:rPr>
      </w:pPr>
    </w:p>
    <w:p>
      <w:pPr>
        <w:snapToGrid w:val="0"/>
        <w:spacing w:before="120" w:beforeLines="50" w:after="50"/>
        <w:rPr>
          <w:rFonts w:ascii="宋体" w:hAnsi="宋体" w:cs="宋体"/>
          <w:sz w:val="24"/>
          <w:szCs w:val="20"/>
          <w:highlight w:val="none"/>
        </w:rPr>
      </w:pPr>
    </w:p>
    <w:p>
      <w:pPr>
        <w:snapToGrid w:val="0"/>
        <w:spacing w:before="120" w:beforeLines="50" w:after="50"/>
        <w:rPr>
          <w:rFonts w:ascii="宋体" w:hAnsi="宋体" w:cs="宋体"/>
          <w:sz w:val="24"/>
          <w:szCs w:val="20"/>
          <w:highlight w:val="none"/>
        </w:rPr>
      </w:pPr>
    </w:p>
    <w:p>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报  价  文  件</w:t>
      </w: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rPr>
          <w:rFonts w:ascii="宋体" w:hAnsi="宋体" w:cs="宋体"/>
          <w:bCs/>
          <w:sz w:val="24"/>
          <w:szCs w:val="20"/>
          <w:highlight w:val="none"/>
        </w:rPr>
      </w:pPr>
    </w:p>
    <w:p>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p>
    <w:p>
      <w:pPr>
        <w:snapToGrid w:val="0"/>
        <w:spacing w:before="120" w:beforeLines="50" w:after="50"/>
        <w:ind w:firstLine="720" w:firstLineChars="225"/>
        <w:rPr>
          <w:rFonts w:ascii="宋体" w:hAnsi="宋体" w:cs="宋体"/>
          <w:bCs/>
          <w:sz w:val="32"/>
          <w:szCs w:val="32"/>
          <w:highlight w:val="none"/>
        </w:rPr>
      </w:pPr>
    </w:p>
    <w:p>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p>
    <w:p>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pPr>
        <w:snapToGrid w:val="0"/>
        <w:spacing w:before="120" w:beforeLines="50" w:after="50"/>
        <w:ind w:firstLine="720" w:firstLineChars="225"/>
        <w:rPr>
          <w:rFonts w:ascii="宋体" w:hAnsi="宋体" w:cs="宋体"/>
          <w:bCs/>
          <w:sz w:val="32"/>
          <w:szCs w:val="32"/>
          <w:highlight w:val="none"/>
        </w:rPr>
      </w:pPr>
    </w:p>
    <w:p>
      <w:pPr>
        <w:pStyle w:val="8"/>
        <w:snapToGrid w:val="0"/>
        <w:spacing w:before="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pPr>
        <w:pStyle w:val="8"/>
        <w:snapToGrid w:val="0"/>
        <w:spacing w:before="50" w:after="50"/>
        <w:ind w:firstLine="720" w:firstLineChars="225"/>
        <w:rPr>
          <w:rFonts w:ascii="宋体" w:hAnsi="宋体" w:cs="宋体"/>
          <w:bCs/>
          <w:sz w:val="32"/>
          <w:szCs w:val="32"/>
          <w:highlight w:val="none"/>
        </w:rPr>
      </w:pPr>
    </w:p>
    <w:p>
      <w:pPr>
        <w:pStyle w:val="8"/>
        <w:snapToGrid w:val="0"/>
        <w:spacing w:before="50" w:after="50"/>
        <w:ind w:firstLine="720" w:firstLineChars="225"/>
        <w:rPr>
          <w:rFonts w:ascii="宋体" w:hAnsi="宋体" w:cs="宋体"/>
          <w:bCs/>
          <w:sz w:val="32"/>
          <w:szCs w:val="32"/>
          <w:highlight w:val="none"/>
        </w:rPr>
      </w:pPr>
    </w:p>
    <w:p>
      <w:pPr>
        <w:pStyle w:val="8"/>
        <w:snapToGrid w:val="0"/>
        <w:spacing w:before="50" w:after="50"/>
        <w:ind w:firstLine="1280" w:firstLineChars="400"/>
        <w:rPr>
          <w:rFonts w:ascii="宋体" w:hAnsi="宋体" w:cs="宋体"/>
          <w:bCs/>
          <w:sz w:val="32"/>
          <w:szCs w:val="32"/>
          <w:highlight w:val="none"/>
        </w:rPr>
      </w:pPr>
    </w:p>
    <w:p>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pPr>
        <w:snapToGrid w:val="0"/>
        <w:spacing w:before="120" w:beforeLines="50" w:after="50" w:line="360" w:lineRule="auto"/>
        <w:jc w:val="left"/>
        <w:rPr>
          <w:rFonts w:ascii="宋体" w:hAnsi="宋体" w:cs="宋体"/>
          <w:sz w:val="28"/>
          <w:szCs w:val="28"/>
          <w:highlight w:val="none"/>
        </w:rPr>
      </w:pPr>
      <w:r>
        <w:rPr>
          <w:rFonts w:hint="eastAsia" w:ascii="宋体" w:hAnsi="宋体" w:cs="宋体"/>
          <w:sz w:val="24"/>
          <w:highlight w:val="none"/>
        </w:rPr>
        <w:br w:type="page"/>
      </w:r>
      <w:r>
        <w:rPr>
          <w:rFonts w:hint="eastAsia" w:ascii="宋体" w:hAnsi="宋体" w:cs="宋体"/>
          <w:b/>
          <w:sz w:val="28"/>
          <w:szCs w:val="28"/>
          <w:highlight w:val="none"/>
        </w:rPr>
        <w:t>2.</w:t>
      </w:r>
      <w:r>
        <w:rPr>
          <w:rFonts w:hint="eastAsia" w:ascii="宋体" w:hAnsi="宋体" w:cs="宋体"/>
          <w:b/>
          <w:bCs/>
          <w:sz w:val="28"/>
          <w:szCs w:val="28"/>
          <w:highlight w:val="none"/>
        </w:rPr>
        <w:t>报价文件目录</w:t>
      </w:r>
    </w:p>
    <w:p>
      <w:pPr>
        <w:snapToGrid w:val="0"/>
        <w:spacing w:before="50" w:after="120" w:afterLines="50" w:line="360" w:lineRule="auto"/>
        <w:jc w:val="left"/>
        <w:rPr>
          <w:rFonts w:ascii="宋体" w:hAnsi="宋体" w:cs="宋体"/>
          <w:b/>
          <w:sz w:val="28"/>
          <w:szCs w:val="28"/>
          <w:highlight w:val="none"/>
        </w:rPr>
      </w:pPr>
      <w:r>
        <w:rPr>
          <w:rFonts w:hint="eastAsia" w:ascii="宋体" w:hAnsi="宋体" w:cs="宋体"/>
          <w:sz w:val="28"/>
          <w:szCs w:val="28"/>
          <w:highlight w:val="none"/>
        </w:rPr>
        <w:t>根据竞争性磋商文件规定及供应商提供的材料自行编写目录</w:t>
      </w:r>
      <w:r>
        <w:rPr>
          <w:rFonts w:hint="eastAsia" w:ascii="宋体" w:hAnsi="宋体" w:cs="宋体"/>
          <w:kern w:val="0"/>
          <w:sz w:val="28"/>
          <w:szCs w:val="28"/>
          <w:highlight w:val="none"/>
        </w:rPr>
        <w:t>（部分格式后附）</w:t>
      </w:r>
      <w:r>
        <w:rPr>
          <w:rFonts w:hint="eastAsia" w:ascii="宋体" w:hAnsi="宋体" w:cs="宋体"/>
          <w:sz w:val="28"/>
          <w:szCs w:val="28"/>
          <w:highlight w:val="none"/>
        </w:rPr>
        <w:t>。</w:t>
      </w:r>
    </w:p>
    <w:p>
      <w:pPr>
        <w:spacing w:line="360" w:lineRule="auto"/>
        <w:rPr>
          <w:rFonts w:ascii="宋体" w:hAnsi="宋体" w:cs="宋体"/>
          <w:sz w:val="24"/>
          <w:highlight w:val="none"/>
        </w:rPr>
      </w:pPr>
    </w:p>
    <w:p>
      <w:pPr>
        <w:snapToGrid w:val="0"/>
        <w:spacing w:before="120" w:beforeLines="50" w:after="50" w:line="360" w:lineRule="auto"/>
        <w:ind w:left="142" w:firstLine="640" w:firstLineChars="200"/>
        <w:jc w:val="left"/>
        <w:rPr>
          <w:rFonts w:ascii="宋体" w:hAnsi="宋体" w:cs="宋体"/>
          <w:sz w:val="32"/>
          <w:szCs w:val="32"/>
          <w:highlight w:val="none"/>
        </w:rPr>
      </w:pPr>
    </w:p>
    <w:p>
      <w:pPr>
        <w:snapToGrid w:val="0"/>
        <w:spacing w:before="120" w:beforeLines="50" w:after="50" w:line="360" w:lineRule="auto"/>
        <w:jc w:val="left"/>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sz w:val="28"/>
          <w:szCs w:val="28"/>
          <w:highlight w:val="none"/>
        </w:rPr>
        <w:t>3.</w:t>
      </w:r>
      <w:r>
        <w:rPr>
          <w:rFonts w:hint="eastAsia" w:ascii="宋体" w:hAnsi="宋体" w:cs="宋体"/>
          <w:b/>
          <w:sz w:val="28"/>
          <w:szCs w:val="28"/>
          <w:highlight w:val="none"/>
          <w:lang w:val="zh-CN"/>
        </w:rPr>
        <w:t>响应函的格式：</w:t>
      </w:r>
    </w:p>
    <w:p>
      <w:pPr>
        <w:spacing w:line="5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响应函</w:t>
      </w:r>
    </w:p>
    <w:p>
      <w:pPr>
        <w:spacing w:line="460" w:lineRule="exact"/>
        <w:rPr>
          <w:rFonts w:ascii="宋体" w:hAnsi="宋体" w:cs="宋体"/>
          <w:kern w:val="0"/>
          <w:sz w:val="24"/>
          <w:highlight w:val="none"/>
        </w:rPr>
      </w:pPr>
    </w:p>
    <w:p>
      <w:pPr>
        <w:spacing w:line="460" w:lineRule="exact"/>
        <w:rPr>
          <w:rFonts w:ascii="宋体" w:hAnsi="宋体" w:cs="宋体"/>
          <w:kern w:val="0"/>
          <w:sz w:val="24"/>
          <w:highlight w:val="none"/>
        </w:rPr>
      </w:pPr>
      <w:r>
        <w:rPr>
          <w:rFonts w:hint="eastAsia" w:ascii="宋体" w:hAnsi="宋体" w:cs="宋体"/>
          <w:kern w:val="0"/>
          <w:sz w:val="24"/>
          <w:highlight w:val="none"/>
        </w:rPr>
        <w:t>致：</w:t>
      </w:r>
      <w:r>
        <w:rPr>
          <w:rFonts w:hint="eastAsia" w:ascii="宋体" w:hAnsi="宋体" w:cs="宋体"/>
          <w:kern w:val="0"/>
          <w:sz w:val="24"/>
          <w:highlight w:val="none"/>
          <w:u w:val="single"/>
        </w:rPr>
        <w:t xml:space="preserve">                      </w:t>
      </w:r>
      <w:r>
        <w:rPr>
          <w:rFonts w:hint="eastAsia" w:ascii="宋体" w:hAnsi="宋体" w:cs="宋体"/>
          <w:kern w:val="0"/>
          <w:sz w:val="24"/>
          <w:highlight w:val="none"/>
        </w:rPr>
        <w:t>（采购代理机构名称）</w:t>
      </w:r>
    </w:p>
    <w:p>
      <w:pPr>
        <w:spacing w:line="460" w:lineRule="exact"/>
        <w:ind w:firstLine="480" w:firstLineChars="200"/>
        <w:rPr>
          <w:rFonts w:ascii="宋体" w:hAnsi="宋体" w:cs="宋体"/>
          <w:kern w:val="0"/>
          <w:sz w:val="24"/>
          <w:highlight w:val="none"/>
        </w:rPr>
      </w:pP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我方已仔细阅读了贵方组织的</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项目（项目编号：</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）的竞争性磋商文件的全部内容，现正式递交下述文件参加贵方组织的本次政府采购活动： </w:t>
      </w: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一、首次报价文件电子版（包含按“第三章 供应商须知”提交的全部文件）；</w:t>
      </w: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二、技术文件电子版（包含按“第三章 供应商须知”提交的全部文件）；商务文件电子版（包含按“第三章 供应商须知”提交的全部文件）；</w:t>
      </w: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三、资格证明文件电子版（包含按“第三章供应商须知”提交的全部文件）。</w:t>
      </w: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据此函，我方兹宣布：</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1、我方愿意以磋商时</w:t>
      </w:r>
      <w:r>
        <w:rPr>
          <w:rFonts w:hint="eastAsia" w:ascii="宋体" w:hAnsi="宋体" w:cs="宋体"/>
          <w:sz w:val="24"/>
          <w:highlight w:val="none"/>
        </w:rPr>
        <w:t>提交的最后报价表中的竞标总报价，在承诺的</w:t>
      </w:r>
      <w:r>
        <w:rPr>
          <w:rFonts w:hint="eastAsia" w:ascii="宋体" w:hAnsi="宋体" w:cs="宋体"/>
          <w:kern w:val="0"/>
          <w:sz w:val="24"/>
          <w:highlight w:val="none"/>
        </w:rPr>
        <w:t>服务期限</w:t>
      </w:r>
      <w:r>
        <w:rPr>
          <w:rFonts w:hint="eastAsia" w:ascii="宋体" w:hAnsi="宋体" w:cs="宋体"/>
          <w:sz w:val="24"/>
          <w:highlight w:val="none"/>
        </w:rPr>
        <w:t>内</w:t>
      </w:r>
      <w:r>
        <w:rPr>
          <w:rFonts w:hint="eastAsia" w:ascii="宋体" w:hAnsi="宋体" w:cs="宋体"/>
          <w:kern w:val="0"/>
          <w:sz w:val="24"/>
          <w:highlight w:val="none"/>
        </w:rPr>
        <w:t>提供本项目竞争性磋商文件第二章“采购需求”中相应的采购内容</w:t>
      </w:r>
      <w:r>
        <w:rPr>
          <w:rFonts w:hint="eastAsia" w:ascii="宋体" w:hAnsi="宋体" w:cs="宋体"/>
          <w:sz w:val="24"/>
          <w:highlight w:val="none"/>
        </w:rPr>
        <w:t>，具体详见最后报价表</w:t>
      </w:r>
      <w:r>
        <w:rPr>
          <w:rFonts w:hint="eastAsia" w:ascii="宋体" w:hAnsi="宋体" w:cs="宋体"/>
          <w:kern w:val="0"/>
          <w:sz w:val="24"/>
          <w:highlight w:val="none"/>
        </w:rPr>
        <w:t>。</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3、我方在此声明，所递交的响应文件及有关资料内容完整、真实和准确。</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4、如本项目采购内容涉及须符合国家强制规定的，我方承诺我方本次竞标均符合国家有关强制规定。</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6、我方已详细审核竞争性磋商文件，我方知道必须放弃提出含糊不清或误解问题的权利。</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7、我方承诺满足竞争性磋商文件第六章“合同文本”的条款，承担完成合同的责任和义务。</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8、我方同意应贵方要求提供与本竞标有关的任何数据或资料。若贵方需要，我方愿意提供我方作出的一切承诺的证明材料。</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9、我方完全理解贵方不一定接受响应报价最低的供应商为成交供应商的行为。</w:t>
      </w:r>
    </w:p>
    <w:p>
      <w:pPr>
        <w:spacing w:line="460" w:lineRule="exact"/>
        <w:ind w:firstLine="482"/>
        <w:rPr>
          <w:rFonts w:ascii="宋体" w:hAnsi="宋体" w:cs="宋体"/>
          <w:kern w:val="0"/>
          <w:sz w:val="24"/>
          <w:highlight w:val="none"/>
        </w:rPr>
      </w:pPr>
      <w:r>
        <w:rPr>
          <w:rFonts w:hint="eastAsia" w:ascii="宋体" w:hAnsi="宋体" w:cs="宋体"/>
          <w:kern w:val="0"/>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tabs>
          <w:tab w:val="left" w:pos="945"/>
        </w:tabs>
        <w:spacing w:line="460" w:lineRule="exact"/>
        <w:rPr>
          <w:rFonts w:ascii="宋体" w:hAnsi="宋体" w:cs="宋体"/>
          <w:kern w:val="0"/>
          <w:sz w:val="24"/>
          <w:highlight w:val="none"/>
        </w:rPr>
      </w:pPr>
      <w:r>
        <w:rPr>
          <w:rFonts w:hint="eastAsia" w:ascii="宋体" w:hAnsi="宋体" w:cs="宋体"/>
          <w:kern w:val="0"/>
          <w:sz w:val="24"/>
          <w:highlight w:val="none"/>
        </w:rPr>
        <w:t>提供虚假材料谋取中标、成交的；</w:t>
      </w:r>
    </w:p>
    <w:p>
      <w:pPr>
        <w:numPr>
          <w:ilvl w:val="0"/>
          <w:numId w:val="3"/>
        </w:numPr>
        <w:tabs>
          <w:tab w:val="left" w:pos="945"/>
        </w:tabs>
        <w:spacing w:line="460" w:lineRule="exact"/>
        <w:rPr>
          <w:rFonts w:ascii="宋体" w:hAnsi="宋体" w:cs="宋体"/>
          <w:kern w:val="0"/>
          <w:sz w:val="24"/>
          <w:highlight w:val="none"/>
        </w:rPr>
      </w:pPr>
      <w:r>
        <w:rPr>
          <w:rFonts w:hint="eastAsia" w:ascii="宋体" w:hAnsi="宋体" w:cs="宋体"/>
          <w:kern w:val="0"/>
          <w:sz w:val="24"/>
          <w:highlight w:val="none"/>
        </w:rPr>
        <w:t>采取不正当手段诋毁、排挤其他供应商的；</w:t>
      </w:r>
    </w:p>
    <w:p>
      <w:pPr>
        <w:numPr>
          <w:ilvl w:val="0"/>
          <w:numId w:val="3"/>
        </w:numPr>
        <w:tabs>
          <w:tab w:val="left" w:pos="945"/>
        </w:tabs>
        <w:spacing w:line="460" w:lineRule="exact"/>
        <w:rPr>
          <w:rFonts w:ascii="宋体" w:hAnsi="宋体" w:cs="宋体"/>
          <w:kern w:val="0"/>
          <w:sz w:val="24"/>
          <w:highlight w:val="none"/>
        </w:rPr>
      </w:pPr>
      <w:r>
        <w:rPr>
          <w:rFonts w:hint="eastAsia" w:ascii="宋体" w:hAnsi="宋体" w:cs="宋体"/>
          <w:kern w:val="0"/>
          <w:sz w:val="24"/>
          <w:highlight w:val="none"/>
        </w:rPr>
        <w:t>与采购人、其他供应商或者采购代理机构恶意串通的；</w:t>
      </w:r>
    </w:p>
    <w:p>
      <w:pPr>
        <w:numPr>
          <w:ilvl w:val="0"/>
          <w:numId w:val="3"/>
        </w:numPr>
        <w:tabs>
          <w:tab w:val="left" w:pos="945"/>
        </w:tabs>
        <w:spacing w:line="460" w:lineRule="exact"/>
        <w:rPr>
          <w:rFonts w:ascii="宋体" w:hAnsi="宋体" w:cs="宋体"/>
          <w:kern w:val="0"/>
          <w:sz w:val="24"/>
          <w:highlight w:val="none"/>
        </w:rPr>
      </w:pPr>
      <w:r>
        <w:rPr>
          <w:rFonts w:hint="eastAsia" w:ascii="宋体" w:hAnsi="宋体" w:cs="宋体"/>
          <w:kern w:val="0"/>
          <w:sz w:val="24"/>
          <w:highlight w:val="none"/>
        </w:rPr>
        <w:t>向采购人、采购代理机构行贿或者提供其他不正当利益的；</w:t>
      </w:r>
    </w:p>
    <w:p>
      <w:pPr>
        <w:numPr>
          <w:ilvl w:val="0"/>
          <w:numId w:val="3"/>
        </w:numPr>
        <w:tabs>
          <w:tab w:val="left" w:pos="945"/>
        </w:tabs>
        <w:spacing w:line="460" w:lineRule="exact"/>
        <w:rPr>
          <w:rFonts w:ascii="宋体" w:hAnsi="宋体" w:cs="宋体"/>
          <w:kern w:val="0"/>
          <w:sz w:val="24"/>
          <w:highlight w:val="none"/>
        </w:rPr>
      </w:pPr>
      <w:r>
        <w:rPr>
          <w:rFonts w:hint="eastAsia" w:ascii="宋体" w:hAnsi="宋体" w:cs="宋体"/>
          <w:kern w:val="0"/>
          <w:sz w:val="24"/>
          <w:highlight w:val="none"/>
        </w:rPr>
        <w:t>在采购过程中与采购人进行协商磋商的；</w:t>
      </w:r>
    </w:p>
    <w:p>
      <w:pPr>
        <w:numPr>
          <w:ilvl w:val="0"/>
          <w:numId w:val="3"/>
        </w:numPr>
        <w:tabs>
          <w:tab w:val="left" w:pos="945"/>
        </w:tabs>
        <w:spacing w:line="460" w:lineRule="exact"/>
        <w:rPr>
          <w:rFonts w:ascii="宋体" w:hAnsi="宋体" w:cs="宋体"/>
          <w:kern w:val="0"/>
          <w:sz w:val="24"/>
          <w:highlight w:val="none"/>
        </w:rPr>
      </w:pPr>
      <w:r>
        <w:rPr>
          <w:rFonts w:hint="eastAsia" w:ascii="宋体" w:hAnsi="宋体" w:cs="宋体"/>
          <w:kern w:val="0"/>
          <w:sz w:val="24"/>
          <w:highlight w:val="none"/>
        </w:rPr>
        <w:t>拒绝有关部门监督检查或提供虚假情况的。</w:t>
      </w:r>
    </w:p>
    <w:p>
      <w:pPr>
        <w:spacing w:line="460" w:lineRule="exact"/>
        <w:ind w:firstLine="420"/>
        <w:rPr>
          <w:rFonts w:ascii="宋体" w:hAnsi="宋体" w:cs="宋体"/>
          <w:b/>
          <w:bCs/>
          <w:kern w:val="0"/>
          <w:sz w:val="24"/>
          <w:highlight w:val="none"/>
        </w:rPr>
      </w:pPr>
      <w:r>
        <w:rPr>
          <w:rFonts w:hint="eastAsia" w:ascii="宋体" w:hAnsi="宋体" w:cs="宋体"/>
          <w:b/>
          <w:bCs/>
          <w:kern w:val="0"/>
          <w:sz w:val="24"/>
          <w:highlight w:val="none"/>
        </w:rPr>
        <w:t>11、以上事项如有虚假或者隐瞒，我方愿意承担一切后果，并不再寻求任何旨在减轻或者免除法律责任的辩解。</w:t>
      </w:r>
    </w:p>
    <w:p>
      <w:pPr>
        <w:spacing w:line="460" w:lineRule="exact"/>
        <w:ind w:firstLine="420"/>
        <w:rPr>
          <w:rFonts w:ascii="宋体" w:hAnsi="宋体" w:cs="宋体"/>
          <w:b/>
          <w:bCs/>
          <w:kern w:val="0"/>
          <w:sz w:val="24"/>
          <w:highlight w:val="none"/>
        </w:rPr>
      </w:pPr>
      <w:r>
        <w:rPr>
          <w:rFonts w:hint="eastAsia" w:ascii="宋体" w:hAnsi="宋体" w:cs="宋体"/>
          <w:b/>
          <w:bCs/>
          <w:kern w:val="0"/>
          <w:sz w:val="24"/>
          <w:highlight w:val="none"/>
        </w:rPr>
        <w:t xml:space="preserve">12、与本磋商有关的一切正式往来信函请寄： </w:t>
      </w:r>
    </w:p>
    <w:p>
      <w:pPr>
        <w:spacing w:line="460" w:lineRule="exact"/>
        <w:ind w:firstLine="420"/>
        <w:rPr>
          <w:rFonts w:ascii="宋体" w:hAnsi="宋体" w:cs="宋体"/>
          <w:kern w:val="0"/>
          <w:sz w:val="24"/>
          <w:highlight w:val="none"/>
        </w:rPr>
      </w:pPr>
      <w:r>
        <w:rPr>
          <w:rFonts w:hint="eastAsia" w:ascii="宋体" w:hAnsi="宋体" w:cs="宋体"/>
          <w:kern w:val="0"/>
          <w:sz w:val="24"/>
          <w:highlight w:val="none"/>
        </w:rPr>
        <w:t>地址：</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p>
      <w:pPr>
        <w:spacing w:line="460" w:lineRule="exact"/>
        <w:ind w:firstLine="420"/>
        <w:rPr>
          <w:rFonts w:ascii="宋体" w:hAnsi="宋体" w:cs="宋体"/>
          <w:kern w:val="0"/>
          <w:sz w:val="24"/>
          <w:highlight w:val="none"/>
          <w:u w:val="single"/>
        </w:rPr>
      </w:pPr>
      <w:r>
        <w:rPr>
          <w:rFonts w:hint="eastAsia" w:ascii="宋体" w:hAnsi="宋体" w:cs="宋体"/>
          <w:kern w:val="0"/>
          <w:sz w:val="24"/>
          <w:highlight w:val="none"/>
        </w:rPr>
        <w:t>电话：</w:t>
      </w:r>
      <w:r>
        <w:rPr>
          <w:rFonts w:hint="eastAsia" w:ascii="宋体" w:hAnsi="宋体" w:cs="宋体"/>
          <w:kern w:val="0"/>
          <w:sz w:val="24"/>
          <w:highlight w:val="none"/>
          <w:u w:val="single"/>
        </w:rPr>
        <w:t xml:space="preserve">                                      　　　　　　　　　</w:t>
      </w:r>
    </w:p>
    <w:p>
      <w:pPr>
        <w:spacing w:line="460" w:lineRule="exact"/>
        <w:ind w:firstLine="420"/>
        <w:rPr>
          <w:rFonts w:ascii="宋体" w:hAnsi="宋体" w:cs="宋体"/>
          <w:kern w:val="0"/>
          <w:sz w:val="24"/>
          <w:highlight w:val="none"/>
          <w:u w:val="single"/>
        </w:rPr>
      </w:pPr>
      <w:r>
        <w:rPr>
          <w:rFonts w:hint="eastAsia" w:ascii="宋体" w:hAnsi="宋体" w:cs="宋体"/>
          <w:kern w:val="0"/>
          <w:sz w:val="24"/>
          <w:highlight w:val="none"/>
        </w:rPr>
        <w:t>传真：</w:t>
      </w:r>
      <w:r>
        <w:rPr>
          <w:rFonts w:hint="eastAsia" w:ascii="宋体" w:hAnsi="宋体" w:cs="宋体"/>
          <w:kern w:val="0"/>
          <w:sz w:val="24"/>
          <w:highlight w:val="none"/>
          <w:u w:val="single"/>
        </w:rPr>
        <w:t>　　　　　　　　　　　　　　　　　　　　　　　　　　　　</w:t>
      </w:r>
    </w:p>
    <w:p>
      <w:pPr>
        <w:spacing w:line="460" w:lineRule="exact"/>
        <w:ind w:firstLine="420"/>
        <w:rPr>
          <w:rFonts w:ascii="宋体" w:hAnsi="宋体" w:cs="宋体"/>
          <w:sz w:val="24"/>
          <w:highlight w:val="none"/>
        </w:rPr>
      </w:pPr>
      <w:r>
        <w:rPr>
          <w:rFonts w:hint="eastAsia" w:ascii="宋体" w:hAnsi="宋体" w:cs="宋体"/>
          <w:kern w:val="0"/>
          <w:sz w:val="24"/>
          <w:highlight w:val="none"/>
        </w:rPr>
        <w:t>电子邮箱：</w:t>
      </w:r>
      <w:r>
        <w:rPr>
          <w:rFonts w:hint="eastAsia" w:ascii="宋体" w:hAnsi="宋体" w:cs="宋体"/>
          <w:kern w:val="0"/>
          <w:sz w:val="24"/>
          <w:highlight w:val="none"/>
          <w:u w:val="single"/>
        </w:rPr>
        <w:t>　　　　　　　　　　　　　　　　　　　　　　　　　　</w:t>
      </w:r>
    </w:p>
    <w:p>
      <w:pPr>
        <w:spacing w:line="460" w:lineRule="exact"/>
        <w:ind w:firstLine="420"/>
        <w:rPr>
          <w:rFonts w:ascii="宋体" w:hAnsi="宋体" w:cs="宋体"/>
          <w:kern w:val="0"/>
          <w:sz w:val="24"/>
          <w:highlight w:val="none"/>
          <w:u w:val="single"/>
        </w:rPr>
      </w:pPr>
      <w:r>
        <w:rPr>
          <w:rFonts w:hint="eastAsia" w:ascii="宋体" w:hAnsi="宋体" w:cs="宋体"/>
          <w:kern w:val="0"/>
          <w:sz w:val="24"/>
          <w:highlight w:val="none"/>
        </w:rPr>
        <w:t>邮政编码：</w:t>
      </w:r>
      <w:r>
        <w:rPr>
          <w:rFonts w:hint="eastAsia" w:ascii="宋体" w:hAnsi="宋体" w:cs="宋体"/>
          <w:kern w:val="0"/>
          <w:sz w:val="24"/>
          <w:highlight w:val="none"/>
          <w:u w:val="single"/>
        </w:rPr>
        <w:t xml:space="preserve">                                                    </w:t>
      </w:r>
    </w:p>
    <w:p>
      <w:pPr>
        <w:spacing w:line="460" w:lineRule="exact"/>
        <w:ind w:firstLine="420"/>
        <w:rPr>
          <w:rFonts w:ascii="宋体" w:hAnsi="宋体" w:cs="宋体"/>
          <w:kern w:val="0"/>
          <w:sz w:val="24"/>
          <w:highlight w:val="none"/>
        </w:rPr>
      </w:pPr>
      <w:r>
        <w:rPr>
          <w:rFonts w:hint="eastAsia" w:ascii="宋体" w:hAnsi="宋体" w:cs="宋体"/>
          <w:kern w:val="0"/>
          <w:sz w:val="24"/>
          <w:highlight w:val="none"/>
        </w:rPr>
        <w:t>纳税人识别号或统一社会信用代码：</w:t>
      </w:r>
      <w:r>
        <w:rPr>
          <w:rFonts w:hint="eastAsia" w:ascii="宋体" w:hAnsi="宋体" w:cs="宋体"/>
          <w:kern w:val="0"/>
          <w:sz w:val="24"/>
          <w:highlight w:val="none"/>
          <w:u w:val="single"/>
        </w:rPr>
        <w:t>　　　　　　　　　　　　　　　</w:t>
      </w:r>
    </w:p>
    <w:p>
      <w:pPr>
        <w:spacing w:line="460" w:lineRule="exact"/>
        <w:ind w:firstLine="420"/>
        <w:rPr>
          <w:rFonts w:ascii="宋体" w:hAnsi="宋体" w:cs="宋体"/>
          <w:kern w:val="0"/>
          <w:sz w:val="24"/>
          <w:highlight w:val="none"/>
          <w:u w:val="single"/>
        </w:rPr>
      </w:pPr>
      <w:r>
        <w:rPr>
          <w:rFonts w:hint="eastAsia" w:ascii="宋体" w:hAnsi="宋体" w:cs="宋体"/>
          <w:kern w:val="0"/>
          <w:sz w:val="24"/>
          <w:highlight w:val="none"/>
        </w:rPr>
        <w:t>开户名称：</w:t>
      </w:r>
      <w:r>
        <w:rPr>
          <w:rFonts w:hint="eastAsia" w:ascii="宋体" w:hAnsi="宋体" w:cs="宋体"/>
          <w:kern w:val="0"/>
          <w:sz w:val="24"/>
          <w:highlight w:val="none"/>
          <w:u w:val="single"/>
        </w:rPr>
        <w:t xml:space="preserve">                                                    </w:t>
      </w:r>
    </w:p>
    <w:p>
      <w:pPr>
        <w:spacing w:line="460" w:lineRule="exact"/>
        <w:ind w:firstLine="420"/>
        <w:rPr>
          <w:rFonts w:ascii="宋体" w:hAnsi="宋体" w:cs="宋体"/>
          <w:kern w:val="0"/>
          <w:sz w:val="24"/>
          <w:highlight w:val="none"/>
          <w:u w:val="single"/>
        </w:rPr>
      </w:pPr>
      <w:r>
        <w:rPr>
          <w:rFonts w:hint="eastAsia" w:ascii="宋体" w:hAnsi="宋体" w:cs="宋体"/>
          <w:kern w:val="0"/>
          <w:sz w:val="24"/>
          <w:highlight w:val="none"/>
        </w:rPr>
        <w:t>开户银行：</w:t>
      </w:r>
      <w:r>
        <w:rPr>
          <w:rFonts w:hint="eastAsia" w:ascii="宋体" w:hAnsi="宋体" w:cs="宋体"/>
          <w:kern w:val="0"/>
          <w:sz w:val="24"/>
          <w:highlight w:val="none"/>
          <w:u w:val="single"/>
        </w:rPr>
        <w:t xml:space="preserve">                                                    </w:t>
      </w:r>
    </w:p>
    <w:p>
      <w:pPr>
        <w:spacing w:line="460" w:lineRule="exact"/>
        <w:ind w:firstLine="420"/>
        <w:rPr>
          <w:rFonts w:ascii="宋体" w:hAnsi="宋体" w:cs="宋体"/>
          <w:kern w:val="0"/>
          <w:sz w:val="24"/>
          <w:highlight w:val="none"/>
          <w:u w:val="single"/>
        </w:rPr>
      </w:pPr>
      <w:r>
        <w:rPr>
          <w:rFonts w:hint="eastAsia" w:ascii="宋体" w:hAnsi="宋体" w:cs="宋体"/>
          <w:kern w:val="0"/>
          <w:sz w:val="24"/>
          <w:highlight w:val="none"/>
        </w:rPr>
        <w:t>银行账号：</w:t>
      </w:r>
      <w:r>
        <w:rPr>
          <w:rFonts w:hint="eastAsia" w:ascii="宋体" w:hAnsi="宋体" w:cs="宋体"/>
          <w:kern w:val="0"/>
          <w:sz w:val="24"/>
          <w:highlight w:val="none"/>
          <w:u w:val="single"/>
        </w:rPr>
        <w:t xml:space="preserve">                                                    </w:t>
      </w:r>
    </w:p>
    <w:p>
      <w:pPr>
        <w:pStyle w:val="19"/>
        <w:tabs>
          <w:tab w:val="left" w:pos="939"/>
        </w:tabs>
        <w:spacing w:line="460" w:lineRule="exact"/>
        <w:ind w:left="141" w:leftChars="67" w:firstLine="360" w:firstLineChars="150"/>
        <w:rPr>
          <w:rFonts w:ascii="宋体" w:hAnsi="宋体" w:cs="宋体"/>
          <w:sz w:val="24"/>
          <w:highlight w:val="none"/>
        </w:rPr>
      </w:pPr>
      <w:r>
        <w:rPr>
          <w:rFonts w:hint="eastAsia" w:ascii="宋体" w:hAnsi="宋体" w:cs="宋体"/>
          <w:sz w:val="24"/>
          <w:highlight w:val="none"/>
        </w:rPr>
        <w:t>特此承诺。</w:t>
      </w:r>
    </w:p>
    <w:p>
      <w:pPr>
        <w:spacing w:line="360" w:lineRule="auto"/>
        <w:contextualSpacing/>
        <w:jc w:val="left"/>
        <w:rPr>
          <w:rFonts w:ascii="宋体" w:hAnsi="宋体" w:cs="宋体"/>
          <w:szCs w:val="21"/>
          <w:highlight w:val="none"/>
        </w:rPr>
      </w:pPr>
    </w:p>
    <w:p>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500" w:lineRule="exact"/>
        <w:rPr>
          <w:rFonts w:ascii="宋体" w:hAnsi="宋体" w:cs="宋体"/>
          <w:b/>
          <w:sz w:val="28"/>
          <w:szCs w:val="28"/>
          <w:highlight w:val="none"/>
        </w:rPr>
      </w:pPr>
    </w:p>
    <w:p>
      <w:pPr>
        <w:spacing w:line="500" w:lineRule="exact"/>
        <w:rPr>
          <w:rFonts w:ascii="宋体" w:hAnsi="宋体" w:cs="宋体"/>
          <w:b/>
          <w:sz w:val="30"/>
          <w:szCs w:val="30"/>
          <w:highlight w:val="none"/>
          <w:lang w:val="zh-CN"/>
        </w:rPr>
      </w:pPr>
      <w:r>
        <w:rPr>
          <w:rFonts w:hint="eastAsia" w:ascii="宋体" w:hAnsi="宋体" w:cs="宋体"/>
          <w:b/>
          <w:sz w:val="28"/>
          <w:szCs w:val="28"/>
          <w:highlight w:val="none"/>
        </w:rPr>
        <w:br w:type="page"/>
      </w:r>
      <w:r>
        <w:rPr>
          <w:rFonts w:hint="eastAsia" w:ascii="宋体" w:hAnsi="宋体" w:cs="宋体"/>
          <w:b/>
          <w:sz w:val="28"/>
          <w:szCs w:val="28"/>
          <w:highlight w:val="none"/>
        </w:rPr>
        <w:t>4.</w:t>
      </w:r>
      <w:r>
        <w:rPr>
          <w:rFonts w:hint="eastAsia" w:ascii="宋体" w:hAnsi="宋体" w:cs="宋体"/>
          <w:b/>
          <w:sz w:val="28"/>
          <w:szCs w:val="28"/>
          <w:highlight w:val="none"/>
          <w:lang w:val="zh-CN"/>
        </w:rPr>
        <w:t>响应报价表的格式：</w:t>
      </w:r>
      <w:r>
        <w:rPr>
          <w:rFonts w:hint="eastAsia" w:ascii="宋体" w:hAnsi="宋体" w:cs="宋体"/>
          <w:b/>
          <w:sz w:val="30"/>
          <w:szCs w:val="30"/>
          <w:highlight w:val="none"/>
          <w:lang w:val="zh-CN"/>
        </w:rPr>
        <w:t xml:space="preserve"> </w:t>
      </w:r>
    </w:p>
    <w:p>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响应报价表</w:t>
      </w:r>
    </w:p>
    <w:p>
      <w:pPr>
        <w:snapToGrid w:val="0"/>
        <w:spacing w:before="50" w:after="50" w:line="36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snapToGrid w:val="0"/>
        <w:spacing w:before="50" w:after="50" w:line="360" w:lineRule="auto"/>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p>
      <w:pPr>
        <w:spacing w:line="360" w:lineRule="auto"/>
        <w:contextualSpacing/>
        <w:rPr>
          <w:rFonts w:ascii="宋体" w:hAnsi="宋体" w:cs="宋体"/>
          <w:sz w:val="24"/>
          <w:highlight w:val="non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3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82"/>
        <w:gridCol w:w="2580"/>
        <w:gridCol w:w="1009"/>
        <w:gridCol w:w="1660"/>
        <w:gridCol w:w="136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序号</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服务名称</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具体服务内容（含具体服务范围、服务时间、服务标准等内容）</w:t>
            </w:r>
          </w:p>
        </w:tc>
        <w:tc>
          <w:tcPr>
            <w:tcW w:w="100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数量及单位①</w:t>
            </w:r>
          </w:p>
        </w:tc>
        <w:tc>
          <w:tcPr>
            <w:tcW w:w="16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单价(元)②</w:t>
            </w:r>
          </w:p>
        </w:tc>
        <w:tc>
          <w:tcPr>
            <w:tcW w:w="13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r>
              <w:rPr>
                <w:rFonts w:hint="eastAsia" w:ascii="宋体" w:hAnsi="宋体" w:cs="宋体"/>
                <w:szCs w:val="22"/>
                <w:highlight w:val="none"/>
              </w:rPr>
              <w:t>单项合价（元）</w:t>
            </w:r>
          </w:p>
          <w:p>
            <w:pPr>
              <w:spacing w:line="360" w:lineRule="auto"/>
              <w:contextualSpacing/>
              <w:jc w:val="center"/>
              <w:rPr>
                <w:rFonts w:ascii="宋体" w:hAnsi="宋体" w:cs="宋体"/>
                <w:sz w:val="24"/>
                <w:highlight w:val="none"/>
              </w:rPr>
            </w:pPr>
            <w:r>
              <w:rPr>
                <w:rFonts w:hint="eastAsia" w:ascii="宋体" w:hAnsi="宋体" w:cs="宋体"/>
                <w:szCs w:val="22"/>
                <w:highlight w:val="none"/>
              </w:rPr>
              <w:t>③＝①×②</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1</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2"/>
                <w:szCs w:val="22"/>
                <w:highlight w:val="none"/>
              </w:rPr>
            </w:pPr>
            <w:r>
              <w:rPr>
                <w:rFonts w:hint="eastAsia" w:ascii="宋体" w:hAnsi="宋体" w:cs="宋体"/>
                <w:sz w:val="22"/>
                <w:szCs w:val="22"/>
                <w:highlight w:val="none"/>
              </w:rPr>
              <w:t>广西道路运输运政及动态监控技术服务项目</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2"/>
                <w:szCs w:val="22"/>
                <w:highlight w:val="none"/>
              </w:rPr>
            </w:pPr>
            <w:r>
              <w:rPr>
                <w:rFonts w:hint="eastAsia" w:ascii="宋体" w:hAnsi="宋体" w:cs="宋体"/>
                <w:sz w:val="22"/>
                <w:szCs w:val="22"/>
                <w:highlight w:val="none"/>
              </w:rPr>
              <w:t>按服务需求偏离表中响应文件响应的技术要求提供服务，具体详见服务需求偏离表</w:t>
            </w:r>
          </w:p>
        </w:tc>
        <w:tc>
          <w:tcPr>
            <w:tcW w:w="100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2"/>
                <w:szCs w:val="22"/>
                <w:highlight w:val="none"/>
              </w:rPr>
            </w:pPr>
            <w:r>
              <w:rPr>
                <w:rFonts w:hint="eastAsia" w:ascii="宋体" w:hAnsi="宋体" w:cs="宋体"/>
                <w:sz w:val="22"/>
                <w:szCs w:val="22"/>
                <w:highlight w:val="none"/>
              </w:rPr>
              <w:t>1项</w:t>
            </w:r>
          </w:p>
        </w:tc>
        <w:tc>
          <w:tcPr>
            <w:tcW w:w="166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宋体"/>
                <w:sz w:val="22"/>
                <w:szCs w:val="22"/>
                <w:highlight w:val="none"/>
              </w:rPr>
            </w:pPr>
          </w:p>
        </w:tc>
        <w:tc>
          <w:tcPr>
            <w:tcW w:w="13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宋体"/>
                <w:sz w:val="22"/>
                <w:szCs w:val="22"/>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sz w:val="24"/>
                <w:highlight w:val="none"/>
              </w:rPr>
            </w:pPr>
            <w:r>
              <w:rPr>
                <w:rFonts w:hint="eastAsia" w:ascii="宋体" w:hAnsi="宋体" w:cs="宋体"/>
                <w:sz w:val="24"/>
                <w:highlight w:val="none"/>
              </w:rPr>
              <w:t>合计金额大写：人民币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sz w:val="24"/>
                <w:highlight w:val="none"/>
              </w:rPr>
            </w:pPr>
            <w:r>
              <w:rPr>
                <w:rFonts w:hint="eastAsia" w:ascii="宋体" w:hAnsi="宋体" w:cs="宋体"/>
                <w:sz w:val="24"/>
                <w:highlight w:val="none"/>
              </w:rPr>
              <w:t>服务期限：</w:t>
            </w:r>
          </w:p>
        </w:tc>
      </w:tr>
    </w:tbl>
    <w:p>
      <w:pPr>
        <w:snapToGrid w:val="0"/>
        <w:spacing w:before="50" w:after="5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注： </w:t>
      </w:r>
    </w:p>
    <w:p>
      <w:pPr>
        <w:snapToGrid w:val="0"/>
        <w:spacing w:before="50" w:after="5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1、供应商需按本表格式填写，不得自行更改，也不得留空（</w:t>
      </w:r>
      <w:r>
        <w:rPr>
          <w:rFonts w:hint="eastAsia" w:ascii="宋体" w:hAnsi="宋体" w:cs="宋体"/>
          <w:sz w:val="24"/>
          <w:highlight w:val="none"/>
        </w:rPr>
        <w:t>备注除外</w:t>
      </w:r>
      <w:r>
        <w:rPr>
          <w:rFonts w:hint="eastAsia" w:ascii="宋体" w:hAnsi="宋体" w:cs="宋体"/>
          <w:kern w:val="0"/>
          <w:sz w:val="24"/>
          <w:highlight w:val="none"/>
          <w:lang w:val="zh-CN"/>
        </w:rPr>
        <w:t>）, 如有多分标，按分标分别提供响应报价表，</w:t>
      </w:r>
      <w:r>
        <w:rPr>
          <w:rFonts w:hint="eastAsia" w:ascii="宋体" w:hAnsi="宋体" w:cs="宋体"/>
          <w:b/>
          <w:kern w:val="0"/>
          <w:sz w:val="24"/>
          <w:highlight w:val="none"/>
          <w:lang w:val="zh-CN"/>
        </w:rPr>
        <w:t>否则其响应按无效响应处理。</w:t>
      </w:r>
    </w:p>
    <w:p>
      <w:pPr>
        <w:snapToGrid w:val="0"/>
        <w:spacing w:before="50" w:after="50" w:line="360" w:lineRule="auto"/>
        <w:ind w:firstLine="480" w:firstLineChars="200"/>
        <w:jc w:val="left"/>
        <w:rPr>
          <w:rFonts w:ascii="宋体" w:hAnsi="宋体" w:cs="宋体"/>
          <w:b/>
          <w:kern w:val="0"/>
          <w:sz w:val="24"/>
          <w:highlight w:val="none"/>
          <w:lang w:val="zh-CN"/>
        </w:rPr>
      </w:pPr>
      <w:r>
        <w:rPr>
          <w:rFonts w:hint="eastAsia" w:ascii="宋体" w:hAnsi="宋体" w:cs="宋体"/>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kern w:val="0"/>
          <w:sz w:val="24"/>
          <w:highlight w:val="none"/>
          <w:lang w:val="zh-CN"/>
        </w:rPr>
        <w:t>否则其响应按无效响应处理。</w:t>
      </w:r>
    </w:p>
    <w:p>
      <w:pPr>
        <w:snapToGrid w:val="0"/>
        <w:spacing w:before="50" w:after="50" w:line="360" w:lineRule="auto"/>
        <w:ind w:firstLine="480" w:firstLineChars="200"/>
        <w:jc w:val="left"/>
        <w:rPr>
          <w:rFonts w:ascii="宋体" w:hAnsi="宋体" w:cs="宋体"/>
          <w:b/>
          <w:kern w:val="0"/>
          <w:sz w:val="24"/>
          <w:highlight w:val="none"/>
          <w:lang w:val="zh-CN"/>
        </w:rPr>
      </w:pPr>
      <w:r>
        <w:rPr>
          <w:rFonts w:hint="eastAsia" w:ascii="宋体" w:hAnsi="宋体" w:cs="宋体"/>
          <w:kern w:val="0"/>
          <w:sz w:val="24"/>
          <w:highlight w:val="none"/>
          <w:lang w:val="zh-CN"/>
        </w:rPr>
        <w:t>3、</w:t>
      </w:r>
      <w:r>
        <w:rPr>
          <w:rFonts w:hint="eastAsia" w:ascii="宋体" w:hAnsi="宋体" w:cs="宋体"/>
          <w:kern w:val="0"/>
          <w:sz w:val="24"/>
          <w:highlight w:val="none"/>
        </w:rPr>
        <w:t>请</w:t>
      </w:r>
      <w:r>
        <w:rPr>
          <w:rFonts w:hint="eastAsia" w:ascii="宋体" w:hAnsi="宋体" w:cs="宋体"/>
          <w:sz w:val="24"/>
          <w:highlight w:val="none"/>
        </w:rPr>
        <w:t>根据所竞服务内容，逐条对应本项目竞争性磋商文件“第二章 采购需求”中“技术要求”的内容详细填写相应的具体内容。</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4、特别提示：采购代理机构将对项目名称和项目编号，成交供应商名称、地址和成交金额，主要成交标的的名称、服务范围、服务要求、服务时间、服务标准等予以公示。</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5、符合采购文件中列明的可享受中小企业扶持政策的供应商，请填写中小企业声明函。</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6、</w:t>
      </w:r>
      <w:r>
        <w:rPr>
          <w:rFonts w:hint="eastAsia" w:ascii="宋体" w:hAnsi="宋体" w:cs="宋体"/>
          <w:kern w:val="0"/>
          <w:sz w:val="24"/>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firstLine="4560" w:firstLineChars="1900"/>
        <w:rPr>
          <w:rFonts w:ascii="宋体" w:hAnsi="宋体" w:cs="宋体"/>
          <w:kern w:val="0"/>
          <w:sz w:val="24"/>
          <w:highlight w:val="none"/>
        </w:rPr>
      </w:pPr>
      <w:r>
        <w:rPr>
          <w:rFonts w:hint="eastAsia" w:ascii="宋体" w:hAnsi="宋体" w:cs="宋体"/>
          <w:kern w:val="0"/>
          <w:sz w:val="24"/>
          <w:highlight w:val="none"/>
        </w:rPr>
        <w:t>供应商名称（盖公章）：</w:t>
      </w:r>
    </w:p>
    <w:p>
      <w:pPr>
        <w:spacing w:line="500" w:lineRule="exact"/>
        <w:ind w:firstLine="6360" w:firstLineChars="2650"/>
        <w:rPr>
          <w:rFonts w:ascii="宋体" w:hAnsi="宋体" w:cs="宋体"/>
          <w:kern w:val="0"/>
          <w:sz w:val="24"/>
          <w:szCs w:val="21"/>
          <w:highlight w:val="none"/>
          <w:lang w:val="zh-CN"/>
        </w:rPr>
      </w:pPr>
      <w:r>
        <w:rPr>
          <w:rFonts w:hint="eastAsia" w:ascii="宋体" w:hAnsi="宋体" w:cs="宋体"/>
          <w:kern w:val="0"/>
          <w:sz w:val="24"/>
          <w:szCs w:val="21"/>
          <w:highlight w:val="none"/>
          <w:lang w:val="zh-CN"/>
        </w:rPr>
        <w:t>日期：  年  月   日</w:t>
      </w:r>
    </w:p>
    <w:p>
      <w:pPr>
        <w:spacing w:line="500" w:lineRule="exact"/>
        <w:rPr>
          <w:rFonts w:ascii="宋体" w:hAnsi="宋体" w:cs="宋体"/>
          <w:b/>
          <w:sz w:val="30"/>
          <w:szCs w:val="30"/>
          <w:highlight w:val="none"/>
          <w:lang w:val="zh-CN"/>
        </w:rPr>
      </w:pPr>
      <w:r>
        <w:rPr>
          <w:rFonts w:hint="eastAsia" w:ascii="宋体" w:hAnsi="宋体" w:cs="宋体"/>
          <w:kern w:val="0"/>
          <w:sz w:val="24"/>
          <w:szCs w:val="21"/>
          <w:highlight w:val="none"/>
          <w:lang w:val="zh-CN"/>
        </w:rPr>
        <w:br w:type="page"/>
      </w:r>
      <w:r>
        <w:rPr>
          <w:rFonts w:hint="eastAsia" w:ascii="宋体" w:hAnsi="宋体" w:cs="宋体"/>
          <w:b/>
          <w:sz w:val="28"/>
          <w:szCs w:val="28"/>
          <w:highlight w:val="none"/>
        </w:rPr>
        <w:t>5.</w:t>
      </w:r>
      <w:r>
        <w:rPr>
          <w:rFonts w:hint="eastAsia" w:ascii="宋体" w:hAnsi="宋体" w:cs="宋体"/>
          <w:b/>
          <w:sz w:val="28"/>
          <w:szCs w:val="28"/>
          <w:highlight w:val="none"/>
          <w:lang w:val="zh-CN"/>
        </w:rPr>
        <w:t>最后报价表的格式：</w:t>
      </w:r>
      <w:r>
        <w:rPr>
          <w:rFonts w:hint="eastAsia" w:ascii="宋体" w:hAnsi="宋体" w:cs="宋体"/>
          <w:b/>
          <w:sz w:val="30"/>
          <w:szCs w:val="30"/>
          <w:highlight w:val="none"/>
          <w:lang w:val="zh-CN"/>
        </w:rPr>
        <w:t xml:space="preserve"> </w:t>
      </w:r>
    </w:p>
    <w:p>
      <w:pPr>
        <w:spacing w:line="520" w:lineRule="exact"/>
        <w:ind w:firstLine="420" w:firstLineChars="200"/>
        <w:rPr>
          <w:rFonts w:ascii="宋体" w:hAnsi="宋体" w:cs="宋体"/>
          <w:highlight w:val="none"/>
        </w:rPr>
      </w:pPr>
    </w:p>
    <w:p>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最后报价表</w:t>
      </w:r>
    </w:p>
    <w:p>
      <w:pPr>
        <w:snapToGrid w:val="0"/>
        <w:spacing w:before="50" w:after="50" w:line="36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snapToGrid w:val="0"/>
        <w:spacing w:before="50" w:after="50" w:line="360" w:lineRule="auto"/>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p>
      <w:pPr>
        <w:spacing w:line="360" w:lineRule="auto"/>
        <w:contextualSpacing/>
        <w:rPr>
          <w:rFonts w:ascii="宋体" w:hAnsi="宋体" w:cs="宋体"/>
          <w:sz w:val="24"/>
          <w:highlight w:val="non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3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094"/>
        <w:gridCol w:w="1928"/>
        <w:gridCol w:w="1249"/>
        <w:gridCol w:w="1660"/>
        <w:gridCol w:w="136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序号</w:t>
            </w:r>
          </w:p>
        </w:tc>
        <w:tc>
          <w:tcPr>
            <w:tcW w:w="20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服务名称</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具体服务内容（含具体服务范围、服务时间、服务标准等内容）</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数量及单位①</w:t>
            </w:r>
          </w:p>
        </w:tc>
        <w:tc>
          <w:tcPr>
            <w:tcW w:w="16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单价(元)②</w:t>
            </w:r>
          </w:p>
        </w:tc>
        <w:tc>
          <w:tcPr>
            <w:tcW w:w="13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r>
              <w:rPr>
                <w:rFonts w:hint="eastAsia" w:ascii="宋体" w:hAnsi="宋体" w:cs="宋体"/>
                <w:szCs w:val="22"/>
                <w:highlight w:val="none"/>
              </w:rPr>
              <w:t>单项合价（元）</w:t>
            </w:r>
          </w:p>
          <w:p>
            <w:pPr>
              <w:spacing w:line="360" w:lineRule="auto"/>
              <w:contextualSpacing/>
              <w:jc w:val="center"/>
              <w:rPr>
                <w:rFonts w:ascii="宋体" w:hAnsi="宋体" w:cs="宋体"/>
                <w:sz w:val="24"/>
                <w:highlight w:val="none"/>
              </w:rPr>
            </w:pPr>
            <w:r>
              <w:rPr>
                <w:rFonts w:hint="eastAsia" w:ascii="宋体" w:hAnsi="宋体" w:cs="宋体"/>
                <w:szCs w:val="22"/>
                <w:highlight w:val="none"/>
              </w:rPr>
              <w:t>③＝①×②</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highlight w:val="none"/>
              </w:rPr>
            </w:pPr>
            <w:r>
              <w:rPr>
                <w:rFonts w:hint="eastAsia" w:ascii="宋体" w:hAnsi="宋体" w:cs="宋体"/>
                <w:sz w:val="24"/>
                <w:highlight w:val="none"/>
              </w:rPr>
              <w:t>1</w:t>
            </w:r>
          </w:p>
        </w:tc>
        <w:tc>
          <w:tcPr>
            <w:tcW w:w="20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2"/>
                <w:szCs w:val="22"/>
                <w:highlight w:val="none"/>
              </w:rPr>
            </w:pPr>
            <w:r>
              <w:rPr>
                <w:rFonts w:hint="eastAsia" w:ascii="宋体" w:hAnsi="宋体" w:cs="宋体"/>
                <w:sz w:val="22"/>
                <w:szCs w:val="22"/>
                <w:highlight w:val="none"/>
              </w:rPr>
              <w:t>广西道路运输运政及动态监控技术服务项目</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2"/>
                <w:szCs w:val="22"/>
                <w:highlight w:val="none"/>
              </w:rPr>
            </w:pPr>
            <w:r>
              <w:rPr>
                <w:rFonts w:hint="eastAsia" w:ascii="宋体" w:hAnsi="宋体" w:cs="宋体"/>
                <w:sz w:val="22"/>
                <w:szCs w:val="22"/>
                <w:highlight w:val="none"/>
              </w:rPr>
              <w:t>按服务需求偏离表中响应文件响应的技术要求提供服务，具体详见服务需求偏离表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2"/>
                <w:szCs w:val="22"/>
                <w:highlight w:val="none"/>
              </w:rPr>
            </w:pPr>
            <w:r>
              <w:rPr>
                <w:rFonts w:hint="eastAsia" w:ascii="宋体" w:hAnsi="宋体" w:cs="宋体"/>
                <w:sz w:val="22"/>
                <w:szCs w:val="22"/>
                <w:highlight w:val="none"/>
              </w:rPr>
              <w:t>1项</w:t>
            </w:r>
          </w:p>
        </w:tc>
        <w:tc>
          <w:tcPr>
            <w:tcW w:w="166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宋体"/>
                <w:sz w:val="22"/>
                <w:szCs w:val="22"/>
                <w:highlight w:val="none"/>
              </w:rPr>
            </w:pPr>
          </w:p>
        </w:tc>
        <w:tc>
          <w:tcPr>
            <w:tcW w:w="13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宋体"/>
                <w:sz w:val="22"/>
                <w:szCs w:val="22"/>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sz w:val="24"/>
                <w:highlight w:val="none"/>
              </w:rPr>
            </w:pPr>
            <w:r>
              <w:rPr>
                <w:rFonts w:hint="eastAsia" w:ascii="宋体" w:hAnsi="宋体" w:cs="宋体"/>
                <w:sz w:val="24"/>
                <w:highlight w:val="none"/>
              </w:rPr>
              <w:t>合计金额大写：人民币           （</w:t>
            </w:r>
            <w:r>
              <w:rPr>
                <w:rFonts w:hint="eastAsia" w:ascii="宋体" w:hAnsi="宋体" w:cs="宋体"/>
                <w:sz w:val="24"/>
                <w:highlight w:val="none"/>
                <w:lang w:val="en-US" w:eastAsia="zh-CN"/>
              </w:rPr>
              <w:t>¥</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sz w:val="24"/>
                <w:highlight w:val="none"/>
              </w:rPr>
            </w:pPr>
            <w:r>
              <w:rPr>
                <w:rFonts w:hint="eastAsia" w:ascii="宋体" w:hAnsi="宋体" w:cs="宋体"/>
                <w:sz w:val="24"/>
                <w:highlight w:val="none"/>
              </w:rPr>
              <w:t>服务期限：</w:t>
            </w:r>
          </w:p>
        </w:tc>
      </w:tr>
    </w:tbl>
    <w:p>
      <w:pPr>
        <w:rPr>
          <w:rFonts w:ascii="宋体" w:hAnsi="宋体" w:cs="宋体"/>
          <w:highlight w:val="none"/>
        </w:rPr>
      </w:pPr>
    </w:p>
    <w:p>
      <w:pPr>
        <w:spacing w:line="360" w:lineRule="auto"/>
        <w:contextualSpacing/>
        <w:rPr>
          <w:rFonts w:ascii="宋体" w:hAnsi="宋体" w:cs="宋体"/>
          <w:sz w:val="24"/>
          <w:highlight w:val="none"/>
          <w:u w:val="single"/>
        </w:rPr>
      </w:pPr>
      <w:r>
        <w:rPr>
          <w:rFonts w:hint="eastAsia" w:ascii="宋体" w:hAnsi="宋体" w:cs="宋体"/>
          <w:sz w:val="24"/>
          <w:highlight w:val="none"/>
        </w:rPr>
        <w:t xml:space="preserve">                </w:t>
      </w:r>
    </w:p>
    <w:p>
      <w:pPr>
        <w:autoSpaceDE w:val="0"/>
        <w:autoSpaceDN w:val="0"/>
        <w:spacing w:line="360" w:lineRule="auto"/>
        <w:ind w:firstLine="4560" w:firstLineChars="1900"/>
        <w:rPr>
          <w:rFonts w:ascii="宋体" w:hAnsi="宋体" w:cs="宋体"/>
          <w:kern w:val="0"/>
          <w:sz w:val="24"/>
          <w:highlight w:val="none"/>
        </w:rPr>
      </w:pPr>
    </w:p>
    <w:p>
      <w:pPr>
        <w:autoSpaceDE w:val="0"/>
        <w:autoSpaceDN w:val="0"/>
        <w:spacing w:line="360" w:lineRule="auto"/>
        <w:ind w:firstLine="4560" w:firstLineChars="1900"/>
        <w:rPr>
          <w:rFonts w:ascii="宋体" w:hAnsi="宋体" w:cs="宋体"/>
          <w:kern w:val="0"/>
          <w:sz w:val="24"/>
          <w:highlight w:val="none"/>
        </w:rPr>
      </w:pPr>
      <w:r>
        <w:rPr>
          <w:rFonts w:hint="eastAsia" w:ascii="宋体" w:hAnsi="宋体" w:cs="宋体"/>
          <w:kern w:val="0"/>
          <w:sz w:val="24"/>
          <w:highlight w:val="none"/>
        </w:rPr>
        <w:t>供应商名称（盖公章）：</w:t>
      </w:r>
    </w:p>
    <w:p>
      <w:pPr>
        <w:spacing w:line="500" w:lineRule="exact"/>
        <w:ind w:firstLine="6360" w:firstLineChars="2650"/>
        <w:rPr>
          <w:rFonts w:ascii="宋体" w:hAnsi="宋体" w:cs="宋体"/>
          <w:sz w:val="24"/>
          <w:highlight w:val="none"/>
          <w:lang w:val="zh-CN"/>
        </w:rPr>
        <w:sectPr>
          <w:pgSz w:w="11911" w:h="16838"/>
          <w:pgMar w:top="1134" w:right="1134" w:bottom="1134" w:left="1134" w:header="720" w:footer="720" w:gutter="0"/>
          <w:cols w:space="720" w:num="1"/>
        </w:sectPr>
      </w:pPr>
      <w:r>
        <w:rPr>
          <w:rFonts w:hint="eastAsia" w:ascii="宋体" w:hAnsi="宋体" w:cs="宋体"/>
          <w:kern w:val="0"/>
          <w:sz w:val="24"/>
          <w:szCs w:val="21"/>
          <w:highlight w:val="none"/>
          <w:lang w:val="zh-CN"/>
        </w:rPr>
        <w:t>日期：</w:t>
      </w:r>
      <w:r>
        <w:rPr>
          <w:rFonts w:hint="eastAsia" w:ascii="宋体" w:hAnsi="宋体" w:cs="宋体"/>
          <w:kern w:val="0"/>
          <w:sz w:val="24"/>
          <w:szCs w:val="21"/>
          <w:highlight w:val="none"/>
        </w:rPr>
        <w:t xml:space="preserve">    </w:t>
      </w:r>
      <w:r>
        <w:rPr>
          <w:rFonts w:hint="eastAsia" w:ascii="宋体" w:hAnsi="宋体" w:cs="宋体"/>
          <w:kern w:val="0"/>
          <w:sz w:val="24"/>
          <w:szCs w:val="21"/>
          <w:highlight w:val="none"/>
          <w:lang w:val="zh-CN"/>
        </w:rPr>
        <w:t>年</w:t>
      </w:r>
      <w:r>
        <w:rPr>
          <w:rFonts w:hint="eastAsia" w:ascii="宋体" w:hAnsi="宋体" w:cs="宋体"/>
          <w:kern w:val="0"/>
          <w:sz w:val="24"/>
          <w:szCs w:val="21"/>
          <w:highlight w:val="none"/>
        </w:rPr>
        <w:t xml:space="preserve">    </w:t>
      </w:r>
      <w:r>
        <w:rPr>
          <w:rFonts w:hint="eastAsia" w:ascii="宋体" w:hAnsi="宋体" w:cs="宋体"/>
          <w:kern w:val="0"/>
          <w:sz w:val="24"/>
          <w:szCs w:val="21"/>
          <w:highlight w:val="none"/>
          <w:lang w:val="zh-CN"/>
        </w:rPr>
        <w:t>月</w:t>
      </w:r>
      <w:r>
        <w:rPr>
          <w:rFonts w:hint="eastAsia" w:ascii="宋体" w:hAnsi="宋体" w:cs="宋体"/>
          <w:kern w:val="0"/>
          <w:sz w:val="24"/>
          <w:szCs w:val="21"/>
          <w:highlight w:val="none"/>
        </w:rPr>
        <w:t xml:space="preserve">    </w:t>
      </w:r>
      <w:r>
        <w:rPr>
          <w:rFonts w:hint="eastAsia" w:ascii="宋体" w:hAnsi="宋体" w:cs="宋体"/>
          <w:kern w:val="0"/>
          <w:sz w:val="24"/>
          <w:szCs w:val="21"/>
          <w:highlight w:val="none"/>
          <w:lang w:val="zh-CN"/>
        </w:rPr>
        <w:t>日</w:t>
      </w:r>
    </w:p>
    <w:p>
      <w:pPr>
        <w:pStyle w:val="4"/>
        <w:jc w:val="center"/>
        <w:rPr>
          <w:rFonts w:ascii="宋体" w:hAnsi="宋体" w:cs="宋体"/>
          <w:b w:val="0"/>
          <w:highlight w:val="none"/>
        </w:rPr>
      </w:pPr>
      <w:bookmarkStart w:id="146" w:name="_Toc80205942"/>
      <w:bookmarkStart w:id="147" w:name="_Toc80886946"/>
      <w:bookmarkStart w:id="148" w:name="_Toc13936"/>
      <w:bookmarkStart w:id="149" w:name="_Toc18482"/>
      <w:r>
        <w:rPr>
          <w:rFonts w:hint="eastAsia" w:ascii="宋体" w:hAnsi="宋体" w:cs="宋体"/>
          <w:highlight w:val="none"/>
        </w:rPr>
        <w:t>第四节 其他文书、文件格式</w:t>
      </w:r>
      <w:bookmarkEnd w:id="146"/>
      <w:bookmarkEnd w:id="147"/>
      <w:bookmarkEnd w:id="148"/>
      <w:bookmarkEnd w:id="149"/>
    </w:p>
    <w:p>
      <w:pPr>
        <w:spacing w:line="500" w:lineRule="exact"/>
        <w:rPr>
          <w:rFonts w:ascii="宋体" w:hAnsi="宋体" w:cs="宋体"/>
          <w:b/>
          <w:sz w:val="30"/>
          <w:szCs w:val="30"/>
          <w:highlight w:val="none"/>
          <w:lang w:val="zh-CN"/>
        </w:rPr>
      </w:pPr>
      <w:r>
        <w:rPr>
          <w:rFonts w:hint="eastAsia" w:ascii="宋体" w:hAnsi="宋体" w:cs="宋体"/>
          <w:b/>
          <w:sz w:val="30"/>
          <w:szCs w:val="30"/>
          <w:highlight w:val="none"/>
        </w:rPr>
        <w:t>1.</w:t>
      </w:r>
      <w:r>
        <w:rPr>
          <w:rFonts w:hint="eastAsia" w:ascii="宋体" w:hAnsi="宋体" w:cs="宋体"/>
          <w:b/>
          <w:sz w:val="30"/>
          <w:szCs w:val="30"/>
          <w:highlight w:val="none"/>
          <w:lang w:val="zh-CN"/>
        </w:rPr>
        <w:t>中小企业声明函的格式：</w:t>
      </w:r>
    </w:p>
    <w:p>
      <w:pPr>
        <w:pStyle w:val="2"/>
        <w:rPr>
          <w:rFonts w:ascii="宋体" w:hAnsi="宋体" w:cs="宋体"/>
          <w:highlight w:val="none"/>
        </w:rPr>
      </w:pPr>
    </w:p>
    <w:p>
      <w:pPr>
        <w:spacing w:line="300" w:lineRule="auto"/>
        <w:ind w:firstLine="3520" w:firstLineChars="800"/>
        <w:rPr>
          <w:rFonts w:ascii="宋体" w:hAnsi="宋体" w:cs="宋体"/>
          <w:sz w:val="44"/>
          <w:szCs w:val="44"/>
          <w:highlight w:val="none"/>
        </w:rPr>
      </w:pPr>
      <w:r>
        <w:rPr>
          <w:rFonts w:hint="eastAsia" w:ascii="宋体" w:hAnsi="宋体" w:cs="宋体"/>
          <w:sz w:val="44"/>
          <w:szCs w:val="44"/>
          <w:highlight w:val="none"/>
        </w:rPr>
        <w:t>中小企业声明函</w:t>
      </w:r>
    </w:p>
    <w:p>
      <w:pPr>
        <w:pStyle w:val="16"/>
        <w:spacing w:after="0" w:line="360" w:lineRule="auto"/>
        <w:ind w:left="-426" w:right="142" w:firstLine="640"/>
        <w:contextualSpacing/>
        <w:rPr>
          <w:rFonts w:ascii="宋体" w:hAnsi="宋体" w:cs="宋体"/>
          <w:sz w:val="24"/>
          <w:highlight w:val="none"/>
        </w:rPr>
      </w:pPr>
    </w:p>
    <w:p>
      <w:pPr>
        <w:pStyle w:val="16"/>
        <w:spacing w:after="0" w:line="360" w:lineRule="auto"/>
        <w:ind w:left="-426" w:right="142" w:firstLine="640"/>
        <w:contextualSpacing/>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i/>
          <w:iCs/>
          <w:sz w:val="24"/>
          <w:highlight w:val="none"/>
          <w:u w:val="single"/>
        </w:rPr>
        <w:t>（单位名称）</w:t>
      </w:r>
      <w:r>
        <w:rPr>
          <w:rFonts w:hint="eastAsia" w:ascii="宋体" w:hAnsi="宋体" w:cs="宋体"/>
          <w:sz w:val="24"/>
          <w:highlight w:val="none"/>
        </w:rPr>
        <w:t>的</w:t>
      </w:r>
      <w:r>
        <w:rPr>
          <w:rFonts w:hint="eastAsia" w:ascii="宋体" w:hAnsi="宋体" w:cs="宋体"/>
          <w:i/>
          <w:iCs/>
          <w:sz w:val="24"/>
          <w:highlight w:val="none"/>
          <w:u w:val="single"/>
        </w:rPr>
        <w:t>（项目名称）</w:t>
      </w:r>
      <w:r>
        <w:rPr>
          <w:rFonts w:hint="eastAsia" w:ascii="宋体" w:hAnsi="宋体" w:cs="宋体"/>
          <w:sz w:val="24"/>
          <w:highlight w:val="none"/>
        </w:rPr>
        <w:t>采购活动，</w:t>
      </w:r>
      <w:r>
        <w:rPr>
          <w:rFonts w:hint="eastAsia" w:ascii="宋体" w:hAnsi="宋体" w:cs="宋体"/>
          <w:kern w:val="0"/>
          <w:sz w:val="24"/>
          <w:highlight w:val="none"/>
        </w:rPr>
        <w:t>服务全部由符合政策要求的中小企业承接</w:t>
      </w:r>
      <w:r>
        <w:rPr>
          <w:rFonts w:hint="eastAsia" w:ascii="宋体" w:hAnsi="宋体" w:cs="宋体"/>
          <w:sz w:val="24"/>
          <w:highlight w:val="none"/>
        </w:rPr>
        <w:t>。相关企业（含联合体中的</w:t>
      </w:r>
      <w:r>
        <w:rPr>
          <w:rFonts w:hint="eastAsia" w:ascii="宋体" w:hAnsi="宋体" w:cs="宋体"/>
          <w:kern w:val="0"/>
          <w:sz w:val="24"/>
          <w:highlight w:val="none"/>
        </w:rPr>
        <w:t>中小</w:t>
      </w:r>
      <w:r>
        <w:rPr>
          <w:rFonts w:hint="eastAsia" w:ascii="宋体" w:hAnsi="宋体" w:cs="宋体"/>
          <w:sz w:val="24"/>
          <w:highlight w:val="none"/>
        </w:rPr>
        <w:t>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w:t>
      </w:r>
      <w:r>
        <w:rPr>
          <w:rFonts w:hint="eastAsia" w:ascii="宋体" w:hAnsi="宋体" w:cs="宋体"/>
          <w:i/>
          <w:iCs/>
          <w:sz w:val="24"/>
          <w:highlight w:val="none"/>
          <w:u w:val="single"/>
        </w:rPr>
        <w:t>标的名称</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w:t>
      </w:r>
      <w:r>
        <w:rPr>
          <w:rFonts w:hint="eastAsia" w:ascii="宋体" w:hAnsi="宋体" w:cs="宋体"/>
          <w:i/>
          <w:iCs/>
          <w:sz w:val="24"/>
          <w:highlight w:val="none"/>
          <w:u w:val="single"/>
        </w:rPr>
        <w:t>采购文件中明确的所属行业</w:t>
      </w:r>
      <w:r>
        <w:rPr>
          <w:rFonts w:hint="eastAsia" w:ascii="宋体" w:hAnsi="宋体" w:cs="宋体"/>
          <w:sz w:val="24"/>
          <w:highlight w:val="none"/>
          <w:u w:val="single"/>
        </w:rPr>
        <w:t>）</w:t>
      </w:r>
      <w:r>
        <w:rPr>
          <w:rFonts w:hint="eastAsia" w:ascii="宋体" w:hAnsi="宋体" w:cs="宋体"/>
          <w:sz w:val="24"/>
          <w:highlight w:val="none"/>
        </w:rPr>
        <w:t>；</w:t>
      </w:r>
      <w:r>
        <w:rPr>
          <w:rFonts w:hint="eastAsia" w:ascii="宋体" w:hAnsi="宋体" w:cs="宋体"/>
          <w:kern w:val="0"/>
          <w:sz w:val="24"/>
          <w:highlight w:val="none"/>
        </w:rPr>
        <w:t>承建（承接）企业</w:t>
      </w:r>
      <w:r>
        <w:rPr>
          <w:rFonts w:hint="eastAsia" w:ascii="宋体" w:hAnsi="宋体" w:cs="宋体"/>
          <w:sz w:val="24"/>
          <w:highlight w:val="none"/>
        </w:rPr>
        <w:t>为</w:t>
      </w:r>
      <w:r>
        <w:rPr>
          <w:rFonts w:hint="eastAsia" w:ascii="宋体" w:hAnsi="宋体" w:cs="宋体"/>
          <w:sz w:val="24"/>
          <w:highlight w:val="none"/>
          <w:u w:val="single"/>
        </w:rPr>
        <w:t>（</w:t>
      </w:r>
      <w:r>
        <w:rPr>
          <w:rFonts w:hint="eastAsia" w:ascii="宋体" w:hAnsi="宋体" w:cs="宋体"/>
          <w:i/>
          <w:iCs/>
          <w:sz w:val="24"/>
          <w:highlight w:val="none"/>
          <w:u w:val="single"/>
        </w:rPr>
        <w:t>企业名称</w:t>
      </w:r>
      <w:r>
        <w:rPr>
          <w:rFonts w:hint="eastAsia" w:ascii="宋体" w:hAnsi="宋体" w:cs="宋体"/>
          <w:sz w:val="24"/>
          <w:highlight w:val="none"/>
          <w:u w:val="single"/>
        </w:rPr>
        <w:t>）</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w:t>
      </w:r>
      <w:r>
        <w:rPr>
          <w:rFonts w:hint="eastAsia" w:ascii="宋体" w:hAnsi="宋体" w:cs="宋体"/>
          <w:i/>
          <w:iCs/>
          <w:sz w:val="24"/>
          <w:highlight w:val="none"/>
          <w:u w:val="single"/>
        </w:rPr>
        <w:t>中型企业、小型企业、微型企业</w:t>
      </w:r>
      <w:r>
        <w:rPr>
          <w:rFonts w:hint="eastAsia" w:ascii="宋体" w:hAnsi="宋体" w:cs="宋体"/>
          <w:sz w:val="24"/>
          <w:highlight w:val="none"/>
          <w:u w:val="single"/>
        </w:rPr>
        <w:t>）</w:t>
      </w:r>
      <w:r>
        <w:rPr>
          <w:rFonts w:hint="eastAsia" w:ascii="宋体" w:hAnsi="宋体" w:cs="宋体"/>
          <w:sz w:val="24"/>
          <w:highlight w:val="none"/>
        </w:rPr>
        <w:t>；</w:t>
      </w:r>
    </w:p>
    <w:p>
      <w:pPr>
        <w:tabs>
          <w:tab w:val="left" w:pos="1065"/>
          <w:tab w:val="left" w:pos="6477"/>
        </w:tabs>
        <w:spacing w:line="360" w:lineRule="auto"/>
        <w:ind w:left="-426" w:right="-58" w:firstLine="655"/>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w:t>
      </w:r>
      <w:r>
        <w:rPr>
          <w:rFonts w:hint="eastAsia" w:ascii="宋体" w:hAnsi="宋体" w:cs="宋体"/>
          <w:i/>
          <w:iCs/>
          <w:sz w:val="24"/>
          <w:highlight w:val="none"/>
          <w:u w:val="single"/>
        </w:rPr>
        <w:t>标的名称</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w:t>
      </w:r>
      <w:r>
        <w:rPr>
          <w:rFonts w:hint="eastAsia" w:ascii="宋体" w:hAnsi="宋体" w:cs="宋体"/>
          <w:i/>
          <w:iCs/>
          <w:sz w:val="24"/>
          <w:highlight w:val="none"/>
          <w:u w:val="single"/>
        </w:rPr>
        <w:t>采购文件中明确的所属行业</w:t>
      </w:r>
      <w:r>
        <w:rPr>
          <w:rFonts w:hint="eastAsia" w:ascii="宋体" w:hAnsi="宋体" w:cs="宋体"/>
          <w:sz w:val="24"/>
          <w:highlight w:val="none"/>
          <w:u w:val="single"/>
        </w:rPr>
        <w:t>）</w:t>
      </w:r>
      <w:r>
        <w:rPr>
          <w:rFonts w:hint="eastAsia" w:ascii="宋体" w:hAnsi="宋体" w:cs="宋体"/>
          <w:sz w:val="24"/>
          <w:highlight w:val="none"/>
        </w:rPr>
        <w:t>；</w:t>
      </w:r>
      <w:r>
        <w:rPr>
          <w:rFonts w:hint="eastAsia" w:ascii="宋体" w:hAnsi="宋体" w:cs="宋体"/>
          <w:kern w:val="0"/>
          <w:sz w:val="24"/>
          <w:highlight w:val="none"/>
        </w:rPr>
        <w:t>承建（承接）企业</w:t>
      </w:r>
      <w:r>
        <w:rPr>
          <w:rFonts w:hint="eastAsia" w:ascii="宋体" w:hAnsi="宋体" w:cs="宋体"/>
          <w:sz w:val="24"/>
          <w:highlight w:val="none"/>
        </w:rPr>
        <w:t>为</w:t>
      </w:r>
      <w:r>
        <w:rPr>
          <w:rFonts w:hint="eastAsia" w:ascii="宋体" w:hAnsi="宋体" w:cs="宋体"/>
          <w:sz w:val="24"/>
          <w:highlight w:val="none"/>
          <w:u w:val="single"/>
        </w:rPr>
        <w:t>（</w:t>
      </w:r>
      <w:r>
        <w:rPr>
          <w:rFonts w:hint="eastAsia" w:ascii="宋体" w:hAnsi="宋体" w:cs="宋体"/>
          <w:i/>
          <w:iCs/>
          <w:sz w:val="24"/>
          <w:highlight w:val="none"/>
          <w:u w:val="single"/>
        </w:rPr>
        <w:t>企业名称</w:t>
      </w:r>
      <w:r>
        <w:rPr>
          <w:rFonts w:hint="eastAsia" w:ascii="宋体" w:hAnsi="宋体" w:cs="宋体"/>
          <w:sz w:val="24"/>
          <w:highlight w:val="none"/>
          <w:u w:val="single"/>
        </w:rPr>
        <w:t>）</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w:t>
      </w:r>
      <w:r>
        <w:rPr>
          <w:rFonts w:hint="eastAsia" w:ascii="宋体" w:hAnsi="宋体" w:cs="宋体"/>
          <w:i/>
          <w:iCs/>
          <w:sz w:val="24"/>
          <w:highlight w:val="none"/>
          <w:u w:val="single"/>
        </w:rPr>
        <w:t>中型企业、小型企业、微型企业</w:t>
      </w:r>
      <w:r>
        <w:rPr>
          <w:rFonts w:hint="eastAsia" w:ascii="宋体" w:hAnsi="宋体" w:cs="宋体"/>
          <w:sz w:val="24"/>
          <w:highlight w:val="none"/>
          <w:u w:val="single"/>
        </w:rPr>
        <w:t>）</w:t>
      </w:r>
      <w:r>
        <w:rPr>
          <w:rFonts w:hint="eastAsia" w:ascii="宋体" w:hAnsi="宋体" w:cs="宋体"/>
          <w:sz w:val="24"/>
          <w:highlight w:val="none"/>
        </w:rPr>
        <w:t>；</w:t>
      </w:r>
    </w:p>
    <w:p>
      <w:pPr>
        <w:pStyle w:val="16"/>
        <w:spacing w:after="0" w:line="360" w:lineRule="auto"/>
        <w:ind w:left="142" w:right="142"/>
        <w:contextualSpacing/>
        <w:rPr>
          <w:rFonts w:ascii="宋体" w:hAnsi="宋体" w:cs="宋体"/>
          <w:sz w:val="24"/>
          <w:highlight w:val="none"/>
        </w:rPr>
      </w:pPr>
      <w:r>
        <w:rPr>
          <w:rFonts w:hint="eastAsia" w:ascii="宋体" w:hAnsi="宋体" w:cs="宋体"/>
          <w:sz w:val="24"/>
          <w:highlight w:val="none"/>
        </w:rPr>
        <w:t xml:space="preserve">…… </w:t>
      </w:r>
    </w:p>
    <w:p>
      <w:pPr>
        <w:pStyle w:val="16"/>
        <w:spacing w:after="0" w:line="360" w:lineRule="auto"/>
        <w:ind w:left="-405" w:leftChars="-193" w:right="142" w:firstLine="453" w:firstLineChars="189"/>
        <w:contextualSpacing/>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pStyle w:val="16"/>
        <w:spacing w:after="0" w:line="360" w:lineRule="auto"/>
        <w:ind w:left="-426" w:right="142" w:firstLine="567"/>
        <w:contextualSpacing/>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pStyle w:val="16"/>
        <w:spacing w:after="0" w:line="360" w:lineRule="auto"/>
        <w:ind w:left="3960" w:right="1808"/>
        <w:contextualSpacing/>
        <w:rPr>
          <w:rFonts w:ascii="宋体" w:hAnsi="宋体" w:cs="宋体"/>
          <w:sz w:val="24"/>
          <w:highlight w:val="none"/>
        </w:rPr>
      </w:pPr>
    </w:p>
    <w:p>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pStyle w:val="16"/>
        <w:spacing w:after="0" w:line="360" w:lineRule="auto"/>
        <w:ind w:left="3960" w:right="1808"/>
        <w:contextualSpacing/>
        <w:rPr>
          <w:rFonts w:ascii="宋体" w:hAnsi="宋体" w:cs="宋体"/>
          <w:highlight w:val="none"/>
        </w:rPr>
      </w:pPr>
    </w:p>
    <w:p>
      <w:pPr>
        <w:spacing w:line="360" w:lineRule="auto"/>
        <w:ind w:firstLine="480" w:firstLineChars="200"/>
        <w:contextualSpacing/>
        <w:jc w:val="left"/>
        <w:rPr>
          <w:rFonts w:ascii="宋体" w:hAnsi="宋体" w:cs="宋体"/>
          <w:kern w:val="0"/>
          <w:sz w:val="24"/>
          <w:highlight w:val="none"/>
        </w:rPr>
      </w:pPr>
      <w:r>
        <w:rPr>
          <w:rFonts w:hint="eastAsia" w:ascii="宋体" w:hAnsi="宋体" w:cs="宋体"/>
          <w:sz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rFonts w:ascii="宋体" w:hAnsi="宋体" w:cs="宋体"/>
          <w:b/>
          <w:bCs/>
          <w:sz w:val="32"/>
          <w:szCs w:val="32"/>
          <w:highlight w:val="none"/>
        </w:rPr>
        <w:sectPr>
          <w:pgSz w:w="11911" w:h="16838"/>
          <w:pgMar w:top="1134" w:right="1134" w:bottom="1134" w:left="1134" w:header="720" w:footer="720" w:gutter="0"/>
          <w:cols w:space="720" w:num="1"/>
        </w:sectPr>
      </w:pPr>
    </w:p>
    <w:p>
      <w:pPr>
        <w:spacing w:line="520" w:lineRule="exact"/>
        <w:rPr>
          <w:rFonts w:ascii="宋体" w:hAnsi="宋体" w:cs="宋体"/>
          <w:b/>
          <w:sz w:val="28"/>
          <w:szCs w:val="28"/>
          <w:highlight w:val="none"/>
        </w:rPr>
      </w:pPr>
      <w:r>
        <w:rPr>
          <w:rFonts w:hint="eastAsia" w:ascii="宋体" w:hAnsi="宋体" w:cs="宋体"/>
          <w:b/>
          <w:sz w:val="28"/>
          <w:szCs w:val="28"/>
          <w:highlight w:val="none"/>
        </w:rPr>
        <w:t>2.残疾人福利性单位声明函的格式：</w:t>
      </w:r>
    </w:p>
    <w:p>
      <w:pPr>
        <w:pStyle w:val="2"/>
        <w:rPr>
          <w:rFonts w:ascii="宋体" w:hAnsi="宋体" w:cs="宋体"/>
          <w:highlight w:val="none"/>
        </w:rPr>
      </w:pPr>
    </w:p>
    <w:p>
      <w:pPr>
        <w:spacing w:line="520" w:lineRule="exact"/>
        <w:jc w:val="center"/>
        <w:rPr>
          <w:rFonts w:ascii="宋体" w:hAnsi="宋体" w:cs="宋体"/>
          <w:sz w:val="44"/>
          <w:szCs w:val="44"/>
          <w:highlight w:val="none"/>
        </w:rPr>
      </w:pPr>
    </w:p>
    <w:p>
      <w:pPr>
        <w:spacing w:line="520" w:lineRule="exact"/>
        <w:jc w:val="center"/>
        <w:rPr>
          <w:rFonts w:ascii="宋体" w:hAnsi="宋体" w:cs="宋体"/>
          <w:sz w:val="44"/>
          <w:szCs w:val="44"/>
          <w:highlight w:val="none"/>
        </w:rPr>
      </w:pPr>
    </w:p>
    <w:p>
      <w:pPr>
        <w:spacing w:line="520" w:lineRule="exact"/>
        <w:jc w:val="center"/>
        <w:rPr>
          <w:rFonts w:ascii="宋体" w:hAnsi="宋体" w:cs="宋体"/>
          <w:b/>
          <w:bCs/>
          <w:sz w:val="36"/>
          <w:szCs w:val="36"/>
          <w:highlight w:val="none"/>
        </w:rPr>
      </w:pPr>
      <w:r>
        <w:rPr>
          <w:rFonts w:hint="eastAsia" w:ascii="宋体" w:hAnsi="宋体" w:cs="宋体"/>
          <w:b/>
          <w:bCs/>
          <w:sz w:val="36"/>
          <w:szCs w:val="36"/>
          <w:highlight w:val="none"/>
        </w:rPr>
        <w:t>残疾人福利性单位声明函</w:t>
      </w:r>
    </w:p>
    <w:p>
      <w:pPr>
        <w:spacing w:line="520" w:lineRule="exact"/>
        <w:rPr>
          <w:rFonts w:ascii="宋体" w:hAnsi="宋体" w:cs="宋体"/>
          <w:sz w:val="32"/>
          <w:szCs w:val="32"/>
          <w:highlight w:val="none"/>
        </w:rPr>
      </w:pPr>
    </w:p>
    <w:p>
      <w:pPr>
        <w:spacing w:line="360" w:lineRule="auto"/>
        <w:ind w:firstLine="480" w:firstLineChars="200"/>
        <w:contextualSpacing/>
        <w:rPr>
          <w:rFonts w:ascii="宋体" w:hAnsi="宋体" w:cs="宋体"/>
          <w:sz w:val="24"/>
          <w:highlight w:val="none"/>
        </w:rPr>
      </w:pP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contextualSpacing/>
        <w:rPr>
          <w:rFonts w:ascii="宋体" w:hAnsi="宋体" w:cs="宋体"/>
          <w:sz w:val="24"/>
          <w:highlight w:val="none"/>
        </w:rPr>
      </w:pPr>
    </w:p>
    <w:p>
      <w:pPr>
        <w:spacing w:line="360" w:lineRule="auto"/>
        <w:contextualSpacing/>
        <w:rPr>
          <w:rFonts w:ascii="宋体" w:hAnsi="宋体" w:cs="宋体"/>
          <w:sz w:val="24"/>
          <w:highlight w:val="none"/>
        </w:rPr>
      </w:pPr>
    </w:p>
    <w:p>
      <w:pPr>
        <w:spacing w:line="360" w:lineRule="auto"/>
        <w:contextualSpacing/>
        <w:rPr>
          <w:rFonts w:ascii="宋体" w:hAnsi="宋体" w:cs="宋体"/>
          <w:sz w:val="24"/>
          <w:highlight w:val="none"/>
        </w:rPr>
      </w:pPr>
    </w:p>
    <w:p>
      <w:pPr>
        <w:spacing w:line="360" w:lineRule="auto"/>
        <w:ind w:firstLine="2400" w:firstLineChars="1000"/>
        <w:contextualSpacing/>
        <w:rPr>
          <w:rFonts w:ascii="宋体" w:hAnsi="宋体" w:cs="宋体"/>
          <w:sz w:val="24"/>
          <w:highlight w:val="none"/>
        </w:rPr>
      </w:pPr>
      <w:r>
        <w:rPr>
          <w:rFonts w:hint="eastAsia" w:ascii="宋体" w:hAnsi="宋体" w:cs="宋体"/>
          <w:sz w:val="24"/>
          <w:highlight w:val="none"/>
        </w:rPr>
        <w:t>供应商名称（盖公章）：</w:t>
      </w:r>
    </w:p>
    <w:p>
      <w:pPr>
        <w:spacing w:line="360" w:lineRule="auto"/>
        <w:ind w:firstLine="4320" w:firstLineChars="1800"/>
        <w:contextualSpacing/>
        <w:rPr>
          <w:rFonts w:ascii="宋体" w:hAnsi="宋体" w:cs="宋体"/>
          <w:sz w:val="24"/>
          <w:highlight w:val="none"/>
        </w:rPr>
      </w:pPr>
      <w:r>
        <w:rPr>
          <w:rFonts w:hint="eastAsia" w:ascii="宋体" w:hAnsi="宋体" w:cs="宋体"/>
          <w:sz w:val="24"/>
          <w:highlight w:val="none"/>
        </w:rPr>
        <w:t>日  期：     年   月   日</w:t>
      </w:r>
    </w:p>
    <w:p>
      <w:pPr>
        <w:spacing w:line="360" w:lineRule="auto"/>
        <w:contextualSpacing/>
        <w:rPr>
          <w:rFonts w:ascii="宋体" w:hAnsi="宋体" w:cs="宋体"/>
          <w:sz w:val="24"/>
          <w:highlight w:val="none"/>
        </w:rPr>
      </w:pPr>
    </w:p>
    <w:p>
      <w:pPr>
        <w:spacing w:line="360" w:lineRule="auto"/>
        <w:contextualSpacing/>
        <w:rPr>
          <w:rFonts w:ascii="宋体" w:hAnsi="宋体" w:cs="宋体"/>
          <w:sz w:val="24"/>
          <w:highlight w:val="none"/>
        </w:rPr>
      </w:pPr>
    </w:p>
    <w:p>
      <w:pPr>
        <w:spacing w:line="360" w:lineRule="auto"/>
        <w:contextualSpacing/>
        <w:rPr>
          <w:rFonts w:ascii="宋体" w:hAnsi="宋体" w:cs="宋体"/>
          <w:sz w:val="24"/>
          <w:highlight w:val="none"/>
        </w:rPr>
      </w:pP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16"/>
        <w:ind w:left="1" w:firstLine="2" w:firstLineChars="1"/>
        <w:rPr>
          <w:rFonts w:ascii="宋体" w:hAnsi="宋体" w:cs="宋体"/>
          <w:b/>
          <w:bCs/>
          <w:sz w:val="18"/>
          <w:szCs w:val="18"/>
          <w:highlight w:val="none"/>
        </w:rPr>
      </w:pPr>
      <w:r>
        <w:rPr>
          <w:rFonts w:hint="eastAsia" w:ascii="宋体" w:hAnsi="宋体" w:cs="宋体"/>
          <w:sz w:val="24"/>
          <w:highlight w:val="none"/>
        </w:rPr>
        <w:br w:type="page"/>
      </w:r>
    </w:p>
    <w:p>
      <w:pPr>
        <w:shd w:val="clear" w:color="auto" w:fill="FFFFFF"/>
        <w:spacing w:line="360" w:lineRule="auto"/>
        <w:ind w:firstLine="3120" w:firstLineChars="1300"/>
        <w:jc w:val="left"/>
        <w:rPr>
          <w:rFonts w:ascii="宋体" w:hAnsi="宋体" w:cs="宋体"/>
          <w:sz w:val="24"/>
          <w:highlight w:val="none"/>
        </w:rPr>
      </w:pPr>
    </w:p>
    <w:p>
      <w:pPr>
        <w:pStyle w:val="3"/>
        <w:jc w:val="center"/>
        <w:rPr>
          <w:rFonts w:ascii="宋体" w:hAnsi="宋体" w:cs="宋体"/>
          <w:b w:val="0"/>
          <w:bCs w:val="0"/>
          <w:highlight w:val="none"/>
        </w:rPr>
      </w:pPr>
      <w:bookmarkStart w:id="150" w:name="_Toc80886947"/>
      <w:bookmarkStart w:id="151" w:name="_Toc15154"/>
      <w:bookmarkStart w:id="152" w:name="_Toc24786"/>
      <w:bookmarkStart w:id="153" w:name="_Toc4005"/>
      <w:bookmarkStart w:id="154" w:name="_Toc18676"/>
      <w:bookmarkStart w:id="155" w:name="_Toc15161"/>
      <w:bookmarkStart w:id="156" w:name="_Toc9343"/>
      <w:bookmarkStart w:id="157" w:name="_Toc12748"/>
    </w:p>
    <w:p>
      <w:pPr>
        <w:pStyle w:val="3"/>
        <w:jc w:val="center"/>
        <w:rPr>
          <w:rFonts w:ascii="宋体" w:hAnsi="宋体" w:cs="宋体"/>
          <w:b w:val="0"/>
          <w:bCs w:val="0"/>
          <w:highlight w:val="none"/>
        </w:rPr>
      </w:pPr>
    </w:p>
    <w:p>
      <w:pPr>
        <w:pStyle w:val="3"/>
        <w:jc w:val="center"/>
        <w:rPr>
          <w:rFonts w:ascii="宋体" w:hAnsi="宋体" w:cs="宋体"/>
          <w:b w:val="0"/>
          <w:bCs w:val="0"/>
          <w:highlight w:val="none"/>
        </w:rPr>
      </w:pPr>
    </w:p>
    <w:p>
      <w:pPr>
        <w:pStyle w:val="3"/>
        <w:jc w:val="center"/>
        <w:rPr>
          <w:rFonts w:ascii="宋体" w:hAnsi="宋体" w:cs="宋体"/>
          <w:b w:val="0"/>
          <w:bCs w:val="0"/>
          <w:highlight w:val="none"/>
        </w:rPr>
      </w:pPr>
      <w:r>
        <w:rPr>
          <w:rFonts w:hint="eastAsia" w:ascii="宋体" w:hAnsi="宋体" w:cs="宋体"/>
          <w:b w:val="0"/>
          <w:bCs w:val="0"/>
          <w:highlight w:val="none"/>
        </w:rPr>
        <w:t>第六章  合同文本</w:t>
      </w:r>
      <w:bookmarkEnd w:id="150"/>
      <w:bookmarkEnd w:id="151"/>
      <w:bookmarkEnd w:id="152"/>
      <w:bookmarkEnd w:id="153"/>
      <w:bookmarkEnd w:id="154"/>
      <w:bookmarkEnd w:id="155"/>
      <w:bookmarkEnd w:id="156"/>
    </w:p>
    <w:p>
      <w:pPr>
        <w:snapToGrid w:val="0"/>
        <w:rPr>
          <w:rFonts w:ascii="宋体" w:hAnsi="宋体" w:cs="宋体"/>
          <w:b/>
          <w:bCs/>
          <w:sz w:val="32"/>
          <w:szCs w:val="32"/>
          <w:highlight w:val="none"/>
        </w:rPr>
      </w:pPr>
      <w:r>
        <w:rPr>
          <w:rFonts w:hint="eastAsia" w:ascii="宋体" w:hAnsi="宋体" w:cs="宋体"/>
          <w:b/>
          <w:bCs/>
          <w:highlight w:val="none"/>
        </w:rPr>
        <w:br w:type="page"/>
      </w:r>
      <w:bookmarkEnd w:id="157"/>
    </w:p>
    <w:p>
      <w:pPr>
        <w:snapToGrid w:val="0"/>
        <w:spacing w:line="480" w:lineRule="exact"/>
        <w:jc w:val="center"/>
        <w:rPr>
          <w:rFonts w:ascii="宋体" w:hAnsi="宋体" w:cs="宋体"/>
          <w:b/>
          <w:bCs/>
          <w:sz w:val="32"/>
          <w:szCs w:val="32"/>
          <w:highlight w:val="none"/>
        </w:rPr>
      </w:pPr>
    </w:p>
    <w:p>
      <w:pPr>
        <w:snapToGrid w:val="0"/>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《广西壮族自治区政府采购合同》</w:t>
      </w:r>
    </w:p>
    <w:p>
      <w:pPr>
        <w:snapToGrid w:val="0"/>
        <w:spacing w:line="480" w:lineRule="exact"/>
        <w:ind w:right="480" w:firstLine="5250" w:firstLineChars="2500"/>
        <w:rPr>
          <w:rFonts w:ascii="宋体" w:hAnsi="宋体" w:cs="宋体"/>
          <w:bCs/>
          <w:szCs w:val="21"/>
          <w:highlight w:val="none"/>
        </w:rPr>
      </w:pPr>
    </w:p>
    <w:p>
      <w:pPr>
        <w:spacing w:line="500" w:lineRule="exact"/>
        <w:ind w:right="800"/>
        <w:rPr>
          <w:rFonts w:ascii="宋体" w:hAnsi="宋体" w:cs="宋体"/>
          <w:bCs/>
          <w:szCs w:val="21"/>
          <w:highlight w:val="none"/>
          <w:u w:val="single"/>
        </w:rPr>
      </w:pPr>
      <w:r>
        <w:rPr>
          <w:rFonts w:hint="eastAsia" w:ascii="宋体" w:hAnsi="宋体" w:cs="宋体"/>
          <w:szCs w:val="21"/>
          <w:highlight w:val="none"/>
        </w:rPr>
        <w:t>采购计划号：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bCs/>
          <w:szCs w:val="21"/>
          <w:highlight w:val="none"/>
        </w:rPr>
        <w:t>合同编号：</w:t>
      </w:r>
      <w:r>
        <w:rPr>
          <w:rFonts w:hint="eastAsia" w:ascii="宋体" w:hAnsi="宋体" w:cs="宋体"/>
          <w:szCs w:val="21"/>
          <w:highlight w:val="none"/>
          <w:u w:val="single"/>
        </w:rPr>
        <w:t xml:space="preserve">                  </w:t>
      </w:r>
    </w:p>
    <w:p>
      <w:pPr>
        <w:spacing w:line="500" w:lineRule="exact"/>
        <w:rPr>
          <w:rFonts w:ascii="宋体" w:hAnsi="宋体" w:cs="宋体"/>
          <w:szCs w:val="21"/>
          <w:highlight w:val="none"/>
          <w:u w:val="single"/>
        </w:rPr>
      </w:pPr>
      <w:r>
        <w:rPr>
          <w:rFonts w:hint="eastAsia" w:ascii="宋体" w:hAnsi="宋体" w:cs="宋体"/>
          <w:szCs w:val="21"/>
          <w:highlight w:val="none"/>
        </w:rPr>
        <w:t>采购人（甲方）：</w:t>
      </w:r>
      <w:r>
        <w:rPr>
          <w:rFonts w:hint="eastAsia" w:ascii="宋体" w:hAnsi="宋体" w:cs="宋体"/>
          <w:szCs w:val="21"/>
          <w:highlight w:val="none"/>
          <w:u w:val="single"/>
        </w:rPr>
        <w:t xml:space="preserve">                     </w:t>
      </w:r>
      <w:r>
        <w:rPr>
          <w:rFonts w:hint="eastAsia" w:ascii="宋体" w:hAnsi="宋体" w:cs="宋体"/>
          <w:szCs w:val="21"/>
          <w:highlight w:val="none"/>
        </w:rPr>
        <w:t xml:space="preserve">   供应商（乙方）：</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500" w:lineRule="exact"/>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项目编号：</w:t>
      </w:r>
      <w:r>
        <w:rPr>
          <w:rFonts w:hint="eastAsia" w:ascii="宋体" w:hAnsi="宋体" w:cs="宋体"/>
          <w:szCs w:val="21"/>
          <w:highlight w:val="none"/>
          <w:u w:val="single"/>
        </w:rPr>
        <w:t xml:space="preserve">                          </w:t>
      </w:r>
    </w:p>
    <w:p>
      <w:pPr>
        <w:spacing w:line="500" w:lineRule="exact"/>
        <w:rPr>
          <w:rFonts w:ascii="宋体" w:hAnsi="宋体" w:cs="宋体"/>
          <w:szCs w:val="21"/>
          <w:highlight w:val="none"/>
          <w:u w:val="single"/>
        </w:rPr>
      </w:pPr>
      <w:r>
        <w:rPr>
          <w:rFonts w:hint="eastAsia" w:ascii="宋体" w:hAnsi="宋体" w:cs="宋体"/>
          <w:szCs w:val="21"/>
          <w:highlight w:val="none"/>
        </w:rPr>
        <w:t>签订地点：</w:t>
      </w:r>
      <w:r>
        <w:rPr>
          <w:rFonts w:hint="eastAsia" w:ascii="宋体" w:hAnsi="宋体" w:cs="宋体"/>
          <w:szCs w:val="21"/>
          <w:highlight w:val="none"/>
          <w:u w:val="single"/>
        </w:rPr>
        <w:t xml:space="preserve">                           </w:t>
      </w:r>
      <w:r>
        <w:rPr>
          <w:rFonts w:hint="eastAsia" w:ascii="宋体" w:hAnsi="宋体" w:cs="宋体"/>
          <w:szCs w:val="21"/>
          <w:highlight w:val="none"/>
        </w:rPr>
        <w:t xml:space="preserve">   签订时间：</w:t>
      </w:r>
      <w:r>
        <w:rPr>
          <w:rFonts w:hint="eastAsia" w:ascii="宋体" w:hAnsi="宋体" w:cs="宋体"/>
          <w:szCs w:val="21"/>
          <w:highlight w:val="none"/>
          <w:u w:val="single"/>
        </w:rPr>
        <w:t xml:space="preserve">                        </w:t>
      </w:r>
    </w:p>
    <w:p>
      <w:pPr>
        <w:spacing w:line="500" w:lineRule="exact"/>
        <w:rPr>
          <w:rFonts w:ascii="宋体" w:hAnsi="宋体" w:cs="宋体"/>
          <w:szCs w:val="21"/>
          <w:highlight w:val="none"/>
        </w:rPr>
      </w:pPr>
      <w:r>
        <w:rPr>
          <w:rFonts w:hint="eastAsia" w:ascii="宋体" w:hAnsi="宋体" w:cs="宋体"/>
          <w:szCs w:val="21"/>
          <w:highlight w:val="none"/>
        </w:rPr>
        <w:t>本合同为中小企业预留合同：</w:t>
      </w:r>
      <w:r>
        <w:rPr>
          <w:rFonts w:hint="eastAsia" w:ascii="宋体" w:hAnsi="宋体" w:cs="宋体"/>
          <w:szCs w:val="21"/>
          <w:highlight w:val="none"/>
          <w:u w:val="single"/>
        </w:rPr>
        <w:t>（是）</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根据《中华人民共和国政府采购法》、《中华人民共和国民法典》等法律、法规规定，按照</w:t>
      </w:r>
      <w:r>
        <w:rPr>
          <w:rFonts w:hint="eastAsia" w:ascii="宋体" w:hAnsi="宋体"/>
          <w:szCs w:val="21"/>
          <w:highlight w:val="none"/>
        </w:rPr>
        <w:t>磋商文件规定条款和乙方响应文件及其承诺，甲乙双方签订本合同。</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第一条　合同标的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1、服务内容一览表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800"/>
        <w:gridCol w:w="126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序号</w:t>
            </w:r>
          </w:p>
        </w:tc>
        <w:tc>
          <w:tcPr>
            <w:tcW w:w="1620" w:type="dxa"/>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服务项目</w:t>
            </w:r>
          </w:p>
        </w:tc>
        <w:tc>
          <w:tcPr>
            <w:tcW w:w="1800" w:type="dxa"/>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服务内容、标准</w:t>
            </w:r>
          </w:p>
        </w:tc>
        <w:tc>
          <w:tcPr>
            <w:tcW w:w="1260" w:type="dxa"/>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数量</w:t>
            </w:r>
          </w:p>
        </w:tc>
        <w:tc>
          <w:tcPr>
            <w:tcW w:w="1260" w:type="dxa"/>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单位</w:t>
            </w:r>
          </w:p>
        </w:tc>
        <w:tc>
          <w:tcPr>
            <w:tcW w:w="1440" w:type="dxa"/>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单  价</w:t>
            </w:r>
          </w:p>
          <w:p>
            <w:pPr>
              <w:snapToGrid w:val="0"/>
              <w:spacing w:line="360" w:lineRule="auto"/>
              <w:rPr>
                <w:rFonts w:ascii="宋体" w:hAnsi="宋体" w:cs="宋体"/>
                <w:szCs w:val="21"/>
                <w:highlight w:val="none"/>
              </w:rPr>
            </w:pPr>
            <w:r>
              <w:rPr>
                <w:rFonts w:hint="eastAsia" w:ascii="宋体" w:hAnsi="宋体" w:cs="宋体"/>
                <w:szCs w:val="21"/>
                <w:highlight w:val="none"/>
              </w:rPr>
              <w:t>（元）</w:t>
            </w:r>
          </w:p>
        </w:tc>
        <w:tc>
          <w:tcPr>
            <w:tcW w:w="1260" w:type="dxa"/>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金  额</w:t>
            </w:r>
          </w:p>
          <w:p>
            <w:pPr>
              <w:snapToGrid w:val="0"/>
              <w:spacing w:line="360" w:lineRule="auto"/>
              <w:rPr>
                <w:rFonts w:ascii="宋体" w:hAnsi="宋体" w:cs="宋体"/>
                <w:szCs w:val="21"/>
                <w:highlight w:val="none"/>
              </w:rPr>
            </w:pPr>
            <w:r>
              <w:rPr>
                <w:rFonts w:hint="eastAsia" w:ascii="宋体" w:hAnsi="宋体" w:cs="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pPr>
              <w:snapToGrid w:val="0"/>
              <w:spacing w:line="360" w:lineRule="auto"/>
              <w:rPr>
                <w:rFonts w:ascii="宋体" w:hAnsi="宋体" w:cs="宋体"/>
                <w:szCs w:val="21"/>
                <w:highlight w:val="none"/>
              </w:rPr>
            </w:pPr>
          </w:p>
        </w:tc>
        <w:tc>
          <w:tcPr>
            <w:tcW w:w="1620" w:type="dxa"/>
            <w:vAlign w:val="center"/>
          </w:tcPr>
          <w:p>
            <w:pPr>
              <w:snapToGrid w:val="0"/>
              <w:spacing w:line="360" w:lineRule="auto"/>
              <w:rPr>
                <w:rFonts w:ascii="宋体" w:hAnsi="宋体" w:cs="宋体"/>
                <w:szCs w:val="21"/>
                <w:highlight w:val="none"/>
              </w:rPr>
            </w:pPr>
          </w:p>
        </w:tc>
        <w:tc>
          <w:tcPr>
            <w:tcW w:w="1800" w:type="dxa"/>
            <w:vAlign w:val="center"/>
          </w:tcPr>
          <w:p>
            <w:pPr>
              <w:snapToGrid w:val="0"/>
              <w:spacing w:line="360" w:lineRule="auto"/>
              <w:rPr>
                <w:rFonts w:ascii="宋体" w:hAnsi="宋体" w:cs="宋体"/>
                <w:szCs w:val="21"/>
                <w:highlight w:val="none"/>
              </w:rPr>
            </w:pPr>
          </w:p>
        </w:tc>
        <w:tc>
          <w:tcPr>
            <w:tcW w:w="1260" w:type="dxa"/>
          </w:tcPr>
          <w:p>
            <w:pPr>
              <w:snapToGrid w:val="0"/>
              <w:spacing w:line="360" w:lineRule="auto"/>
              <w:rPr>
                <w:rFonts w:ascii="宋体" w:hAnsi="宋体" w:cs="宋体"/>
                <w:szCs w:val="21"/>
                <w:highlight w:val="none"/>
              </w:rPr>
            </w:pPr>
          </w:p>
        </w:tc>
        <w:tc>
          <w:tcPr>
            <w:tcW w:w="1260" w:type="dxa"/>
          </w:tcPr>
          <w:p>
            <w:pPr>
              <w:snapToGrid w:val="0"/>
              <w:spacing w:line="360" w:lineRule="auto"/>
              <w:rPr>
                <w:rFonts w:ascii="宋体" w:hAnsi="宋体" w:cs="宋体"/>
                <w:szCs w:val="21"/>
                <w:highlight w:val="none"/>
              </w:rPr>
            </w:pPr>
          </w:p>
        </w:tc>
        <w:tc>
          <w:tcPr>
            <w:tcW w:w="1440" w:type="dxa"/>
            <w:vAlign w:val="center"/>
          </w:tcPr>
          <w:p>
            <w:pPr>
              <w:snapToGrid w:val="0"/>
              <w:spacing w:line="360" w:lineRule="auto"/>
              <w:rPr>
                <w:rFonts w:ascii="宋体" w:hAnsi="宋体" w:cs="宋体"/>
                <w:szCs w:val="21"/>
                <w:highlight w:val="none"/>
              </w:rPr>
            </w:pPr>
          </w:p>
        </w:tc>
        <w:tc>
          <w:tcPr>
            <w:tcW w:w="1260" w:type="dxa"/>
            <w:vAlign w:val="center"/>
          </w:tcPr>
          <w:p>
            <w:pPr>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pPr>
              <w:snapToGrid w:val="0"/>
              <w:spacing w:line="360" w:lineRule="auto"/>
              <w:rPr>
                <w:rFonts w:ascii="宋体" w:hAnsi="宋体" w:cs="宋体"/>
                <w:szCs w:val="21"/>
                <w:highlight w:val="none"/>
              </w:rPr>
            </w:pPr>
          </w:p>
        </w:tc>
        <w:tc>
          <w:tcPr>
            <w:tcW w:w="1620" w:type="dxa"/>
            <w:vAlign w:val="center"/>
          </w:tcPr>
          <w:p>
            <w:pPr>
              <w:snapToGrid w:val="0"/>
              <w:spacing w:line="360" w:lineRule="auto"/>
              <w:rPr>
                <w:rFonts w:ascii="宋体" w:hAnsi="宋体" w:cs="宋体"/>
                <w:szCs w:val="21"/>
                <w:highlight w:val="none"/>
              </w:rPr>
            </w:pPr>
          </w:p>
        </w:tc>
        <w:tc>
          <w:tcPr>
            <w:tcW w:w="1800" w:type="dxa"/>
            <w:vAlign w:val="center"/>
          </w:tcPr>
          <w:p>
            <w:pPr>
              <w:snapToGrid w:val="0"/>
              <w:spacing w:line="360" w:lineRule="auto"/>
              <w:rPr>
                <w:rFonts w:ascii="宋体" w:hAnsi="宋体" w:cs="宋体"/>
                <w:szCs w:val="21"/>
                <w:highlight w:val="none"/>
              </w:rPr>
            </w:pPr>
          </w:p>
        </w:tc>
        <w:tc>
          <w:tcPr>
            <w:tcW w:w="1260" w:type="dxa"/>
          </w:tcPr>
          <w:p>
            <w:pPr>
              <w:snapToGrid w:val="0"/>
              <w:spacing w:line="360" w:lineRule="auto"/>
              <w:rPr>
                <w:rFonts w:ascii="宋体" w:hAnsi="宋体" w:cs="宋体"/>
                <w:szCs w:val="21"/>
                <w:highlight w:val="none"/>
              </w:rPr>
            </w:pPr>
          </w:p>
        </w:tc>
        <w:tc>
          <w:tcPr>
            <w:tcW w:w="1260" w:type="dxa"/>
          </w:tcPr>
          <w:p>
            <w:pPr>
              <w:snapToGrid w:val="0"/>
              <w:spacing w:line="360" w:lineRule="auto"/>
              <w:rPr>
                <w:rFonts w:ascii="宋体" w:hAnsi="宋体" w:cs="宋体"/>
                <w:szCs w:val="21"/>
                <w:highlight w:val="none"/>
              </w:rPr>
            </w:pPr>
          </w:p>
        </w:tc>
        <w:tc>
          <w:tcPr>
            <w:tcW w:w="1440" w:type="dxa"/>
            <w:vAlign w:val="center"/>
          </w:tcPr>
          <w:p>
            <w:pPr>
              <w:snapToGrid w:val="0"/>
              <w:spacing w:line="360" w:lineRule="auto"/>
              <w:rPr>
                <w:rFonts w:ascii="宋体" w:hAnsi="宋体" w:cs="宋体"/>
                <w:szCs w:val="21"/>
                <w:highlight w:val="none"/>
              </w:rPr>
            </w:pPr>
          </w:p>
        </w:tc>
        <w:tc>
          <w:tcPr>
            <w:tcW w:w="1260" w:type="dxa"/>
            <w:vAlign w:val="center"/>
          </w:tcPr>
          <w:p>
            <w:pPr>
              <w:snapToGri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60" w:type="dxa"/>
            <w:gridSpan w:val="7"/>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 xml:space="preserve">人民币合计金额（大写）                          （小写）                 </w:t>
            </w:r>
          </w:p>
        </w:tc>
      </w:tr>
    </w:tbl>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第二条 质量保证</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乙方所提供的服务及服务内容必须与投标文件承诺相一致，有</w:t>
      </w:r>
      <w:r>
        <w:rPr>
          <w:rFonts w:hint="eastAsia" w:ascii="Tahoma" w:hAnsi="宋体" w:eastAsia="微软雅黑"/>
          <w:kern w:val="0"/>
          <w:szCs w:val="21"/>
          <w:highlight w:val="none"/>
        </w:rPr>
        <w:t>研发、开发等相关实施团队驻场进行开发实施服务</w:t>
      </w:r>
      <w:r>
        <w:rPr>
          <w:rFonts w:hint="eastAsia" w:ascii="宋体" w:hAnsi="宋体" w:cs="宋体"/>
          <w:kern w:val="0"/>
          <w:szCs w:val="21"/>
          <w:highlight w:val="none"/>
        </w:rPr>
        <w:t>，</w:t>
      </w:r>
      <w:r>
        <w:rPr>
          <w:rFonts w:hint="eastAsia" w:ascii="宋体" w:hAnsi="宋体"/>
          <w:kern w:val="0"/>
          <w:szCs w:val="21"/>
          <w:highlight w:val="none"/>
        </w:rPr>
        <w:t>有国家强制性标准的，还必须符合国家强制性标准的规定，没有国家强制性标准但有其他强制性标准的，必须符合其他强制性标准的规定。</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第三条 权利保证</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1、乙方应保证所提供服务在使用时不会侵犯任何第三方的专利权、商标权、工业设计权等知识产权及其他合法权利，且所有权、处分权等没有受到任何限制。</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3、服务期间须按照国家网络安全及信息保密安全有关管理规定做好网络安全保密工作。指定具体网络安全责任人，建立独立的管理技术团队负责项目实施过程中的网络安全管理。网络安全责任人及工作人员有变更、乙方工作人员有业务转型或乙方因自身原因有合并重组等的须提前向甲方进行书面说明，未经甲方同意，乙方不得私自将在甲方工作期间的项目任务进行分包、转包。</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4、服务期间涉及的政务数据和其他数据须分开处理，不得私自将工作中处理的数据进行变更处理。中标人在服务期间处理数据，涉及到个人信息时，须按照国家个人信息保护相关管理规定，做好数据处理存储工作。甲方具有所有权、使用权和访问权，采购人不得私自更改、访问、利用和销毁服务期间涉及到的政务数据信息。</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5、做好网络安全漏洞检查，发现安全漏洞、缺陷及安全风险须及时通报甲方，并形成报告向区网信、公安部门报告，安全漏洞未经网信、公安部门同意，不得向第三人公开。</w:t>
      </w:r>
    </w:p>
    <w:p>
      <w:pPr>
        <w:widowControl/>
        <w:adjustRightInd w:val="0"/>
        <w:snapToGrid w:val="0"/>
        <w:spacing w:line="410" w:lineRule="exact"/>
        <w:ind w:firstLine="315" w:firstLineChars="150"/>
        <w:jc w:val="left"/>
        <w:rPr>
          <w:rFonts w:ascii="仿宋_GB2312" w:hAnsi="宋体" w:eastAsia="仿宋_GB2312"/>
          <w:color w:val="FF0000"/>
          <w:highlight w:val="none"/>
        </w:rPr>
      </w:pPr>
      <w:r>
        <w:rPr>
          <w:rFonts w:hint="eastAsia" w:ascii="宋体" w:hAnsi="宋体"/>
          <w:kern w:val="0"/>
          <w:szCs w:val="21"/>
          <w:highlight w:val="none"/>
        </w:rPr>
        <w:t>6、处理数据时优先使用国产安全可信的硬件软件产品，硬软件信息系统须按照国家密码管理要求设置不限于数字字母特殊字符组合的强口令的密码。</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第四条 交付和验收</w:t>
      </w:r>
    </w:p>
    <w:p>
      <w:pPr>
        <w:widowControl/>
        <w:adjustRightInd w:val="0"/>
        <w:snapToGrid w:val="0"/>
        <w:spacing w:line="410" w:lineRule="exact"/>
        <w:ind w:firstLine="420" w:firstLineChars="200"/>
        <w:jc w:val="left"/>
        <w:rPr>
          <w:rFonts w:ascii="宋体" w:hAnsi="宋体"/>
          <w:kern w:val="0"/>
          <w:szCs w:val="21"/>
          <w:highlight w:val="none"/>
          <w:u w:val="single"/>
        </w:rPr>
      </w:pPr>
      <w:r>
        <w:rPr>
          <w:rFonts w:hint="eastAsia" w:ascii="宋体" w:hAnsi="宋体"/>
          <w:kern w:val="0"/>
          <w:szCs w:val="21"/>
          <w:highlight w:val="none"/>
        </w:rPr>
        <w:t>1、服务期限：</w:t>
      </w:r>
      <w:r>
        <w:rPr>
          <w:rFonts w:hint="eastAsia" w:ascii="宋体" w:hAnsi="宋体"/>
          <w:kern w:val="0"/>
          <w:szCs w:val="21"/>
          <w:highlight w:val="none"/>
          <w:u w:val="single"/>
        </w:rPr>
        <w:t xml:space="preserve">     年    月   日起至    年    月   日止。</w:t>
      </w:r>
    </w:p>
    <w:p>
      <w:pPr>
        <w:widowControl/>
        <w:adjustRightInd w:val="0"/>
        <w:snapToGrid w:val="0"/>
        <w:spacing w:line="410" w:lineRule="exact"/>
        <w:ind w:firstLine="420" w:firstLineChars="200"/>
        <w:jc w:val="left"/>
        <w:rPr>
          <w:rFonts w:ascii="宋体" w:hAnsi="宋体"/>
          <w:kern w:val="0"/>
          <w:szCs w:val="21"/>
          <w:highlight w:val="none"/>
        </w:rPr>
      </w:pPr>
      <w:r>
        <w:rPr>
          <w:rFonts w:hint="eastAsia" w:ascii="宋体" w:hAnsi="宋体"/>
          <w:kern w:val="0"/>
          <w:szCs w:val="21"/>
          <w:highlight w:val="none"/>
        </w:rPr>
        <w:t>2、服务地点：</w:t>
      </w:r>
      <w:r>
        <w:rPr>
          <w:rFonts w:hint="eastAsia" w:ascii="宋体" w:hAnsi="宋体"/>
          <w:szCs w:val="21"/>
          <w:highlight w:val="none"/>
        </w:rPr>
        <w:t>广西区内（甲方指定地点）</w:t>
      </w:r>
      <w:r>
        <w:rPr>
          <w:rFonts w:hint="eastAsia" w:ascii="宋体" w:hAnsi="宋体"/>
          <w:kern w:val="0"/>
          <w:szCs w:val="21"/>
          <w:highlight w:val="none"/>
        </w:rPr>
        <w:t>。</w:t>
      </w:r>
    </w:p>
    <w:p>
      <w:pPr>
        <w:widowControl/>
        <w:adjustRightInd w:val="0"/>
        <w:snapToGrid w:val="0"/>
        <w:spacing w:line="410" w:lineRule="exact"/>
        <w:ind w:firstLine="420" w:firstLineChars="200"/>
        <w:jc w:val="left"/>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、乙方应按投标文件的承诺向甲方提供相应的服务，并提供所服务内容的相关技术资料。</w:t>
      </w:r>
    </w:p>
    <w:p>
      <w:pPr>
        <w:widowControl/>
        <w:adjustRightInd w:val="0"/>
        <w:snapToGrid w:val="0"/>
        <w:spacing w:line="410" w:lineRule="exact"/>
        <w:ind w:firstLine="420" w:firstLineChars="200"/>
        <w:jc w:val="left"/>
        <w:rPr>
          <w:rFonts w:ascii="宋体" w:hAnsi="宋体"/>
          <w:kern w:val="0"/>
          <w:szCs w:val="21"/>
          <w:highlight w:val="none"/>
        </w:rPr>
      </w:pPr>
      <w:r>
        <w:rPr>
          <w:rFonts w:ascii="宋体" w:hAnsi="宋体"/>
          <w:kern w:val="0"/>
          <w:szCs w:val="21"/>
          <w:highlight w:val="none"/>
        </w:rPr>
        <w:t>4</w:t>
      </w:r>
      <w:r>
        <w:rPr>
          <w:rFonts w:hint="eastAsia" w:ascii="宋体" w:hAnsi="宋体"/>
          <w:kern w:val="0"/>
          <w:szCs w:val="21"/>
          <w:highlight w:val="none"/>
        </w:rPr>
        <w:t>、乙方提供不符合投标文件和本合同规定的服务成果，甲方有权拒绝接受。</w:t>
      </w:r>
    </w:p>
    <w:p>
      <w:pPr>
        <w:widowControl/>
        <w:adjustRightInd w:val="0"/>
        <w:snapToGrid w:val="0"/>
        <w:spacing w:line="410" w:lineRule="exact"/>
        <w:ind w:firstLine="420" w:firstLineChars="200"/>
        <w:jc w:val="left"/>
        <w:rPr>
          <w:rFonts w:ascii="宋体" w:hAnsi="宋体"/>
          <w:kern w:val="0"/>
          <w:szCs w:val="21"/>
          <w:highlight w:val="none"/>
        </w:rPr>
      </w:pPr>
      <w:r>
        <w:rPr>
          <w:rFonts w:ascii="宋体" w:hAnsi="宋体"/>
          <w:kern w:val="0"/>
          <w:szCs w:val="21"/>
          <w:highlight w:val="none"/>
        </w:rPr>
        <w:t>5</w:t>
      </w:r>
      <w:r>
        <w:rPr>
          <w:rFonts w:hint="eastAsia" w:ascii="宋体" w:hAnsi="宋体"/>
          <w:kern w:val="0"/>
          <w:szCs w:val="21"/>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pPr>
        <w:widowControl/>
        <w:adjustRightInd w:val="0"/>
        <w:snapToGrid w:val="0"/>
        <w:spacing w:line="410" w:lineRule="exact"/>
        <w:ind w:firstLine="315" w:firstLineChars="150"/>
        <w:jc w:val="left"/>
        <w:rPr>
          <w:rFonts w:ascii="宋体" w:hAnsi="宋体"/>
          <w:kern w:val="0"/>
          <w:szCs w:val="21"/>
          <w:highlight w:val="none"/>
        </w:rPr>
      </w:pPr>
      <w:r>
        <w:rPr>
          <w:rFonts w:ascii="宋体" w:hAnsi="宋体"/>
          <w:kern w:val="0"/>
          <w:szCs w:val="21"/>
          <w:highlight w:val="none"/>
        </w:rPr>
        <w:t>6</w:t>
      </w:r>
      <w:r>
        <w:rPr>
          <w:rFonts w:hint="eastAsia" w:ascii="宋体" w:hAnsi="宋体"/>
          <w:kern w:val="0"/>
          <w:szCs w:val="21"/>
          <w:highlight w:val="none"/>
        </w:rPr>
        <w:t>、甲乙双方应按照《广西壮族自治区政府采购项目履约验收管理办法》、双方合同、投标文件验收。</w:t>
      </w:r>
    </w:p>
    <w:p>
      <w:pPr>
        <w:widowControl/>
        <w:adjustRightInd w:val="0"/>
        <w:snapToGrid w:val="0"/>
        <w:spacing w:line="410" w:lineRule="exact"/>
        <w:ind w:firstLine="315" w:firstLineChars="150"/>
        <w:jc w:val="left"/>
        <w:rPr>
          <w:rFonts w:ascii="宋体" w:hAnsi="宋体"/>
          <w:color w:val="000000"/>
          <w:kern w:val="0"/>
          <w:szCs w:val="21"/>
          <w:highlight w:val="none"/>
        </w:rPr>
      </w:pPr>
      <w:r>
        <w:rPr>
          <w:rFonts w:ascii="宋体" w:hAnsi="宋体"/>
          <w:color w:val="000000"/>
          <w:kern w:val="0"/>
          <w:szCs w:val="21"/>
          <w:highlight w:val="none"/>
        </w:rPr>
        <w:t>7</w:t>
      </w:r>
      <w:r>
        <w:rPr>
          <w:rFonts w:hint="eastAsia" w:ascii="宋体" w:hAnsi="宋体"/>
          <w:color w:val="000000"/>
          <w:kern w:val="0"/>
          <w:szCs w:val="21"/>
          <w:highlight w:val="none"/>
        </w:rPr>
        <w:t>、甲方在初步验收或者最终验收过程中如发现乙方提供的服务成果不满足投标文件及本合同规定的，暂不退还乙方缴纳的履约保证金，直到乙方及时完善并提交相应的服务成果且经甲方验收合格后，方可办理履约保证金退还。</w:t>
      </w:r>
    </w:p>
    <w:p>
      <w:pPr>
        <w:widowControl/>
        <w:adjustRightInd w:val="0"/>
        <w:snapToGrid w:val="0"/>
        <w:spacing w:line="410" w:lineRule="exact"/>
        <w:ind w:firstLine="315" w:firstLineChars="150"/>
        <w:jc w:val="left"/>
        <w:rPr>
          <w:rFonts w:ascii="宋体" w:hAnsi="宋体"/>
          <w:kern w:val="0"/>
          <w:szCs w:val="21"/>
          <w:highlight w:val="none"/>
        </w:rPr>
      </w:pPr>
      <w:r>
        <w:rPr>
          <w:rFonts w:ascii="宋体" w:hAnsi="宋体"/>
          <w:color w:val="000000"/>
          <w:kern w:val="0"/>
          <w:szCs w:val="21"/>
          <w:highlight w:val="none"/>
        </w:rPr>
        <w:t>8</w:t>
      </w:r>
      <w:r>
        <w:rPr>
          <w:rFonts w:hint="eastAsia" w:ascii="宋体" w:hAnsi="宋体"/>
          <w:color w:val="000000"/>
          <w:kern w:val="0"/>
          <w:szCs w:val="21"/>
          <w:highlight w:val="none"/>
        </w:rPr>
        <w:t>、甲方验收时以书面形式提出异议</w:t>
      </w:r>
      <w:r>
        <w:rPr>
          <w:rFonts w:hint="eastAsia" w:ascii="宋体" w:hAnsi="宋体"/>
          <w:kern w:val="0"/>
          <w:szCs w:val="21"/>
          <w:highlight w:val="none"/>
        </w:rPr>
        <w:t>的，乙方应自收到甲方书面异议后五个工作日内及时予以解决，否则甲方有权不出具服务验收合格单。</w:t>
      </w:r>
    </w:p>
    <w:p>
      <w:pPr>
        <w:widowControl/>
        <w:adjustRightInd w:val="0"/>
        <w:snapToGrid w:val="0"/>
        <w:spacing w:line="410" w:lineRule="exact"/>
        <w:ind w:firstLine="315" w:firstLineChars="150"/>
        <w:jc w:val="left"/>
        <w:rPr>
          <w:rFonts w:ascii="宋体" w:hAnsi="宋体"/>
          <w:kern w:val="0"/>
          <w:szCs w:val="21"/>
          <w:highlight w:val="none"/>
        </w:rPr>
      </w:pPr>
      <w:r>
        <w:rPr>
          <w:rFonts w:ascii="宋体" w:hAnsi="宋体"/>
          <w:kern w:val="0"/>
          <w:szCs w:val="21"/>
          <w:highlight w:val="none"/>
        </w:rPr>
        <w:t>9</w:t>
      </w:r>
      <w:r>
        <w:rPr>
          <w:rFonts w:hint="eastAsia" w:ascii="宋体" w:hAnsi="宋体"/>
          <w:kern w:val="0"/>
          <w:szCs w:val="21"/>
          <w:highlight w:val="none"/>
        </w:rPr>
        <w:t>、甲方可对系统平台对接、接口互通、数据上报、数据校验等功能进行验证，验证结果达不到招标文件预期效果及功能不满足的，经双方协商无效后按违约处理，同时甲方有权上报相关监督管理部门，由此造成甲方损失的由乙方负责承担全部赔偿责任。</w:t>
      </w:r>
    </w:p>
    <w:p>
      <w:pPr>
        <w:widowControl/>
        <w:adjustRightInd w:val="0"/>
        <w:snapToGrid w:val="0"/>
        <w:spacing w:line="410" w:lineRule="exact"/>
        <w:ind w:firstLine="315" w:firstLineChars="150"/>
        <w:jc w:val="left"/>
        <w:rPr>
          <w:rFonts w:ascii="宋体" w:hAnsi="宋体"/>
          <w:kern w:val="0"/>
          <w:szCs w:val="21"/>
          <w:highlight w:val="none"/>
        </w:rPr>
      </w:pPr>
      <w:r>
        <w:rPr>
          <w:rFonts w:ascii="宋体" w:hAnsi="宋体"/>
          <w:kern w:val="0"/>
          <w:szCs w:val="21"/>
          <w:highlight w:val="none"/>
        </w:rPr>
        <w:t>10</w:t>
      </w:r>
      <w:r>
        <w:rPr>
          <w:rFonts w:hint="eastAsia" w:ascii="宋体" w:hAnsi="宋体"/>
          <w:kern w:val="0"/>
          <w:szCs w:val="21"/>
          <w:highlight w:val="none"/>
        </w:rPr>
        <w:t>、乙方交付物应包含但不限于平台系统开发的源代码、系统管理员账号、配置或操作文档、标准接口文档、数据库表结构等内容 。</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第五条  售后服务及培训</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1、乙方应按照国家有关法律法规和本合同所附的《售后服务承诺》要求为甲方提供相应的售后服务。</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2、甲方应提供必要测试条件（如场地、电源、水源等）。</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3、乙方负责甲方有关人员的培训。培训时间、地点：</w:t>
      </w:r>
      <w:r>
        <w:rPr>
          <w:rFonts w:hint="eastAsia" w:ascii="宋体" w:hAnsi="宋体"/>
          <w:kern w:val="0"/>
          <w:szCs w:val="21"/>
          <w:highlight w:val="none"/>
          <w:u w:val="single"/>
        </w:rPr>
        <w:t xml:space="preserve">        /            </w:t>
      </w:r>
      <w:r>
        <w:rPr>
          <w:rFonts w:hint="eastAsia" w:ascii="宋体" w:hAnsi="宋体"/>
          <w:kern w:val="0"/>
          <w:szCs w:val="21"/>
          <w:highlight w:val="none"/>
        </w:rPr>
        <w:t>。</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第六条 付款方式</w:t>
      </w:r>
    </w:p>
    <w:p>
      <w:pPr>
        <w:widowControl/>
        <w:adjustRightInd w:val="0"/>
        <w:snapToGrid w:val="0"/>
        <w:spacing w:line="410" w:lineRule="exact"/>
        <w:ind w:firstLine="420" w:firstLineChars="200"/>
        <w:jc w:val="left"/>
        <w:rPr>
          <w:rFonts w:ascii="宋体" w:hAnsi="宋体"/>
          <w:kern w:val="0"/>
          <w:szCs w:val="21"/>
          <w:highlight w:val="none"/>
          <w:u w:val="single"/>
        </w:rPr>
      </w:pPr>
      <w:r>
        <w:rPr>
          <w:rFonts w:hint="eastAsia" w:ascii="宋体" w:hAnsi="宋体"/>
          <w:kern w:val="0"/>
          <w:szCs w:val="21"/>
          <w:highlight w:val="none"/>
        </w:rPr>
        <w:t>付款方式：签订合同后十个工作日内，甲方向乙方支付合同总额的70%，合同签订</w:t>
      </w:r>
      <w:r>
        <w:rPr>
          <w:rFonts w:hint="eastAsia"/>
          <w:highlight w:val="none"/>
        </w:rPr>
        <w:t>三个月</w:t>
      </w:r>
      <w:r>
        <w:rPr>
          <w:rFonts w:hint="eastAsia" w:ascii="宋体" w:hAnsi="宋体"/>
          <w:kern w:val="0"/>
          <w:szCs w:val="21"/>
          <w:highlight w:val="none"/>
        </w:rPr>
        <w:t>后，甲方向乙方支付合同总额的30%。乙</w:t>
      </w:r>
      <w:r>
        <w:rPr>
          <w:rFonts w:hint="eastAsia" w:ascii="宋体" w:hAnsi="宋体" w:cs="宋体"/>
          <w:highlight w:val="none"/>
        </w:rPr>
        <w:t>方自收到合同价款之日起三个工作日内，开具发票给甲方。</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第七条 履约保证金</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履约保证金金额：按中标金额的</w:t>
      </w:r>
      <w:r>
        <w:rPr>
          <w:rFonts w:hint="eastAsia" w:ascii="宋体" w:hAnsi="宋体"/>
          <w:kern w:val="0"/>
          <w:szCs w:val="21"/>
          <w:highlight w:val="none"/>
          <w:u w:val="single"/>
        </w:rPr>
        <w:t xml:space="preserve"> 2 </w:t>
      </w:r>
      <w:r>
        <w:rPr>
          <w:rFonts w:hint="eastAsia" w:ascii="宋体" w:hAnsi="宋体"/>
          <w:kern w:val="0"/>
          <w:szCs w:val="21"/>
          <w:highlight w:val="none"/>
        </w:rPr>
        <w:t>%，乙方在合同签订后3个工作日内支付给甲方。</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履约保证金递交方式：银行转账、支票、汇票、本票或者金融机构、担保机构出具的保函等非现金形式提交。（参照投标保证金）。</w:t>
      </w:r>
    </w:p>
    <w:p>
      <w:pPr>
        <w:spacing w:line="360" w:lineRule="auto"/>
        <w:contextualSpacing/>
        <w:rPr>
          <w:rFonts w:ascii="宋体" w:hAnsi="宋体" w:cs="宋体"/>
          <w:szCs w:val="21"/>
          <w:highlight w:val="none"/>
        </w:rPr>
      </w:pPr>
      <w:r>
        <w:rPr>
          <w:rFonts w:hint="eastAsia" w:ascii="宋体" w:hAnsi="宋体" w:cs="宋体"/>
          <w:szCs w:val="21"/>
          <w:highlight w:val="none"/>
        </w:rPr>
        <w:t>履约保证金指定账户：</w:t>
      </w:r>
    </w:p>
    <w:p>
      <w:pPr>
        <w:spacing w:line="360" w:lineRule="auto"/>
        <w:rPr>
          <w:rFonts w:ascii="宋体" w:hAnsi="宋体" w:cs="宋体"/>
          <w:szCs w:val="21"/>
          <w:highlight w:val="none"/>
          <w:u w:val="single"/>
        </w:rPr>
      </w:pPr>
      <w:r>
        <w:rPr>
          <w:rFonts w:hint="eastAsia" w:ascii="宋体" w:hAnsi="宋体" w:cs="宋体"/>
          <w:szCs w:val="21"/>
          <w:highlight w:val="none"/>
        </w:rPr>
        <w:t>开户名称：广西壮族自治区道路运输发展中心</w:t>
      </w:r>
    </w:p>
    <w:p>
      <w:pPr>
        <w:spacing w:line="360" w:lineRule="auto"/>
        <w:rPr>
          <w:rFonts w:ascii="宋体" w:hAnsi="宋体" w:cs="宋体"/>
          <w:szCs w:val="21"/>
          <w:highlight w:val="none"/>
          <w:u w:val="single"/>
        </w:rPr>
      </w:pPr>
      <w:r>
        <w:rPr>
          <w:rFonts w:hint="eastAsia" w:ascii="宋体" w:hAnsi="宋体" w:cs="宋体"/>
          <w:szCs w:val="21"/>
          <w:highlight w:val="none"/>
          <w:u w:val="single"/>
        </w:rPr>
        <w:t>银行账户：2102101109221017081</w:t>
      </w:r>
    </w:p>
    <w:p>
      <w:pPr>
        <w:spacing w:line="360" w:lineRule="auto"/>
        <w:rPr>
          <w:rFonts w:ascii="宋体" w:hAnsi="宋体" w:cs="宋体"/>
          <w:szCs w:val="21"/>
          <w:highlight w:val="none"/>
          <w:u w:val="single"/>
        </w:rPr>
      </w:pPr>
      <w:r>
        <w:rPr>
          <w:rFonts w:hint="eastAsia" w:ascii="宋体" w:hAnsi="宋体" w:cs="宋体"/>
          <w:szCs w:val="21"/>
          <w:highlight w:val="none"/>
          <w:u w:val="single"/>
        </w:rPr>
        <w:t>开户银行：工行南宁市公园支行</w:t>
      </w:r>
    </w:p>
    <w:p>
      <w:pPr>
        <w:pStyle w:val="2"/>
        <w:rPr>
          <w:highlight w:val="none"/>
        </w:rPr>
      </w:pPr>
      <w:r>
        <w:rPr>
          <w:rFonts w:hint="eastAsia" w:hAnsi="宋体" w:cs="宋体"/>
          <w:highlight w:val="none"/>
          <w:u w:val="single"/>
        </w:rPr>
        <w:t>行号：102611010117</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履约保证金退付方式、时间及条件：本项目质保期结束后由乙方向甲方提供《广西壮族自治区政府采购项目合同验收书》（详见附件1）及《政府采购项目履约保证金退付意见书》（详见附件2），乙方在收到合格材料后15个工作日内办理退还手续（不计利息）。</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第八条  税费</w:t>
      </w:r>
    </w:p>
    <w:p>
      <w:pPr>
        <w:widowControl/>
        <w:adjustRightInd w:val="0"/>
        <w:snapToGrid w:val="0"/>
        <w:spacing w:line="410" w:lineRule="exact"/>
        <w:ind w:firstLine="420" w:firstLineChars="200"/>
        <w:jc w:val="left"/>
        <w:rPr>
          <w:rFonts w:ascii="宋体" w:hAnsi="宋体"/>
          <w:kern w:val="0"/>
          <w:szCs w:val="21"/>
          <w:highlight w:val="none"/>
        </w:rPr>
      </w:pPr>
      <w:r>
        <w:rPr>
          <w:rFonts w:hint="eastAsia" w:ascii="宋体" w:hAnsi="宋体"/>
          <w:kern w:val="0"/>
          <w:szCs w:val="21"/>
          <w:highlight w:val="none"/>
        </w:rPr>
        <w:t>本合同执行中相关的一切税费均由乙方负担，合同另有约定的除外。</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第九条 违约责任</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2、乙方提供的服务如侵犯了第三方合法权益而引发的任何纠纷或者诉讼，均由乙方负责交涉并承担全部责任。</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3、甲方延期付款的，每天向乙方偿付延期款额3‰滞纳金，但滞纳金累计不得超过延期款额5%。</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第十条  不可抗力事件处理</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1、在合同有效期内，任何一方因不可抗力事件导致不能履行合同，则合同履行期可延长，其延长期与不可抗力影响期相同。</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2、不可抗力事件发生后，应立即通知对方，并寄送有关权威机构出具的证明。</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3、不可抗力事件延续一百二十天以上，双方应通过友好协商，确定是否继续履行合同。</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第十一条  合同争议解决</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1、因服务质量问题发生争议的，应邀请国家认可的质量检测机构进行鉴定。服务符合标准的，鉴定费由甲方承担；服务不符合标准的，鉴定费由乙方承担。</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2、因履行本合同引起的或者与本合同有关的争议，甲乙双方应首先通过友好协商解决，如果协商不能解决，向甲方所在地有管辖权人民法院提起诉讼。</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3、诉讼期间，本合同继续履行。</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第十二条  合同生效及其它</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1、合同自双方法定代表人或者授权代表签字并加盖单位公章之日起生效（委托代理人签字的需后附法定代表人授权委托书，格式自拟）。</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2、合同执行中涉及采购资金和采购内容修改或者补充的，须经财政部门审批，并签书面补充协议报财政部门备案，方可作为主合同不可分割的一部分。</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3、本合同未尽事宜，遵照《中华人民共和国民法典》有关条文执行。</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第十三条 合同的变更、终止与转让</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1、除《中华人民共和国政府采购法》第五十条规定的情形外，本合同一经签订，甲乙双方不得擅自变更、中止或者终止。</w:t>
      </w:r>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2、乙方不得擅自转让其应履行的合同义务。</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第十四条 签订本合同依据</w:t>
      </w:r>
    </w:p>
    <w:p>
      <w:pPr>
        <w:widowControl/>
        <w:adjustRightInd w:val="0"/>
        <w:snapToGrid w:val="0"/>
        <w:spacing w:line="410" w:lineRule="exact"/>
        <w:ind w:firstLine="315" w:firstLineChars="150"/>
        <w:jc w:val="left"/>
        <w:rPr>
          <w:rFonts w:ascii="宋体" w:hAnsi="宋体"/>
          <w:kern w:val="0"/>
          <w:szCs w:val="21"/>
          <w:highlight w:val="none"/>
        </w:rPr>
      </w:pPr>
      <w:bookmarkStart w:id="158" w:name="_Toc9624_WPSOffice_Level2"/>
      <w:bookmarkStart w:id="159" w:name="_Toc9541_WPSOffice_Level2"/>
      <w:r>
        <w:rPr>
          <w:rFonts w:hint="eastAsia" w:ascii="宋体" w:hAnsi="宋体"/>
          <w:kern w:val="0"/>
          <w:szCs w:val="21"/>
          <w:highlight w:val="none"/>
        </w:rPr>
        <w:t>1、政府采购竞争性磋商文件；</w:t>
      </w:r>
      <w:bookmarkEnd w:id="158"/>
      <w:bookmarkEnd w:id="159"/>
    </w:p>
    <w:p>
      <w:pPr>
        <w:widowControl/>
        <w:adjustRightInd w:val="0"/>
        <w:snapToGrid w:val="0"/>
        <w:spacing w:line="410" w:lineRule="exact"/>
        <w:ind w:firstLine="315" w:firstLineChars="150"/>
        <w:jc w:val="left"/>
        <w:rPr>
          <w:rFonts w:ascii="宋体" w:hAnsi="宋体"/>
          <w:kern w:val="0"/>
          <w:szCs w:val="21"/>
          <w:highlight w:val="none"/>
        </w:rPr>
      </w:pPr>
      <w:bookmarkStart w:id="160" w:name="_Toc25725_WPSOffice_Level2"/>
      <w:bookmarkStart w:id="161" w:name="_Toc16872_WPSOffice_Level2"/>
      <w:r>
        <w:rPr>
          <w:rFonts w:hint="eastAsia" w:ascii="宋体" w:hAnsi="宋体"/>
          <w:kern w:val="0"/>
          <w:szCs w:val="21"/>
          <w:highlight w:val="none"/>
        </w:rPr>
        <w:t>2、乙方提供的采购响应（或应答）文件；</w:t>
      </w:r>
      <w:bookmarkEnd w:id="160"/>
      <w:bookmarkEnd w:id="161"/>
    </w:p>
    <w:p>
      <w:pPr>
        <w:widowControl/>
        <w:adjustRightInd w:val="0"/>
        <w:snapToGrid w:val="0"/>
        <w:spacing w:line="410" w:lineRule="exact"/>
        <w:ind w:firstLine="315" w:firstLineChars="150"/>
        <w:jc w:val="left"/>
        <w:rPr>
          <w:rFonts w:ascii="宋体" w:hAnsi="宋体"/>
          <w:kern w:val="0"/>
          <w:szCs w:val="21"/>
          <w:highlight w:val="none"/>
        </w:rPr>
      </w:pPr>
      <w:bookmarkStart w:id="162" w:name="_Toc32077_WPSOffice_Level2"/>
      <w:bookmarkStart w:id="163" w:name="_Toc11025_WPSOffice_Level2"/>
      <w:r>
        <w:rPr>
          <w:rFonts w:hint="eastAsia" w:ascii="宋体" w:hAnsi="宋体"/>
          <w:kern w:val="0"/>
          <w:szCs w:val="21"/>
          <w:highlight w:val="none"/>
        </w:rPr>
        <w:t>3、成交通知书。</w:t>
      </w:r>
      <w:bookmarkEnd w:id="162"/>
      <w:bookmarkEnd w:id="163"/>
    </w:p>
    <w:p>
      <w:pPr>
        <w:widowControl/>
        <w:adjustRightInd w:val="0"/>
        <w:snapToGrid w:val="0"/>
        <w:spacing w:line="410" w:lineRule="exact"/>
        <w:ind w:firstLine="315" w:firstLineChars="150"/>
        <w:jc w:val="left"/>
        <w:rPr>
          <w:rFonts w:ascii="宋体" w:hAnsi="宋体"/>
          <w:kern w:val="0"/>
          <w:szCs w:val="21"/>
          <w:highlight w:val="none"/>
        </w:rPr>
      </w:pPr>
      <w:r>
        <w:rPr>
          <w:rFonts w:hint="eastAsia" w:ascii="宋体" w:hAnsi="宋体"/>
          <w:kern w:val="0"/>
          <w:szCs w:val="21"/>
          <w:highlight w:val="none"/>
        </w:rPr>
        <w:t>4、上述合同文件互相补充和解释。如果合同文件之间存在矛盾或者不一致之处，以上述文件的排列顺序在先者为准。</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第十五条 本合同一式六份，具有同等法律效力，财政部门（政府采购监管部门）、采购代理机构各一份，甲乙双方各两份（可根据需要另增加）。</w:t>
      </w:r>
    </w:p>
    <w:p>
      <w:pPr>
        <w:widowControl/>
        <w:adjustRightInd w:val="0"/>
        <w:snapToGrid w:val="0"/>
        <w:spacing w:line="410" w:lineRule="exact"/>
        <w:jc w:val="left"/>
        <w:rPr>
          <w:rFonts w:ascii="宋体" w:hAnsi="宋体"/>
          <w:kern w:val="0"/>
          <w:szCs w:val="21"/>
          <w:highlight w:val="none"/>
        </w:rPr>
      </w:pPr>
      <w:r>
        <w:rPr>
          <w:rFonts w:hint="eastAsia" w:ascii="宋体" w:hAnsi="宋体"/>
          <w:kern w:val="0"/>
          <w:szCs w:val="21"/>
          <w:highlight w:val="none"/>
        </w:rPr>
        <w:t>本合同自签订之日起2个工作日内，由采购代理机构将采购合同在广西壮族自治区财政厅指定的媒体上公告。</w:t>
      </w:r>
    </w:p>
    <w:tbl>
      <w:tblPr>
        <w:tblStyle w:val="31"/>
        <w:tblW w:w="977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5" w:hRule="atLeast"/>
        </w:trPr>
        <w:tc>
          <w:tcPr>
            <w:tcW w:w="4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甲方：（章）</w:t>
            </w:r>
          </w:p>
          <w:p>
            <w:pPr>
              <w:widowControl/>
              <w:adjustRightInd w:val="0"/>
              <w:snapToGrid w:val="0"/>
              <w:spacing w:line="410" w:lineRule="exact"/>
              <w:jc w:val="left"/>
              <w:rPr>
                <w:rFonts w:ascii="宋体" w:hAnsi="宋体"/>
                <w:szCs w:val="21"/>
                <w:highlight w:val="none"/>
              </w:rPr>
            </w:pPr>
          </w:p>
          <w:p>
            <w:pPr>
              <w:widowControl/>
              <w:adjustRightInd w:val="0"/>
              <w:snapToGrid w:val="0"/>
              <w:spacing w:line="410" w:lineRule="exact"/>
              <w:jc w:val="right"/>
              <w:rPr>
                <w:rFonts w:ascii="宋体" w:hAnsi="宋体"/>
                <w:szCs w:val="21"/>
                <w:highlight w:val="none"/>
              </w:rPr>
            </w:pPr>
            <w:r>
              <w:rPr>
                <w:rFonts w:hint="eastAsia" w:ascii="宋体" w:hAnsi="宋体"/>
                <w:szCs w:val="21"/>
                <w:highlight w:val="none"/>
              </w:rPr>
              <w:t>年   月   日</w:t>
            </w:r>
          </w:p>
        </w:tc>
        <w:tc>
          <w:tcPr>
            <w:tcW w:w="4890" w:type="dxa"/>
            <w:tcBorders>
              <w:top w:val="single" w:color="auto" w:sz="4" w:space="0"/>
              <w:left w:val="nil"/>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 xml:space="preserve">乙方：（章）       </w:t>
            </w:r>
          </w:p>
          <w:p>
            <w:pPr>
              <w:widowControl/>
              <w:adjustRightInd w:val="0"/>
              <w:snapToGrid w:val="0"/>
              <w:spacing w:line="410" w:lineRule="exact"/>
              <w:jc w:val="left"/>
              <w:rPr>
                <w:rFonts w:ascii="宋体" w:hAnsi="宋体"/>
                <w:szCs w:val="21"/>
                <w:highlight w:val="none"/>
              </w:rPr>
            </w:pPr>
          </w:p>
          <w:p>
            <w:pPr>
              <w:widowControl/>
              <w:adjustRightInd w:val="0"/>
              <w:snapToGrid w:val="0"/>
              <w:spacing w:line="410" w:lineRule="exact"/>
              <w:jc w:val="right"/>
              <w:rPr>
                <w:rFonts w:ascii="宋体" w:hAnsi="宋体"/>
                <w:szCs w:val="21"/>
                <w:highlight w:val="none"/>
              </w:rPr>
            </w:pPr>
            <w:r>
              <w:rPr>
                <w:rFonts w:hint="eastAsia" w:ascii="宋体" w:hAnsi="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单位地址： </w:t>
            </w:r>
          </w:p>
        </w:tc>
        <w:tc>
          <w:tcPr>
            <w:tcW w:w="4890" w:type="dxa"/>
            <w:tcBorders>
              <w:top w:val="single" w:color="auto" w:sz="4" w:space="0"/>
              <w:left w:val="nil"/>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法定代表人：</w:t>
            </w:r>
          </w:p>
        </w:tc>
        <w:tc>
          <w:tcPr>
            <w:tcW w:w="4890" w:type="dxa"/>
            <w:tcBorders>
              <w:top w:val="single" w:color="auto" w:sz="4" w:space="0"/>
              <w:left w:val="nil"/>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委托代理人：</w:t>
            </w:r>
          </w:p>
        </w:tc>
        <w:tc>
          <w:tcPr>
            <w:tcW w:w="4890" w:type="dxa"/>
            <w:tcBorders>
              <w:top w:val="single" w:color="auto" w:sz="4" w:space="0"/>
              <w:left w:val="nil"/>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电话：</w:t>
            </w:r>
          </w:p>
        </w:tc>
        <w:tc>
          <w:tcPr>
            <w:tcW w:w="4890" w:type="dxa"/>
            <w:tcBorders>
              <w:top w:val="single" w:color="auto" w:sz="4" w:space="0"/>
              <w:left w:val="nil"/>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 xml:space="preserve">开户银行： </w:t>
            </w:r>
          </w:p>
        </w:tc>
        <w:tc>
          <w:tcPr>
            <w:tcW w:w="4890" w:type="dxa"/>
            <w:tcBorders>
              <w:top w:val="single" w:color="auto" w:sz="4" w:space="0"/>
              <w:left w:val="nil"/>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账号：</w:t>
            </w:r>
          </w:p>
        </w:tc>
        <w:tc>
          <w:tcPr>
            <w:tcW w:w="4890" w:type="dxa"/>
            <w:tcBorders>
              <w:top w:val="single" w:color="auto" w:sz="4" w:space="0"/>
              <w:left w:val="nil"/>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cs="宋体"/>
                <w:color w:val="000000"/>
                <w:szCs w:val="21"/>
                <w:highlight w:val="none"/>
              </w:rPr>
              <w:t>纳税人识别号或统一社会信用代码：</w:t>
            </w:r>
          </w:p>
        </w:tc>
        <w:tc>
          <w:tcPr>
            <w:tcW w:w="4890" w:type="dxa"/>
            <w:tcBorders>
              <w:top w:val="single" w:color="auto" w:sz="4" w:space="0"/>
              <w:left w:val="nil"/>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cs="宋体"/>
                <w:color w:val="000000"/>
                <w:szCs w:val="21"/>
                <w:highlight w:val="none"/>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邮政编码：</w:t>
            </w:r>
          </w:p>
        </w:tc>
        <w:tc>
          <w:tcPr>
            <w:tcW w:w="4890" w:type="dxa"/>
            <w:tcBorders>
              <w:top w:val="single" w:color="auto" w:sz="4" w:space="0"/>
              <w:left w:val="nil"/>
              <w:bottom w:val="single" w:color="auto" w:sz="4" w:space="0"/>
              <w:right w:val="single" w:color="auto" w:sz="4" w:space="0"/>
            </w:tcBorders>
            <w:vAlign w:val="center"/>
          </w:tcPr>
          <w:p>
            <w:pPr>
              <w:widowControl/>
              <w:adjustRightInd w:val="0"/>
              <w:snapToGrid w:val="0"/>
              <w:spacing w:line="410" w:lineRule="exact"/>
              <w:jc w:val="left"/>
              <w:rPr>
                <w:rFonts w:ascii="宋体" w:hAnsi="宋体"/>
                <w:szCs w:val="21"/>
                <w:highlight w:val="none"/>
              </w:rPr>
            </w:pPr>
            <w:r>
              <w:rPr>
                <w:rFonts w:hint="eastAsia" w:ascii="宋体" w:hAnsi="宋体"/>
                <w:szCs w:val="21"/>
                <w:highlight w:val="none"/>
              </w:rPr>
              <w:t>邮政编码：</w:t>
            </w:r>
          </w:p>
        </w:tc>
      </w:tr>
    </w:tbl>
    <w:p>
      <w:pPr>
        <w:spacing w:line="360" w:lineRule="auto"/>
        <w:ind w:firstLine="420" w:firstLineChars="200"/>
        <w:rPr>
          <w:rFonts w:ascii="宋体" w:hAnsi="宋体" w:cs="宋体"/>
          <w:szCs w:val="21"/>
          <w:highlight w:val="none"/>
        </w:rPr>
      </w:pPr>
    </w:p>
    <w:p>
      <w:pPr>
        <w:jc w:val="center"/>
        <w:rPr>
          <w:rFonts w:ascii="宋体" w:hAnsi="宋体" w:cs="宋体"/>
          <w:highlight w:val="none"/>
        </w:rPr>
      </w:pPr>
      <w:bookmarkStart w:id="164" w:name="_Toc20915"/>
      <w:bookmarkStart w:id="165" w:name="_Toc8963"/>
      <w:bookmarkStart w:id="166" w:name="_Toc610"/>
      <w:bookmarkStart w:id="167" w:name="_Toc178"/>
      <w:bookmarkStart w:id="168" w:name="_Toc80886951"/>
      <w:bookmarkStart w:id="169" w:name="_Toc13011"/>
      <w:bookmarkStart w:id="170" w:name="_Toc28283"/>
      <w:bookmarkStart w:id="171" w:name="_Toc29624"/>
    </w:p>
    <w:p>
      <w:pPr>
        <w:jc w:val="center"/>
        <w:rPr>
          <w:rFonts w:ascii="宋体" w:hAnsi="宋体" w:cs="宋体"/>
          <w:highlight w:val="none"/>
        </w:rPr>
      </w:pPr>
    </w:p>
    <w:p>
      <w:pPr>
        <w:jc w:val="center"/>
        <w:rPr>
          <w:rFonts w:ascii="宋体" w:hAnsi="宋体" w:cs="宋体"/>
          <w:highlight w:val="none"/>
        </w:rPr>
      </w:pPr>
    </w:p>
    <w:p>
      <w:pPr>
        <w:jc w:val="center"/>
        <w:rPr>
          <w:rFonts w:ascii="宋体" w:hAnsi="宋体" w:cs="宋体"/>
          <w:highlight w:val="none"/>
        </w:rPr>
      </w:pPr>
    </w:p>
    <w:p>
      <w:pPr>
        <w:widowControl/>
        <w:shd w:val="clear" w:color="auto" w:fill="FFFFFF"/>
        <w:spacing w:line="480" w:lineRule="atLeast"/>
        <w:rPr>
          <w:rFonts w:ascii="宋体" w:hAnsi="宋体" w:cs="宋体"/>
          <w:kern w:val="0"/>
          <w:sz w:val="28"/>
          <w:szCs w:val="28"/>
          <w:highlight w:val="none"/>
        </w:rPr>
      </w:pPr>
      <w:r>
        <w:rPr>
          <w:rFonts w:hint="eastAsia" w:ascii="宋体" w:hAnsi="宋体" w:cs="宋体"/>
          <w:kern w:val="0"/>
          <w:sz w:val="28"/>
          <w:szCs w:val="28"/>
          <w:highlight w:val="none"/>
        </w:rPr>
        <w:t>附件1广西壮族自治区政府采购项目合同验收书的格式：</w:t>
      </w:r>
    </w:p>
    <w:p>
      <w:pPr>
        <w:spacing w:line="360" w:lineRule="auto"/>
        <w:ind w:firstLine="480" w:firstLineChars="200"/>
        <w:contextualSpacing/>
        <w:rPr>
          <w:rFonts w:ascii="宋体" w:hAnsi="宋体" w:cs="宋体"/>
          <w:sz w:val="24"/>
          <w:highlight w:val="none"/>
        </w:rPr>
      </w:pPr>
    </w:p>
    <w:p>
      <w:pPr>
        <w:widowControl/>
        <w:shd w:val="clear" w:color="auto" w:fill="FFFFFF"/>
        <w:spacing w:line="480" w:lineRule="atLeast"/>
        <w:jc w:val="center"/>
        <w:rPr>
          <w:rFonts w:ascii="宋体" w:hAnsi="宋体" w:cs="宋体"/>
          <w:kern w:val="0"/>
          <w:sz w:val="32"/>
          <w:szCs w:val="32"/>
          <w:highlight w:val="none"/>
        </w:rPr>
      </w:pPr>
      <w:r>
        <w:rPr>
          <w:rFonts w:hint="eastAsia" w:ascii="宋体" w:hAnsi="宋体" w:cs="宋体"/>
          <w:b/>
          <w:bCs/>
          <w:kern w:val="0"/>
          <w:sz w:val="32"/>
          <w:szCs w:val="32"/>
          <w:highlight w:val="none"/>
        </w:rPr>
        <w:t>广西壮族自治区政府采购项目合同验收书</w:t>
      </w:r>
    </w:p>
    <w:p>
      <w:pPr>
        <w:widowControl/>
        <w:shd w:val="clear" w:color="auto" w:fill="FFFFFF"/>
        <w:spacing w:line="480" w:lineRule="atLeast"/>
        <w:jc w:val="center"/>
        <w:rPr>
          <w:rFonts w:ascii="宋体" w:hAnsi="宋体" w:cs="宋体"/>
          <w:kern w:val="0"/>
          <w:sz w:val="32"/>
          <w:szCs w:val="32"/>
          <w:highlight w:val="none"/>
        </w:rPr>
      </w:pPr>
    </w:p>
    <w:p>
      <w:pPr>
        <w:widowControl/>
        <w:shd w:val="clear" w:color="auto" w:fill="FFFFFF"/>
        <w:snapToGrid w:val="0"/>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根据政府采购项目（</w:t>
      </w:r>
      <w:r>
        <w:rPr>
          <w:rFonts w:hint="eastAsia" w:ascii="宋体" w:hAnsi="宋体" w:cs="宋体"/>
          <w:kern w:val="0"/>
          <w:sz w:val="24"/>
          <w:highlight w:val="none"/>
          <w:u w:val="single"/>
        </w:rPr>
        <w:t>采购合同编号：</w:t>
      </w:r>
      <w:r>
        <w:rPr>
          <w:rFonts w:hint="eastAsia" w:ascii="宋体" w:hAnsi="宋体" w:cs="宋体"/>
          <w:kern w:val="0"/>
          <w:sz w:val="24"/>
          <w:highlight w:val="none"/>
          <w:u w:val="single"/>
        </w:rPr>
        <w:softHyphen/>
      </w:r>
      <w:r>
        <w:rPr>
          <w:rFonts w:hint="eastAsia" w:ascii="宋体" w:hAnsi="宋体" w:cs="宋体"/>
          <w:kern w:val="0"/>
          <w:sz w:val="24"/>
          <w:highlight w:val="none"/>
          <w:u w:val="single"/>
        </w:rPr>
        <w:t xml:space="preserve"> </w:t>
      </w:r>
      <w:r>
        <w:rPr>
          <w:rFonts w:hint="eastAsia" w:ascii="宋体" w:hAnsi="宋体" w:cs="宋体"/>
          <w:kern w:val="0"/>
          <w:sz w:val="24"/>
          <w:highlight w:val="none"/>
        </w:rPr>
        <w:t>）的约定，我单位对（</w:t>
      </w:r>
      <w:r>
        <w:rPr>
          <w:rFonts w:hint="eastAsia" w:ascii="宋体" w:hAnsi="宋体" w:cs="宋体"/>
          <w:kern w:val="0"/>
          <w:sz w:val="24"/>
          <w:highlight w:val="none"/>
          <w:u w:val="single"/>
        </w:rPr>
        <w:t xml:space="preserve"> 项目名称 </w:t>
      </w:r>
      <w:r>
        <w:rPr>
          <w:rFonts w:hint="eastAsia" w:ascii="宋体" w:hAnsi="宋体" w:cs="宋体"/>
          <w:kern w:val="0"/>
          <w:sz w:val="24"/>
          <w:highlight w:val="none"/>
        </w:rPr>
        <w:t>） 政府采购项目成交供应商（</w:t>
      </w:r>
      <w:r>
        <w:rPr>
          <w:rFonts w:hint="eastAsia" w:ascii="宋体" w:hAnsi="宋体" w:cs="宋体"/>
          <w:kern w:val="0"/>
          <w:sz w:val="24"/>
          <w:highlight w:val="none"/>
          <w:u w:val="single"/>
        </w:rPr>
        <w:t xml:space="preserve"> 公司名称 </w:t>
      </w:r>
      <w:r>
        <w:rPr>
          <w:rFonts w:hint="eastAsia" w:ascii="宋体" w:hAnsi="宋体" w:cs="宋体"/>
          <w:kern w:val="0"/>
          <w:sz w:val="24"/>
          <w:highlight w:val="none"/>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kern w:val="0"/>
                <w:szCs w:val="21"/>
                <w:highlight w:val="none"/>
              </w:rPr>
            </w:pPr>
            <w:r>
              <w:rPr>
                <w:rFonts w:hint="eastAsia" w:ascii="宋体" w:hAnsi="宋体" w:cs="宋体"/>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kern w:val="0"/>
                <w:szCs w:val="21"/>
                <w:highlight w:val="none"/>
              </w:rPr>
            </w:pPr>
            <w:r>
              <w:rPr>
                <w:rFonts w:hint="eastAsia" w:ascii="宋体" w:hAnsi="宋体" w:cs="宋体"/>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kern w:val="0"/>
                <w:szCs w:val="21"/>
                <w:highlight w:val="none"/>
              </w:rPr>
            </w:pPr>
            <w:r>
              <w:rPr>
                <w:rFonts w:hint="eastAsia" w:ascii="宋体" w:hAnsi="宋体" w:cs="宋体"/>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kern w:val="0"/>
                <w:szCs w:val="21"/>
                <w:highlight w:val="none"/>
              </w:rPr>
            </w:pPr>
            <w:r>
              <w:rPr>
                <w:rFonts w:hint="eastAsia" w:ascii="宋体" w:hAnsi="宋体" w:cs="宋体"/>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kern w:val="0"/>
                <w:szCs w:val="21"/>
                <w:highlight w:val="none"/>
              </w:rPr>
            </w:pPr>
            <w:r>
              <w:rPr>
                <w:rFonts w:hint="eastAsia" w:ascii="宋体" w:hAnsi="宋体" w:cs="宋体"/>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监督人员或者其他相关人员签字：</w:t>
            </w:r>
          </w:p>
          <w:p>
            <w:pPr>
              <w:widowControl/>
              <w:spacing w:before="100" w:beforeAutospacing="1" w:after="100" w:afterAutospacing="1" w:line="320" w:lineRule="atLeast"/>
              <w:ind w:firstLine="74"/>
              <w:jc w:val="left"/>
              <w:rPr>
                <w:rFonts w:ascii="宋体" w:hAnsi="宋体" w:cs="宋体"/>
                <w:kern w:val="0"/>
                <w:szCs w:val="21"/>
                <w:highlight w:val="none"/>
              </w:rPr>
            </w:pPr>
            <w:r>
              <w:rPr>
                <w:rFonts w:hint="eastAsia" w:ascii="宋体" w:hAnsi="宋体" w:cs="宋体"/>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成交供应商负责人签字或者盖章：</w:t>
            </w:r>
          </w:p>
          <w:p>
            <w:pPr>
              <w:widowControl/>
              <w:spacing w:before="100" w:beforeAutospacing="1" w:after="100" w:afterAutospacing="1" w:line="320" w:lineRule="atLeast"/>
              <w:jc w:val="left"/>
              <w:rPr>
                <w:rFonts w:ascii="宋体" w:hAnsi="宋体" w:cs="宋体"/>
                <w:kern w:val="0"/>
                <w:szCs w:val="21"/>
                <w:highlight w:val="none"/>
              </w:rPr>
            </w:pPr>
          </w:p>
          <w:p>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宋体" w:hAnsi="宋体" w:cs="宋体"/>
                <w:kern w:val="0"/>
                <w:szCs w:val="21"/>
                <w:highlight w:val="none"/>
              </w:rPr>
            </w:pPr>
          </w:p>
          <w:p>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联系电话：                  年  月  日</w:t>
            </w:r>
          </w:p>
        </w:tc>
      </w:tr>
    </w:tbl>
    <w:p>
      <w:pPr>
        <w:rPr>
          <w:rFonts w:ascii="宋体" w:hAnsi="宋体" w:cs="宋体"/>
          <w:sz w:val="28"/>
          <w:szCs w:val="28"/>
          <w:highlight w:val="none"/>
        </w:rPr>
      </w:pPr>
      <w:r>
        <w:rPr>
          <w:rFonts w:hint="eastAsia" w:ascii="宋体" w:hAnsi="宋体" w:cs="宋体"/>
          <w:highlight w:val="none"/>
        </w:rPr>
        <w:br w:type="page"/>
      </w:r>
      <w:r>
        <w:rPr>
          <w:rFonts w:hint="eastAsia" w:ascii="宋体" w:hAnsi="宋体" w:cs="宋体"/>
          <w:sz w:val="28"/>
          <w:szCs w:val="28"/>
          <w:highlight w:val="none"/>
        </w:rPr>
        <w:t>附件2政府采购项目履约保证金退付意见书的格式：</w:t>
      </w:r>
    </w:p>
    <w:p>
      <w:pPr>
        <w:pStyle w:val="21"/>
        <w:snapToGrid w:val="0"/>
        <w:rPr>
          <w:rFonts w:hAnsi="宋体" w:cs="宋体"/>
          <w:sz w:val="32"/>
          <w:szCs w:val="32"/>
          <w:highlight w:val="none"/>
        </w:rPr>
      </w:pPr>
    </w:p>
    <w:p>
      <w:pPr>
        <w:pStyle w:val="11"/>
        <w:rPr>
          <w:rFonts w:ascii="宋体" w:hAnsi="宋体" w:cs="宋体"/>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政府采购项目履约保证金退付意见书（参考）</w:t>
      </w:r>
    </w:p>
    <w:p>
      <w:pPr>
        <w:jc w:val="center"/>
        <w:rPr>
          <w:rFonts w:ascii="宋体" w:hAnsi="宋体" w:cs="宋体"/>
          <w:sz w:val="36"/>
          <w:szCs w:val="36"/>
          <w:highlight w:val="none"/>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ascii="宋体" w:hAnsi="宋体" w:cs="宋体"/>
                <w:sz w:val="24"/>
                <w:highlight w:val="none"/>
              </w:rPr>
            </w:pPr>
            <w:r>
              <w:rPr>
                <w:rFonts w:hint="eastAsia" w:ascii="宋体" w:hAnsi="宋体" w:cs="宋体"/>
                <w:sz w:val="24"/>
                <w:highlight w:val="none"/>
              </w:rPr>
              <w:t>供</w:t>
            </w:r>
          </w:p>
          <w:p>
            <w:pPr>
              <w:jc w:val="center"/>
              <w:rPr>
                <w:rFonts w:ascii="宋体" w:hAnsi="宋体" w:cs="宋体"/>
                <w:sz w:val="24"/>
                <w:highlight w:val="none"/>
              </w:rPr>
            </w:pPr>
            <w:r>
              <w:rPr>
                <w:rFonts w:hint="eastAsia" w:ascii="宋体" w:hAnsi="宋体" w:cs="宋体"/>
                <w:sz w:val="24"/>
                <w:highlight w:val="none"/>
              </w:rPr>
              <w:t>应</w:t>
            </w:r>
          </w:p>
          <w:p>
            <w:pPr>
              <w:jc w:val="center"/>
              <w:rPr>
                <w:rFonts w:ascii="宋体" w:hAnsi="宋体" w:cs="宋体"/>
                <w:sz w:val="24"/>
                <w:highlight w:val="none"/>
              </w:rPr>
            </w:pPr>
            <w:r>
              <w:rPr>
                <w:rFonts w:hint="eastAsia" w:ascii="宋体" w:hAnsi="宋体" w:cs="宋体"/>
                <w:sz w:val="24"/>
                <w:highlight w:val="none"/>
              </w:rPr>
              <w:t>商</w:t>
            </w:r>
          </w:p>
          <w:p>
            <w:pPr>
              <w:jc w:val="center"/>
              <w:rPr>
                <w:rFonts w:ascii="宋体" w:hAnsi="宋体" w:cs="宋体"/>
                <w:sz w:val="24"/>
                <w:highlight w:val="none"/>
              </w:rPr>
            </w:pPr>
            <w:r>
              <w:rPr>
                <w:rFonts w:hint="eastAsia" w:ascii="宋体" w:hAnsi="宋体" w:cs="宋体"/>
                <w:sz w:val="24"/>
                <w:highlight w:val="none"/>
              </w:rPr>
              <w:t>申</w:t>
            </w:r>
          </w:p>
          <w:p>
            <w:pPr>
              <w:jc w:val="center"/>
              <w:rPr>
                <w:rFonts w:ascii="宋体" w:hAnsi="宋体" w:cs="宋体"/>
                <w:sz w:val="24"/>
                <w:highlight w:val="none"/>
              </w:rPr>
            </w:pPr>
            <w:r>
              <w:rPr>
                <w:rFonts w:hint="eastAsia" w:ascii="宋体" w:hAnsi="宋体" w:cs="宋体"/>
                <w:sz w:val="24"/>
                <w:highlight w:val="none"/>
              </w:rPr>
              <w:t>请</w:t>
            </w:r>
          </w:p>
        </w:tc>
        <w:tc>
          <w:tcPr>
            <w:tcW w:w="8009" w:type="dxa"/>
            <w:vAlign w:val="center"/>
          </w:tcPr>
          <w:p>
            <w:pPr>
              <w:rPr>
                <w:rFonts w:ascii="宋体" w:hAnsi="宋体" w:cs="宋体"/>
                <w:sz w:val="24"/>
                <w:highlight w:val="none"/>
              </w:rPr>
            </w:pPr>
            <w:r>
              <w:rPr>
                <w:rFonts w:hint="eastAsia" w:ascii="宋体" w:hAnsi="宋体" w:cs="宋体"/>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ascii="宋体" w:hAnsi="宋体" w:cs="宋体"/>
                <w:sz w:val="24"/>
                <w:highlight w:val="none"/>
              </w:rPr>
            </w:pPr>
          </w:p>
        </w:tc>
        <w:tc>
          <w:tcPr>
            <w:tcW w:w="8009" w:type="dxa"/>
            <w:vAlign w:val="center"/>
          </w:tcPr>
          <w:p>
            <w:pPr>
              <w:rPr>
                <w:rFonts w:ascii="宋体" w:hAnsi="宋体" w:cs="宋体"/>
                <w:sz w:val="24"/>
                <w:highlight w:val="none"/>
              </w:rPr>
            </w:pPr>
            <w:r>
              <w:rPr>
                <w:rFonts w:hint="eastAsia" w:ascii="宋体" w:hAnsi="宋体" w:cs="宋体"/>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ascii="宋体" w:hAnsi="宋体" w:cs="宋体"/>
                <w:sz w:val="24"/>
                <w:highlight w:val="none"/>
              </w:rPr>
            </w:pPr>
          </w:p>
        </w:tc>
        <w:tc>
          <w:tcPr>
            <w:tcW w:w="8009" w:type="dxa"/>
          </w:tcPr>
          <w:p>
            <w:pPr>
              <w:rPr>
                <w:rFonts w:ascii="宋体" w:hAnsi="宋体" w:cs="宋体"/>
                <w:sz w:val="24"/>
                <w:highlight w:val="none"/>
              </w:rPr>
            </w:pPr>
            <w:r>
              <w:rPr>
                <w:rFonts w:hint="eastAsia" w:ascii="宋体" w:hAnsi="宋体" w:cs="宋体"/>
                <w:sz w:val="24"/>
                <w:highlight w:val="none"/>
              </w:rPr>
              <w:t xml:space="preserve">  </w:t>
            </w:r>
          </w:p>
          <w:p>
            <w:pPr>
              <w:ind w:firstLine="480" w:firstLineChars="200"/>
              <w:rPr>
                <w:rFonts w:ascii="宋体" w:hAnsi="宋体" w:cs="宋体"/>
                <w:sz w:val="24"/>
                <w:highlight w:val="none"/>
              </w:rPr>
            </w:pPr>
            <w:r>
              <w:rPr>
                <w:rFonts w:hint="eastAsia" w:ascii="宋体" w:hAnsi="宋体" w:cs="宋体"/>
                <w:sz w:val="24"/>
                <w:highlight w:val="none"/>
              </w:rPr>
              <w:t>该项目已于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日验收并交付使用。根据合同规定，该项目的履约保证金期限于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日已满，请将履约保证金</w:t>
            </w:r>
          </w:p>
          <w:p>
            <w:pPr>
              <w:rPr>
                <w:rFonts w:ascii="宋体" w:hAnsi="宋体" w:cs="宋体"/>
                <w:sz w:val="24"/>
                <w:highlight w:val="none"/>
              </w:rPr>
            </w:pPr>
            <w:r>
              <w:rPr>
                <w:rFonts w:hint="eastAsia" w:ascii="宋体" w:hAnsi="宋体" w:cs="宋体"/>
                <w:sz w:val="24"/>
                <w:highlight w:val="none"/>
              </w:rPr>
              <w:t>（大写）</w:t>
            </w:r>
            <w:r>
              <w:rPr>
                <w:rFonts w:hint="eastAsia" w:ascii="宋体" w:hAnsi="宋体" w:cs="宋体"/>
                <w:sz w:val="24"/>
                <w:highlight w:val="none"/>
                <w:u w:val="single"/>
              </w:rPr>
              <w:t xml:space="preserve">人民币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退付到达以下账户。</w:t>
            </w:r>
          </w:p>
          <w:p>
            <w:pPr>
              <w:rPr>
                <w:rFonts w:ascii="宋体" w:hAnsi="宋体" w:cs="宋体"/>
                <w:sz w:val="24"/>
                <w:highlight w:val="none"/>
              </w:rPr>
            </w:pPr>
            <w:r>
              <w:rPr>
                <w:rFonts w:hint="eastAsia" w:ascii="宋体" w:hAnsi="宋体" w:cs="宋体"/>
                <w:sz w:val="24"/>
                <w:highlight w:val="none"/>
              </w:rPr>
              <w:t>单位名称：</w:t>
            </w:r>
          </w:p>
          <w:p>
            <w:pPr>
              <w:rPr>
                <w:rFonts w:ascii="宋体" w:hAnsi="宋体" w:cs="宋体"/>
                <w:sz w:val="24"/>
                <w:highlight w:val="none"/>
              </w:rPr>
            </w:pPr>
            <w:r>
              <w:rPr>
                <w:rFonts w:hint="eastAsia" w:ascii="宋体" w:hAnsi="宋体" w:cs="宋体"/>
                <w:sz w:val="24"/>
                <w:highlight w:val="none"/>
              </w:rPr>
              <w:t>开户银行：</w:t>
            </w:r>
          </w:p>
          <w:p>
            <w:pPr>
              <w:rPr>
                <w:rFonts w:ascii="宋体" w:hAnsi="宋体" w:cs="宋体"/>
                <w:sz w:val="24"/>
                <w:highlight w:val="none"/>
              </w:rPr>
            </w:pPr>
            <w:r>
              <w:rPr>
                <w:rFonts w:hint="eastAsia" w:ascii="宋体" w:hAnsi="宋体" w:cs="宋体"/>
                <w:sz w:val="24"/>
                <w:highlight w:val="none"/>
              </w:rPr>
              <w:t>账    号：</w:t>
            </w:r>
          </w:p>
          <w:p>
            <w:pPr>
              <w:rPr>
                <w:rFonts w:ascii="宋体" w:hAnsi="宋体" w:cs="宋体"/>
                <w:sz w:val="24"/>
                <w:highlight w:val="none"/>
              </w:rPr>
            </w:pPr>
            <w:r>
              <w:rPr>
                <w:rFonts w:hint="eastAsia" w:ascii="宋体" w:hAnsi="宋体" w:cs="宋体"/>
                <w:sz w:val="24"/>
                <w:highlight w:val="none"/>
              </w:rPr>
              <w:t>联系人及电话：</w:t>
            </w:r>
          </w:p>
          <w:p>
            <w:pPr>
              <w:rPr>
                <w:rFonts w:ascii="宋体" w:hAnsi="宋体" w:cs="宋体"/>
                <w:sz w:val="24"/>
                <w:highlight w:val="none"/>
              </w:rPr>
            </w:pPr>
          </w:p>
          <w:p>
            <w:pPr>
              <w:jc w:val="center"/>
              <w:rPr>
                <w:rFonts w:ascii="宋体" w:hAnsi="宋体" w:cs="宋体"/>
                <w:sz w:val="24"/>
                <w:highlight w:val="none"/>
              </w:rPr>
            </w:pPr>
            <w:r>
              <w:rPr>
                <w:rFonts w:hint="eastAsia" w:ascii="宋体" w:hAnsi="宋体" w:cs="宋体"/>
                <w:sz w:val="24"/>
                <w:highlight w:val="none"/>
              </w:rPr>
              <w:t xml:space="preserve">                           供应商签章：</w:t>
            </w:r>
          </w:p>
          <w:p>
            <w:pPr>
              <w:jc w:val="center"/>
              <w:rPr>
                <w:rFonts w:ascii="宋体" w:hAnsi="宋体" w:cs="宋体"/>
                <w:sz w:val="24"/>
                <w:highlight w:val="none"/>
              </w:rPr>
            </w:pPr>
            <w:r>
              <w:rPr>
                <w:rFonts w:hint="eastAsia" w:ascii="宋体" w:hAnsi="宋体" w:cs="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ascii="宋体" w:hAnsi="宋体" w:cs="宋体"/>
                <w:sz w:val="24"/>
                <w:highlight w:val="none"/>
              </w:rPr>
            </w:pPr>
            <w:r>
              <w:rPr>
                <w:rFonts w:hint="eastAsia" w:ascii="宋体" w:hAnsi="宋体" w:cs="宋体"/>
                <w:sz w:val="24"/>
                <w:highlight w:val="none"/>
              </w:rPr>
              <w:t>采</w:t>
            </w:r>
          </w:p>
          <w:p>
            <w:pPr>
              <w:jc w:val="center"/>
              <w:rPr>
                <w:rFonts w:ascii="宋体" w:hAnsi="宋体" w:cs="宋体"/>
                <w:sz w:val="24"/>
                <w:highlight w:val="none"/>
              </w:rPr>
            </w:pPr>
            <w:r>
              <w:rPr>
                <w:rFonts w:hint="eastAsia" w:ascii="宋体" w:hAnsi="宋体" w:cs="宋体"/>
                <w:sz w:val="24"/>
                <w:highlight w:val="none"/>
              </w:rPr>
              <w:t>购</w:t>
            </w:r>
          </w:p>
          <w:p>
            <w:pPr>
              <w:jc w:val="center"/>
              <w:rPr>
                <w:rFonts w:ascii="宋体" w:hAnsi="宋体" w:cs="宋体"/>
                <w:sz w:val="24"/>
                <w:highlight w:val="none"/>
              </w:rPr>
            </w:pPr>
            <w:r>
              <w:rPr>
                <w:rFonts w:hint="eastAsia" w:ascii="宋体" w:hAnsi="宋体" w:cs="宋体"/>
                <w:sz w:val="24"/>
                <w:highlight w:val="none"/>
              </w:rPr>
              <w:t>单</w:t>
            </w:r>
          </w:p>
          <w:p>
            <w:pPr>
              <w:jc w:val="center"/>
              <w:rPr>
                <w:rFonts w:ascii="宋体" w:hAnsi="宋体" w:cs="宋体"/>
                <w:sz w:val="24"/>
                <w:highlight w:val="none"/>
              </w:rPr>
            </w:pPr>
            <w:r>
              <w:rPr>
                <w:rFonts w:hint="eastAsia" w:ascii="宋体" w:hAnsi="宋体" w:cs="宋体"/>
                <w:sz w:val="24"/>
                <w:highlight w:val="none"/>
              </w:rPr>
              <w:t>位</w:t>
            </w:r>
          </w:p>
          <w:p>
            <w:pPr>
              <w:jc w:val="center"/>
              <w:rPr>
                <w:rFonts w:ascii="宋体" w:hAnsi="宋体" w:cs="宋体"/>
                <w:sz w:val="24"/>
                <w:highlight w:val="none"/>
              </w:rPr>
            </w:pPr>
            <w:r>
              <w:rPr>
                <w:rFonts w:hint="eastAsia" w:ascii="宋体" w:hAnsi="宋体" w:cs="宋体"/>
                <w:sz w:val="24"/>
                <w:highlight w:val="none"/>
              </w:rPr>
              <w:t>意</w:t>
            </w:r>
          </w:p>
          <w:p>
            <w:pPr>
              <w:jc w:val="center"/>
              <w:rPr>
                <w:rFonts w:ascii="宋体" w:hAnsi="宋体" w:cs="宋体"/>
                <w:sz w:val="24"/>
                <w:highlight w:val="none"/>
              </w:rPr>
            </w:pPr>
            <w:r>
              <w:rPr>
                <w:rFonts w:hint="eastAsia" w:ascii="宋体" w:hAnsi="宋体" w:cs="宋体"/>
                <w:sz w:val="24"/>
                <w:highlight w:val="none"/>
              </w:rPr>
              <w:t>见</w:t>
            </w:r>
          </w:p>
        </w:tc>
        <w:tc>
          <w:tcPr>
            <w:tcW w:w="8009"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退付意见：是否同意退付履约保证金及退付金额：</w:t>
            </w: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 xml:space="preserve">联系人及电话：                                </w:t>
            </w:r>
          </w:p>
          <w:p>
            <w:pPr>
              <w:rPr>
                <w:rFonts w:ascii="宋体" w:hAnsi="宋体" w:cs="宋体"/>
                <w:sz w:val="24"/>
                <w:highlight w:val="none"/>
              </w:rPr>
            </w:pPr>
          </w:p>
          <w:p>
            <w:pPr>
              <w:ind w:firstLine="4560" w:firstLineChars="1900"/>
              <w:rPr>
                <w:rFonts w:ascii="宋体" w:hAnsi="宋体" w:cs="宋体"/>
                <w:sz w:val="24"/>
                <w:highlight w:val="none"/>
              </w:rPr>
            </w:pPr>
            <w:r>
              <w:rPr>
                <w:rFonts w:hint="eastAsia" w:ascii="宋体" w:hAnsi="宋体" w:cs="宋体"/>
                <w:sz w:val="24"/>
                <w:highlight w:val="none"/>
              </w:rPr>
              <w:t xml:space="preserve"> 采购人签章：</w:t>
            </w:r>
          </w:p>
          <w:p>
            <w:pPr>
              <w:jc w:val="center"/>
              <w:rPr>
                <w:rFonts w:ascii="宋体" w:hAnsi="宋体" w:cs="宋体"/>
                <w:sz w:val="24"/>
                <w:highlight w:val="none"/>
              </w:rPr>
            </w:pPr>
            <w:r>
              <w:rPr>
                <w:rFonts w:hint="eastAsia" w:ascii="宋体" w:hAnsi="宋体" w:cs="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ascii="宋体" w:hAnsi="宋体" w:cs="宋体"/>
                <w:sz w:val="24"/>
                <w:highlight w:val="none"/>
              </w:rPr>
            </w:pPr>
            <w:r>
              <w:rPr>
                <w:rFonts w:hint="eastAsia" w:ascii="宋体" w:hAnsi="宋体" w:cs="宋体"/>
                <w:sz w:val="24"/>
                <w:highlight w:val="none"/>
              </w:rPr>
              <w:t>备注</w:t>
            </w:r>
          </w:p>
        </w:tc>
        <w:tc>
          <w:tcPr>
            <w:tcW w:w="8009" w:type="dxa"/>
          </w:tcPr>
          <w:p>
            <w:pPr>
              <w:rPr>
                <w:rFonts w:ascii="宋体" w:hAnsi="宋体" w:cs="宋体"/>
                <w:sz w:val="24"/>
                <w:highlight w:val="none"/>
              </w:rPr>
            </w:pPr>
          </w:p>
        </w:tc>
      </w:tr>
    </w:tbl>
    <w:p>
      <w:pPr>
        <w:pStyle w:val="16"/>
        <w:ind w:left="1" w:firstLine="2" w:firstLineChars="1"/>
        <w:rPr>
          <w:rFonts w:ascii="宋体" w:hAnsi="宋体" w:cs="宋体"/>
          <w:b/>
          <w:bCs/>
          <w:sz w:val="18"/>
          <w:szCs w:val="18"/>
          <w:highlight w:val="none"/>
        </w:rPr>
      </w:pPr>
    </w:p>
    <w:p>
      <w:pPr>
        <w:pStyle w:val="2"/>
        <w:rPr>
          <w:rFonts w:ascii="宋体" w:hAnsi="宋体" w:cs="宋体"/>
          <w:highlight w:val="none"/>
        </w:rPr>
      </w:pPr>
      <w:r>
        <w:rPr>
          <w:rFonts w:hint="eastAsia" w:ascii="宋体" w:hAnsi="宋体" w:cs="宋体"/>
          <w:b/>
          <w:bCs/>
          <w:highlight w:val="none"/>
        </w:rPr>
        <w:t>　　　注：供应商凭经采购人审批的退付意见书到履约保证金收取单位财务部门办理履约保证金退付事宜。</w:t>
      </w:r>
    </w:p>
    <w:p>
      <w:pPr>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3"/>
        <w:jc w:val="center"/>
        <w:rPr>
          <w:rFonts w:ascii="宋体" w:hAnsi="宋体" w:cs="宋体"/>
          <w:highlight w:val="none"/>
        </w:rPr>
        <w:sectPr>
          <w:pgSz w:w="11911" w:h="16838"/>
          <w:pgMar w:top="1134" w:right="1134" w:bottom="1134" w:left="1134" w:header="720" w:footer="720" w:gutter="0"/>
          <w:cols w:space="720" w:num="1"/>
        </w:sectPr>
      </w:pPr>
      <w:r>
        <w:rPr>
          <w:rFonts w:hint="eastAsia" w:ascii="宋体" w:hAnsi="宋体" w:cs="宋体"/>
          <w:b w:val="0"/>
          <w:highlight w:val="none"/>
        </w:rPr>
        <w:t>第七章 质疑、投诉材料格式</w:t>
      </w:r>
      <w:bookmarkEnd w:id="164"/>
      <w:bookmarkEnd w:id="165"/>
      <w:bookmarkEnd w:id="166"/>
      <w:bookmarkEnd w:id="167"/>
      <w:bookmarkEnd w:id="168"/>
      <w:bookmarkEnd w:id="169"/>
      <w:bookmarkEnd w:id="170"/>
      <w:bookmarkEnd w:id="171"/>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质疑函（格式）</w:t>
      </w:r>
    </w:p>
    <w:p>
      <w:pPr>
        <w:spacing w:line="360" w:lineRule="auto"/>
        <w:ind w:firstLine="482" w:firstLineChars="200"/>
        <w:contextualSpacing/>
        <w:rPr>
          <w:rFonts w:ascii="宋体" w:hAnsi="宋体" w:cs="宋体"/>
          <w:b/>
          <w:bCs/>
          <w:kern w:val="0"/>
          <w:sz w:val="24"/>
          <w:highlight w:val="none"/>
        </w:rPr>
      </w:pPr>
      <w:r>
        <w:rPr>
          <w:rFonts w:hint="eastAsia" w:ascii="宋体" w:hAnsi="宋体" w:cs="宋体"/>
          <w:b/>
          <w:bCs/>
          <w:kern w:val="0"/>
          <w:sz w:val="24"/>
          <w:highlight w:val="none"/>
        </w:rPr>
        <w:t>一、质疑供应商基本信息：</w:t>
      </w:r>
    </w:p>
    <w:p>
      <w:pPr>
        <w:spacing w:line="360" w:lineRule="auto"/>
        <w:ind w:firstLine="480" w:firstLineChars="200"/>
        <w:contextualSpacing/>
        <w:rPr>
          <w:rFonts w:ascii="宋体" w:hAnsi="宋体" w:cs="宋体"/>
          <w:bCs/>
          <w:kern w:val="0"/>
          <w:sz w:val="24"/>
          <w:highlight w:val="none"/>
          <w:u w:val="single"/>
        </w:rPr>
      </w:pPr>
      <w:r>
        <w:rPr>
          <w:rFonts w:hint="eastAsia" w:ascii="宋体" w:hAnsi="宋体" w:cs="宋体"/>
          <w:bCs/>
          <w:kern w:val="0"/>
          <w:sz w:val="24"/>
          <w:highlight w:val="none"/>
        </w:rPr>
        <w:t>质疑供应商：</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pacing w:line="360" w:lineRule="auto"/>
        <w:ind w:firstLine="480" w:firstLineChars="200"/>
        <w:contextualSpacing/>
        <w:rPr>
          <w:rFonts w:ascii="宋体" w:hAnsi="宋体" w:cs="宋体"/>
          <w:bCs/>
          <w:kern w:val="0"/>
          <w:sz w:val="24"/>
          <w:highlight w:val="non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pacing w:line="360" w:lineRule="auto"/>
        <w:ind w:firstLine="480" w:firstLineChars="200"/>
        <w:contextualSpacing/>
        <w:rPr>
          <w:rFonts w:ascii="宋体" w:hAnsi="宋体" w:cs="宋体"/>
          <w:bCs/>
          <w:kern w:val="0"/>
          <w:sz w:val="24"/>
          <w:highlight w:val="none"/>
        </w:rPr>
      </w:pPr>
      <w:r>
        <w:rPr>
          <w:rFonts w:hint="eastAsia" w:ascii="宋体" w:hAnsi="宋体" w:cs="宋体"/>
          <w:bCs/>
          <w:kern w:val="0"/>
          <w:sz w:val="24"/>
          <w:highlight w:val="none"/>
        </w:rPr>
        <w:t>联系人：</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pacing w:line="360" w:lineRule="auto"/>
        <w:ind w:firstLine="480" w:firstLineChars="200"/>
        <w:contextualSpacing/>
        <w:rPr>
          <w:rFonts w:ascii="宋体" w:hAnsi="宋体" w:cs="宋体"/>
          <w:bCs/>
          <w:kern w:val="0"/>
          <w:sz w:val="24"/>
          <w:highlight w:val="none"/>
        </w:rPr>
      </w:pPr>
      <w:r>
        <w:rPr>
          <w:rFonts w:hint="eastAsia" w:ascii="宋体" w:hAnsi="宋体" w:cs="宋体"/>
          <w:bCs/>
          <w:kern w:val="0"/>
          <w:sz w:val="24"/>
          <w:highlight w:val="none"/>
        </w:rPr>
        <w:t>授权代表：</w:t>
      </w:r>
      <w:r>
        <w:rPr>
          <w:rFonts w:hint="eastAsia" w:ascii="宋体" w:hAnsi="宋体" w:cs="宋体"/>
          <w:bCs/>
          <w:kern w:val="0"/>
          <w:sz w:val="24"/>
          <w:highlight w:val="none"/>
          <w:u w:val="single"/>
        </w:rPr>
        <w:t xml:space="preserve">                      </w:t>
      </w:r>
    </w:p>
    <w:p>
      <w:pPr>
        <w:spacing w:line="360" w:lineRule="auto"/>
        <w:ind w:firstLine="480" w:firstLineChars="200"/>
        <w:contextualSpacing/>
        <w:rPr>
          <w:rFonts w:ascii="宋体" w:hAnsi="宋体" w:cs="宋体"/>
          <w:bCs/>
          <w:kern w:val="0"/>
          <w:sz w:val="24"/>
          <w:highlight w:val="none"/>
          <w:u w:val="single"/>
        </w:rPr>
      </w:pP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pacing w:line="360" w:lineRule="auto"/>
        <w:ind w:firstLine="480" w:firstLineChars="200"/>
        <w:contextualSpacing/>
        <w:rPr>
          <w:rFonts w:ascii="宋体" w:hAnsi="宋体" w:cs="宋体"/>
          <w:bCs/>
          <w:kern w:val="0"/>
          <w:sz w:val="24"/>
          <w:highlight w:val="non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pacing w:line="360" w:lineRule="auto"/>
        <w:ind w:firstLine="482" w:firstLineChars="200"/>
        <w:contextualSpacing/>
        <w:rPr>
          <w:rFonts w:ascii="宋体" w:hAnsi="宋体" w:cs="宋体"/>
          <w:b/>
          <w:bCs/>
          <w:kern w:val="0"/>
          <w:sz w:val="24"/>
          <w:highlight w:val="none"/>
        </w:rPr>
      </w:pPr>
      <w:r>
        <w:rPr>
          <w:rFonts w:hint="eastAsia" w:ascii="宋体" w:hAnsi="宋体" w:cs="宋体"/>
          <w:b/>
          <w:bCs/>
          <w:kern w:val="0"/>
          <w:sz w:val="24"/>
          <w:highlight w:val="none"/>
        </w:rPr>
        <w:t>二、质疑项目基本情况：</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bCs/>
          <w:kern w:val="0"/>
          <w:sz w:val="24"/>
          <w:highlight w:val="none"/>
        </w:rPr>
        <w:t>质疑</w:t>
      </w:r>
      <w:r>
        <w:rPr>
          <w:rFonts w:hint="eastAsia" w:ascii="宋体" w:hAnsi="宋体" w:cs="宋体"/>
          <w:kern w:val="0"/>
          <w:sz w:val="24"/>
          <w:highlight w:val="none"/>
        </w:rPr>
        <w:t>项目的名称：</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bCs/>
          <w:kern w:val="0"/>
          <w:sz w:val="24"/>
          <w:highlight w:val="none"/>
        </w:rPr>
        <w:t>质疑</w:t>
      </w:r>
      <w:r>
        <w:rPr>
          <w:rFonts w:hint="eastAsia" w:ascii="宋体" w:hAnsi="宋体" w:cs="宋体"/>
          <w:kern w:val="0"/>
          <w:sz w:val="24"/>
          <w:highlight w:val="none"/>
        </w:rPr>
        <w:t>项目的编号：</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采购人名称：</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质疑事项：</w:t>
      </w:r>
    </w:p>
    <w:p>
      <w:pPr>
        <w:spacing w:line="360" w:lineRule="auto"/>
        <w:ind w:left="25" w:leftChars="12" w:firstLine="352" w:firstLineChars="147"/>
        <w:contextualSpacing/>
        <w:rPr>
          <w:rFonts w:ascii="宋体" w:hAnsi="宋体" w:cs="宋体"/>
          <w:kern w:val="0"/>
          <w:sz w:val="24"/>
          <w:highlight w:val="none"/>
        </w:rPr>
      </w:pPr>
      <w:r>
        <w:rPr>
          <w:rFonts w:hint="eastAsia" w:ascii="宋体" w:hAnsi="宋体" w:cs="宋体"/>
          <w:kern w:val="0"/>
          <w:sz w:val="24"/>
          <w:highlight w:val="none"/>
        </w:rPr>
        <w:t>□采购文件   采购文件获取日期：</w:t>
      </w:r>
      <w:r>
        <w:rPr>
          <w:rFonts w:hint="eastAsia" w:ascii="宋体" w:hAnsi="宋体" w:cs="宋体"/>
          <w:bCs/>
          <w:kern w:val="0"/>
          <w:sz w:val="24"/>
          <w:highlight w:val="none"/>
          <w:u w:val="single"/>
        </w:rPr>
        <w:t xml:space="preserve">                                   </w:t>
      </w:r>
    </w:p>
    <w:p>
      <w:pPr>
        <w:spacing w:line="360" w:lineRule="auto"/>
        <w:ind w:left="25" w:leftChars="12" w:firstLine="352" w:firstLineChars="147"/>
        <w:contextualSpacing/>
        <w:rPr>
          <w:rFonts w:ascii="宋体" w:hAnsi="宋体" w:cs="宋体"/>
          <w:kern w:val="0"/>
          <w:sz w:val="24"/>
          <w:highlight w:val="none"/>
        </w:rPr>
      </w:pPr>
      <w:r>
        <w:rPr>
          <w:rFonts w:hint="eastAsia" w:ascii="宋体" w:hAnsi="宋体" w:cs="宋体"/>
          <w:kern w:val="0"/>
          <w:sz w:val="24"/>
          <w:highlight w:val="none"/>
        </w:rPr>
        <w:t xml:space="preserve">□采购过程   </w:t>
      </w:r>
    </w:p>
    <w:p>
      <w:pPr>
        <w:spacing w:line="360" w:lineRule="auto"/>
        <w:ind w:left="25" w:leftChars="12" w:firstLine="352" w:firstLineChars="147"/>
        <w:contextualSpacing/>
        <w:rPr>
          <w:rFonts w:ascii="宋体" w:hAnsi="宋体" w:cs="宋体"/>
          <w:bCs/>
          <w:kern w:val="0"/>
          <w:sz w:val="24"/>
          <w:highlight w:val="none"/>
          <w:u w:val="single"/>
        </w:rPr>
      </w:pPr>
      <w:r>
        <w:rPr>
          <w:rFonts w:hint="eastAsia" w:ascii="宋体" w:hAnsi="宋体" w:cs="宋体"/>
          <w:kern w:val="0"/>
          <w:sz w:val="24"/>
          <w:highlight w:val="none"/>
        </w:rPr>
        <w:t xml:space="preserve">□成交结果   </w:t>
      </w:r>
    </w:p>
    <w:p>
      <w:pPr>
        <w:spacing w:line="360" w:lineRule="auto"/>
        <w:ind w:left="25" w:leftChars="12" w:firstLine="472" w:firstLineChars="196"/>
        <w:contextualSpacing/>
        <w:rPr>
          <w:rFonts w:ascii="宋体" w:hAnsi="宋体" w:cs="宋体"/>
          <w:b/>
          <w:kern w:val="0"/>
          <w:sz w:val="24"/>
          <w:highlight w:val="none"/>
        </w:rPr>
      </w:pPr>
      <w:r>
        <w:rPr>
          <w:rFonts w:hint="eastAsia" w:ascii="宋体" w:hAnsi="宋体" w:cs="宋体"/>
          <w:b/>
          <w:kern w:val="0"/>
          <w:sz w:val="24"/>
          <w:highlight w:val="none"/>
        </w:rPr>
        <w:t>三、质疑事项具体内容</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质疑事项1：</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事实依据：</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法律依据：</w:t>
      </w:r>
      <w:r>
        <w:rPr>
          <w:rFonts w:hint="eastAsia" w:ascii="宋体" w:hAnsi="宋体" w:cs="宋体"/>
          <w:kern w:val="0"/>
          <w:sz w:val="24"/>
          <w:highlight w:val="none"/>
          <w:u w:val="single"/>
        </w:rPr>
        <w:t xml:space="preserve">                                                        </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质疑事项2</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四、与质疑事项相关的质疑请求：</w:t>
      </w: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请求：</w:t>
      </w:r>
      <w:r>
        <w:rPr>
          <w:rFonts w:hint="eastAsia" w:ascii="宋体" w:hAnsi="宋体" w:cs="宋体"/>
          <w:bCs/>
          <w:kern w:val="0"/>
          <w:sz w:val="24"/>
          <w:highlight w:val="none"/>
          <w:u w:val="single"/>
        </w:rPr>
        <w:t xml:space="preserve">                                                                </w:t>
      </w:r>
    </w:p>
    <w:p>
      <w:pPr>
        <w:spacing w:line="360" w:lineRule="auto"/>
        <w:ind w:left="25" w:leftChars="12" w:firstLine="352" w:firstLineChars="147"/>
        <w:contextualSpacing/>
        <w:rPr>
          <w:rFonts w:ascii="宋体" w:hAnsi="宋体" w:cs="宋体"/>
          <w:kern w:val="0"/>
          <w:sz w:val="24"/>
          <w:highlight w:val="none"/>
        </w:rPr>
      </w:pP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签字（签章）：                                       公章：</w:t>
      </w:r>
    </w:p>
    <w:p>
      <w:pPr>
        <w:spacing w:line="360" w:lineRule="auto"/>
        <w:ind w:left="25" w:leftChars="12" w:firstLine="352" w:firstLineChars="147"/>
        <w:contextualSpacing/>
        <w:rPr>
          <w:rFonts w:ascii="宋体" w:hAnsi="宋体" w:cs="宋体"/>
          <w:kern w:val="0"/>
          <w:sz w:val="24"/>
          <w:highlight w:val="none"/>
        </w:rPr>
      </w:pPr>
    </w:p>
    <w:p>
      <w:pPr>
        <w:spacing w:line="360" w:lineRule="auto"/>
        <w:ind w:left="25" w:leftChars="12" w:firstLine="472" w:firstLineChars="197"/>
        <w:contextualSpacing/>
        <w:rPr>
          <w:rFonts w:ascii="宋体" w:hAnsi="宋体" w:cs="宋体"/>
          <w:kern w:val="0"/>
          <w:sz w:val="24"/>
          <w:highlight w:val="none"/>
        </w:rPr>
      </w:pPr>
      <w:r>
        <w:rPr>
          <w:rFonts w:hint="eastAsia" w:ascii="宋体" w:hAnsi="宋体" w:cs="宋体"/>
          <w:kern w:val="0"/>
          <w:sz w:val="24"/>
          <w:highlight w:val="none"/>
        </w:rPr>
        <w:t>日期：</w:t>
      </w:r>
    </w:p>
    <w:p>
      <w:pPr>
        <w:spacing w:line="360" w:lineRule="auto"/>
        <w:contextualSpacing/>
        <w:rPr>
          <w:rFonts w:ascii="宋体" w:hAnsi="宋体" w:cs="宋体"/>
          <w:b/>
          <w:kern w:val="0"/>
          <w:sz w:val="24"/>
          <w:highlight w:val="none"/>
        </w:rPr>
      </w:pPr>
    </w:p>
    <w:p>
      <w:pPr>
        <w:spacing w:line="360" w:lineRule="auto"/>
        <w:contextualSpacing/>
        <w:rPr>
          <w:rFonts w:ascii="宋体" w:hAnsi="宋体" w:cs="宋体"/>
          <w:b/>
          <w:kern w:val="0"/>
          <w:sz w:val="24"/>
          <w:highlight w:val="none"/>
        </w:rPr>
      </w:pPr>
    </w:p>
    <w:p>
      <w:pPr>
        <w:spacing w:line="360" w:lineRule="auto"/>
        <w:contextualSpacing/>
        <w:rPr>
          <w:rFonts w:ascii="宋体" w:hAnsi="宋体" w:cs="宋体"/>
          <w:b/>
          <w:kern w:val="0"/>
          <w:sz w:val="24"/>
          <w:highlight w:val="none"/>
        </w:rPr>
      </w:pPr>
      <w:r>
        <w:rPr>
          <w:rFonts w:hint="eastAsia" w:ascii="宋体" w:hAnsi="宋体" w:cs="宋体"/>
          <w:b/>
          <w:kern w:val="0"/>
          <w:sz w:val="24"/>
          <w:highlight w:val="none"/>
        </w:rPr>
        <w:t>说明：</w:t>
      </w:r>
    </w:p>
    <w:p>
      <w:pPr>
        <w:spacing w:line="360" w:lineRule="auto"/>
        <w:ind w:left="25" w:leftChars="12" w:firstLine="354" w:firstLineChars="147"/>
        <w:contextualSpacing/>
        <w:rPr>
          <w:rFonts w:ascii="宋体" w:hAnsi="宋体" w:cs="宋体"/>
          <w:b/>
          <w:bCs/>
          <w:kern w:val="0"/>
          <w:sz w:val="24"/>
          <w:highlight w:val="none"/>
        </w:rPr>
      </w:pPr>
      <w:r>
        <w:rPr>
          <w:rFonts w:hint="eastAsia" w:ascii="宋体" w:hAnsi="宋体" w:cs="宋体"/>
          <w:b/>
          <w:kern w:val="0"/>
          <w:sz w:val="24"/>
          <w:highlight w:val="none"/>
        </w:rPr>
        <w:t>1.供应商提出质疑时，应提交质疑函和必要的证明材料</w:t>
      </w:r>
      <w:r>
        <w:rPr>
          <w:rFonts w:hint="eastAsia" w:ascii="宋体" w:hAnsi="宋体" w:cs="宋体"/>
          <w:b/>
          <w:bCs/>
          <w:kern w:val="0"/>
          <w:sz w:val="24"/>
          <w:highlight w:val="none"/>
        </w:rPr>
        <w:t>。</w:t>
      </w:r>
    </w:p>
    <w:p>
      <w:pPr>
        <w:spacing w:line="360" w:lineRule="auto"/>
        <w:ind w:left="25" w:leftChars="12" w:firstLine="354" w:firstLineChars="147"/>
        <w:contextualSpacing/>
        <w:rPr>
          <w:rFonts w:ascii="宋体" w:hAnsi="宋体" w:cs="宋体"/>
          <w:b/>
          <w:kern w:val="0"/>
          <w:sz w:val="24"/>
          <w:highlight w:val="none"/>
        </w:rPr>
      </w:pPr>
      <w:r>
        <w:rPr>
          <w:rFonts w:hint="eastAsia" w:ascii="宋体" w:hAnsi="宋体" w:cs="宋体"/>
          <w:b/>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ascii="宋体" w:hAnsi="宋体" w:cs="宋体"/>
          <w:b/>
          <w:kern w:val="0"/>
          <w:sz w:val="24"/>
          <w:highlight w:val="none"/>
        </w:rPr>
      </w:pPr>
      <w:r>
        <w:rPr>
          <w:rFonts w:hint="eastAsia" w:ascii="宋体" w:hAnsi="宋体" w:cs="宋体"/>
          <w:b/>
          <w:kern w:val="0"/>
          <w:sz w:val="24"/>
          <w:highlight w:val="none"/>
        </w:rPr>
        <w:t>3.质疑函的质疑事项应具体、明确，并有必要的事实依据和法律依据。</w:t>
      </w:r>
    </w:p>
    <w:p>
      <w:pPr>
        <w:spacing w:line="360" w:lineRule="auto"/>
        <w:ind w:left="25" w:leftChars="12" w:firstLine="354" w:firstLineChars="147"/>
        <w:contextualSpacing/>
        <w:rPr>
          <w:rFonts w:ascii="宋体" w:hAnsi="宋体" w:cs="宋体"/>
          <w:b/>
          <w:kern w:val="0"/>
          <w:sz w:val="24"/>
          <w:highlight w:val="none"/>
        </w:rPr>
      </w:pPr>
      <w:r>
        <w:rPr>
          <w:rFonts w:hint="eastAsia" w:ascii="宋体" w:hAnsi="宋体" w:cs="宋体"/>
          <w:b/>
          <w:kern w:val="0"/>
          <w:sz w:val="24"/>
          <w:highlight w:val="none"/>
        </w:rPr>
        <w:t>4.质疑函的质疑请求应与质疑事项相关。</w:t>
      </w:r>
    </w:p>
    <w:p>
      <w:pPr>
        <w:spacing w:line="360" w:lineRule="auto"/>
        <w:ind w:left="25" w:leftChars="12" w:firstLine="354" w:firstLineChars="147"/>
        <w:contextualSpacing/>
        <w:rPr>
          <w:rFonts w:ascii="宋体" w:hAnsi="宋体" w:cs="宋体"/>
          <w:b/>
          <w:kern w:val="0"/>
          <w:sz w:val="20"/>
          <w:szCs w:val="21"/>
          <w:highlight w:val="none"/>
        </w:rPr>
      </w:pPr>
      <w:r>
        <w:rPr>
          <w:rFonts w:hint="eastAsia" w:ascii="宋体" w:hAnsi="宋体" w:cs="宋体"/>
          <w:b/>
          <w:kern w:val="0"/>
          <w:sz w:val="24"/>
          <w:highlight w:val="none"/>
        </w:rPr>
        <w:t>5.质疑供应商为法人或者其他组织的，质疑函应由法定代表人、主要负责人，或者其授权代表签字或者盖章，并加盖公章。</w:t>
      </w:r>
    </w:p>
    <w:p>
      <w:pPr>
        <w:snapToGrid w:val="0"/>
        <w:rPr>
          <w:rFonts w:ascii="宋体" w:hAnsi="宋体" w:cs="宋体"/>
          <w:b/>
          <w:kern w:val="0"/>
          <w:sz w:val="24"/>
          <w:highlight w:val="none"/>
        </w:rPr>
      </w:pPr>
    </w:p>
    <w:p>
      <w:pPr>
        <w:spacing w:line="460" w:lineRule="exact"/>
        <w:jc w:val="center"/>
        <w:rPr>
          <w:rFonts w:ascii="宋体" w:hAnsi="宋体" w:cs="宋体"/>
          <w:sz w:val="44"/>
          <w:highlight w:val="none"/>
        </w:rPr>
      </w:pPr>
      <w:r>
        <w:rPr>
          <w:rFonts w:hint="eastAsia" w:ascii="宋体" w:hAnsi="宋体" w:cs="宋体"/>
          <w:sz w:val="44"/>
          <w:highlight w:val="none"/>
        </w:rPr>
        <w:br w:type="page"/>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投诉书（格式）</w:t>
      </w:r>
    </w:p>
    <w:p>
      <w:pPr>
        <w:snapToGrid w:val="0"/>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一、投诉相关主体基本情况：</w:t>
      </w:r>
    </w:p>
    <w:p>
      <w:pPr>
        <w:snapToGrid w:val="0"/>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供应商：</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法定代表人/主要负责人：</w:t>
      </w:r>
      <w:r>
        <w:rPr>
          <w:rFonts w:hint="eastAsia" w:ascii="宋体" w:hAnsi="宋体" w:cs="宋体"/>
          <w:bCs/>
          <w:kern w:val="0"/>
          <w:sz w:val="24"/>
          <w:highlight w:val="none"/>
          <w:u w:val="single"/>
        </w:rPr>
        <w:t xml:space="preserve">                                                         </w:t>
      </w:r>
    </w:p>
    <w:p>
      <w:pPr>
        <w:snapToGrid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napToGrid w:val="0"/>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授权代表：</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napToGrid w:val="0"/>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p>
    <w:p>
      <w:pPr>
        <w:snapToGrid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被投诉人1：</w:t>
      </w:r>
    </w:p>
    <w:p>
      <w:pPr>
        <w:snapToGrid w:val="0"/>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p>
    <w:p>
      <w:pPr>
        <w:snapToGrid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联系人：</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napToGrid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被投诉人2：</w:t>
      </w:r>
    </w:p>
    <w:p>
      <w:pPr>
        <w:snapToGrid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w:t>
      </w:r>
    </w:p>
    <w:p>
      <w:pPr>
        <w:snapToGrid w:val="0"/>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相关供应商：</w:t>
      </w:r>
      <w:r>
        <w:rPr>
          <w:rFonts w:hint="eastAsia" w:ascii="宋体" w:hAnsi="宋体" w:cs="宋体"/>
          <w:bCs/>
          <w:kern w:val="0"/>
          <w:sz w:val="24"/>
          <w:highlight w:val="none"/>
          <w:u w:val="single"/>
        </w:rPr>
        <w:t xml:space="preserve">                                                                       </w:t>
      </w:r>
    </w:p>
    <w:p>
      <w:pPr>
        <w:snapToGrid w:val="0"/>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p>
    <w:p>
      <w:pPr>
        <w:snapToGrid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联系人：</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二、投诉项目基本情况：</w:t>
      </w:r>
    </w:p>
    <w:p>
      <w:pPr>
        <w:spacing w:line="360" w:lineRule="auto"/>
        <w:ind w:left="25" w:leftChars="12" w:firstLine="472" w:firstLineChars="197"/>
        <w:rPr>
          <w:rFonts w:ascii="宋体" w:hAnsi="宋体" w:cs="宋体"/>
          <w:kern w:val="0"/>
          <w:sz w:val="24"/>
          <w:highlight w:val="none"/>
        </w:rPr>
      </w:pPr>
      <w:r>
        <w:rPr>
          <w:rFonts w:hint="eastAsia" w:ascii="宋体" w:hAnsi="宋体" w:cs="宋体"/>
          <w:bCs/>
          <w:kern w:val="0"/>
          <w:sz w:val="24"/>
          <w:highlight w:val="none"/>
        </w:rPr>
        <w:t>采购</w:t>
      </w:r>
      <w:r>
        <w:rPr>
          <w:rFonts w:hint="eastAsia" w:ascii="宋体" w:hAnsi="宋体" w:cs="宋体"/>
          <w:kern w:val="0"/>
          <w:sz w:val="24"/>
          <w:highlight w:val="none"/>
        </w:rPr>
        <w:t>项目的名称：</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ascii="宋体" w:hAnsi="宋体" w:cs="宋体"/>
          <w:kern w:val="0"/>
          <w:sz w:val="24"/>
          <w:highlight w:val="none"/>
        </w:rPr>
      </w:pPr>
      <w:r>
        <w:rPr>
          <w:rFonts w:hint="eastAsia" w:ascii="宋体" w:hAnsi="宋体" w:cs="宋体"/>
          <w:bCs/>
          <w:kern w:val="0"/>
          <w:sz w:val="24"/>
          <w:highlight w:val="none"/>
        </w:rPr>
        <w:t>采购</w:t>
      </w:r>
      <w:r>
        <w:rPr>
          <w:rFonts w:hint="eastAsia" w:ascii="宋体" w:hAnsi="宋体" w:cs="宋体"/>
          <w:kern w:val="0"/>
          <w:sz w:val="24"/>
          <w:highlight w:val="none"/>
        </w:rPr>
        <w:t>项目的编号：</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ascii="宋体" w:hAnsi="宋体" w:cs="宋体"/>
          <w:bCs/>
          <w:kern w:val="0"/>
          <w:sz w:val="24"/>
          <w:highlight w:val="none"/>
          <w:u w:val="single"/>
        </w:rPr>
      </w:pPr>
      <w:r>
        <w:rPr>
          <w:rFonts w:hint="eastAsia" w:ascii="宋体" w:hAnsi="宋体" w:cs="宋体"/>
          <w:kern w:val="0"/>
          <w:sz w:val="24"/>
          <w:highlight w:val="none"/>
        </w:rPr>
        <w:t>采购人名称：</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ascii="宋体" w:hAnsi="宋体" w:cs="宋体"/>
          <w:bCs/>
          <w:kern w:val="0"/>
          <w:sz w:val="24"/>
          <w:highlight w:val="none"/>
          <w:u w:val="single"/>
        </w:rPr>
      </w:pPr>
      <w:r>
        <w:rPr>
          <w:rFonts w:hint="eastAsia" w:ascii="宋体" w:hAnsi="宋体" w:cs="宋体"/>
          <w:kern w:val="0"/>
          <w:sz w:val="24"/>
          <w:highlight w:val="none"/>
        </w:rPr>
        <w:t>代理机构名称：</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ascii="宋体" w:hAnsi="宋体" w:cs="宋体"/>
          <w:bCs/>
          <w:kern w:val="0"/>
          <w:sz w:val="24"/>
          <w:highlight w:val="none"/>
          <w:u w:val="single"/>
        </w:rPr>
      </w:pPr>
      <w:r>
        <w:rPr>
          <w:rFonts w:hint="eastAsia" w:ascii="宋体" w:hAnsi="宋体" w:cs="宋体"/>
          <w:bCs/>
          <w:kern w:val="0"/>
          <w:sz w:val="24"/>
          <w:highlight w:val="none"/>
        </w:rPr>
        <w:t>采购文件公告：</w:t>
      </w:r>
      <w:r>
        <w:rPr>
          <w:rFonts w:hint="eastAsia" w:ascii="宋体" w:hAnsi="宋体" w:cs="宋体"/>
          <w:bCs/>
          <w:kern w:val="0"/>
          <w:sz w:val="24"/>
          <w:highlight w:val="none"/>
          <w:u w:val="single"/>
        </w:rPr>
        <w:t>是/否</w:t>
      </w:r>
      <w:r>
        <w:rPr>
          <w:rFonts w:hint="eastAsia" w:ascii="宋体" w:hAnsi="宋体" w:cs="宋体"/>
          <w:bCs/>
          <w:kern w:val="0"/>
          <w:sz w:val="24"/>
          <w:highlight w:val="none"/>
        </w:rPr>
        <w:t>公告期限：</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ascii="宋体" w:hAnsi="宋体" w:cs="宋体"/>
          <w:b/>
          <w:kern w:val="0"/>
          <w:sz w:val="24"/>
          <w:highlight w:val="none"/>
        </w:rPr>
      </w:pPr>
      <w:r>
        <w:rPr>
          <w:rFonts w:hint="eastAsia" w:ascii="宋体" w:hAnsi="宋体" w:cs="宋体"/>
          <w:bCs/>
          <w:kern w:val="0"/>
          <w:sz w:val="24"/>
          <w:highlight w:val="none"/>
        </w:rPr>
        <w:t>采购结果公告：</w:t>
      </w:r>
      <w:r>
        <w:rPr>
          <w:rFonts w:hint="eastAsia" w:ascii="宋体" w:hAnsi="宋体" w:cs="宋体"/>
          <w:bCs/>
          <w:kern w:val="0"/>
          <w:sz w:val="24"/>
          <w:highlight w:val="none"/>
          <w:u w:val="single"/>
        </w:rPr>
        <w:t>是/否</w:t>
      </w:r>
      <w:r>
        <w:rPr>
          <w:rFonts w:hint="eastAsia" w:ascii="宋体" w:hAnsi="宋体" w:cs="宋体"/>
          <w:bCs/>
          <w:kern w:val="0"/>
          <w:sz w:val="24"/>
          <w:highlight w:val="none"/>
        </w:rPr>
        <w:t>公告期限：</w:t>
      </w:r>
      <w:r>
        <w:rPr>
          <w:rFonts w:hint="eastAsia" w:ascii="宋体" w:hAnsi="宋体" w:cs="宋体"/>
          <w:bCs/>
          <w:kern w:val="0"/>
          <w:sz w:val="24"/>
          <w:highlight w:val="none"/>
          <w:u w:val="single"/>
        </w:rPr>
        <w:t xml:space="preserve">                                                       </w:t>
      </w:r>
    </w:p>
    <w:p>
      <w:pPr>
        <w:spacing w:line="360" w:lineRule="auto"/>
        <w:ind w:left="25" w:leftChars="12" w:firstLine="472" w:firstLineChars="196"/>
        <w:rPr>
          <w:rFonts w:ascii="宋体" w:hAnsi="宋体" w:cs="宋体"/>
          <w:b/>
          <w:kern w:val="0"/>
          <w:sz w:val="24"/>
          <w:highlight w:val="none"/>
        </w:rPr>
      </w:pPr>
      <w:r>
        <w:rPr>
          <w:rFonts w:hint="eastAsia" w:ascii="宋体" w:hAnsi="宋体" w:cs="宋体"/>
          <w:b/>
          <w:kern w:val="0"/>
          <w:sz w:val="24"/>
          <w:highlight w:val="none"/>
        </w:rPr>
        <w:t>三、质疑基本情况</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投诉人于</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日，向</w:t>
      </w:r>
      <w:r>
        <w:rPr>
          <w:rFonts w:hint="eastAsia" w:ascii="宋体" w:hAnsi="宋体" w:cs="宋体"/>
          <w:kern w:val="0"/>
          <w:sz w:val="24"/>
          <w:highlight w:val="none"/>
          <w:u w:val="single"/>
        </w:rPr>
        <w:t xml:space="preserve">                                </w:t>
      </w:r>
      <w:r>
        <w:rPr>
          <w:rFonts w:hint="eastAsia" w:ascii="宋体" w:hAnsi="宋体" w:cs="宋体"/>
          <w:kern w:val="0"/>
          <w:sz w:val="24"/>
          <w:highlight w:val="none"/>
        </w:rPr>
        <w:t>提出质疑，质疑事项为：</w:t>
      </w:r>
    </w:p>
    <w:p>
      <w:pPr>
        <w:spacing w:line="360" w:lineRule="auto"/>
        <w:ind w:firstLine="241"/>
        <w:rPr>
          <w:rFonts w:ascii="宋体" w:hAnsi="宋体" w:cs="宋体"/>
          <w:bCs/>
          <w:kern w:val="0"/>
          <w:sz w:val="24"/>
          <w:highlight w:val="none"/>
          <w:u w:val="single"/>
        </w:rPr>
      </w:pPr>
      <w:r>
        <w:rPr>
          <w:rFonts w:hint="eastAsia" w:ascii="宋体" w:hAnsi="宋体" w:cs="宋体"/>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firstLine="241"/>
        <w:rPr>
          <w:rFonts w:ascii="宋体" w:hAnsi="宋体" w:cs="宋体"/>
          <w:bCs/>
          <w:kern w:val="0"/>
          <w:sz w:val="24"/>
          <w:highlight w:val="none"/>
          <w:u w:val="single"/>
        </w:rPr>
      </w:pPr>
      <w:r>
        <w:rPr>
          <w:rFonts w:hint="eastAsia" w:ascii="宋体" w:hAnsi="宋体" w:cs="宋体"/>
          <w:bCs/>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firstLine="480" w:firstLineChars="200"/>
        <w:rPr>
          <w:rFonts w:ascii="宋体" w:hAnsi="宋体" w:cs="宋体"/>
          <w:kern w:val="0"/>
          <w:sz w:val="24"/>
          <w:highlight w:val="none"/>
        </w:rPr>
      </w:pPr>
      <w:r>
        <w:rPr>
          <w:rFonts w:hint="eastAsia" w:ascii="宋体" w:hAnsi="宋体" w:cs="宋体"/>
          <w:bCs/>
          <w:kern w:val="0"/>
          <w:sz w:val="24"/>
          <w:highlight w:val="none"/>
          <w:u w:val="single"/>
        </w:rPr>
        <w:t>采购人/采购代理机构</w:t>
      </w:r>
      <w:r>
        <w:rPr>
          <w:rFonts w:hint="eastAsia" w:ascii="宋体" w:hAnsi="宋体" w:cs="宋体"/>
          <w:bCs/>
          <w:kern w:val="0"/>
          <w:sz w:val="24"/>
          <w:highlight w:val="none"/>
        </w:rPr>
        <w:t>于</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r>
        <w:rPr>
          <w:rFonts w:hint="eastAsia" w:ascii="宋体" w:hAnsi="宋体" w:cs="宋体"/>
          <w:bCs/>
          <w:kern w:val="0"/>
          <w:sz w:val="24"/>
          <w:highlight w:val="none"/>
        </w:rPr>
        <w:t xml:space="preserve">就质疑事项作出了答复/没有在法定期限内作出答复。                                                                                             </w:t>
      </w:r>
    </w:p>
    <w:p>
      <w:pPr>
        <w:spacing w:line="360" w:lineRule="auto"/>
        <w:ind w:left="25" w:leftChars="12" w:firstLine="472" w:firstLineChars="196"/>
        <w:rPr>
          <w:rFonts w:ascii="宋体" w:hAnsi="宋体" w:cs="宋体"/>
          <w:b/>
          <w:kern w:val="0"/>
          <w:sz w:val="24"/>
          <w:highlight w:val="none"/>
        </w:rPr>
      </w:pPr>
      <w:r>
        <w:rPr>
          <w:rFonts w:hint="eastAsia" w:ascii="宋体" w:hAnsi="宋体" w:cs="宋体"/>
          <w:b/>
          <w:kern w:val="0"/>
          <w:sz w:val="24"/>
          <w:highlight w:val="none"/>
        </w:rPr>
        <w:t>四、投诉事项具体内容</w:t>
      </w:r>
    </w:p>
    <w:p>
      <w:pPr>
        <w:spacing w:line="360" w:lineRule="auto"/>
        <w:ind w:left="25" w:leftChars="12" w:firstLine="472" w:firstLineChars="197"/>
        <w:rPr>
          <w:rFonts w:ascii="宋体" w:hAnsi="宋体" w:cs="宋体"/>
          <w:bCs/>
          <w:kern w:val="0"/>
          <w:sz w:val="24"/>
          <w:highlight w:val="none"/>
          <w:u w:val="single"/>
        </w:rPr>
      </w:pPr>
      <w:r>
        <w:rPr>
          <w:rFonts w:hint="eastAsia" w:ascii="宋体" w:hAnsi="宋体" w:cs="宋体"/>
          <w:kern w:val="0"/>
          <w:sz w:val="24"/>
          <w:highlight w:val="none"/>
        </w:rPr>
        <w:t>投诉事项1：</w:t>
      </w:r>
      <w:r>
        <w:rPr>
          <w:rFonts w:hint="eastAsia" w:ascii="宋体" w:hAnsi="宋体" w:cs="宋体"/>
          <w:bCs/>
          <w:kern w:val="0"/>
          <w:sz w:val="24"/>
          <w:highlight w:val="none"/>
          <w:u w:val="single"/>
        </w:rPr>
        <w:t xml:space="preserve">                                                                           </w:t>
      </w:r>
    </w:p>
    <w:p>
      <w:pPr>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事实依据：</w:t>
      </w:r>
      <w:r>
        <w:rPr>
          <w:rFonts w:hint="eastAsia" w:ascii="宋体" w:hAnsi="宋体" w:cs="宋体"/>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ascii="宋体" w:hAnsi="宋体" w:cs="宋体"/>
          <w:kern w:val="0"/>
          <w:sz w:val="24"/>
          <w:highlight w:val="none"/>
        </w:rPr>
      </w:pPr>
      <w:r>
        <w:rPr>
          <w:rFonts w:hint="eastAsia" w:ascii="宋体" w:hAnsi="宋体" w:cs="宋体"/>
          <w:bCs/>
          <w:kern w:val="0"/>
          <w:sz w:val="24"/>
          <w:highlight w:val="none"/>
          <w:u w:val="single"/>
        </w:rPr>
        <w:t xml:space="preserve">                                                                                        </w:t>
      </w:r>
    </w:p>
    <w:p>
      <w:pPr>
        <w:spacing w:line="360" w:lineRule="auto"/>
        <w:ind w:firstLine="480" w:firstLineChars="200"/>
        <w:rPr>
          <w:rFonts w:ascii="宋体" w:hAnsi="宋体" w:cs="宋体"/>
          <w:bCs/>
          <w:kern w:val="0"/>
          <w:sz w:val="24"/>
          <w:highlight w:val="none"/>
          <w:u w:val="single"/>
        </w:rPr>
      </w:pPr>
      <w:r>
        <w:rPr>
          <w:rFonts w:hint="eastAsia" w:ascii="宋体" w:hAnsi="宋体" w:cs="宋体"/>
          <w:bCs/>
          <w:kern w:val="0"/>
          <w:sz w:val="24"/>
          <w:highlight w:val="none"/>
        </w:rPr>
        <w:t>法律依据：</w:t>
      </w:r>
      <w:r>
        <w:rPr>
          <w:rFonts w:hint="eastAsia" w:ascii="宋体" w:hAnsi="宋体" w:cs="宋体"/>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left="25" w:leftChars="12" w:firstLine="352" w:firstLineChars="147"/>
        <w:rPr>
          <w:rFonts w:ascii="宋体" w:hAnsi="宋体" w:cs="宋体"/>
          <w:bCs/>
          <w:kern w:val="0"/>
          <w:sz w:val="24"/>
          <w:highlight w:val="none"/>
          <w:u w:val="single"/>
        </w:rPr>
      </w:pPr>
      <w:r>
        <w:rPr>
          <w:rFonts w:hint="eastAsia" w:ascii="宋体" w:hAnsi="宋体" w:cs="宋体"/>
          <w:bCs/>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ascii="宋体" w:hAnsi="宋体" w:cs="宋体"/>
          <w:bCs/>
          <w:kern w:val="0"/>
          <w:sz w:val="24"/>
          <w:highlight w:val="none"/>
        </w:rPr>
      </w:pPr>
      <w:r>
        <w:rPr>
          <w:rFonts w:hint="eastAsia" w:ascii="宋体" w:hAnsi="宋体" w:cs="宋体"/>
          <w:kern w:val="0"/>
          <w:sz w:val="24"/>
          <w:highlight w:val="none"/>
        </w:rPr>
        <w:t xml:space="preserve">投诉事项2  </w:t>
      </w:r>
      <w:r>
        <w:rPr>
          <w:rFonts w:hint="eastAsia" w:ascii="宋体" w:hAnsi="宋体" w:cs="宋体"/>
          <w:bCs/>
          <w:kern w:val="0"/>
          <w:sz w:val="24"/>
          <w:highlight w:val="none"/>
        </w:rPr>
        <w:t xml:space="preserve">   </w:t>
      </w:r>
    </w:p>
    <w:p>
      <w:pPr>
        <w:spacing w:line="360" w:lineRule="auto"/>
        <w:ind w:left="25" w:leftChars="12" w:firstLine="472" w:firstLineChars="197"/>
        <w:rPr>
          <w:rFonts w:ascii="宋体" w:hAnsi="宋体" w:cs="宋体"/>
          <w:bCs/>
          <w:kern w:val="0"/>
          <w:sz w:val="24"/>
          <w:highlight w:val="none"/>
        </w:rPr>
      </w:pPr>
      <w:r>
        <w:rPr>
          <w:rFonts w:hint="eastAsia" w:ascii="宋体" w:hAnsi="宋体" w:cs="宋体"/>
          <w:bCs/>
          <w:kern w:val="0"/>
          <w:sz w:val="24"/>
          <w:highlight w:val="none"/>
        </w:rPr>
        <w:t>……</w:t>
      </w:r>
    </w:p>
    <w:p>
      <w:pPr>
        <w:spacing w:line="360" w:lineRule="auto"/>
        <w:ind w:left="25" w:leftChars="12" w:firstLine="472" w:firstLineChars="196"/>
        <w:rPr>
          <w:rFonts w:ascii="宋体" w:hAnsi="宋体" w:cs="宋体"/>
          <w:b/>
          <w:kern w:val="0"/>
          <w:sz w:val="24"/>
          <w:highlight w:val="none"/>
        </w:rPr>
      </w:pPr>
      <w:r>
        <w:rPr>
          <w:rFonts w:hint="eastAsia" w:ascii="宋体" w:hAnsi="宋体" w:cs="宋体"/>
          <w:b/>
          <w:kern w:val="0"/>
          <w:sz w:val="24"/>
          <w:highlight w:val="none"/>
        </w:rPr>
        <w:t>五、与投诉事项相关的投诉请求：</w:t>
      </w:r>
    </w:p>
    <w:p>
      <w:pPr>
        <w:spacing w:line="360" w:lineRule="auto"/>
        <w:ind w:left="25" w:leftChars="12" w:firstLine="472" w:firstLineChars="197"/>
        <w:rPr>
          <w:rFonts w:ascii="宋体" w:hAnsi="宋体" w:cs="宋体"/>
          <w:kern w:val="0"/>
          <w:sz w:val="24"/>
          <w:highlight w:val="none"/>
        </w:rPr>
      </w:pPr>
      <w:r>
        <w:rPr>
          <w:rFonts w:hint="eastAsia" w:ascii="宋体" w:hAnsi="宋体" w:cs="宋体"/>
          <w:kern w:val="0"/>
          <w:sz w:val="24"/>
          <w:highlight w:val="none"/>
        </w:rPr>
        <w:t>请求：</w:t>
      </w:r>
      <w:r>
        <w:rPr>
          <w:rFonts w:hint="eastAsia" w:ascii="宋体" w:hAnsi="宋体" w:cs="宋体"/>
          <w:bCs/>
          <w:kern w:val="0"/>
          <w:sz w:val="24"/>
          <w:highlight w:val="none"/>
          <w:u w:val="single"/>
        </w:rPr>
        <w:t xml:space="preserve">                                                                                 </w:t>
      </w:r>
    </w:p>
    <w:p>
      <w:pPr>
        <w:spacing w:line="360" w:lineRule="auto"/>
        <w:ind w:left="25" w:leftChars="12" w:firstLine="352" w:firstLineChars="147"/>
        <w:rPr>
          <w:rFonts w:ascii="宋体" w:hAnsi="宋体" w:cs="宋体"/>
          <w:kern w:val="0"/>
          <w:sz w:val="24"/>
          <w:highlight w:val="none"/>
        </w:rPr>
      </w:pPr>
    </w:p>
    <w:p>
      <w:pPr>
        <w:spacing w:line="360" w:lineRule="auto"/>
        <w:ind w:left="25" w:leftChars="12" w:firstLine="472" w:firstLineChars="197"/>
        <w:rPr>
          <w:rFonts w:ascii="宋体" w:hAnsi="宋体" w:cs="宋体"/>
          <w:kern w:val="0"/>
          <w:sz w:val="24"/>
          <w:highlight w:val="none"/>
        </w:rPr>
      </w:pPr>
      <w:r>
        <w:rPr>
          <w:rFonts w:hint="eastAsia" w:ascii="宋体" w:hAnsi="宋体" w:cs="宋体"/>
          <w:kern w:val="0"/>
          <w:sz w:val="24"/>
          <w:highlight w:val="none"/>
        </w:rPr>
        <w:t>签字（签章）：                                       公章：</w:t>
      </w:r>
    </w:p>
    <w:p>
      <w:pPr>
        <w:spacing w:line="360" w:lineRule="auto"/>
        <w:ind w:left="25" w:leftChars="12" w:firstLine="352" w:firstLineChars="147"/>
        <w:rPr>
          <w:rFonts w:ascii="宋体" w:hAnsi="宋体" w:cs="宋体"/>
          <w:kern w:val="0"/>
          <w:sz w:val="24"/>
          <w:highlight w:val="none"/>
        </w:rPr>
      </w:pPr>
    </w:p>
    <w:p>
      <w:pPr>
        <w:spacing w:line="360" w:lineRule="auto"/>
        <w:ind w:left="25" w:leftChars="12" w:firstLine="472" w:firstLineChars="197"/>
        <w:rPr>
          <w:rFonts w:ascii="宋体" w:hAnsi="宋体" w:cs="宋体"/>
          <w:kern w:val="0"/>
          <w:sz w:val="24"/>
          <w:highlight w:val="none"/>
        </w:rPr>
      </w:pPr>
      <w:r>
        <w:rPr>
          <w:rFonts w:hint="eastAsia" w:ascii="宋体" w:hAnsi="宋体" w:cs="宋体"/>
          <w:kern w:val="0"/>
          <w:sz w:val="24"/>
          <w:highlight w:val="none"/>
        </w:rPr>
        <w:t>日期：</w:t>
      </w:r>
    </w:p>
    <w:p>
      <w:pPr>
        <w:spacing w:line="360" w:lineRule="auto"/>
        <w:ind w:left="25" w:leftChars="12" w:firstLine="472" w:firstLineChars="197"/>
        <w:rPr>
          <w:rFonts w:ascii="宋体" w:hAnsi="宋体" w:cs="宋体"/>
          <w:kern w:val="0"/>
          <w:sz w:val="24"/>
          <w:highlight w:val="none"/>
        </w:rPr>
      </w:pPr>
      <w:r>
        <w:rPr>
          <w:rFonts w:hint="eastAsia" w:ascii="宋体" w:hAnsi="宋体" w:cs="宋体"/>
          <w:bCs/>
          <w:kern w:val="0"/>
          <w:sz w:val="24"/>
          <w:highlight w:val="none"/>
        </w:rPr>
        <w:t xml:space="preserve">                                                                                 </w:t>
      </w:r>
    </w:p>
    <w:p>
      <w:pPr>
        <w:snapToGrid w:val="0"/>
        <w:spacing w:line="360" w:lineRule="auto"/>
        <w:rPr>
          <w:rFonts w:ascii="宋体" w:hAnsi="宋体" w:cs="宋体"/>
          <w:b/>
          <w:kern w:val="0"/>
          <w:sz w:val="24"/>
          <w:highlight w:val="none"/>
        </w:rPr>
      </w:pPr>
    </w:p>
    <w:p>
      <w:pPr>
        <w:snapToGrid w:val="0"/>
        <w:spacing w:line="360" w:lineRule="auto"/>
        <w:rPr>
          <w:rFonts w:ascii="宋体" w:hAnsi="宋体" w:cs="宋体"/>
          <w:b/>
          <w:kern w:val="0"/>
          <w:sz w:val="24"/>
          <w:highlight w:val="none"/>
        </w:rPr>
      </w:pPr>
      <w:r>
        <w:rPr>
          <w:rFonts w:hint="eastAsia" w:ascii="宋体" w:hAnsi="宋体" w:cs="宋体"/>
          <w:b/>
          <w:kern w:val="0"/>
          <w:sz w:val="24"/>
          <w:highlight w:val="none"/>
        </w:rPr>
        <w:t>说明：</w:t>
      </w:r>
    </w:p>
    <w:p>
      <w:pPr>
        <w:spacing w:line="360" w:lineRule="auto"/>
        <w:ind w:left="25" w:leftChars="12" w:firstLine="354" w:firstLineChars="147"/>
        <w:rPr>
          <w:rFonts w:ascii="宋体" w:hAnsi="宋体" w:cs="宋体"/>
          <w:b/>
          <w:bCs/>
          <w:kern w:val="0"/>
          <w:sz w:val="24"/>
          <w:highlight w:val="none"/>
        </w:rPr>
      </w:pPr>
      <w:r>
        <w:rPr>
          <w:rFonts w:hint="eastAsia" w:ascii="宋体" w:hAnsi="宋体" w:cs="宋体"/>
          <w:b/>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kern w:val="0"/>
          <w:sz w:val="24"/>
          <w:highlight w:val="none"/>
        </w:rPr>
        <w:t>。</w:t>
      </w:r>
    </w:p>
    <w:p>
      <w:pPr>
        <w:spacing w:line="360" w:lineRule="auto"/>
        <w:ind w:left="25" w:leftChars="12" w:firstLine="354" w:firstLineChars="147"/>
        <w:rPr>
          <w:rFonts w:ascii="宋体" w:hAnsi="宋体" w:cs="宋体"/>
          <w:b/>
          <w:kern w:val="0"/>
          <w:sz w:val="24"/>
          <w:highlight w:val="none"/>
        </w:rPr>
      </w:pPr>
      <w:r>
        <w:rPr>
          <w:rFonts w:hint="eastAsia" w:ascii="宋体" w:hAnsi="宋体" w:cs="宋体"/>
          <w:b/>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cs="宋体"/>
          <w:b/>
          <w:kern w:val="0"/>
          <w:sz w:val="24"/>
          <w:highlight w:val="none"/>
        </w:rPr>
      </w:pPr>
      <w:r>
        <w:rPr>
          <w:rFonts w:hint="eastAsia" w:ascii="宋体" w:hAnsi="宋体" w:cs="宋体"/>
          <w:b/>
          <w:kern w:val="0"/>
          <w:sz w:val="24"/>
          <w:highlight w:val="none"/>
        </w:rPr>
        <w:t>3.投诉书应简要列明质疑事项，质疑函、质疑答复等作为附件材料提供。</w:t>
      </w:r>
    </w:p>
    <w:p>
      <w:pPr>
        <w:spacing w:line="360" w:lineRule="auto"/>
        <w:ind w:left="25" w:leftChars="12" w:firstLine="354" w:firstLineChars="147"/>
        <w:rPr>
          <w:rFonts w:ascii="宋体" w:hAnsi="宋体" w:cs="宋体"/>
          <w:b/>
          <w:kern w:val="0"/>
          <w:sz w:val="24"/>
          <w:highlight w:val="none"/>
        </w:rPr>
      </w:pPr>
      <w:r>
        <w:rPr>
          <w:rFonts w:hint="eastAsia" w:ascii="宋体" w:hAnsi="宋体" w:cs="宋体"/>
          <w:b/>
          <w:kern w:val="0"/>
          <w:sz w:val="24"/>
          <w:highlight w:val="none"/>
        </w:rPr>
        <w:t>4.投诉书的投诉事项应具体、明确，并有必要的事实依据和法律依据。</w:t>
      </w:r>
    </w:p>
    <w:p>
      <w:pPr>
        <w:spacing w:line="360" w:lineRule="auto"/>
        <w:ind w:left="25" w:leftChars="12" w:firstLine="354" w:firstLineChars="147"/>
        <w:rPr>
          <w:rFonts w:ascii="宋体" w:hAnsi="宋体" w:cs="宋体"/>
          <w:b/>
          <w:kern w:val="0"/>
          <w:sz w:val="24"/>
          <w:highlight w:val="none"/>
        </w:rPr>
      </w:pPr>
      <w:r>
        <w:rPr>
          <w:rFonts w:hint="eastAsia" w:ascii="宋体" w:hAnsi="宋体" w:cs="宋体"/>
          <w:b/>
          <w:kern w:val="0"/>
          <w:sz w:val="24"/>
          <w:highlight w:val="none"/>
        </w:rPr>
        <w:t>5.投诉书的投诉请求应与投诉事项相关。</w:t>
      </w:r>
    </w:p>
    <w:p>
      <w:pPr>
        <w:spacing w:line="360" w:lineRule="auto"/>
        <w:ind w:left="25" w:leftChars="12" w:firstLine="354" w:firstLineChars="147"/>
        <w:rPr>
          <w:rFonts w:ascii="宋体" w:hAnsi="宋体" w:cs="宋体"/>
          <w:highlight w:val="none"/>
        </w:rPr>
      </w:pPr>
      <w:r>
        <w:rPr>
          <w:rFonts w:hint="eastAsia" w:ascii="宋体" w:hAnsi="宋体" w:cs="宋体"/>
          <w:b/>
          <w:kern w:val="0"/>
          <w:sz w:val="24"/>
          <w:highlight w:val="none"/>
        </w:rPr>
        <w:t>6.投诉人为法人或者其他组织的，投诉书应由法定代表人、主要负责人，或者其授权代表签字或者盖章，并加盖公章。</w:t>
      </w:r>
    </w:p>
    <w:p>
      <w:pPr>
        <w:rPr>
          <w:rFonts w:ascii="宋体" w:hAnsi="宋体" w:cs="宋体"/>
          <w:highlight w:val="none"/>
        </w:rPr>
      </w:pPr>
    </w:p>
    <w:p>
      <w:pPr>
        <w:rPr>
          <w:rFonts w:ascii="宋体" w:hAnsi="宋体" w:cs="宋体"/>
          <w:highlight w:val="none"/>
        </w:rPr>
      </w:pPr>
    </w:p>
    <w:sectPr>
      <w:headerReference r:id="rId13" w:type="default"/>
      <w:footerReference r:id="rId14"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7F6D246-4D23-4505-B030-0BF7E72E856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9F090614-C7D1-4466-8733-09E8E46802D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2572A4A-933C-4542-BC87-D72EB0562079}"/>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4" w:fontKey="{81C661B7-23CF-4624-9902-6D52A668E40F}"/>
  </w:font>
  <w:font w:name="Arial Unicode MS">
    <w:altName w:val="Arial"/>
    <w:panose1 w:val="020B0604020202020204"/>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5" w:fontKey="{B66D5EB7-D0B4-4F50-B180-694073DF7020}"/>
  </w:font>
  <w:font w:name="Tahoma">
    <w:panose1 w:val="020B0604030504040204"/>
    <w:charset w:val="00"/>
    <w:family w:val="swiss"/>
    <w:pitch w:val="default"/>
    <w:sig w:usb0="E1002EFF" w:usb1="C000605B" w:usb2="00000029" w:usb3="00000000" w:csb0="200101FF" w:csb1="20280000"/>
    <w:embedRegular r:id="rId6" w:fontKey="{EF4D5175-50C7-4706-8C79-31FD2AECEAF8}"/>
  </w:font>
  <w:font w:name="Wingdings 2">
    <w:panose1 w:val="05020102010507070707"/>
    <w:charset w:val="02"/>
    <w:family w:val="roman"/>
    <w:pitch w:val="default"/>
    <w:sig w:usb0="00000000" w:usb1="00000000" w:usb2="00000000" w:usb3="00000000" w:csb0="80000000" w:csb1="00000000"/>
    <w:embedRegular r:id="rId7" w:fontKey="{FC25EE04-1749-4334-B23D-D85476D94455}"/>
  </w:font>
  <w:font w:name="微软雅黑">
    <w:panose1 w:val="020B0503020204020204"/>
    <w:charset w:val="86"/>
    <w:family w:val="swiss"/>
    <w:pitch w:val="default"/>
    <w:sig w:usb0="80000287" w:usb1="280F3C52" w:usb2="00000016" w:usb3="00000000" w:csb0="0004001F" w:csb1="00000000"/>
    <w:embedRegular r:id="rId8" w:fontKey="{31302741-CF5B-4641-B72D-EF08C112FB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pPr>
      <w:pStyle w:val="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p>
    <w:pPr>
      <w:pStyle w:val="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pPr>
                      <w:pStyle w:val="2"/>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pPr>
      <w:pStyle w:val="24"/>
      <w:pBdr>
        <w:bottom w:val="none" w:color="auto" w:sz="0" w:space="1"/>
      </w:pBdr>
      <w:rPr>
        <w:rFonts w:ascii="Calibri" w:hAnsi="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YjBmODIzN2YyMDMzMDU2MWRmZTlmNjAxYzk0Nj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3245"/>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296"/>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17C5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33F"/>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B798A"/>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6B0"/>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6A68"/>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531"/>
    <w:rsid w:val="003E43D3"/>
    <w:rsid w:val="003E48E1"/>
    <w:rsid w:val="003E4B2A"/>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3995"/>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5AF2"/>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0AF"/>
    <w:rsid w:val="006942AE"/>
    <w:rsid w:val="00695421"/>
    <w:rsid w:val="00695D7E"/>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5B3"/>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2653"/>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3E48"/>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AC4"/>
    <w:rsid w:val="00810BB6"/>
    <w:rsid w:val="00810E8E"/>
    <w:rsid w:val="008124BC"/>
    <w:rsid w:val="00812C44"/>
    <w:rsid w:val="008135E1"/>
    <w:rsid w:val="00813779"/>
    <w:rsid w:val="00813E26"/>
    <w:rsid w:val="0081481D"/>
    <w:rsid w:val="00814BE8"/>
    <w:rsid w:val="00814F6E"/>
    <w:rsid w:val="00815363"/>
    <w:rsid w:val="00815B84"/>
    <w:rsid w:val="00816BE9"/>
    <w:rsid w:val="0081718C"/>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6A70"/>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1DA3"/>
    <w:rsid w:val="0098243D"/>
    <w:rsid w:val="00982D26"/>
    <w:rsid w:val="00983B6E"/>
    <w:rsid w:val="00983FE5"/>
    <w:rsid w:val="009849E9"/>
    <w:rsid w:val="009859E4"/>
    <w:rsid w:val="00987812"/>
    <w:rsid w:val="0098789B"/>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082"/>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17CE"/>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8DA"/>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6DF"/>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1E6"/>
    <w:rsid w:val="00BD5CD4"/>
    <w:rsid w:val="00BD65D9"/>
    <w:rsid w:val="00BD6DF3"/>
    <w:rsid w:val="00BD6E09"/>
    <w:rsid w:val="00BD6EF9"/>
    <w:rsid w:val="00BD7AFB"/>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298B"/>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67A0B"/>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2B8"/>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1E71"/>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60B"/>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2F8"/>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286A"/>
    <w:rsid w:val="00EF41A8"/>
    <w:rsid w:val="00EF44FB"/>
    <w:rsid w:val="00EF4A19"/>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5F4E"/>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0E6"/>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5E79"/>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63C42"/>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E70DB3"/>
    <w:rsid w:val="03F83E8B"/>
    <w:rsid w:val="04902A30"/>
    <w:rsid w:val="049570A7"/>
    <w:rsid w:val="04B74446"/>
    <w:rsid w:val="04BA414C"/>
    <w:rsid w:val="04C505BB"/>
    <w:rsid w:val="04CD2CEE"/>
    <w:rsid w:val="04E87914"/>
    <w:rsid w:val="04FA60EF"/>
    <w:rsid w:val="04FC24D4"/>
    <w:rsid w:val="05023BEB"/>
    <w:rsid w:val="050E5E84"/>
    <w:rsid w:val="05102192"/>
    <w:rsid w:val="051724C9"/>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8132CC"/>
    <w:rsid w:val="078627A3"/>
    <w:rsid w:val="07926EFD"/>
    <w:rsid w:val="07966D78"/>
    <w:rsid w:val="07A5201F"/>
    <w:rsid w:val="07B72767"/>
    <w:rsid w:val="07C23DE6"/>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623221"/>
    <w:rsid w:val="0B95246A"/>
    <w:rsid w:val="0BA40399"/>
    <w:rsid w:val="0BB40771"/>
    <w:rsid w:val="0BE93715"/>
    <w:rsid w:val="0BEA3C78"/>
    <w:rsid w:val="0C11238F"/>
    <w:rsid w:val="0C1E2888"/>
    <w:rsid w:val="0C2D753D"/>
    <w:rsid w:val="0C2E225D"/>
    <w:rsid w:val="0C4502C0"/>
    <w:rsid w:val="0C530F2E"/>
    <w:rsid w:val="0C5361CC"/>
    <w:rsid w:val="0C6A764E"/>
    <w:rsid w:val="0C6F29D6"/>
    <w:rsid w:val="0C92213C"/>
    <w:rsid w:val="0C9F5D63"/>
    <w:rsid w:val="0CA710DF"/>
    <w:rsid w:val="0CA737D5"/>
    <w:rsid w:val="0CAB5D64"/>
    <w:rsid w:val="0CB33F28"/>
    <w:rsid w:val="0CD304AC"/>
    <w:rsid w:val="0CD674C0"/>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01A19"/>
    <w:rsid w:val="0F620A17"/>
    <w:rsid w:val="0F7543D3"/>
    <w:rsid w:val="0F7A6CDB"/>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E33AF2"/>
    <w:rsid w:val="110B438A"/>
    <w:rsid w:val="1167339E"/>
    <w:rsid w:val="117053C0"/>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B14FA7"/>
    <w:rsid w:val="15C03E03"/>
    <w:rsid w:val="15C3785B"/>
    <w:rsid w:val="15D26520"/>
    <w:rsid w:val="15D60C87"/>
    <w:rsid w:val="15EE508B"/>
    <w:rsid w:val="160F4148"/>
    <w:rsid w:val="162A25EB"/>
    <w:rsid w:val="16473933"/>
    <w:rsid w:val="168B7C8B"/>
    <w:rsid w:val="169F56FE"/>
    <w:rsid w:val="16A267A7"/>
    <w:rsid w:val="16BD6398"/>
    <w:rsid w:val="16BD6B43"/>
    <w:rsid w:val="16D31DF9"/>
    <w:rsid w:val="16D67838"/>
    <w:rsid w:val="16FD2A55"/>
    <w:rsid w:val="17067C1A"/>
    <w:rsid w:val="1720040C"/>
    <w:rsid w:val="172045B4"/>
    <w:rsid w:val="172F08F7"/>
    <w:rsid w:val="17366761"/>
    <w:rsid w:val="17393A34"/>
    <w:rsid w:val="173A76F6"/>
    <w:rsid w:val="175A043F"/>
    <w:rsid w:val="17672074"/>
    <w:rsid w:val="177C01F0"/>
    <w:rsid w:val="177E17B7"/>
    <w:rsid w:val="17935082"/>
    <w:rsid w:val="17A1706E"/>
    <w:rsid w:val="17C50D78"/>
    <w:rsid w:val="17CE6630"/>
    <w:rsid w:val="17D32A08"/>
    <w:rsid w:val="17EB3722"/>
    <w:rsid w:val="17EF65A5"/>
    <w:rsid w:val="17FA1D25"/>
    <w:rsid w:val="180E6351"/>
    <w:rsid w:val="1810355D"/>
    <w:rsid w:val="181235D5"/>
    <w:rsid w:val="18750DB1"/>
    <w:rsid w:val="187B48A5"/>
    <w:rsid w:val="187C2A7B"/>
    <w:rsid w:val="18A419C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614813"/>
    <w:rsid w:val="1A782658"/>
    <w:rsid w:val="1A7D68F1"/>
    <w:rsid w:val="1A8573D4"/>
    <w:rsid w:val="1A867FDC"/>
    <w:rsid w:val="1AB74F63"/>
    <w:rsid w:val="1AC3132A"/>
    <w:rsid w:val="1AE94689"/>
    <w:rsid w:val="1AEA2BE5"/>
    <w:rsid w:val="1AF65A4C"/>
    <w:rsid w:val="1AFF0AFE"/>
    <w:rsid w:val="1B34103B"/>
    <w:rsid w:val="1B39650C"/>
    <w:rsid w:val="1B4F19F8"/>
    <w:rsid w:val="1B5C2F75"/>
    <w:rsid w:val="1B6B7470"/>
    <w:rsid w:val="1BAE3D4C"/>
    <w:rsid w:val="1BC81E14"/>
    <w:rsid w:val="1BEE7729"/>
    <w:rsid w:val="1C100CC6"/>
    <w:rsid w:val="1C1A42E7"/>
    <w:rsid w:val="1C1F28DB"/>
    <w:rsid w:val="1C226F03"/>
    <w:rsid w:val="1C3F670D"/>
    <w:rsid w:val="1C55025E"/>
    <w:rsid w:val="1C9A50D4"/>
    <w:rsid w:val="1CA823CD"/>
    <w:rsid w:val="1CB515F6"/>
    <w:rsid w:val="1CDE1F2F"/>
    <w:rsid w:val="1CE61E5F"/>
    <w:rsid w:val="1CF93E51"/>
    <w:rsid w:val="1D1C46B8"/>
    <w:rsid w:val="1D3943AC"/>
    <w:rsid w:val="1D7C700E"/>
    <w:rsid w:val="1D805CF0"/>
    <w:rsid w:val="1D8F637F"/>
    <w:rsid w:val="1D996796"/>
    <w:rsid w:val="1DA07F2F"/>
    <w:rsid w:val="1DCB6FE9"/>
    <w:rsid w:val="1DD106A3"/>
    <w:rsid w:val="1DE75398"/>
    <w:rsid w:val="1E0450B5"/>
    <w:rsid w:val="1E2734BD"/>
    <w:rsid w:val="1E375346"/>
    <w:rsid w:val="1E657FE9"/>
    <w:rsid w:val="1E6B39C7"/>
    <w:rsid w:val="1E72152A"/>
    <w:rsid w:val="1E842C7C"/>
    <w:rsid w:val="1E8C24F9"/>
    <w:rsid w:val="1EA7798B"/>
    <w:rsid w:val="1ECC44FA"/>
    <w:rsid w:val="1ECE7147"/>
    <w:rsid w:val="1ED815CC"/>
    <w:rsid w:val="1EDD4E34"/>
    <w:rsid w:val="1EE53F41"/>
    <w:rsid w:val="1F002542"/>
    <w:rsid w:val="1F063325"/>
    <w:rsid w:val="1F066139"/>
    <w:rsid w:val="1F206483"/>
    <w:rsid w:val="1F4D240C"/>
    <w:rsid w:val="1F50678E"/>
    <w:rsid w:val="1F6A3BA7"/>
    <w:rsid w:val="1F80168B"/>
    <w:rsid w:val="1F843156"/>
    <w:rsid w:val="1F885ACE"/>
    <w:rsid w:val="1F91158B"/>
    <w:rsid w:val="1FBC5DF5"/>
    <w:rsid w:val="1FC16863"/>
    <w:rsid w:val="1FDF2302"/>
    <w:rsid w:val="1FEA075F"/>
    <w:rsid w:val="1FEF662C"/>
    <w:rsid w:val="1FF26E0D"/>
    <w:rsid w:val="1FF90588"/>
    <w:rsid w:val="201167D2"/>
    <w:rsid w:val="20134907"/>
    <w:rsid w:val="201474B7"/>
    <w:rsid w:val="20213923"/>
    <w:rsid w:val="20233DBF"/>
    <w:rsid w:val="20245062"/>
    <w:rsid w:val="2035025A"/>
    <w:rsid w:val="204D2ACD"/>
    <w:rsid w:val="20914128"/>
    <w:rsid w:val="20BB6724"/>
    <w:rsid w:val="20BF7883"/>
    <w:rsid w:val="20C3623F"/>
    <w:rsid w:val="20D84C09"/>
    <w:rsid w:val="20F25B07"/>
    <w:rsid w:val="211041C1"/>
    <w:rsid w:val="212B4272"/>
    <w:rsid w:val="21781212"/>
    <w:rsid w:val="21833156"/>
    <w:rsid w:val="21AB0864"/>
    <w:rsid w:val="21B83F86"/>
    <w:rsid w:val="21E069CE"/>
    <w:rsid w:val="22106A4D"/>
    <w:rsid w:val="221178A8"/>
    <w:rsid w:val="221213CF"/>
    <w:rsid w:val="22327A92"/>
    <w:rsid w:val="22A84DFE"/>
    <w:rsid w:val="22BB3EC7"/>
    <w:rsid w:val="22DB129D"/>
    <w:rsid w:val="22F47D51"/>
    <w:rsid w:val="22FA4C94"/>
    <w:rsid w:val="230436F8"/>
    <w:rsid w:val="231D53A2"/>
    <w:rsid w:val="23435214"/>
    <w:rsid w:val="234401DF"/>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C7D19"/>
    <w:rsid w:val="24B34021"/>
    <w:rsid w:val="24BE0ABD"/>
    <w:rsid w:val="24CB4B0D"/>
    <w:rsid w:val="24E91BBE"/>
    <w:rsid w:val="25110A2A"/>
    <w:rsid w:val="251513DA"/>
    <w:rsid w:val="251569DF"/>
    <w:rsid w:val="252F3220"/>
    <w:rsid w:val="25647DF0"/>
    <w:rsid w:val="256C0944"/>
    <w:rsid w:val="25773D5F"/>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B4A"/>
    <w:rsid w:val="26E26183"/>
    <w:rsid w:val="26E36ACC"/>
    <w:rsid w:val="26F73A2A"/>
    <w:rsid w:val="26FF2BB8"/>
    <w:rsid w:val="270417B7"/>
    <w:rsid w:val="27102C21"/>
    <w:rsid w:val="27227C57"/>
    <w:rsid w:val="2750171F"/>
    <w:rsid w:val="275122E4"/>
    <w:rsid w:val="2769156F"/>
    <w:rsid w:val="27793F5D"/>
    <w:rsid w:val="27A2622E"/>
    <w:rsid w:val="27A60F83"/>
    <w:rsid w:val="27C12412"/>
    <w:rsid w:val="27D24FCB"/>
    <w:rsid w:val="28124EAE"/>
    <w:rsid w:val="283F26BC"/>
    <w:rsid w:val="28785F5E"/>
    <w:rsid w:val="2895115B"/>
    <w:rsid w:val="28BA46FA"/>
    <w:rsid w:val="28BE38E2"/>
    <w:rsid w:val="28F14595"/>
    <w:rsid w:val="29063629"/>
    <w:rsid w:val="291137B2"/>
    <w:rsid w:val="2913753A"/>
    <w:rsid w:val="293D6B2E"/>
    <w:rsid w:val="29462E61"/>
    <w:rsid w:val="295E2317"/>
    <w:rsid w:val="296B020D"/>
    <w:rsid w:val="297D3FFE"/>
    <w:rsid w:val="29802F8C"/>
    <w:rsid w:val="29AD0C8B"/>
    <w:rsid w:val="29BB39AC"/>
    <w:rsid w:val="29C5574F"/>
    <w:rsid w:val="29C67FA0"/>
    <w:rsid w:val="29C8074C"/>
    <w:rsid w:val="29D00278"/>
    <w:rsid w:val="29DC3BA0"/>
    <w:rsid w:val="29E509C9"/>
    <w:rsid w:val="29EF6C45"/>
    <w:rsid w:val="2A007C29"/>
    <w:rsid w:val="2A1769A3"/>
    <w:rsid w:val="2A3D0E7D"/>
    <w:rsid w:val="2A4D3396"/>
    <w:rsid w:val="2A541720"/>
    <w:rsid w:val="2A83619E"/>
    <w:rsid w:val="2AC53F93"/>
    <w:rsid w:val="2ACF406E"/>
    <w:rsid w:val="2AD830F7"/>
    <w:rsid w:val="2AE241C5"/>
    <w:rsid w:val="2B253E47"/>
    <w:rsid w:val="2B6A0459"/>
    <w:rsid w:val="2B774624"/>
    <w:rsid w:val="2B8A5BDD"/>
    <w:rsid w:val="2B8C3FB1"/>
    <w:rsid w:val="2B92636F"/>
    <w:rsid w:val="2B9D1BD3"/>
    <w:rsid w:val="2BC83AB9"/>
    <w:rsid w:val="2BD33847"/>
    <w:rsid w:val="2BEA293F"/>
    <w:rsid w:val="2BF5056F"/>
    <w:rsid w:val="2C01411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2459D"/>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81B43"/>
    <w:rsid w:val="30EC5E2A"/>
    <w:rsid w:val="30ED1946"/>
    <w:rsid w:val="311B0A1E"/>
    <w:rsid w:val="31216B3F"/>
    <w:rsid w:val="31295B5B"/>
    <w:rsid w:val="312B50A3"/>
    <w:rsid w:val="317172BB"/>
    <w:rsid w:val="318E6873"/>
    <w:rsid w:val="31A316B2"/>
    <w:rsid w:val="31B46ACE"/>
    <w:rsid w:val="31F51115"/>
    <w:rsid w:val="32003808"/>
    <w:rsid w:val="32172470"/>
    <w:rsid w:val="321A6930"/>
    <w:rsid w:val="32432DA9"/>
    <w:rsid w:val="32453A27"/>
    <w:rsid w:val="3263064A"/>
    <w:rsid w:val="3265766A"/>
    <w:rsid w:val="327D2533"/>
    <w:rsid w:val="329842A9"/>
    <w:rsid w:val="329B7A68"/>
    <w:rsid w:val="32A43132"/>
    <w:rsid w:val="32AB00DA"/>
    <w:rsid w:val="32AC0C06"/>
    <w:rsid w:val="32AD0CCA"/>
    <w:rsid w:val="32C33CD3"/>
    <w:rsid w:val="32E04E37"/>
    <w:rsid w:val="32E15130"/>
    <w:rsid w:val="33027836"/>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AB2475"/>
    <w:rsid w:val="34B52163"/>
    <w:rsid w:val="34D72013"/>
    <w:rsid w:val="34EB7D5F"/>
    <w:rsid w:val="34EE1C44"/>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4257B6"/>
    <w:rsid w:val="36636B8E"/>
    <w:rsid w:val="36741335"/>
    <w:rsid w:val="369E4AB8"/>
    <w:rsid w:val="36AC6498"/>
    <w:rsid w:val="3705788F"/>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D3BF2"/>
    <w:rsid w:val="386A2AA2"/>
    <w:rsid w:val="389430F0"/>
    <w:rsid w:val="38AC3431"/>
    <w:rsid w:val="38B9690B"/>
    <w:rsid w:val="38C26745"/>
    <w:rsid w:val="38CD0AA7"/>
    <w:rsid w:val="38E67108"/>
    <w:rsid w:val="38F06097"/>
    <w:rsid w:val="38FE35D2"/>
    <w:rsid w:val="39226DE8"/>
    <w:rsid w:val="392B4B12"/>
    <w:rsid w:val="392F2E16"/>
    <w:rsid w:val="39406F09"/>
    <w:rsid w:val="396554F4"/>
    <w:rsid w:val="39791C92"/>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62A0C"/>
    <w:rsid w:val="3AD71232"/>
    <w:rsid w:val="3ADB1C7A"/>
    <w:rsid w:val="3AF74C02"/>
    <w:rsid w:val="3B0754C5"/>
    <w:rsid w:val="3B761717"/>
    <w:rsid w:val="3B831369"/>
    <w:rsid w:val="3B8B5350"/>
    <w:rsid w:val="3B954BE0"/>
    <w:rsid w:val="3B9F1620"/>
    <w:rsid w:val="3BB84161"/>
    <w:rsid w:val="3BD53F3C"/>
    <w:rsid w:val="3C0059A5"/>
    <w:rsid w:val="3C07120D"/>
    <w:rsid w:val="3C134E78"/>
    <w:rsid w:val="3C15518D"/>
    <w:rsid w:val="3C2528F1"/>
    <w:rsid w:val="3C2A0F17"/>
    <w:rsid w:val="3C33057E"/>
    <w:rsid w:val="3C334EAF"/>
    <w:rsid w:val="3C3D49BD"/>
    <w:rsid w:val="3C6D16C6"/>
    <w:rsid w:val="3C727629"/>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C9706E"/>
    <w:rsid w:val="3ED818CD"/>
    <w:rsid w:val="3EDD39F2"/>
    <w:rsid w:val="3EE13701"/>
    <w:rsid w:val="3EE25742"/>
    <w:rsid w:val="3F0C5D2F"/>
    <w:rsid w:val="3F144FB4"/>
    <w:rsid w:val="3F1A4BB3"/>
    <w:rsid w:val="3F372168"/>
    <w:rsid w:val="3F4A64D9"/>
    <w:rsid w:val="3F5017C4"/>
    <w:rsid w:val="3F571CFE"/>
    <w:rsid w:val="3F60225A"/>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C21F3C"/>
    <w:rsid w:val="41F6509D"/>
    <w:rsid w:val="42145CCA"/>
    <w:rsid w:val="42241EB7"/>
    <w:rsid w:val="422D3295"/>
    <w:rsid w:val="423035D9"/>
    <w:rsid w:val="42550A18"/>
    <w:rsid w:val="425A4BD1"/>
    <w:rsid w:val="427B1BBB"/>
    <w:rsid w:val="429C7597"/>
    <w:rsid w:val="429D496A"/>
    <w:rsid w:val="42B81FA5"/>
    <w:rsid w:val="42CC751E"/>
    <w:rsid w:val="42E0276A"/>
    <w:rsid w:val="42EB6093"/>
    <w:rsid w:val="42F473A1"/>
    <w:rsid w:val="42F61AFB"/>
    <w:rsid w:val="42F80FA5"/>
    <w:rsid w:val="4305361D"/>
    <w:rsid w:val="430630EF"/>
    <w:rsid w:val="431C26D3"/>
    <w:rsid w:val="431F637C"/>
    <w:rsid w:val="434E3AB8"/>
    <w:rsid w:val="43537F8A"/>
    <w:rsid w:val="43805D73"/>
    <w:rsid w:val="43D83C99"/>
    <w:rsid w:val="43DD4E0B"/>
    <w:rsid w:val="43E53CC0"/>
    <w:rsid w:val="44107EE3"/>
    <w:rsid w:val="441E62C0"/>
    <w:rsid w:val="44380293"/>
    <w:rsid w:val="443E50E2"/>
    <w:rsid w:val="44406167"/>
    <w:rsid w:val="444901FE"/>
    <w:rsid w:val="44967985"/>
    <w:rsid w:val="44974521"/>
    <w:rsid w:val="44FB65C3"/>
    <w:rsid w:val="45147341"/>
    <w:rsid w:val="45192471"/>
    <w:rsid w:val="452802B4"/>
    <w:rsid w:val="452F1A92"/>
    <w:rsid w:val="45325D14"/>
    <w:rsid w:val="453A5298"/>
    <w:rsid w:val="454F4D0B"/>
    <w:rsid w:val="456A5852"/>
    <w:rsid w:val="456B6447"/>
    <w:rsid w:val="457D0B54"/>
    <w:rsid w:val="45811C7C"/>
    <w:rsid w:val="45906116"/>
    <w:rsid w:val="4597723C"/>
    <w:rsid w:val="45A0305D"/>
    <w:rsid w:val="45A03571"/>
    <w:rsid w:val="45B72BF8"/>
    <w:rsid w:val="45C96298"/>
    <w:rsid w:val="45E356FB"/>
    <w:rsid w:val="45F51AEF"/>
    <w:rsid w:val="460B016C"/>
    <w:rsid w:val="46263C87"/>
    <w:rsid w:val="46332D29"/>
    <w:rsid w:val="465219D4"/>
    <w:rsid w:val="465716AD"/>
    <w:rsid w:val="46745ABF"/>
    <w:rsid w:val="46830E83"/>
    <w:rsid w:val="468B3EFB"/>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3C2711"/>
    <w:rsid w:val="495664BB"/>
    <w:rsid w:val="49751310"/>
    <w:rsid w:val="49973F6B"/>
    <w:rsid w:val="499A60D8"/>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5D2CD5"/>
    <w:rsid w:val="4B662EDE"/>
    <w:rsid w:val="4B667F55"/>
    <w:rsid w:val="4B6A63A2"/>
    <w:rsid w:val="4B6E0A3F"/>
    <w:rsid w:val="4B7C6990"/>
    <w:rsid w:val="4B8273D5"/>
    <w:rsid w:val="4B862A85"/>
    <w:rsid w:val="4B8B200B"/>
    <w:rsid w:val="4B98008D"/>
    <w:rsid w:val="4BAC4867"/>
    <w:rsid w:val="4BF16188"/>
    <w:rsid w:val="4BF417D4"/>
    <w:rsid w:val="4BF92147"/>
    <w:rsid w:val="4C01654C"/>
    <w:rsid w:val="4C3A28DD"/>
    <w:rsid w:val="4C8018E7"/>
    <w:rsid w:val="4C8624FC"/>
    <w:rsid w:val="4C8A38D4"/>
    <w:rsid w:val="4C9C27CC"/>
    <w:rsid w:val="4CA20A24"/>
    <w:rsid w:val="4CB755B1"/>
    <w:rsid w:val="4CC27294"/>
    <w:rsid w:val="4CEF36E2"/>
    <w:rsid w:val="4CEF4DC5"/>
    <w:rsid w:val="4CF23DD6"/>
    <w:rsid w:val="4CF25996"/>
    <w:rsid w:val="4D171C3B"/>
    <w:rsid w:val="4D353E59"/>
    <w:rsid w:val="4D3D7D51"/>
    <w:rsid w:val="4D411D80"/>
    <w:rsid w:val="4D482BAA"/>
    <w:rsid w:val="4D4873F2"/>
    <w:rsid w:val="4D54264D"/>
    <w:rsid w:val="4D6A5813"/>
    <w:rsid w:val="4D891B60"/>
    <w:rsid w:val="4D922FBD"/>
    <w:rsid w:val="4D99525E"/>
    <w:rsid w:val="4D9A766C"/>
    <w:rsid w:val="4DA62246"/>
    <w:rsid w:val="4DB54B95"/>
    <w:rsid w:val="4DC17B81"/>
    <w:rsid w:val="4DC23F1C"/>
    <w:rsid w:val="4DEE41E3"/>
    <w:rsid w:val="4DF21879"/>
    <w:rsid w:val="4DF71805"/>
    <w:rsid w:val="4E0A3FBD"/>
    <w:rsid w:val="4E17231F"/>
    <w:rsid w:val="4E257655"/>
    <w:rsid w:val="4E2670DE"/>
    <w:rsid w:val="4E352A01"/>
    <w:rsid w:val="4E8E7871"/>
    <w:rsid w:val="4EA85542"/>
    <w:rsid w:val="4EC4406A"/>
    <w:rsid w:val="4EC455C1"/>
    <w:rsid w:val="4EDB463D"/>
    <w:rsid w:val="4EF86E3C"/>
    <w:rsid w:val="4F06496B"/>
    <w:rsid w:val="4F0C1AC6"/>
    <w:rsid w:val="4F127C58"/>
    <w:rsid w:val="4F365F84"/>
    <w:rsid w:val="4F367AC5"/>
    <w:rsid w:val="4F372380"/>
    <w:rsid w:val="4F372FFB"/>
    <w:rsid w:val="4F3B332E"/>
    <w:rsid w:val="4F4B5D83"/>
    <w:rsid w:val="4F71142E"/>
    <w:rsid w:val="4F7A6CA5"/>
    <w:rsid w:val="4F9C17F9"/>
    <w:rsid w:val="4FA7341A"/>
    <w:rsid w:val="4FC66A35"/>
    <w:rsid w:val="4FE34F88"/>
    <w:rsid w:val="4FEF4AC6"/>
    <w:rsid w:val="5025116D"/>
    <w:rsid w:val="50310AE7"/>
    <w:rsid w:val="503D7DBA"/>
    <w:rsid w:val="507725C3"/>
    <w:rsid w:val="50811214"/>
    <w:rsid w:val="508A158E"/>
    <w:rsid w:val="50BF67C9"/>
    <w:rsid w:val="50C85235"/>
    <w:rsid w:val="50CA0599"/>
    <w:rsid w:val="50ED7CC8"/>
    <w:rsid w:val="50FB62A0"/>
    <w:rsid w:val="511E0283"/>
    <w:rsid w:val="512B554C"/>
    <w:rsid w:val="515158DB"/>
    <w:rsid w:val="515A7AB7"/>
    <w:rsid w:val="516623C4"/>
    <w:rsid w:val="51B05107"/>
    <w:rsid w:val="51DA39DC"/>
    <w:rsid w:val="51E0241A"/>
    <w:rsid w:val="51F1394A"/>
    <w:rsid w:val="51F659F8"/>
    <w:rsid w:val="5201085F"/>
    <w:rsid w:val="522024E6"/>
    <w:rsid w:val="52314419"/>
    <w:rsid w:val="52395ECD"/>
    <w:rsid w:val="526D1B33"/>
    <w:rsid w:val="526D4E29"/>
    <w:rsid w:val="52735E8B"/>
    <w:rsid w:val="52B44696"/>
    <w:rsid w:val="52BB5DFD"/>
    <w:rsid w:val="52C10D75"/>
    <w:rsid w:val="52D55821"/>
    <w:rsid w:val="52EB2FB5"/>
    <w:rsid w:val="53376E09"/>
    <w:rsid w:val="53655BA8"/>
    <w:rsid w:val="53A303CC"/>
    <w:rsid w:val="53C27FF8"/>
    <w:rsid w:val="53D0274A"/>
    <w:rsid w:val="53EA1FF6"/>
    <w:rsid w:val="53EC03B2"/>
    <w:rsid w:val="540B5AE5"/>
    <w:rsid w:val="5411465D"/>
    <w:rsid w:val="54167271"/>
    <w:rsid w:val="544A1D81"/>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E822CC"/>
    <w:rsid w:val="5607446A"/>
    <w:rsid w:val="56081243"/>
    <w:rsid w:val="56182C00"/>
    <w:rsid w:val="56245CC2"/>
    <w:rsid w:val="56330E85"/>
    <w:rsid w:val="565340FA"/>
    <w:rsid w:val="565C3ECA"/>
    <w:rsid w:val="56636EEC"/>
    <w:rsid w:val="56790914"/>
    <w:rsid w:val="567D64C6"/>
    <w:rsid w:val="568E01E7"/>
    <w:rsid w:val="569A7860"/>
    <w:rsid w:val="56B25952"/>
    <w:rsid w:val="56DA342C"/>
    <w:rsid w:val="56FC519F"/>
    <w:rsid w:val="571B3688"/>
    <w:rsid w:val="571F4860"/>
    <w:rsid w:val="5723343E"/>
    <w:rsid w:val="573D7EAB"/>
    <w:rsid w:val="57580904"/>
    <w:rsid w:val="578057C8"/>
    <w:rsid w:val="578231ED"/>
    <w:rsid w:val="57856002"/>
    <w:rsid w:val="57893184"/>
    <w:rsid w:val="57A66BAB"/>
    <w:rsid w:val="57AA18F7"/>
    <w:rsid w:val="57D21B1D"/>
    <w:rsid w:val="57DD34B9"/>
    <w:rsid w:val="57E6392C"/>
    <w:rsid w:val="57F706C9"/>
    <w:rsid w:val="58017793"/>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F2CC8"/>
    <w:rsid w:val="5A3A1B46"/>
    <w:rsid w:val="5A6059E2"/>
    <w:rsid w:val="5A673F93"/>
    <w:rsid w:val="5A723722"/>
    <w:rsid w:val="5A7D02BC"/>
    <w:rsid w:val="5A84088B"/>
    <w:rsid w:val="5AAA4EE2"/>
    <w:rsid w:val="5AC643F3"/>
    <w:rsid w:val="5AC95C92"/>
    <w:rsid w:val="5B436D5A"/>
    <w:rsid w:val="5B487697"/>
    <w:rsid w:val="5B570637"/>
    <w:rsid w:val="5B79092D"/>
    <w:rsid w:val="5B793214"/>
    <w:rsid w:val="5B7D33AD"/>
    <w:rsid w:val="5B7F28A2"/>
    <w:rsid w:val="5B8E36FB"/>
    <w:rsid w:val="5B9C3F03"/>
    <w:rsid w:val="5BA26962"/>
    <w:rsid w:val="5BA85879"/>
    <w:rsid w:val="5BAF1477"/>
    <w:rsid w:val="5BAF6C35"/>
    <w:rsid w:val="5BB978F4"/>
    <w:rsid w:val="5BC1259B"/>
    <w:rsid w:val="5C10702D"/>
    <w:rsid w:val="5C14136F"/>
    <w:rsid w:val="5C152601"/>
    <w:rsid w:val="5C20614F"/>
    <w:rsid w:val="5C591F03"/>
    <w:rsid w:val="5C697AAA"/>
    <w:rsid w:val="5C8A1B2F"/>
    <w:rsid w:val="5C9257B9"/>
    <w:rsid w:val="5C96399E"/>
    <w:rsid w:val="5CAF3DCD"/>
    <w:rsid w:val="5CEA4062"/>
    <w:rsid w:val="5D2C1215"/>
    <w:rsid w:val="5D4D4133"/>
    <w:rsid w:val="5D5C1E8F"/>
    <w:rsid w:val="5D857790"/>
    <w:rsid w:val="5D861815"/>
    <w:rsid w:val="5D8936D2"/>
    <w:rsid w:val="5D914004"/>
    <w:rsid w:val="5DB46785"/>
    <w:rsid w:val="5DD80331"/>
    <w:rsid w:val="5DD95E29"/>
    <w:rsid w:val="5DDD16DD"/>
    <w:rsid w:val="5DF41766"/>
    <w:rsid w:val="5E015F08"/>
    <w:rsid w:val="5E615889"/>
    <w:rsid w:val="5E727AB0"/>
    <w:rsid w:val="5E847BF7"/>
    <w:rsid w:val="5E897C12"/>
    <w:rsid w:val="5E936FAE"/>
    <w:rsid w:val="5EAA1124"/>
    <w:rsid w:val="5EC8520A"/>
    <w:rsid w:val="5ED25050"/>
    <w:rsid w:val="5F0341A4"/>
    <w:rsid w:val="5F0A7504"/>
    <w:rsid w:val="5F114CB9"/>
    <w:rsid w:val="5F174D94"/>
    <w:rsid w:val="5F4F5E24"/>
    <w:rsid w:val="5F561B72"/>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0C97884"/>
    <w:rsid w:val="611E12A8"/>
    <w:rsid w:val="61226064"/>
    <w:rsid w:val="61497909"/>
    <w:rsid w:val="614E0C9F"/>
    <w:rsid w:val="614F0CAD"/>
    <w:rsid w:val="6189448A"/>
    <w:rsid w:val="61A475B0"/>
    <w:rsid w:val="61A66546"/>
    <w:rsid w:val="61BD42A4"/>
    <w:rsid w:val="61BF10D9"/>
    <w:rsid w:val="61BF1193"/>
    <w:rsid w:val="61DA3D4C"/>
    <w:rsid w:val="61F215C9"/>
    <w:rsid w:val="62052E11"/>
    <w:rsid w:val="6265481D"/>
    <w:rsid w:val="626A5412"/>
    <w:rsid w:val="627D5CDF"/>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D06BA5"/>
    <w:rsid w:val="65F12154"/>
    <w:rsid w:val="65FC1AA4"/>
    <w:rsid w:val="661D63AD"/>
    <w:rsid w:val="6630196A"/>
    <w:rsid w:val="665253D0"/>
    <w:rsid w:val="66815672"/>
    <w:rsid w:val="66873275"/>
    <w:rsid w:val="6691014E"/>
    <w:rsid w:val="66C1066D"/>
    <w:rsid w:val="66C87CCE"/>
    <w:rsid w:val="66D23840"/>
    <w:rsid w:val="66E1028C"/>
    <w:rsid w:val="66E73D86"/>
    <w:rsid w:val="66FB490A"/>
    <w:rsid w:val="670006DA"/>
    <w:rsid w:val="67592253"/>
    <w:rsid w:val="677435B2"/>
    <w:rsid w:val="6779688C"/>
    <w:rsid w:val="67814D8C"/>
    <w:rsid w:val="678801E7"/>
    <w:rsid w:val="678D2EA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A61EF"/>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767148"/>
    <w:rsid w:val="6A7F05D0"/>
    <w:rsid w:val="6AAB324D"/>
    <w:rsid w:val="6AB235AF"/>
    <w:rsid w:val="6ABD719F"/>
    <w:rsid w:val="6AC13E4D"/>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655563"/>
    <w:rsid w:val="6B7E2908"/>
    <w:rsid w:val="6B9156B3"/>
    <w:rsid w:val="6B9946B3"/>
    <w:rsid w:val="6BF5106A"/>
    <w:rsid w:val="6C211E68"/>
    <w:rsid w:val="6C241930"/>
    <w:rsid w:val="6C2D0A9C"/>
    <w:rsid w:val="6C316D02"/>
    <w:rsid w:val="6C372961"/>
    <w:rsid w:val="6C4052D5"/>
    <w:rsid w:val="6C431EF3"/>
    <w:rsid w:val="6C4B0DE1"/>
    <w:rsid w:val="6C4E6902"/>
    <w:rsid w:val="6C5B59F4"/>
    <w:rsid w:val="6C662189"/>
    <w:rsid w:val="6C6B22D7"/>
    <w:rsid w:val="6C6C2F38"/>
    <w:rsid w:val="6C7007C7"/>
    <w:rsid w:val="6C8C2B67"/>
    <w:rsid w:val="6C8D38AF"/>
    <w:rsid w:val="6C8D7684"/>
    <w:rsid w:val="6CA13443"/>
    <w:rsid w:val="6CA83959"/>
    <w:rsid w:val="6CB04275"/>
    <w:rsid w:val="6CDC07DA"/>
    <w:rsid w:val="6CDF720B"/>
    <w:rsid w:val="6CF92C55"/>
    <w:rsid w:val="6D21360D"/>
    <w:rsid w:val="6D3A3B10"/>
    <w:rsid w:val="6D415399"/>
    <w:rsid w:val="6D4C7D54"/>
    <w:rsid w:val="6D5E0131"/>
    <w:rsid w:val="6D60703C"/>
    <w:rsid w:val="6D616805"/>
    <w:rsid w:val="6D68310A"/>
    <w:rsid w:val="6D6D4330"/>
    <w:rsid w:val="6D8B0FD6"/>
    <w:rsid w:val="6D915D95"/>
    <w:rsid w:val="6D94625C"/>
    <w:rsid w:val="6D9B53CB"/>
    <w:rsid w:val="6DB63374"/>
    <w:rsid w:val="6DE76850"/>
    <w:rsid w:val="6DF8337B"/>
    <w:rsid w:val="6E030A47"/>
    <w:rsid w:val="6E1A3980"/>
    <w:rsid w:val="6E2B50E3"/>
    <w:rsid w:val="6E506EFF"/>
    <w:rsid w:val="6E8059E4"/>
    <w:rsid w:val="6E930639"/>
    <w:rsid w:val="6E9E45BF"/>
    <w:rsid w:val="6EA34CC4"/>
    <w:rsid w:val="6EC00BE3"/>
    <w:rsid w:val="6EE14809"/>
    <w:rsid w:val="6EE54F57"/>
    <w:rsid w:val="6F055DD7"/>
    <w:rsid w:val="6F2E0D5F"/>
    <w:rsid w:val="6F395B8B"/>
    <w:rsid w:val="6F4A6530"/>
    <w:rsid w:val="6F6B76CB"/>
    <w:rsid w:val="6F6E0ACF"/>
    <w:rsid w:val="6F753C1F"/>
    <w:rsid w:val="6F964F3B"/>
    <w:rsid w:val="6FB20BD4"/>
    <w:rsid w:val="6FB650F7"/>
    <w:rsid w:val="6FB75277"/>
    <w:rsid w:val="6FBA59BE"/>
    <w:rsid w:val="6FD64135"/>
    <w:rsid w:val="6FF16C9A"/>
    <w:rsid w:val="6FF2418B"/>
    <w:rsid w:val="6FF3192C"/>
    <w:rsid w:val="702726F0"/>
    <w:rsid w:val="70296B3E"/>
    <w:rsid w:val="704255C1"/>
    <w:rsid w:val="704751B9"/>
    <w:rsid w:val="70497291"/>
    <w:rsid w:val="704C034C"/>
    <w:rsid w:val="705B357E"/>
    <w:rsid w:val="70611204"/>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3B0DCB"/>
    <w:rsid w:val="72450FB0"/>
    <w:rsid w:val="72487743"/>
    <w:rsid w:val="724A54B2"/>
    <w:rsid w:val="725E1213"/>
    <w:rsid w:val="72655E48"/>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ED4347"/>
    <w:rsid w:val="73F27930"/>
    <w:rsid w:val="74121260"/>
    <w:rsid w:val="743462D3"/>
    <w:rsid w:val="74365CEE"/>
    <w:rsid w:val="743E7D5E"/>
    <w:rsid w:val="7441374C"/>
    <w:rsid w:val="744149C3"/>
    <w:rsid w:val="74474E71"/>
    <w:rsid w:val="74A93E5A"/>
    <w:rsid w:val="74C633BB"/>
    <w:rsid w:val="74F63CE1"/>
    <w:rsid w:val="74FA2C30"/>
    <w:rsid w:val="75122DB5"/>
    <w:rsid w:val="751D1A0B"/>
    <w:rsid w:val="753B09F7"/>
    <w:rsid w:val="754D5C4B"/>
    <w:rsid w:val="756C78B0"/>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3C764B"/>
    <w:rsid w:val="78DE4305"/>
    <w:rsid w:val="797943B1"/>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934F67"/>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B5456"/>
    <w:rsid w:val="7D2B12B1"/>
    <w:rsid w:val="7D352792"/>
    <w:rsid w:val="7D563551"/>
    <w:rsid w:val="7D6F6791"/>
    <w:rsid w:val="7D7558BB"/>
    <w:rsid w:val="7D830B9D"/>
    <w:rsid w:val="7D905E8D"/>
    <w:rsid w:val="7DB23C3E"/>
    <w:rsid w:val="7DD11708"/>
    <w:rsid w:val="7DD943F1"/>
    <w:rsid w:val="7DE5430C"/>
    <w:rsid w:val="7DE64899"/>
    <w:rsid w:val="7DF813B2"/>
    <w:rsid w:val="7DFC32D8"/>
    <w:rsid w:val="7DFD7978"/>
    <w:rsid w:val="7E0763E6"/>
    <w:rsid w:val="7E1202A7"/>
    <w:rsid w:val="7E156055"/>
    <w:rsid w:val="7E2D7872"/>
    <w:rsid w:val="7E522C19"/>
    <w:rsid w:val="7E5C0F61"/>
    <w:rsid w:val="7E7B37EB"/>
    <w:rsid w:val="7E8E6EBF"/>
    <w:rsid w:val="7EAA7A04"/>
    <w:rsid w:val="7EAD21C3"/>
    <w:rsid w:val="7EBD579E"/>
    <w:rsid w:val="7EC167BD"/>
    <w:rsid w:val="7ED56D33"/>
    <w:rsid w:val="7EFC345C"/>
    <w:rsid w:val="7F1A6960"/>
    <w:rsid w:val="7F272D9E"/>
    <w:rsid w:val="7F397426"/>
    <w:rsid w:val="7F507488"/>
    <w:rsid w:val="7F657C66"/>
    <w:rsid w:val="7F687D9B"/>
    <w:rsid w:val="7F7848F6"/>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48"/>
    <w:autoRedefine/>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49"/>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50"/>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55"/>
    <w:autoRedefine/>
    <w:unhideWhenUsed/>
    <w:qFormat/>
    <w:uiPriority w:val="99"/>
    <w:pPr>
      <w:tabs>
        <w:tab w:val="center" w:pos="4153"/>
        <w:tab w:val="right" w:pos="8306"/>
      </w:tabs>
      <w:snapToGrid w:val="0"/>
      <w:jc w:val="left"/>
    </w:pPr>
    <w:rPr>
      <w:kern w:val="0"/>
      <w:sz w:val="18"/>
      <w:szCs w:val="18"/>
    </w:rPr>
  </w:style>
  <w:style w:type="paragraph" w:styleId="8">
    <w:name w:val="Normal Indent"/>
    <w:basedOn w:val="1"/>
    <w:autoRedefine/>
    <w:qFormat/>
    <w:uiPriority w:val="99"/>
    <w:pPr>
      <w:ind w:firstLine="420"/>
    </w:pPr>
    <w:rPr>
      <w:szCs w:val="20"/>
    </w:rPr>
  </w:style>
  <w:style w:type="paragraph" w:styleId="10">
    <w:name w:val="table of authorities"/>
    <w:basedOn w:val="1"/>
    <w:next w:val="1"/>
    <w:autoRedefine/>
    <w:qFormat/>
    <w:uiPriority w:val="99"/>
    <w:pPr>
      <w:ind w:left="420" w:leftChars="200"/>
    </w:pPr>
    <w:rPr>
      <w:rFonts w:ascii="Calibri" w:hAnsi="Calibri"/>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autoRedefine/>
    <w:qFormat/>
    <w:uiPriority w:val="0"/>
    <w:rPr>
      <w:rFonts w:ascii="DejaVu Sans" w:hAnsi="DejaVu Sans" w:eastAsia="方正黑体_GBK"/>
      <w:sz w:val="20"/>
    </w:rPr>
  </w:style>
  <w:style w:type="paragraph" w:styleId="14">
    <w:name w:val="annotation text"/>
    <w:basedOn w:val="1"/>
    <w:link w:val="42"/>
    <w:autoRedefine/>
    <w:qFormat/>
    <w:uiPriority w:val="99"/>
    <w:pPr>
      <w:jc w:val="left"/>
    </w:pPr>
  </w:style>
  <w:style w:type="paragraph" w:styleId="15">
    <w:name w:val="Body Text 3"/>
    <w:basedOn w:val="1"/>
    <w:link w:val="51"/>
    <w:autoRedefine/>
    <w:unhideWhenUsed/>
    <w:qFormat/>
    <w:uiPriority w:val="99"/>
    <w:pPr>
      <w:spacing w:after="120"/>
    </w:pPr>
    <w:rPr>
      <w:sz w:val="16"/>
      <w:szCs w:val="16"/>
    </w:rPr>
  </w:style>
  <w:style w:type="paragraph" w:styleId="16">
    <w:name w:val="Body Text"/>
    <w:basedOn w:val="1"/>
    <w:next w:val="1"/>
    <w:link w:val="52"/>
    <w:autoRedefine/>
    <w:unhideWhenUsed/>
    <w:qFormat/>
    <w:uiPriority w:val="0"/>
    <w:pPr>
      <w:spacing w:after="120"/>
    </w:pPr>
  </w:style>
  <w:style w:type="paragraph" w:styleId="17">
    <w:name w:val="Body Text Indent"/>
    <w:basedOn w:val="1"/>
    <w:next w:val="18"/>
    <w:link w:val="41"/>
    <w:autoRedefine/>
    <w:qFormat/>
    <w:uiPriority w:val="99"/>
    <w:pPr>
      <w:ind w:firstLine="830" w:firstLineChars="352"/>
    </w:pPr>
    <w:rPr>
      <w:rFonts w:ascii="仿宋_GB2312" w:eastAsia="仿宋_GB2312"/>
      <w:kern w:val="0"/>
      <w:sz w:val="32"/>
      <w:szCs w:val="20"/>
    </w:rPr>
  </w:style>
  <w:style w:type="paragraph" w:styleId="18">
    <w:name w:val="annotation subject"/>
    <w:basedOn w:val="14"/>
    <w:next w:val="1"/>
    <w:link w:val="43"/>
    <w:autoRedefine/>
    <w:qFormat/>
    <w:uiPriority w:val="99"/>
    <w:rPr>
      <w:b/>
      <w:bCs/>
    </w:rPr>
  </w:style>
  <w:style w:type="paragraph" w:styleId="19">
    <w:name w:val="List 2"/>
    <w:basedOn w:val="1"/>
    <w:autoRedefine/>
    <w:unhideWhenUsed/>
    <w:qFormat/>
    <w:uiPriority w:val="99"/>
    <w:pPr>
      <w:ind w:left="100" w:leftChars="200" w:hanging="200" w:hangingChars="200"/>
      <w:contextualSpacing/>
    </w:pPr>
  </w:style>
  <w:style w:type="paragraph" w:styleId="20">
    <w:name w:val="toc 3"/>
    <w:basedOn w:val="1"/>
    <w:next w:val="1"/>
    <w:autoRedefine/>
    <w:unhideWhenUsed/>
    <w:qFormat/>
    <w:uiPriority w:val="39"/>
    <w:pPr>
      <w:ind w:left="840" w:leftChars="400"/>
    </w:pPr>
  </w:style>
  <w:style w:type="paragraph" w:styleId="21">
    <w:name w:val="Plain Text"/>
    <w:basedOn w:val="1"/>
    <w:next w:val="1"/>
    <w:link w:val="53"/>
    <w:autoRedefine/>
    <w:qFormat/>
    <w:uiPriority w:val="0"/>
    <w:rPr>
      <w:rFonts w:ascii="宋体" w:hAnsi="Courier New"/>
      <w:kern w:val="0"/>
      <w:sz w:val="20"/>
      <w:szCs w:val="21"/>
    </w:rPr>
  </w:style>
  <w:style w:type="paragraph" w:styleId="22">
    <w:name w:val="Date"/>
    <w:basedOn w:val="1"/>
    <w:next w:val="1"/>
    <w:link w:val="54"/>
    <w:autoRedefine/>
    <w:unhideWhenUsed/>
    <w:qFormat/>
    <w:uiPriority w:val="99"/>
    <w:pPr>
      <w:ind w:left="100" w:leftChars="2500"/>
    </w:pPr>
  </w:style>
  <w:style w:type="paragraph" w:styleId="23">
    <w:name w:val="Balloon Text"/>
    <w:basedOn w:val="1"/>
    <w:autoRedefine/>
    <w:semiHidden/>
    <w:qFormat/>
    <w:uiPriority w:val="0"/>
    <w:rPr>
      <w:sz w:val="18"/>
      <w:szCs w:val="18"/>
    </w:rPr>
  </w:style>
  <w:style w:type="paragraph" w:styleId="24">
    <w:name w:val="header"/>
    <w:basedOn w:val="1"/>
    <w:link w:val="5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List"/>
    <w:basedOn w:val="1"/>
    <w:autoRedefine/>
    <w:unhideWhenUsed/>
    <w:qFormat/>
    <w:uiPriority w:val="99"/>
    <w:pPr>
      <w:ind w:left="200" w:hanging="200" w:hangingChars="200"/>
      <w:contextualSpacing/>
    </w:p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autoRedefine/>
    <w:unhideWhenUsed/>
    <w:qFormat/>
    <w:uiPriority w:val="99"/>
    <w:rPr>
      <w:rFonts w:ascii="Calibri" w:hAnsi="Calibri"/>
      <w:kern w:val="0"/>
      <w:sz w:val="24"/>
    </w:rPr>
  </w:style>
  <w:style w:type="paragraph" w:styleId="29">
    <w:name w:val="Body Text First Indent"/>
    <w:basedOn w:val="16"/>
    <w:autoRedefine/>
    <w:qFormat/>
    <w:uiPriority w:val="0"/>
    <w:pPr>
      <w:ind w:firstLine="420" w:firstLineChars="100"/>
    </w:pPr>
  </w:style>
  <w:style w:type="paragraph" w:styleId="30">
    <w:name w:val="Body Text First Indent 2"/>
    <w:basedOn w:val="17"/>
    <w:link w:val="44"/>
    <w:autoRedefine/>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autoRedefine/>
    <w:unhideWhenUsed/>
    <w:qFormat/>
    <w:uiPriority w:val="99"/>
    <w:rPr>
      <w:vertAlign w:val="superscript"/>
    </w:rPr>
  </w:style>
  <w:style w:type="character" w:styleId="35">
    <w:name w:val="page number"/>
    <w:autoRedefine/>
    <w:qFormat/>
    <w:uiPriority w:val="0"/>
  </w:style>
  <w:style w:type="character" w:styleId="36">
    <w:name w:val="FollowedHyperlink"/>
    <w:autoRedefine/>
    <w:unhideWhenUsed/>
    <w:qFormat/>
    <w:uiPriority w:val="99"/>
    <w:rPr>
      <w:color w:val="800080"/>
      <w:u w:val="single"/>
    </w:rPr>
  </w:style>
  <w:style w:type="character" w:styleId="37">
    <w:name w:val="Emphasis"/>
    <w:basedOn w:val="33"/>
    <w:autoRedefine/>
    <w:qFormat/>
    <w:uiPriority w:val="20"/>
    <w:rPr>
      <w:i/>
    </w:rPr>
  </w:style>
  <w:style w:type="character" w:styleId="38">
    <w:name w:val="Hyperlink"/>
    <w:autoRedefine/>
    <w:unhideWhenUsed/>
    <w:qFormat/>
    <w:uiPriority w:val="99"/>
    <w:rPr>
      <w:color w:val="0000FF"/>
      <w:u w:val="single"/>
    </w:rPr>
  </w:style>
  <w:style w:type="character" w:styleId="39">
    <w:name w:val="annotation reference"/>
    <w:autoRedefine/>
    <w:qFormat/>
    <w:uiPriority w:val="99"/>
    <w:rPr>
      <w:sz w:val="21"/>
      <w:szCs w:val="21"/>
    </w:rPr>
  </w:style>
  <w:style w:type="paragraph" w:customStyle="1" w:styleId="40">
    <w:name w:val="Heading2"/>
    <w:basedOn w:val="1"/>
    <w:next w:val="1"/>
    <w:autoRedefine/>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Char"/>
    <w:link w:val="17"/>
    <w:autoRedefine/>
    <w:qFormat/>
    <w:uiPriority w:val="99"/>
    <w:rPr>
      <w:rFonts w:ascii="仿宋_GB2312" w:hAnsi="Times New Roman" w:eastAsia="仿宋_GB2312" w:cs="Times New Roman"/>
      <w:sz w:val="32"/>
      <w:szCs w:val="20"/>
    </w:rPr>
  </w:style>
  <w:style w:type="character" w:customStyle="1" w:styleId="42">
    <w:name w:val="批注文字 Char1"/>
    <w:link w:val="14"/>
    <w:autoRedefine/>
    <w:qFormat/>
    <w:uiPriority w:val="99"/>
    <w:rPr>
      <w:rFonts w:ascii="Times New Roman" w:hAnsi="Times New Roman"/>
      <w:kern w:val="2"/>
      <w:sz w:val="21"/>
      <w:szCs w:val="24"/>
    </w:rPr>
  </w:style>
  <w:style w:type="character" w:customStyle="1" w:styleId="43">
    <w:name w:val="批注主题 Char"/>
    <w:link w:val="18"/>
    <w:autoRedefine/>
    <w:qFormat/>
    <w:uiPriority w:val="99"/>
    <w:rPr>
      <w:rFonts w:ascii="Times New Roman" w:hAnsi="Times New Roman"/>
      <w:b/>
      <w:bCs/>
      <w:kern w:val="2"/>
      <w:sz w:val="21"/>
      <w:szCs w:val="24"/>
    </w:rPr>
  </w:style>
  <w:style w:type="character" w:customStyle="1" w:styleId="44">
    <w:name w:val="正文首行缩进 2 Char"/>
    <w:link w:val="30"/>
    <w:autoRedefine/>
    <w:qFormat/>
    <w:uiPriority w:val="99"/>
    <w:rPr>
      <w:kern w:val="2"/>
      <w:sz w:val="21"/>
      <w:szCs w:val="24"/>
    </w:rPr>
  </w:style>
  <w:style w:type="character" w:customStyle="1" w:styleId="45">
    <w:name w:val="标题 1 Char"/>
    <w:link w:val="3"/>
    <w:autoRedefine/>
    <w:qFormat/>
    <w:uiPriority w:val="99"/>
    <w:rPr>
      <w:b/>
      <w:bCs/>
      <w:kern w:val="44"/>
      <w:sz w:val="44"/>
      <w:szCs w:val="44"/>
    </w:rPr>
  </w:style>
  <w:style w:type="character" w:customStyle="1" w:styleId="46">
    <w:name w:val="标题 2 Char1"/>
    <w:link w:val="4"/>
    <w:autoRedefine/>
    <w:qFormat/>
    <w:uiPriority w:val="9"/>
    <w:rPr>
      <w:rFonts w:ascii="Cambria" w:hAnsi="Cambria" w:eastAsia="宋体" w:cs="Times New Roman"/>
      <w:b/>
      <w:bCs/>
      <w:kern w:val="2"/>
      <w:sz w:val="32"/>
      <w:szCs w:val="32"/>
    </w:rPr>
  </w:style>
  <w:style w:type="character" w:customStyle="1" w:styleId="47">
    <w:name w:val="标题 3 Char"/>
    <w:link w:val="5"/>
    <w:autoRedefine/>
    <w:qFormat/>
    <w:uiPriority w:val="99"/>
    <w:rPr>
      <w:b/>
      <w:bCs/>
      <w:kern w:val="2"/>
      <w:sz w:val="32"/>
      <w:szCs w:val="32"/>
    </w:rPr>
  </w:style>
  <w:style w:type="character" w:customStyle="1" w:styleId="48">
    <w:name w:val="标题 4 Char"/>
    <w:link w:val="6"/>
    <w:autoRedefine/>
    <w:qFormat/>
    <w:uiPriority w:val="9"/>
    <w:rPr>
      <w:rFonts w:ascii="Arial" w:hAnsi="Arial" w:eastAsia="黑体"/>
      <w:b/>
      <w:kern w:val="2"/>
      <w:sz w:val="28"/>
      <w:szCs w:val="24"/>
    </w:rPr>
  </w:style>
  <w:style w:type="character" w:customStyle="1" w:styleId="49">
    <w:name w:val="标题 5 Char"/>
    <w:link w:val="7"/>
    <w:autoRedefine/>
    <w:qFormat/>
    <w:uiPriority w:val="9"/>
    <w:rPr>
      <w:rFonts w:ascii="Times New Roman" w:hAnsi="Times New Roman"/>
      <w:b/>
      <w:bCs/>
      <w:kern w:val="2"/>
      <w:sz w:val="28"/>
      <w:szCs w:val="28"/>
    </w:rPr>
  </w:style>
  <w:style w:type="character" w:customStyle="1" w:styleId="50">
    <w:name w:val="标题 8 Char1"/>
    <w:link w:val="9"/>
    <w:autoRedefine/>
    <w:semiHidden/>
    <w:qFormat/>
    <w:uiPriority w:val="9"/>
    <w:rPr>
      <w:rFonts w:ascii="等线 Light" w:hAnsi="等线 Light" w:eastAsia="等线 Light" w:cs="Times New Roman"/>
      <w:kern w:val="2"/>
      <w:sz w:val="24"/>
      <w:szCs w:val="24"/>
    </w:rPr>
  </w:style>
  <w:style w:type="character" w:customStyle="1" w:styleId="51">
    <w:name w:val="正文文本 3 Char"/>
    <w:link w:val="15"/>
    <w:autoRedefine/>
    <w:semiHidden/>
    <w:qFormat/>
    <w:uiPriority w:val="99"/>
    <w:rPr>
      <w:kern w:val="2"/>
      <w:sz w:val="16"/>
      <w:szCs w:val="16"/>
    </w:rPr>
  </w:style>
  <w:style w:type="character" w:customStyle="1" w:styleId="52">
    <w:name w:val="正文文本 Char1"/>
    <w:link w:val="16"/>
    <w:autoRedefine/>
    <w:qFormat/>
    <w:uiPriority w:val="0"/>
    <w:rPr>
      <w:rFonts w:ascii="Times New Roman" w:hAnsi="Times New Roman"/>
      <w:kern w:val="2"/>
      <w:sz w:val="21"/>
      <w:szCs w:val="24"/>
    </w:rPr>
  </w:style>
  <w:style w:type="character" w:customStyle="1" w:styleId="53">
    <w:name w:val="纯文本 Char1"/>
    <w:link w:val="21"/>
    <w:autoRedefine/>
    <w:qFormat/>
    <w:uiPriority w:val="0"/>
    <w:rPr>
      <w:rFonts w:ascii="宋体" w:hAnsi="Courier New" w:eastAsia="宋体" w:cs="Courier New"/>
      <w:szCs w:val="21"/>
    </w:rPr>
  </w:style>
  <w:style w:type="character" w:customStyle="1" w:styleId="54">
    <w:name w:val="日期 Char"/>
    <w:link w:val="22"/>
    <w:autoRedefine/>
    <w:semiHidden/>
    <w:qFormat/>
    <w:uiPriority w:val="99"/>
    <w:rPr>
      <w:rFonts w:ascii="Times New Roman" w:hAnsi="Times New Roman"/>
      <w:kern w:val="2"/>
      <w:sz w:val="21"/>
      <w:szCs w:val="24"/>
    </w:rPr>
  </w:style>
  <w:style w:type="character" w:customStyle="1" w:styleId="55">
    <w:name w:val="页脚 Char"/>
    <w:link w:val="2"/>
    <w:autoRedefine/>
    <w:qFormat/>
    <w:uiPriority w:val="99"/>
    <w:rPr>
      <w:sz w:val="18"/>
      <w:szCs w:val="18"/>
    </w:rPr>
  </w:style>
  <w:style w:type="character" w:customStyle="1" w:styleId="56">
    <w:name w:val="页眉 Char"/>
    <w:link w:val="24"/>
    <w:autoRedefine/>
    <w:qFormat/>
    <w:uiPriority w:val="99"/>
    <w:rPr>
      <w:sz w:val="18"/>
      <w:szCs w:val="18"/>
    </w:rPr>
  </w:style>
  <w:style w:type="character" w:customStyle="1" w:styleId="57">
    <w:name w:val="textcontents"/>
    <w:autoRedefine/>
    <w:qFormat/>
    <w:uiPriority w:val="0"/>
  </w:style>
  <w:style w:type="character" w:customStyle="1" w:styleId="58">
    <w:name w:val="标题 2 Char"/>
    <w:autoRedefine/>
    <w:qFormat/>
    <w:uiPriority w:val="99"/>
    <w:rPr>
      <w:rFonts w:ascii="Cambria" w:hAnsi="Cambria" w:eastAsia="宋体" w:cs="Times New Roman"/>
      <w:b/>
      <w:bCs/>
      <w:kern w:val="2"/>
      <w:sz w:val="32"/>
      <w:szCs w:val="32"/>
    </w:rPr>
  </w:style>
  <w:style w:type="character" w:customStyle="1" w:styleId="5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autoRedefine/>
    <w:qFormat/>
    <w:uiPriority w:val="0"/>
    <w:rPr>
      <w:rFonts w:ascii="宋体" w:hAnsi="Courier New" w:eastAsia="宋体" w:cs="Courier New"/>
      <w:szCs w:val="21"/>
    </w:rPr>
  </w:style>
  <w:style w:type="character" w:customStyle="1" w:styleId="61">
    <w:name w:val="正文文本 字符"/>
    <w:autoRedefine/>
    <w:qFormat/>
    <w:uiPriority w:val="0"/>
    <w:rPr>
      <w:rFonts w:ascii="Times New Roman" w:hAnsi="Times New Roman"/>
      <w:kern w:val="2"/>
      <w:sz w:val="21"/>
      <w:szCs w:val="24"/>
    </w:rPr>
  </w:style>
  <w:style w:type="character" w:customStyle="1" w:styleId="62">
    <w:name w:val="批注文字 字符1"/>
    <w:autoRedefine/>
    <w:qFormat/>
    <w:uiPriority w:val="0"/>
    <w:rPr>
      <w:rFonts w:ascii="Times New Roman" w:hAnsi="Times New Roman"/>
      <w:kern w:val="2"/>
      <w:sz w:val="21"/>
      <w:szCs w:val="24"/>
    </w:rPr>
  </w:style>
  <w:style w:type="character" w:customStyle="1" w:styleId="63">
    <w:name w:val="正文文本 Char"/>
    <w:autoRedefine/>
    <w:qFormat/>
    <w:uiPriority w:val="99"/>
    <w:rPr>
      <w:rFonts w:ascii="Times New Roman" w:hAnsi="Times New Roman"/>
      <w:kern w:val="2"/>
      <w:sz w:val="21"/>
      <w:szCs w:val="24"/>
    </w:rPr>
  </w:style>
  <w:style w:type="character" w:customStyle="1" w:styleId="64">
    <w:name w:val="纯文本 字符"/>
    <w:autoRedefine/>
    <w:qFormat/>
    <w:uiPriority w:val="0"/>
    <w:rPr>
      <w:rFonts w:ascii="宋体" w:hAnsi="Courier New" w:eastAsia="宋体" w:cs="Courier New"/>
      <w:szCs w:val="21"/>
    </w:rPr>
  </w:style>
  <w:style w:type="character" w:customStyle="1" w:styleId="65">
    <w:name w:val="标题 1 字符1"/>
    <w:autoRedefine/>
    <w:qFormat/>
    <w:uiPriority w:val="0"/>
    <w:rPr>
      <w:b/>
      <w:bCs/>
      <w:kern w:val="44"/>
      <w:sz w:val="44"/>
      <w:szCs w:val="44"/>
    </w:rPr>
  </w:style>
  <w:style w:type="character" w:customStyle="1" w:styleId="66">
    <w:name w:val="正文2 Char Char"/>
    <w:link w:val="67"/>
    <w:autoRedefine/>
    <w:qFormat/>
    <w:uiPriority w:val="0"/>
    <w:rPr>
      <w:sz w:val="24"/>
    </w:rPr>
  </w:style>
  <w:style w:type="paragraph" w:customStyle="1" w:styleId="67">
    <w:name w:val="正文2"/>
    <w:basedOn w:val="1"/>
    <w:link w:val="66"/>
    <w:autoRedefine/>
    <w:qFormat/>
    <w:uiPriority w:val="0"/>
    <w:pPr>
      <w:adjustRightInd w:val="0"/>
      <w:spacing w:before="156" w:line="360" w:lineRule="auto"/>
      <w:ind w:firstLine="510" w:firstLineChars="200"/>
    </w:pPr>
    <w:rPr>
      <w:kern w:val="0"/>
      <w:sz w:val="24"/>
      <w:szCs w:val="20"/>
    </w:rPr>
  </w:style>
  <w:style w:type="character" w:customStyle="1" w:styleId="68">
    <w:name w:val="标题 8 Char"/>
    <w:autoRedefine/>
    <w:qFormat/>
    <w:uiPriority w:val="0"/>
    <w:rPr>
      <w:rFonts w:ascii="Arial" w:hAnsi="Arial" w:eastAsia="黑体"/>
      <w:kern w:val="2"/>
      <w:sz w:val="24"/>
      <w:szCs w:val="24"/>
    </w:rPr>
  </w:style>
  <w:style w:type="character" w:customStyle="1" w:styleId="69">
    <w:name w:val="纯文本 Char"/>
    <w:autoRedefine/>
    <w:qFormat/>
    <w:uiPriority w:val="99"/>
    <w:rPr>
      <w:rFonts w:ascii="宋体" w:hAnsi="Courier New" w:eastAsia="宋体" w:cs="Courier New"/>
      <w:szCs w:val="21"/>
    </w:rPr>
  </w:style>
  <w:style w:type="character" w:customStyle="1" w:styleId="70">
    <w:name w:val="批注文字 Char"/>
    <w:autoRedefine/>
    <w:qFormat/>
    <w:uiPriority w:val="99"/>
    <w:rPr>
      <w:rFonts w:ascii="Times New Roman" w:hAnsi="Times New Roman"/>
      <w:kern w:val="2"/>
      <w:sz w:val="21"/>
      <w:szCs w:val="24"/>
    </w:rPr>
  </w:style>
  <w:style w:type="character" w:customStyle="1" w:styleId="71">
    <w:name w:val="纯文本 字符1"/>
    <w:autoRedefine/>
    <w:qFormat/>
    <w:uiPriority w:val="0"/>
    <w:rPr>
      <w:rFonts w:ascii="宋体" w:hAnsi="Courier New"/>
    </w:rPr>
  </w:style>
  <w:style w:type="character" w:customStyle="1" w:styleId="72">
    <w:name w:val="未处理的提及"/>
    <w:autoRedefine/>
    <w:unhideWhenUsed/>
    <w:qFormat/>
    <w:uiPriority w:val="99"/>
    <w:rPr>
      <w:color w:val="605E5C"/>
      <w:shd w:val="clear" w:color="auto" w:fill="E1DFDD"/>
    </w:rPr>
  </w:style>
  <w:style w:type="character" w:customStyle="1" w:styleId="73">
    <w:name w:val="apple-style-span"/>
    <w:autoRedefine/>
    <w:qFormat/>
    <w:uiPriority w:val="0"/>
  </w:style>
  <w:style w:type="character" w:customStyle="1" w:styleId="74">
    <w:name w:val="批注文字 字符"/>
    <w:autoRedefine/>
    <w:qFormat/>
    <w:uiPriority w:val="0"/>
    <w:rPr>
      <w:rFonts w:ascii="Times New Roman" w:hAnsi="Times New Roman"/>
      <w:kern w:val="2"/>
      <w:sz w:val="21"/>
      <w:szCs w:val="24"/>
    </w:rPr>
  </w:style>
  <w:style w:type="paragraph" w:customStyle="1" w:styleId="75">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autoRedefine/>
    <w:qFormat/>
    <w:uiPriority w:val="0"/>
    <w:pPr>
      <w:widowControl/>
      <w:jc w:val="center"/>
    </w:pPr>
    <w:rPr>
      <w:rFonts w:ascii="仿宋_GB2312" w:hAnsi="宋体" w:eastAsia="仿宋_GB2312" w:cs="等线"/>
      <w:b/>
      <w:bCs/>
      <w:kern w:val="0"/>
      <w:sz w:val="24"/>
    </w:rPr>
  </w:style>
  <w:style w:type="paragraph" w:customStyle="1" w:styleId="77">
    <w:name w:val="TOC 标题1"/>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autoRedefine/>
    <w:qFormat/>
    <w:uiPriority w:val="0"/>
    <w:pPr>
      <w:widowControl/>
      <w:spacing w:after="160" w:line="240" w:lineRule="exact"/>
      <w:jc w:val="left"/>
    </w:pPr>
  </w:style>
  <w:style w:type="paragraph" w:customStyle="1" w:styleId="81">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autoRedefine/>
    <w:unhideWhenUsed/>
    <w:qFormat/>
    <w:uiPriority w:val="99"/>
    <w:pPr>
      <w:ind w:firstLine="420"/>
    </w:pPr>
  </w:style>
  <w:style w:type="paragraph" w:customStyle="1" w:styleId="83">
    <w:name w:val="Table Paragraph"/>
    <w:basedOn w:val="1"/>
    <w:autoRedefine/>
    <w:qFormat/>
    <w:uiPriority w:val="1"/>
    <w:pPr>
      <w:jc w:val="left"/>
    </w:pPr>
    <w:rPr>
      <w:rFonts w:ascii="Calibri" w:hAnsi="Calibri"/>
      <w:kern w:val="0"/>
      <w:sz w:val="22"/>
      <w:szCs w:val="22"/>
      <w:lang w:eastAsia="en-US"/>
    </w:rPr>
  </w:style>
  <w:style w:type="paragraph" w:customStyle="1" w:styleId="84">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autoRedefine/>
    <w:qFormat/>
    <w:uiPriority w:val="0"/>
    <w:pPr>
      <w:widowControl/>
      <w:jc w:val="left"/>
    </w:pPr>
    <w:rPr>
      <w:rFonts w:ascii="仿宋_GB2312" w:hAnsi="宋体" w:cs="等线"/>
      <w:kern w:val="0"/>
      <w:sz w:val="24"/>
    </w:rPr>
  </w:style>
  <w:style w:type="paragraph" w:styleId="87">
    <w:name w:val="List Paragraph"/>
    <w:basedOn w:val="1"/>
    <w:autoRedefine/>
    <w:qFormat/>
    <w:uiPriority w:val="34"/>
    <w:pPr>
      <w:ind w:firstLine="420" w:firstLineChars="200"/>
    </w:pPr>
  </w:style>
  <w:style w:type="paragraph" w:customStyle="1" w:styleId="88">
    <w:name w:val="默认段落字体 Para Char Char Char Char Char Char Char Char Char1 Char Char Char Char"/>
    <w:basedOn w:val="1"/>
    <w:autoRedefine/>
    <w:qFormat/>
    <w:uiPriority w:val="0"/>
    <w:rPr>
      <w:rFonts w:ascii="Tahoma" w:hAnsi="Tahoma"/>
      <w:sz w:val="24"/>
      <w:szCs w:val="20"/>
    </w:rPr>
  </w:style>
  <w:style w:type="paragraph" w:customStyle="1" w:styleId="89">
    <w:name w:val="正文缩进1"/>
    <w:basedOn w:val="1"/>
    <w:next w:val="1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autoRedefine/>
    <w:qFormat/>
    <w:uiPriority w:val="0"/>
    <w:pPr>
      <w:numPr>
        <w:ilvl w:val="2"/>
        <w:numId w:val="1"/>
      </w:numPr>
    </w:pPr>
  </w:style>
  <w:style w:type="paragraph" w:customStyle="1" w:styleId="92">
    <w:name w:val="样式 0正文 + 首行缩进:  2 字符1"/>
    <w:autoRedefine/>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autoRedefine/>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74</Pages>
  <Words>7885</Words>
  <Characters>44945</Characters>
  <Lines>374</Lines>
  <Paragraphs>105</Paragraphs>
  <TotalTime>9</TotalTime>
  <ScaleCrop>false</ScaleCrop>
  <LinksUpToDate>false</LinksUpToDate>
  <CharactersWithSpaces>52725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2024-03-07T07:24:00Z</dcterms:created>
  <dc:creator>唐冰</dc:creator>
  <cp:lastModifiedBy>江大羽</cp:lastModifiedBy>
  <cp:lastPrinted>2024-03-07T01:18:00Z</cp:lastPrinted>
  <dcterms:modified xsi:type="dcterms:W3CDTF">2024-05-06T03:32:53Z</dcterms:modified>
  <dc:title>竞争性谈判文件规范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A626084CFE5D466EB191BEA984FBA992_13</vt:lpwstr>
  </property>
</Properties>
</file>