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r>
        <w:rPr>
          <w:rFonts w:hint="eastAsia" w:ascii="宋体" w:hAnsi="宋体" w:cs="宋体"/>
          <w:highlight w:val="none"/>
        </w:rPr>
        <w:drawing>
          <wp:inline distT="0" distB="0" distL="114300" distR="114300">
            <wp:extent cx="2294890" cy="2243455"/>
            <wp:effectExtent l="0" t="0" r="10160" b="4445"/>
            <wp:docPr id="6" name="图片 2"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TIM图片20190409175741"/>
                    <pic:cNvPicPr>
                      <a:picLocks noChangeAspect="1"/>
                    </pic:cNvPicPr>
                  </pic:nvPicPr>
                  <pic:blipFill>
                    <a:blip r:embed="rId16"/>
                    <a:stretch>
                      <a:fillRect/>
                    </a:stretch>
                  </pic:blipFill>
                  <pic:spPr>
                    <a:xfrm>
                      <a:off x="0" y="0"/>
                      <a:ext cx="2294890" cy="2243455"/>
                    </a:xfrm>
                    <a:prstGeom prst="rect">
                      <a:avLst/>
                    </a:prstGeom>
                    <a:noFill/>
                    <a:ln>
                      <a:noFill/>
                    </a:ln>
                  </pic:spPr>
                </pic:pic>
              </a:graphicData>
            </a:graphic>
          </wp:inline>
        </w:drawing>
      </w:r>
    </w:p>
    <w:p>
      <w:pPr>
        <w:snapToGrid w:val="0"/>
        <w:spacing w:before="120" w:beforeLines="50" w:line="360" w:lineRule="auto"/>
        <w:jc w:val="center"/>
        <w:rPr>
          <w:rFonts w:ascii="宋体" w:hAnsi="宋体" w:cs="宋体"/>
          <w:sz w:val="120"/>
          <w:szCs w:val="120"/>
          <w:highlight w:val="none"/>
        </w:rPr>
      </w:pPr>
      <w:r>
        <w:rPr>
          <w:rFonts w:hint="eastAsia" w:ascii="宋体" w:hAnsi="宋体" w:cs="宋体"/>
          <w:sz w:val="120"/>
          <w:szCs w:val="120"/>
          <w:highlight w:val="none"/>
        </w:rPr>
        <w:t>竞争性磋商文件</w:t>
      </w:r>
    </w:p>
    <w:p>
      <w:pPr>
        <w:snapToGrid w:val="0"/>
        <w:spacing w:before="120" w:beforeLines="50" w:line="360" w:lineRule="auto"/>
        <w:jc w:val="center"/>
        <w:rPr>
          <w:rFonts w:ascii="宋体" w:hAnsi="宋体" w:cs="宋体"/>
          <w:b/>
          <w:sz w:val="30"/>
          <w:szCs w:val="72"/>
          <w:highlight w:val="none"/>
        </w:rPr>
      </w:pPr>
      <w:r>
        <w:rPr>
          <w:rFonts w:hint="eastAsia" w:ascii="宋体" w:hAnsi="宋体" w:cs="宋体"/>
          <w:b/>
          <w:sz w:val="48"/>
          <w:szCs w:val="48"/>
          <w:highlight w:val="none"/>
        </w:rPr>
        <w:t>（全流程电子化采购）</w:t>
      </w:r>
    </w:p>
    <w:p>
      <w:pPr>
        <w:snapToGrid w:val="0"/>
        <w:spacing w:line="360" w:lineRule="auto"/>
        <w:rPr>
          <w:rFonts w:ascii="宋体" w:hAnsi="宋体" w:cs="宋体"/>
          <w:sz w:val="30"/>
          <w:szCs w:val="72"/>
          <w:highlight w:val="none"/>
        </w:rPr>
      </w:pPr>
    </w:p>
    <w:p>
      <w:pPr>
        <w:pStyle w:val="21"/>
        <w:snapToGrid w:val="0"/>
        <w:spacing w:line="360" w:lineRule="auto"/>
        <w:ind w:firstLine="1193" w:firstLineChars="396"/>
        <w:rPr>
          <w:rFonts w:hAnsi="宋体" w:cs="宋体"/>
          <w:b/>
          <w:bCs/>
          <w:sz w:val="30"/>
          <w:szCs w:val="30"/>
          <w:highlight w:val="none"/>
        </w:rPr>
      </w:pPr>
      <w:r>
        <w:rPr>
          <w:rFonts w:hint="eastAsia" w:hAnsi="宋体" w:cs="宋体"/>
          <w:b/>
          <w:bCs/>
          <w:sz w:val="30"/>
          <w:szCs w:val="30"/>
          <w:highlight w:val="none"/>
        </w:rPr>
        <w:t>项目</w:t>
      </w:r>
      <w:r>
        <w:rPr>
          <w:rFonts w:hint="eastAsia" w:hAnsi="宋体" w:cs="宋体"/>
          <w:b/>
          <w:bCs/>
          <w:w w:val="95"/>
          <w:sz w:val="30"/>
          <w:szCs w:val="30"/>
          <w:highlight w:val="none"/>
        </w:rPr>
        <w:t>名称</w:t>
      </w:r>
      <w:r>
        <w:rPr>
          <w:rFonts w:hint="eastAsia" w:hAnsi="宋体" w:cs="宋体"/>
          <w:b/>
          <w:bCs/>
          <w:sz w:val="30"/>
          <w:szCs w:val="30"/>
          <w:highlight w:val="none"/>
        </w:rPr>
        <w:t>：</w:t>
      </w:r>
      <w:r>
        <w:rPr>
          <w:rFonts w:hint="eastAsia" w:hAnsi="宋体" w:cs="宋体"/>
          <w:b/>
          <w:bCs/>
          <w:spacing w:val="-20"/>
          <w:sz w:val="30"/>
          <w:szCs w:val="30"/>
          <w:highlight w:val="none"/>
        </w:rPr>
        <w:t>广西道路运输大数据预警研判技术服务项目</w:t>
      </w:r>
    </w:p>
    <w:p>
      <w:pPr>
        <w:snapToGrid w:val="0"/>
        <w:spacing w:line="360" w:lineRule="auto"/>
        <w:ind w:firstLine="1145" w:firstLineChars="400"/>
        <w:rPr>
          <w:rFonts w:hint="eastAsia" w:ascii="宋体" w:hAnsi="宋体" w:eastAsia="宋体" w:cs="宋体"/>
          <w:b/>
          <w:bCs/>
          <w:w w:val="95"/>
          <w:sz w:val="30"/>
          <w:szCs w:val="30"/>
          <w:highlight w:val="none"/>
          <w:lang w:eastAsia="zh-CN"/>
        </w:rPr>
      </w:pPr>
      <w:r>
        <w:rPr>
          <w:rFonts w:hint="eastAsia" w:ascii="宋体" w:hAnsi="宋体" w:cs="宋体"/>
          <w:b/>
          <w:bCs/>
          <w:w w:val="95"/>
          <w:sz w:val="30"/>
          <w:szCs w:val="30"/>
          <w:highlight w:val="none"/>
        </w:rPr>
        <w:t>项目</w:t>
      </w:r>
      <w:r>
        <w:rPr>
          <w:rFonts w:hint="eastAsia" w:ascii="宋体" w:hAnsi="宋体" w:cs="宋体"/>
          <w:b/>
          <w:bCs/>
          <w:sz w:val="30"/>
          <w:szCs w:val="30"/>
          <w:highlight w:val="none"/>
        </w:rPr>
        <w:t>编号</w:t>
      </w:r>
      <w:r>
        <w:rPr>
          <w:rFonts w:hint="eastAsia" w:ascii="宋体" w:hAnsi="宋体" w:cs="宋体"/>
          <w:b/>
          <w:bCs/>
          <w:w w:val="95"/>
          <w:sz w:val="30"/>
          <w:szCs w:val="30"/>
          <w:highlight w:val="none"/>
        </w:rPr>
        <w:t>：</w:t>
      </w:r>
      <w:r>
        <w:rPr>
          <w:rFonts w:hint="eastAsia" w:ascii="宋体" w:hAnsi="宋体" w:cs="宋体"/>
          <w:b/>
          <w:bCs/>
          <w:w w:val="95"/>
          <w:sz w:val="30"/>
          <w:szCs w:val="30"/>
          <w:highlight w:val="none"/>
          <w:lang w:eastAsia="zh-CN"/>
        </w:rPr>
        <w:t>GXZC2024-C3-003396-JGJD</w:t>
      </w:r>
    </w:p>
    <w:p>
      <w:pPr>
        <w:snapToGrid w:val="0"/>
        <w:spacing w:line="360" w:lineRule="auto"/>
        <w:ind w:firstLine="1145" w:firstLineChars="400"/>
        <w:rPr>
          <w:rFonts w:ascii="宋体" w:hAnsi="宋体" w:cs="宋体"/>
          <w:b/>
          <w:bCs/>
          <w:w w:val="95"/>
          <w:sz w:val="30"/>
          <w:szCs w:val="30"/>
          <w:highlight w:val="none"/>
        </w:rPr>
      </w:pPr>
    </w:p>
    <w:p>
      <w:pPr>
        <w:snapToGrid w:val="0"/>
        <w:spacing w:line="360" w:lineRule="auto"/>
        <w:ind w:firstLine="1145" w:firstLineChars="400"/>
        <w:rPr>
          <w:rFonts w:ascii="宋体" w:hAnsi="宋体" w:cs="宋体"/>
          <w:b/>
          <w:bCs/>
          <w:w w:val="95"/>
          <w:sz w:val="30"/>
          <w:szCs w:val="30"/>
          <w:highlight w:val="none"/>
        </w:rPr>
      </w:pPr>
    </w:p>
    <w:p>
      <w:pPr>
        <w:pStyle w:val="21"/>
        <w:snapToGrid w:val="0"/>
        <w:spacing w:line="360" w:lineRule="auto"/>
        <w:ind w:firstLine="1125" w:firstLineChars="393"/>
        <w:rPr>
          <w:rFonts w:hAnsi="宋体" w:cs="宋体"/>
          <w:b/>
          <w:bCs/>
          <w:w w:val="95"/>
          <w:sz w:val="30"/>
          <w:szCs w:val="30"/>
          <w:highlight w:val="none"/>
        </w:rPr>
      </w:pPr>
      <w:r>
        <w:rPr>
          <w:rFonts w:hint="eastAsia" w:hAnsi="宋体" w:cs="宋体"/>
          <w:b/>
          <w:bCs/>
          <w:w w:val="95"/>
          <w:sz w:val="30"/>
          <w:szCs w:val="30"/>
          <w:highlight w:val="none"/>
        </w:rPr>
        <w:t>采 购 人：广西壮族自治区道路运输发展中心</w:t>
      </w:r>
    </w:p>
    <w:p>
      <w:pPr>
        <w:pStyle w:val="21"/>
        <w:snapToGrid w:val="0"/>
        <w:spacing w:line="360" w:lineRule="auto"/>
        <w:ind w:firstLine="1125" w:firstLineChars="393"/>
        <w:rPr>
          <w:rFonts w:hAnsi="宋体" w:cs="宋体"/>
          <w:b/>
          <w:bCs/>
          <w:w w:val="95"/>
          <w:sz w:val="30"/>
          <w:szCs w:val="30"/>
          <w:highlight w:val="none"/>
        </w:rPr>
      </w:pPr>
      <w:r>
        <w:rPr>
          <w:rFonts w:hint="eastAsia" w:hAnsi="宋体" w:cs="宋体"/>
          <w:b/>
          <w:bCs/>
          <w:w w:val="95"/>
          <w:sz w:val="30"/>
          <w:szCs w:val="30"/>
          <w:highlight w:val="none"/>
        </w:rPr>
        <w:t>采购代理机构：广西建设工程机电设备招标中心有限公司</w:t>
      </w:r>
    </w:p>
    <w:p>
      <w:pPr>
        <w:snapToGrid w:val="0"/>
        <w:spacing w:before="50" w:after="120" w:line="360" w:lineRule="auto"/>
        <w:jc w:val="center"/>
        <w:rPr>
          <w:rFonts w:ascii="宋体" w:hAnsi="宋体" w:cs="宋体"/>
          <w:b/>
          <w:bCs/>
          <w:w w:val="95"/>
          <w:kern w:val="0"/>
          <w:sz w:val="30"/>
          <w:szCs w:val="30"/>
          <w:highlight w:val="none"/>
        </w:rPr>
      </w:pPr>
      <w:r>
        <w:rPr>
          <w:rFonts w:hint="eastAsia" w:ascii="宋体" w:hAnsi="宋体" w:cs="宋体"/>
          <w:b/>
          <w:bCs/>
          <w:w w:val="95"/>
          <w:sz w:val="30"/>
          <w:szCs w:val="30"/>
          <w:highlight w:val="none"/>
        </w:rPr>
        <w:t>2024年</w:t>
      </w:r>
      <w:r>
        <w:rPr>
          <w:rFonts w:hint="eastAsia" w:ascii="宋体" w:hAnsi="宋体" w:cs="宋体"/>
          <w:b/>
          <w:bCs/>
          <w:w w:val="95"/>
          <w:sz w:val="30"/>
          <w:szCs w:val="30"/>
          <w:highlight w:val="none"/>
          <w:lang w:val="en-US" w:eastAsia="zh-CN"/>
        </w:rPr>
        <w:t>4</w:t>
      </w:r>
      <w:r>
        <w:rPr>
          <w:rFonts w:hint="eastAsia" w:ascii="宋体" w:hAnsi="宋体" w:cs="宋体"/>
          <w:b/>
          <w:bCs/>
          <w:w w:val="95"/>
          <w:sz w:val="30"/>
          <w:szCs w:val="30"/>
          <w:highlight w:val="none"/>
        </w:rPr>
        <w:t>月</w:t>
      </w:r>
      <w:r>
        <w:rPr>
          <w:rFonts w:hint="eastAsia" w:ascii="宋体" w:hAnsi="宋体" w:cs="宋体"/>
          <w:b/>
          <w:bCs/>
          <w:w w:val="95"/>
          <w:sz w:val="30"/>
          <w:szCs w:val="30"/>
          <w:highlight w:val="none"/>
          <w:lang w:val="en-US" w:eastAsia="zh-CN"/>
        </w:rPr>
        <w:t>28</w:t>
      </w:r>
      <w:r>
        <w:rPr>
          <w:rFonts w:hint="eastAsia" w:ascii="宋体" w:hAnsi="宋体" w:cs="宋体"/>
          <w:b/>
          <w:bCs/>
          <w:w w:val="95"/>
          <w:sz w:val="30"/>
          <w:szCs w:val="30"/>
          <w:highlight w:val="none"/>
        </w:rPr>
        <w:t>日</w:t>
      </w:r>
    </w:p>
    <w:p>
      <w:pPr>
        <w:pStyle w:val="14"/>
        <w:ind w:firstLine="803"/>
        <w:jc w:val="center"/>
        <w:rPr>
          <w:rFonts w:ascii="宋体" w:hAnsi="宋体" w:cs="宋体"/>
          <w:b/>
          <w:bCs/>
          <w:w w:val="95"/>
          <w:sz w:val="30"/>
          <w:szCs w:val="30"/>
          <w:highlight w:val="none"/>
        </w:rPr>
        <w:sectPr>
          <w:headerReference r:id="rId4" w:type="first"/>
          <w:headerReference r:id="rId3" w:type="default"/>
          <w:footerReference r:id="rId5" w:type="default"/>
          <w:footerReference r:id="rId6" w:type="even"/>
          <w:pgSz w:w="11911" w:h="16838"/>
          <w:pgMar w:top="1134" w:right="1134" w:bottom="1134" w:left="1134" w:header="720" w:footer="720" w:gutter="0"/>
          <w:pgNumType w:start="1"/>
          <w:cols w:space="720" w:num="1"/>
          <w:titlePg/>
          <w:docGrid w:linePitch="331" w:charSpace="0"/>
        </w:sectPr>
      </w:pPr>
    </w:p>
    <w:p>
      <w:pPr>
        <w:spacing w:before="360" w:beforeLines="150" w:after="360" w:afterLines="150" w:line="360" w:lineRule="auto"/>
        <w:jc w:val="center"/>
        <w:rPr>
          <w:rFonts w:ascii="宋体" w:hAnsi="宋体" w:cs="宋体"/>
          <w:b/>
          <w:sz w:val="44"/>
          <w:szCs w:val="44"/>
          <w:highlight w:val="none"/>
        </w:rPr>
      </w:pPr>
      <w:r>
        <w:rPr>
          <w:rFonts w:hint="eastAsia" w:ascii="宋体" w:hAnsi="宋体" w:cs="宋体"/>
          <w:b/>
          <w:sz w:val="44"/>
          <w:szCs w:val="44"/>
          <w:highlight w:val="none"/>
        </w:rPr>
        <w:t>目   录</w:t>
      </w:r>
    </w:p>
    <w:p>
      <w:pPr>
        <w:spacing w:line="400" w:lineRule="exact"/>
        <w:jc w:val="center"/>
        <w:rPr>
          <w:rFonts w:ascii="宋体" w:hAnsi="宋体" w:cs="宋体"/>
          <w:b/>
          <w:sz w:val="44"/>
          <w:szCs w:val="44"/>
          <w:highlight w:val="none"/>
        </w:rPr>
      </w:pPr>
    </w:p>
    <w:p>
      <w:pPr>
        <w:pStyle w:val="25"/>
        <w:tabs>
          <w:tab w:val="right" w:leader="dot" w:pos="9643"/>
        </w:tabs>
        <w:spacing w:line="480" w:lineRule="auto"/>
        <w:rPr>
          <w:rFonts w:ascii="宋体" w:hAnsi="宋体" w:cs="宋体"/>
          <w:b/>
          <w:bCs/>
          <w:sz w:val="32"/>
          <w:szCs w:val="32"/>
          <w:highlight w:val="none"/>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"_Toc32264" </w:instrText>
      </w:r>
      <w:r>
        <w:rPr>
          <w:highlight w:val="none"/>
        </w:rPr>
        <w:fldChar w:fldCharType="separate"/>
      </w:r>
      <w:r>
        <w:rPr>
          <w:rFonts w:hint="eastAsia" w:ascii="宋体" w:hAnsi="宋体" w:cs="宋体"/>
          <w:b/>
          <w:bCs/>
          <w:sz w:val="32"/>
          <w:szCs w:val="32"/>
          <w:highlight w:val="none"/>
        </w:rPr>
        <w:t>第一章  竞争性磋</w:t>
      </w:r>
      <w:bookmarkStart w:id="0" w:name="_Hlt135924181"/>
      <w:r>
        <w:rPr>
          <w:rFonts w:hint="eastAsia" w:ascii="宋体" w:hAnsi="宋体" w:cs="宋体"/>
          <w:b/>
          <w:bCs/>
          <w:sz w:val="32"/>
          <w:szCs w:val="32"/>
          <w:highlight w:val="none"/>
        </w:rPr>
        <w:t>商</w:t>
      </w:r>
      <w:bookmarkEnd w:id="0"/>
      <w:r>
        <w:rPr>
          <w:rFonts w:hint="eastAsia" w:ascii="宋体" w:hAnsi="宋体" w:cs="宋体"/>
          <w:b/>
          <w:bCs/>
          <w:sz w:val="32"/>
          <w:szCs w:val="32"/>
          <w:highlight w:val="none"/>
        </w:rPr>
        <w:t>公告</w:t>
      </w:r>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_Toc32264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3</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pPr>
        <w:pStyle w:val="25"/>
        <w:tabs>
          <w:tab w:val="right" w:leader="dot" w:pos="9643"/>
        </w:tabs>
        <w:spacing w:line="480" w:lineRule="auto"/>
        <w:rPr>
          <w:rFonts w:ascii="宋体" w:hAnsi="宋体" w:cs="宋体"/>
          <w:b/>
          <w:bCs/>
          <w:sz w:val="32"/>
          <w:szCs w:val="32"/>
          <w:highlight w:val="none"/>
        </w:rPr>
      </w:pPr>
      <w:r>
        <w:rPr>
          <w:highlight w:val="none"/>
        </w:rPr>
        <w:fldChar w:fldCharType="begin"/>
      </w:r>
      <w:r>
        <w:rPr>
          <w:highlight w:val="none"/>
        </w:rPr>
        <w:instrText xml:space="preserve"> HYPERLINK \l "_Toc26836" </w:instrText>
      </w:r>
      <w:r>
        <w:rPr>
          <w:highlight w:val="none"/>
        </w:rPr>
        <w:fldChar w:fldCharType="separate"/>
      </w:r>
      <w:r>
        <w:rPr>
          <w:rFonts w:hint="eastAsia" w:ascii="宋体" w:hAnsi="宋体" w:cs="宋体"/>
          <w:b/>
          <w:bCs/>
          <w:sz w:val="32"/>
          <w:szCs w:val="32"/>
          <w:highlight w:val="none"/>
        </w:rPr>
        <w:t>第二章  采购需</w:t>
      </w:r>
      <w:bookmarkStart w:id="1" w:name="_Hlt137127195"/>
      <w:r>
        <w:rPr>
          <w:rFonts w:hint="eastAsia" w:ascii="宋体" w:hAnsi="宋体" w:cs="宋体"/>
          <w:b/>
          <w:bCs/>
          <w:sz w:val="32"/>
          <w:szCs w:val="32"/>
          <w:highlight w:val="none"/>
        </w:rPr>
        <w:t>求</w:t>
      </w:r>
      <w:bookmarkEnd w:id="1"/>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_Toc26836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6</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pPr>
        <w:pStyle w:val="25"/>
        <w:tabs>
          <w:tab w:val="right" w:leader="dot" w:pos="9643"/>
        </w:tabs>
        <w:spacing w:line="480" w:lineRule="auto"/>
        <w:rPr>
          <w:rFonts w:ascii="宋体" w:hAnsi="宋体" w:cs="宋体"/>
          <w:b/>
          <w:bCs/>
          <w:sz w:val="32"/>
          <w:szCs w:val="32"/>
          <w:highlight w:val="none"/>
        </w:rPr>
      </w:pPr>
      <w:r>
        <w:rPr>
          <w:highlight w:val="none"/>
        </w:rPr>
        <w:fldChar w:fldCharType="begin"/>
      </w:r>
      <w:r>
        <w:rPr>
          <w:highlight w:val="none"/>
        </w:rPr>
        <w:instrText xml:space="preserve"> HYPERLINK \l "_Toc2072" </w:instrText>
      </w:r>
      <w:r>
        <w:rPr>
          <w:highlight w:val="none"/>
        </w:rPr>
        <w:fldChar w:fldCharType="separate"/>
      </w:r>
      <w:r>
        <w:rPr>
          <w:rFonts w:hint="eastAsia" w:ascii="宋体" w:hAnsi="宋体" w:cs="宋体"/>
          <w:b/>
          <w:bCs/>
          <w:sz w:val="32"/>
          <w:szCs w:val="32"/>
          <w:highlight w:val="none"/>
        </w:rPr>
        <w:t>第三章  供应</w:t>
      </w:r>
      <w:bookmarkStart w:id="2" w:name="_Hlt135905307"/>
      <w:r>
        <w:rPr>
          <w:rFonts w:hint="eastAsia" w:ascii="宋体" w:hAnsi="宋体" w:cs="宋体"/>
          <w:b/>
          <w:bCs/>
          <w:sz w:val="32"/>
          <w:szCs w:val="32"/>
          <w:highlight w:val="none"/>
        </w:rPr>
        <w:t>商</w:t>
      </w:r>
      <w:bookmarkEnd w:id="2"/>
      <w:r>
        <w:rPr>
          <w:rFonts w:hint="eastAsia" w:ascii="宋体" w:hAnsi="宋体" w:cs="宋体"/>
          <w:b/>
          <w:bCs/>
          <w:sz w:val="32"/>
          <w:szCs w:val="32"/>
          <w:highlight w:val="none"/>
        </w:rPr>
        <w:t>须知</w:t>
      </w:r>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_Toc2072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11</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pPr>
        <w:pStyle w:val="25"/>
        <w:tabs>
          <w:tab w:val="right" w:leader="dot" w:pos="9643"/>
        </w:tabs>
        <w:spacing w:line="480" w:lineRule="auto"/>
        <w:rPr>
          <w:rFonts w:ascii="宋体" w:hAnsi="宋体" w:cs="宋体"/>
          <w:b/>
          <w:bCs/>
          <w:sz w:val="32"/>
          <w:szCs w:val="32"/>
          <w:highlight w:val="none"/>
        </w:rPr>
      </w:pPr>
      <w:r>
        <w:rPr>
          <w:highlight w:val="none"/>
        </w:rPr>
        <w:fldChar w:fldCharType="begin"/>
      </w:r>
      <w:r>
        <w:rPr>
          <w:highlight w:val="none"/>
        </w:rPr>
        <w:instrText xml:space="preserve"> HYPERLINK \l "_Toc1088" </w:instrText>
      </w:r>
      <w:r>
        <w:rPr>
          <w:highlight w:val="none"/>
        </w:rPr>
        <w:fldChar w:fldCharType="separate"/>
      </w:r>
      <w:r>
        <w:rPr>
          <w:rFonts w:hint="eastAsia" w:ascii="宋体" w:hAnsi="宋体" w:cs="宋体"/>
          <w:b/>
          <w:bCs/>
          <w:sz w:val="32"/>
          <w:szCs w:val="32"/>
          <w:highlight w:val="none"/>
        </w:rPr>
        <w:t>第四章  评审程序、评审方法和评审标准</w:t>
      </w:r>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_Toc1088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29</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pPr>
        <w:pStyle w:val="25"/>
        <w:tabs>
          <w:tab w:val="right" w:leader="dot" w:pos="9643"/>
        </w:tabs>
        <w:spacing w:line="480" w:lineRule="auto"/>
        <w:rPr>
          <w:rFonts w:ascii="宋体" w:hAnsi="宋体" w:cs="宋体"/>
          <w:b/>
          <w:bCs/>
          <w:sz w:val="32"/>
          <w:szCs w:val="32"/>
          <w:highlight w:val="none"/>
        </w:rPr>
      </w:pPr>
      <w:r>
        <w:rPr>
          <w:highlight w:val="none"/>
        </w:rPr>
        <w:fldChar w:fldCharType="begin"/>
      </w:r>
      <w:r>
        <w:rPr>
          <w:highlight w:val="none"/>
        </w:rPr>
        <w:instrText xml:space="preserve"> HYPERLINK \l "_Toc22302" </w:instrText>
      </w:r>
      <w:r>
        <w:rPr>
          <w:highlight w:val="none"/>
        </w:rPr>
        <w:fldChar w:fldCharType="separate"/>
      </w:r>
      <w:r>
        <w:rPr>
          <w:rFonts w:hint="eastAsia" w:ascii="宋体" w:hAnsi="宋体" w:cs="宋体"/>
          <w:b/>
          <w:bCs/>
          <w:sz w:val="32"/>
          <w:szCs w:val="32"/>
          <w:highlight w:val="none"/>
        </w:rPr>
        <w:t>第五章  响应文</w:t>
      </w:r>
      <w:bookmarkStart w:id="3" w:name="_Hlt135897173"/>
      <w:bookmarkStart w:id="4" w:name="_Hlt135897174"/>
      <w:r>
        <w:rPr>
          <w:rFonts w:hint="eastAsia" w:ascii="宋体" w:hAnsi="宋体" w:cs="宋体"/>
          <w:b/>
          <w:bCs/>
          <w:sz w:val="32"/>
          <w:szCs w:val="32"/>
          <w:highlight w:val="none"/>
        </w:rPr>
        <w:t>件</w:t>
      </w:r>
      <w:bookmarkEnd w:id="3"/>
      <w:bookmarkEnd w:id="4"/>
      <w:r>
        <w:rPr>
          <w:rFonts w:hint="eastAsia" w:ascii="宋体" w:hAnsi="宋体" w:cs="宋体"/>
          <w:b/>
          <w:bCs/>
          <w:sz w:val="32"/>
          <w:szCs w:val="32"/>
          <w:highlight w:val="none"/>
        </w:rPr>
        <w:t>格式</w:t>
      </w:r>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_Toc22302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37</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pPr>
        <w:pStyle w:val="25"/>
        <w:tabs>
          <w:tab w:val="right" w:leader="dot" w:pos="9643"/>
        </w:tabs>
        <w:spacing w:line="480" w:lineRule="auto"/>
        <w:rPr>
          <w:rFonts w:ascii="宋体" w:hAnsi="宋体" w:cs="宋体"/>
          <w:b/>
          <w:bCs/>
          <w:sz w:val="32"/>
          <w:szCs w:val="32"/>
          <w:highlight w:val="none"/>
        </w:rPr>
      </w:pPr>
      <w:r>
        <w:rPr>
          <w:highlight w:val="none"/>
        </w:rPr>
        <w:fldChar w:fldCharType="begin"/>
      </w:r>
      <w:r>
        <w:rPr>
          <w:highlight w:val="none"/>
        </w:rPr>
        <w:instrText xml:space="preserve"> HYPERLINK \l "_Toc18676" </w:instrText>
      </w:r>
      <w:r>
        <w:rPr>
          <w:highlight w:val="none"/>
        </w:rPr>
        <w:fldChar w:fldCharType="separate"/>
      </w:r>
      <w:r>
        <w:rPr>
          <w:rFonts w:hint="eastAsia" w:ascii="宋体" w:hAnsi="宋体" w:cs="宋体"/>
          <w:b/>
          <w:bCs/>
          <w:sz w:val="32"/>
          <w:szCs w:val="32"/>
          <w:highlight w:val="none"/>
        </w:rPr>
        <w:t>第六章  合同</w:t>
      </w:r>
      <w:bookmarkStart w:id="5" w:name="_Hlt135924190"/>
      <w:bookmarkStart w:id="6" w:name="_Hlt137127064"/>
      <w:bookmarkStart w:id="7" w:name="_Hlt137127063"/>
      <w:r>
        <w:rPr>
          <w:rFonts w:hint="eastAsia" w:ascii="宋体" w:hAnsi="宋体" w:cs="宋体"/>
          <w:b/>
          <w:bCs/>
          <w:sz w:val="32"/>
          <w:szCs w:val="32"/>
          <w:highlight w:val="none"/>
        </w:rPr>
        <w:t>文</w:t>
      </w:r>
      <w:bookmarkEnd w:id="5"/>
      <w:bookmarkEnd w:id="6"/>
      <w:bookmarkEnd w:id="7"/>
      <w:bookmarkStart w:id="8" w:name="_Hlt135924167"/>
      <w:bookmarkStart w:id="9" w:name="_Hlt135924166"/>
      <w:r>
        <w:rPr>
          <w:rFonts w:hint="eastAsia" w:ascii="宋体" w:hAnsi="宋体" w:cs="宋体"/>
          <w:b/>
          <w:bCs/>
          <w:sz w:val="32"/>
          <w:szCs w:val="32"/>
          <w:highlight w:val="none"/>
        </w:rPr>
        <w:t>本</w:t>
      </w:r>
      <w:bookmarkEnd w:id="8"/>
      <w:bookmarkEnd w:id="9"/>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_Toc18676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64</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pPr>
        <w:pStyle w:val="25"/>
        <w:tabs>
          <w:tab w:val="right" w:leader="dot" w:pos="9643"/>
        </w:tabs>
        <w:spacing w:line="480" w:lineRule="auto"/>
        <w:rPr>
          <w:rFonts w:ascii="宋体" w:hAnsi="宋体" w:cs="宋体"/>
          <w:b/>
          <w:bCs/>
          <w:sz w:val="32"/>
          <w:szCs w:val="32"/>
          <w:highlight w:val="none"/>
        </w:rPr>
      </w:pPr>
      <w:r>
        <w:rPr>
          <w:highlight w:val="none"/>
        </w:rPr>
        <w:fldChar w:fldCharType="begin"/>
      </w:r>
      <w:r>
        <w:rPr>
          <w:highlight w:val="none"/>
        </w:rPr>
        <w:instrText xml:space="preserve"> HYPERLINK \l "_Toc13011" </w:instrText>
      </w:r>
      <w:r>
        <w:rPr>
          <w:highlight w:val="none"/>
        </w:rPr>
        <w:fldChar w:fldCharType="separate"/>
      </w:r>
      <w:r>
        <w:rPr>
          <w:rFonts w:hint="eastAsia" w:ascii="宋体" w:hAnsi="宋体" w:cs="宋体"/>
          <w:b/>
          <w:bCs/>
          <w:sz w:val="32"/>
          <w:szCs w:val="32"/>
          <w:highlight w:val="none"/>
        </w:rPr>
        <w:t>第七章  质疑、投诉</w:t>
      </w:r>
      <w:bookmarkStart w:id="10" w:name="_Hlt137580637"/>
      <w:bookmarkStart w:id="11" w:name="_Hlt137580638"/>
      <w:r>
        <w:rPr>
          <w:rFonts w:hint="eastAsia" w:ascii="宋体" w:hAnsi="宋体" w:cs="宋体"/>
          <w:b/>
          <w:bCs/>
          <w:sz w:val="32"/>
          <w:szCs w:val="32"/>
          <w:highlight w:val="none"/>
        </w:rPr>
        <w:t>材</w:t>
      </w:r>
      <w:bookmarkEnd w:id="10"/>
      <w:bookmarkEnd w:id="11"/>
      <w:r>
        <w:rPr>
          <w:rFonts w:hint="eastAsia" w:ascii="宋体" w:hAnsi="宋体" w:cs="宋体"/>
          <w:b/>
          <w:bCs/>
          <w:sz w:val="32"/>
          <w:szCs w:val="32"/>
          <w:highlight w:val="none"/>
        </w:rPr>
        <w:t>料格式</w:t>
      </w:r>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_Toc13011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68</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pPr>
        <w:pStyle w:val="27"/>
        <w:spacing w:line="480" w:lineRule="auto"/>
        <w:rPr>
          <w:rFonts w:ascii="宋体" w:hAnsi="宋体" w:cs="宋体"/>
          <w:b/>
          <w:sz w:val="32"/>
          <w:szCs w:val="32"/>
          <w:highlight w:val="none"/>
        </w:rPr>
      </w:pPr>
      <w:r>
        <w:rPr>
          <w:rFonts w:hint="eastAsia" w:ascii="宋体" w:hAnsi="宋体" w:cs="宋体"/>
          <w:b/>
          <w:bCs/>
          <w:sz w:val="24"/>
          <w:highlight w:val="none"/>
        </w:rPr>
        <w:fldChar w:fldCharType="end"/>
      </w:r>
    </w:p>
    <w:p>
      <w:pPr>
        <w:spacing w:line="400" w:lineRule="exact"/>
        <w:rPr>
          <w:rFonts w:ascii="宋体" w:hAnsi="宋体" w:cs="宋体"/>
          <w:b/>
          <w:sz w:val="32"/>
          <w:szCs w:val="32"/>
          <w:highlight w:val="none"/>
        </w:rPr>
        <w:sectPr>
          <w:headerReference r:id="rId8" w:type="first"/>
          <w:footerReference r:id="rId10" w:type="first"/>
          <w:headerReference r:id="rId7" w:type="default"/>
          <w:footerReference r:id="rId9" w:type="default"/>
          <w:pgSz w:w="11911" w:h="16838"/>
          <w:pgMar w:top="1134" w:right="1134" w:bottom="1134" w:left="1134" w:header="720" w:footer="720" w:gutter="0"/>
          <w:cols w:space="720" w:num="1"/>
          <w:docGrid w:linePitch="312" w:charSpace="0"/>
        </w:sectPr>
      </w:pPr>
    </w:p>
    <w:p>
      <w:pPr>
        <w:pStyle w:val="3"/>
        <w:spacing w:before="360" w:after="360" w:line="400" w:lineRule="exact"/>
        <w:jc w:val="center"/>
        <w:rPr>
          <w:rFonts w:ascii="宋体" w:hAnsi="宋体" w:cs="宋体"/>
          <w:highlight w:val="none"/>
        </w:rPr>
      </w:pPr>
      <w:bookmarkStart w:id="12" w:name="_Toc11989"/>
      <w:bookmarkStart w:id="13" w:name="_Toc27000"/>
      <w:bookmarkStart w:id="14" w:name="_Toc12242"/>
      <w:bookmarkStart w:id="15" w:name="_Toc80886925"/>
      <w:bookmarkStart w:id="16" w:name="_Toc15624"/>
      <w:bookmarkStart w:id="17" w:name="_Toc18838"/>
      <w:bookmarkStart w:id="18" w:name="_Toc32264"/>
      <w:bookmarkStart w:id="19" w:name="_Toc11382"/>
      <w:r>
        <w:rPr>
          <w:rFonts w:hint="eastAsia" w:ascii="宋体" w:hAnsi="宋体" w:cs="宋体"/>
          <w:highlight w:val="none"/>
        </w:rPr>
        <w:t>第一章 竞争性磋商公告</w:t>
      </w:r>
      <w:bookmarkEnd w:id="12"/>
      <w:bookmarkEnd w:id="13"/>
      <w:bookmarkEnd w:id="14"/>
      <w:bookmarkEnd w:id="15"/>
      <w:bookmarkEnd w:id="16"/>
      <w:bookmarkEnd w:id="17"/>
      <w:bookmarkEnd w:id="18"/>
      <w:bookmarkEnd w:id="19"/>
      <w:bookmarkStart w:id="20" w:name="_Toc28359004"/>
      <w:bookmarkStart w:id="21" w:name="_Toc35393798"/>
      <w:bookmarkStart w:id="22" w:name="_Toc28359089"/>
      <w:bookmarkStart w:id="23" w:name="_Toc44229878"/>
      <w:bookmarkStart w:id="24" w:name="_Toc35393623"/>
      <w:bookmarkStart w:id="25" w:name="_Toc35393792"/>
      <w:bookmarkStart w:id="26" w:name="_Toc28359012"/>
      <w:bookmarkStart w:id="27" w:name="_Toc35393629"/>
      <w:bookmarkStart w:id="28" w:name="_Toc28359081"/>
    </w:p>
    <w:p>
      <w:pPr>
        <w:jc w:val="center"/>
        <w:rPr>
          <w:rFonts w:ascii="宋体" w:hAnsi="宋体" w:cs="宋体"/>
          <w:b/>
          <w:sz w:val="36"/>
          <w:szCs w:val="36"/>
          <w:highlight w:val="none"/>
        </w:rPr>
      </w:pPr>
      <w:r>
        <w:rPr>
          <w:rFonts w:hint="eastAsia" w:ascii="宋体" w:hAnsi="宋体" w:cs="宋体"/>
          <w:b/>
          <w:sz w:val="28"/>
          <w:szCs w:val="28"/>
          <w:highlight w:val="none"/>
        </w:rPr>
        <w:t>广西建设工程机电设备招标中心有限公司关于广西道路运输大数据预警研判技术服务项目【</w:t>
      </w:r>
      <w:r>
        <w:rPr>
          <w:rFonts w:hint="eastAsia" w:ascii="宋体" w:hAnsi="宋体" w:cs="宋体"/>
          <w:b/>
          <w:sz w:val="28"/>
          <w:szCs w:val="28"/>
          <w:highlight w:val="none"/>
          <w:lang w:eastAsia="zh-CN"/>
        </w:rPr>
        <w:t>GXZC2024-C3-003396-JGJD</w:t>
      </w:r>
      <w:r>
        <w:rPr>
          <w:rFonts w:hint="eastAsia" w:ascii="宋体" w:hAnsi="宋体" w:cs="宋体"/>
          <w:b/>
          <w:sz w:val="28"/>
          <w:szCs w:val="28"/>
          <w:highlight w:val="none"/>
        </w:rPr>
        <w:t>】的竞争性磋商公告</w:t>
      </w:r>
    </w:p>
    <w:p>
      <w:pPr>
        <w:pStyle w:val="2"/>
        <w:rPr>
          <w:rFonts w:ascii="宋体" w:hAnsi="宋体" w:cs="宋体"/>
          <w:highlight w:val="none"/>
        </w:rPr>
      </w:pPr>
    </w:p>
    <w:bookmarkEnd w:id="20"/>
    <w:bookmarkEnd w:id="21"/>
    <w:bookmarkEnd w:id="22"/>
    <w:bookmarkEnd w:id="23"/>
    <w:bookmarkEnd w:id="24"/>
    <w:bookmarkEnd w:id="25"/>
    <w:bookmarkEnd w:id="26"/>
    <w:bookmarkEnd w:id="27"/>
    <w:bookmarkEnd w:id="28"/>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spacing w:line="360" w:lineRule="auto"/>
              <w:rPr>
                <w:rFonts w:ascii="宋体" w:hAnsi="宋体" w:cs="宋体"/>
                <w:szCs w:val="21"/>
                <w:highlight w:val="none"/>
              </w:rPr>
            </w:pPr>
            <w:r>
              <w:rPr>
                <w:rFonts w:hint="eastAsia" w:ascii="宋体" w:hAnsi="宋体" w:cs="宋体"/>
                <w:szCs w:val="21"/>
                <w:highlight w:val="none"/>
              </w:rPr>
              <w:t>项目概况：</w:t>
            </w:r>
          </w:p>
          <w:p>
            <w:pPr>
              <w:spacing w:line="360" w:lineRule="auto"/>
              <w:ind w:firstLine="420" w:firstLineChars="200"/>
              <w:rPr>
                <w:rFonts w:ascii="宋体" w:hAnsi="宋体" w:cs="宋体"/>
                <w:bCs/>
                <w:sz w:val="24"/>
                <w:highlight w:val="none"/>
              </w:rPr>
            </w:pPr>
            <w:r>
              <w:rPr>
                <w:rFonts w:hint="eastAsia" w:ascii="宋体" w:hAnsi="宋体" w:cs="宋体"/>
                <w:szCs w:val="21"/>
                <w:highlight w:val="none"/>
                <w:u w:val="single"/>
              </w:rPr>
              <w:t>广西道路运输大数据预警研判技术服务项目</w:t>
            </w:r>
            <w:r>
              <w:rPr>
                <w:rFonts w:hint="eastAsia" w:ascii="宋体" w:hAnsi="宋体" w:cs="宋体"/>
                <w:szCs w:val="21"/>
                <w:highlight w:val="none"/>
              </w:rPr>
              <w:t>的潜在供应商应在广西政府采购云平台（https://www.gcy.zfcg.gxzf.gov.cn/）获取（下载）竞争性磋商文件，并于</w:t>
            </w:r>
            <w:r>
              <w:rPr>
                <w:rFonts w:hint="eastAsia" w:ascii="宋体" w:hAnsi="宋体" w:cs="宋体"/>
                <w:b/>
                <w:bCs/>
                <w:szCs w:val="21"/>
                <w:highlight w:val="none"/>
                <w:u w:val="single"/>
              </w:rPr>
              <w:t>2024年</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10</w:t>
            </w:r>
            <w:r>
              <w:rPr>
                <w:rFonts w:hint="eastAsia" w:ascii="宋体" w:hAnsi="宋体" w:cs="宋体"/>
                <w:b/>
                <w:bCs/>
                <w:szCs w:val="21"/>
                <w:highlight w:val="none"/>
                <w:u w:val="single"/>
              </w:rPr>
              <w:t>日9时30</w:t>
            </w:r>
            <w:r>
              <w:rPr>
                <w:rFonts w:hint="eastAsia" w:ascii="宋体" w:hAnsi="宋体" w:cs="宋体"/>
                <w:b/>
                <w:bCs/>
                <w:szCs w:val="21"/>
                <w:highlight w:val="none"/>
                <w:u w:val="single"/>
              </w:rPr>
              <w:t>分</w:t>
            </w:r>
            <w:r>
              <w:rPr>
                <w:rFonts w:hint="eastAsia" w:ascii="宋体" w:hAnsi="宋体" w:cs="宋体"/>
                <w:bCs/>
                <w:szCs w:val="21"/>
                <w:highlight w:val="none"/>
                <w:u w:val="single"/>
              </w:rPr>
              <w:t>（</w:t>
            </w:r>
            <w:r>
              <w:rPr>
                <w:rFonts w:hint="eastAsia" w:ascii="宋体" w:hAnsi="宋体" w:cs="宋体"/>
                <w:bCs/>
                <w:szCs w:val="21"/>
                <w:highlight w:val="none"/>
              </w:rPr>
              <w:t>北京时间）前提交（上传）</w:t>
            </w:r>
            <w:r>
              <w:rPr>
                <w:rFonts w:hint="eastAsia" w:ascii="宋体" w:hAnsi="宋体" w:cs="宋体"/>
                <w:szCs w:val="21"/>
                <w:highlight w:val="none"/>
              </w:rPr>
              <w:t>响应</w:t>
            </w:r>
            <w:r>
              <w:rPr>
                <w:rFonts w:hint="eastAsia" w:ascii="宋体" w:hAnsi="宋体" w:cs="宋体"/>
                <w:bCs/>
                <w:szCs w:val="21"/>
                <w:highlight w:val="none"/>
              </w:rPr>
              <w:t>文件</w:t>
            </w:r>
            <w:r>
              <w:rPr>
                <w:rFonts w:hint="eastAsia" w:ascii="宋体" w:hAnsi="宋体" w:cs="宋体"/>
                <w:szCs w:val="21"/>
                <w:highlight w:val="none"/>
              </w:rPr>
              <w:t>。</w:t>
            </w:r>
          </w:p>
        </w:tc>
      </w:tr>
    </w:tbl>
    <w:p>
      <w:pPr>
        <w:spacing w:line="390" w:lineRule="exact"/>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pPr>
        <w:spacing w:line="360" w:lineRule="auto"/>
        <w:ind w:firstLine="422" w:firstLineChars="200"/>
        <w:rPr>
          <w:rFonts w:hint="eastAsia" w:ascii="宋体" w:hAnsi="宋体" w:eastAsia="宋体" w:cs="宋体"/>
          <w:szCs w:val="21"/>
          <w:highlight w:val="none"/>
          <w:lang w:eastAsia="zh-CN"/>
        </w:rPr>
      </w:pPr>
      <w:r>
        <w:rPr>
          <w:rFonts w:hint="eastAsia" w:ascii="宋体" w:hAnsi="宋体" w:cs="宋体"/>
          <w:b/>
          <w:bCs/>
          <w:szCs w:val="21"/>
          <w:highlight w:val="none"/>
        </w:rPr>
        <w:t>项目编号：</w:t>
      </w:r>
      <w:r>
        <w:rPr>
          <w:rFonts w:hint="eastAsia" w:ascii="宋体" w:hAnsi="宋体" w:cs="宋体"/>
          <w:szCs w:val="21"/>
          <w:highlight w:val="none"/>
          <w:lang w:eastAsia="zh-CN"/>
        </w:rPr>
        <w:t>GXZC2024-C3-003396-JGJD</w:t>
      </w:r>
    </w:p>
    <w:p>
      <w:pPr>
        <w:spacing w:line="360" w:lineRule="auto"/>
        <w:ind w:firstLine="422" w:firstLineChars="200"/>
        <w:rPr>
          <w:rFonts w:ascii="宋体" w:hAnsi="宋体" w:cs="宋体"/>
          <w:szCs w:val="21"/>
          <w:highlight w:val="none"/>
        </w:rPr>
      </w:pPr>
      <w:r>
        <w:rPr>
          <w:rFonts w:hint="eastAsia" w:ascii="宋体" w:hAnsi="宋体" w:cs="宋体"/>
          <w:b/>
          <w:bCs/>
          <w:szCs w:val="21"/>
          <w:highlight w:val="none"/>
        </w:rPr>
        <w:t>项目名称：</w:t>
      </w:r>
      <w:r>
        <w:rPr>
          <w:rFonts w:hint="eastAsia" w:ascii="宋体" w:hAnsi="宋体" w:cs="宋体"/>
          <w:szCs w:val="21"/>
          <w:highlight w:val="none"/>
        </w:rPr>
        <w:t>广西道路运输大数据预警研判技术服务项目</w:t>
      </w:r>
    </w:p>
    <w:p>
      <w:pPr>
        <w:spacing w:line="360" w:lineRule="auto"/>
        <w:ind w:firstLine="422" w:firstLineChars="200"/>
        <w:rPr>
          <w:rFonts w:ascii="宋体" w:hAnsi="宋体" w:cs="宋体"/>
          <w:szCs w:val="21"/>
          <w:highlight w:val="none"/>
        </w:rPr>
      </w:pPr>
      <w:r>
        <w:rPr>
          <w:rFonts w:hint="eastAsia" w:ascii="宋体" w:hAnsi="宋体" w:cs="宋体"/>
          <w:b/>
          <w:bCs/>
          <w:szCs w:val="21"/>
          <w:highlight w:val="none"/>
        </w:rPr>
        <w:t>采购方式：</w:t>
      </w:r>
      <w:r>
        <w:rPr>
          <w:rFonts w:hint="eastAsia" w:ascii="宋体" w:hAnsi="宋体" w:cs="宋体"/>
          <w:szCs w:val="21"/>
          <w:highlight w:val="none"/>
        </w:rPr>
        <w:t>竞争性磋商</w:t>
      </w:r>
    </w:p>
    <w:p>
      <w:pPr>
        <w:spacing w:line="360" w:lineRule="auto"/>
        <w:ind w:firstLine="422" w:firstLineChars="200"/>
        <w:rPr>
          <w:rFonts w:ascii="宋体" w:hAnsi="宋体" w:cs="宋体"/>
          <w:szCs w:val="21"/>
          <w:highlight w:val="none"/>
        </w:rPr>
      </w:pPr>
      <w:r>
        <w:rPr>
          <w:rFonts w:hint="eastAsia" w:ascii="宋体" w:hAnsi="宋体" w:cs="宋体"/>
          <w:b/>
          <w:bCs/>
          <w:szCs w:val="21"/>
          <w:highlight w:val="none"/>
        </w:rPr>
        <w:t>预算金额（元）</w:t>
      </w:r>
      <w:r>
        <w:rPr>
          <w:rFonts w:hint="eastAsia" w:ascii="宋体" w:hAnsi="宋体" w:cs="宋体"/>
          <w:szCs w:val="21"/>
          <w:highlight w:val="none"/>
        </w:rPr>
        <w:t>：1457600</w:t>
      </w:r>
      <w:r>
        <w:rPr>
          <w:rFonts w:hint="eastAsia" w:ascii="宋体" w:hAnsi="宋体"/>
          <w:iCs/>
          <w:szCs w:val="21"/>
          <w:highlight w:val="none"/>
        </w:rPr>
        <w:t>.00</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采购需求：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标项名称:广西道路运输大数据预警研判技术服务项目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数量:1</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预算金额（元）:1457600</w:t>
      </w:r>
      <w:r>
        <w:rPr>
          <w:rFonts w:hint="eastAsia" w:ascii="宋体" w:hAnsi="宋体"/>
          <w:iCs/>
          <w:szCs w:val="21"/>
          <w:highlight w:val="none"/>
        </w:rPr>
        <w:t>.00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简要规格描述或项目基本概况介绍、用途：广西道路运输大数据预警研判技术服务项目1项，具体详见竞争性磋商文件。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最高限价（元）：1457600</w:t>
      </w:r>
      <w:r>
        <w:rPr>
          <w:rFonts w:hint="eastAsia" w:ascii="宋体" w:hAnsi="宋体"/>
          <w:iCs/>
          <w:szCs w:val="21"/>
          <w:highlight w:val="none"/>
        </w:rPr>
        <w:t>.00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合同履约期限：2024年6月30日前完成服务能力验收，验收合格后五天内部署上线，服务期自服务能力验收合格之日起1年。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本项目是否接受联合体：</w:t>
      </w:r>
      <w:r>
        <w:rPr>
          <w:rFonts w:hint="eastAsia" w:ascii="宋体" w:hAnsi="宋体" w:cs="宋体"/>
          <w:b/>
          <w:bCs/>
          <w:highlight w:val="none"/>
        </w:rPr>
        <w:sym w:font="Wingdings 2" w:char="00A3"/>
      </w:r>
      <w:r>
        <w:rPr>
          <w:rFonts w:hint="eastAsia" w:ascii="宋体" w:hAnsi="宋体" w:cs="宋体"/>
          <w:b/>
          <w:bCs/>
          <w:highlight w:val="none"/>
        </w:rPr>
        <w:t>是，</w:t>
      </w:r>
      <w:r>
        <w:rPr>
          <w:rFonts w:hint="eastAsia" w:ascii="宋体" w:hAnsi="宋体" w:cs="宋体"/>
          <w:b/>
          <w:bCs/>
          <w:highlight w:val="none"/>
        </w:rPr>
        <w:sym w:font="Wingdings 2" w:char="0052"/>
      </w:r>
      <w:r>
        <w:rPr>
          <w:rFonts w:hint="eastAsia" w:ascii="宋体" w:hAnsi="宋体" w:cs="宋体"/>
          <w:b/>
          <w:bCs/>
          <w:highlight w:val="none"/>
        </w:rPr>
        <w:t>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备注：无</w:t>
      </w:r>
    </w:p>
    <w:p>
      <w:pPr>
        <w:spacing w:line="390" w:lineRule="exact"/>
        <w:ind w:firstLine="482" w:firstLineChars="200"/>
        <w:rPr>
          <w:rFonts w:ascii="宋体" w:hAnsi="宋体" w:cs="宋体"/>
          <w:b/>
          <w:bCs/>
          <w:sz w:val="24"/>
          <w:highlight w:val="none"/>
        </w:rPr>
      </w:pPr>
      <w:bookmarkStart w:id="29" w:name="_Toc28359090"/>
      <w:bookmarkStart w:id="30" w:name="_Toc35393799"/>
      <w:bookmarkStart w:id="31" w:name="_Toc35393630"/>
      <w:bookmarkStart w:id="32" w:name="_Toc44229879"/>
      <w:bookmarkStart w:id="33" w:name="_Toc28359013"/>
      <w:r>
        <w:rPr>
          <w:rFonts w:hint="eastAsia" w:ascii="宋体" w:hAnsi="宋体" w:cs="宋体"/>
          <w:b/>
          <w:bCs/>
          <w:sz w:val="24"/>
          <w:highlight w:val="none"/>
        </w:rPr>
        <w:t>二、申请人的资格</w:t>
      </w:r>
      <w:bookmarkEnd w:id="29"/>
      <w:bookmarkEnd w:id="30"/>
      <w:bookmarkEnd w:id="31"/>
      <w:bookmarkEnd w:id="32"/>
      <w:bookmarkEnd w:id="33"/>
      <w:r>
        <w:rPr>
          <w:rFonts w:hint="eastAsia" w:ascii="宋体" w:hAnsi="宋体" w:cs="宋体"/>
          <w:b/>
          <w:bCs/>
          <w:sz w:val="24"/>
          <w:highlight w:val="none"/>
        </w:rPr>
        <w:t>要求</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1.满足《中华人民共和国政府采购法》第二十二条规定；</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2.落实政府采购政策需满足的资格要求：本项目为</w:t>
      </w:r>
      <w:r>
        <w:rPr>
          <w:rFonts w:hint="eastAsia" w:ascii="宋体" w:hAnsi="宋体"/>
          <w:szCs w:val="21"/>
          <w:highlight w:val="none"/>
        </w:rPr>
        <w:t>专门面向小微企业采购项目</w:t>
      </w:r>
      <w:r>
        <w:rPr>
          <w:rFonts w:hint="eastAsia" w:ascii="宋体" w:hAnsi="宋体"/>
          <w:szCs w:val="21"/>
          <w:highlight w:val="none"/>
        </w:rPr>
        <w:t>（</w:t>
      </w:r>
      <w:r>
        <w:rPr>
          <w:rFonts w:hint="eastAsia" w:ascii="宋体" w:hAnsi="宋体"/>
          <w:szCs w:val="21"/>
          <w:highlight w:val="none"/>
          <w:lang w:eastAsia="zh-CN"/>
        </w:rPr>
        <w:t>竞标</w:t>
      </w:r>
      <w:r>
        <w:rPr>
          <w:rFonts w:hint="eastAsia" w:ascii="宋体" w:hAnsi="宋体"/>
          <w:szCs w:val="21"/>
          <w:highlight w:val="none"/>
        </w:rPr>
        <w:t>供应商应为小</w:t>
      </w:r>
      <w:r>
        <w:rPr>
          <w:rFonts w:hint="eastAsia" w:ascii="宋体" w:hAnsi="宋体"/>
          <w:szCs w:val="21"/>
          <w:highlight w:val="none"/>
          <w:lang w:eastAsia="zh-CN"/>
        </w:rPr>
        <w:t>型企业或</w:t>
      </w:r>
      <w:r>
        <w:rPr>
          <w:rFonts w:hint="eastAsia" w:ascii="宋体" w:hAnsi="宋体"/>
          <w:szCs w:val="21"/>
          <w:highlight w:val="none"/>
        </w:rPr>
        <w:t>微</w:t>
      </w:r>
      <w:r>
        <w:rPr>
          <w:rFonts w:hint="eastAsia" w:ascii="宋体" w:hAnsi="宋体"/>
          <w:szCs w:val="21"/>
          <w:highlight w:val="none"/>
          <w:lang w:eastAsia="zh-CN"/>
        </w:rPr>
        <w:t>型</w:t>
      </w:r>
      <w:r>
        <w:rPr>
          <w:rFonts w:hint="eastAsia" w:ascii="宋体" w:hAnsi="宋体"/>
          <w:szCs w:val="21"/>
          <w:highlight w:val="none"/>
        </w:rPr>
        <w:t>企业</w:t>
      </w:r>
      <w:r>
        <w:rPr>
          <w:rFonts w:hint="eastAsia" w:ascii="宋体" w:hAnsi="宋体"/>
          <w:szCs w:val="21"/>
          <w:highlight w:val="none"/>
          <w:lang w:eastAsia="zh-CN"/>
        </w:rPr>
        <w:t>或</w:t>
      </w:r>
      <w:r>
        <w:rPr>
          <w:rFonts w:hint="eastAsia" w:ascii="宋体" w:hAnsi="宋体"/>
          <w:szCs w:val="21"/>
          <w:highlight w:val="none"/>
        </w:rPr>
        <w:t>监狱企业</w:t>
      </w:r>
      <w:r>
        <w:rPr>
          <w:rFonts w:hint="eastAsia" w:ascii="宋体" w:hAnsi="宋体" w:cs="宋体"/>
          <w:szCs w:val="21"/>
          <w:highlight w:val="none"/>
        </w:rPr>
        <w:t>或</w:t>
      </w:r>
      <w:r>
        <w:rPr>
          <w:rFonts w:hint="eastAsia" w:ascii="宋体" w:hAnsi="宋体"/>
          <w:szCs w:val="21"/>
          <w:highlight w:val="none"/>
        </w:rPr>
        <w:t>残疾人福利性单位)</w:t>
      </w:r>
      <w:r>
        <w:rPr>
          <w:rFonts w:hint="eastAsia" w:ascii="宋体" w:hAnsi="宋体" w:cs="宋体"/>
          <w:szCs w:val="21"/>
          <w:highlight w:val="none"/>
        </w:rPr>
        <w:t>；</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3.本项目的特定资格要求：无。</w:t>
      </w:r>
    </w:p>
    <w:p>
      <w:pPr>
        <w:spacing w:line="390" w:lineRule="exact"/>
        <w:ind w:firstLine="482" w:firstLineChars="200"/>
        <w:rPr>
          <w:rFonts w:ascii="宋体" w:hAnsi="宋体" w:cs="宋体"/>
          <w:b/>
          <w:bCs/>
          <w:sz w:val="24"/>
          <w:highlight w:val="none"/>
        </w:rPr>
      </w:pPr>
      <w:r>
        <w:rPr>
          <w:rFonts w:hint="eastAsia" w:ascii="宋体" w:hAnsi="宋体" w:cs="宋体"/>
          <w:b/>
          <w:bCs/>
          <w:sz w:val="24"/>
          <w:highlight w:val="none"/>
        </w:rPr>
        <w:t>三、获取采购文件</w:t>
      </w:r>
    </w:p>
    <w:p>
      <w:pPr>
        <w:spacing w:line="390" w:lineRule="exact"/>
        <w:ind w:firstLine="420" w:firstLineChars="200"/>
        <w:rPr>
          <w:rFonts w:ascii="宋体" w:hAnsi="宋体" w:cs="宋体"/>
          <w:bCs/>
          <w:kern w:val="0"/>
          <w:szCs w:val="21"/>
          <w:highlight w:val="none"/>
        </w:rPr>
      </w:pPr>
      <w:bookmarkStart w:id="34" w:name="_Toc35393793"/>
      <w:bookmarkStart w:id="35" w:name="_Toc28359005"/>
      <w:bookmarkStart w:id="36" w:name="_Toc35393624"/>
      <w:bookmarkStart w:id="37" w:name="_Toc28359082"/>
      <w:r>
        <w:rPr>
          <w:rFonts w:hint="eastAsia" w:ascii="宋体" w:hAnsi="宋体" w:cs="宋体"/>
          <w:bCs/>
          <w:kern w:val="0"/>
          <w:szCs w:val="21"/>
          <w:highlight w:val="none"/>
        </w:rPr>
        <w:t>时间：</w:t>
      </w:r>
      <w:r>
        <w:rPr>
          <w:rFonts w:hint="eastAsia" w:ascii="宋体" w:hAnsi="宋体" w:cs="宋体"/>
          <w:b/>
          <w:kern w:val="0"/>
          <w:szCs w:val="21"/>
          <w:highlight w:val="none"/>
        </w:rPr>
        <w:t>2024年</w:t>
      </w:r>
      <w:r>
        <w:rPr>
          <w:rFonts w:hint="eastAsia" w:ascii="宋体" w:hAnsi="宋体" w:cs="宋体"/>
          <w:b/>
          <w:kern w:val="0"/>
          <w:szCs w:val="21"/>
          <w:highlight w:val="none"/>
          <w:lang w:val="en-US" w:eastAsia="zh-CN"/>
        </w:rPr>
        <w:t>4</w:t>
      </w:r>
      <w:r>
        <w:rPr>
          <w:rFonts w:hint="eastAsia" w:ascii="宋体" w:hAnsi="宋体" w:cs="宋体"/>
          <w:b/>
          <w:kern w:val="0"/>
          <w:szCs w:val="21"/>
          <w:highlight w:val="none"/>
        </w:rPr>
        <w:t>月</w:t>
      </w:r>
      <w:r>
        <w:rPr>
          <w:rFonts w:hint="eastAsia" w:ascii="宋体" w:hAnsi="宋体" w:cs="宋体"/>
          <w:b/>
          <w:kern w:val="0"/>
          <w:szCs w:val="21"/>
          <w:highlight w:val="none"/>
          <w:lang w:val="en-US" w:eastAsia="zh-CN"/>
        </w:rPr>
        <w:t>28</w:t>
      </w:r>
      <w:r>
        <w:rPr>
          <w:rFonts w:hint="eastAsia" w:ascii="宋体" w:hAnsi="宋体" w:cs="宋体"/>
          <w:b/>
          <w:kern w:val="0"/>
          <w:szCs w:val="21"/>
          <w:highlight w:val="none"/>
        </w:rPr>
        <w:t>日至2024年</w:t>
      </w:r>
      <w:r>
        <w:rPr>
          <w:rFonts w:hint="eastAsia" w:ascii="宋体" w:hAnsi="宋体" w:cs="宋体"/>
          <w:b/>
          <w:kern w:val="0"/>
          <w:szCs w:val="21"/>
          <w:highlight w:val="none"/>
          <w:lang w:val="en-US" w:eastAsia="zh-CN"/>
        </w:rPr>
        <w:t>5</w:t>
      </w:r>
      <w:r>
        <w:rPr>
          <w:rFonts w:hint="eastAsia" w:ascii="宋体" w:hAnsi="宋体" w:cs="宋体"/>
          <w:b/>
          <w:kern w:val="0"/>
          <w:szCs w:val="21"/>
          <w:highlight w:val="none"/>
        </w:rPr>
        <w:t>月</w:t>
      </w:r>
      <w:r>
        <w:rPr>
          <w:rFonts w:hint="eastAsia" w:ascii="宋体" w:hAnsi="宋体" w:cs="宋体"/>
          <w:b/>
          <w:kern w:val="0"/>
          <w:szCs w:val="21"/>
          <w:highlight w:val="none"/>
          <w:lang w:val="en-US" w:eastAsia="zh-CN"/>
        </w:rPr>
        <w:t>8</w:t>
      </w:r>
      <w:r>
        <w:rPr>
          <w:rFonts w:hint="eastAsia" w:ascii="宋体" w:hAnsi="宋体" w:cs="宋体"/>
          <w:b/>
          <w:kern w:val="0"/>
          <w:szCs w:val="21"/>
          <w:highlight w:val="none"/>
        </w:rPr>
        <w:t>日</w:t>
      </w:r>
      <w:r>
        <w:rPr>
          <w:rFonts w:hint="eastAsia" w:ascii="宋体" w:hAnsi="宋体" w:cs="宋体"/>
          <w:bCs/>
          <w:kern w:val="0"/>
          <w:szCs w:val="21"/>
          <w:highlight w:val="none"/>
        </w:rPr>
        <w:t>，每天上午00:00至11:59，下午12:00至23:59（北京时间，法定节假日除外）；</w:t>
      </w:r>
    </w:p>
    <w:p>
      <w:pPr>
        <w:spacing w:line="390" w:lineRule="exact"/>
        <w:ind w:firstLine="420" w:firstLineChars="200"/>
        <w:rPr>
          <w:rFonts w:ascii="宋体" w:hAnsi="宋体" w:cs="宋体"/>
          <w:szCs w:val="21"/>
          <w:highlight w:val="none"/>
        </w:rPr>
      </w:pPr>
      <w:r>
        <w:rPr>
          <w:rFonts w:hint="eastAsia" w:ascii="宋体" w:hAnsi="宋体" w:cs="宋体"/>
          <w:bCs/>
          <w:kern w:val="0"/>
          <w:szCs w:val="21"/>
          <w:highlight w:val="none"/>
        </w:rPr>
        <w:t>地点（网址）：</w:t>
      </w:r>
      <w:r>
        <w:rPr>
          <w:rFonts w:hint="eastAsia" w:ascii="宋体" w:hAnsi="宋体" w:cs="宋体"/>
          <w:szCs w:val="21"/>
          <w:highlight w:val="none"/>
        </w:rPr>
        <w:t>广西政府采购云平台（https://www.gcy.zfcg.gxzf.gov.cn/）</w:t>
      </w:r>
    </w:p>
    <w:p>
      <w:pPr>
        <w:pStyle w:val="14"/>
        <w:spacing w:line="390" w:lineRule="exact"/>
        <w:rPr>
          <w:rFonts w:ascii="宋体" w:hAnsi="宋体" w:cs="宋体"/>
          <w:b/>
          <w:bCs/>
          <w:sz w:val="24"/>
          <w:highlight w:val="none"/>
        </w:rPr>
      </w:pPr>
      <w:r>
        <w:rPr>
          <w:rFonts w:hint="eastAsia" w:ascii="宋体" w:hAnsi="宋体" w:cs="宋体"/>
          <w:szCs w:val="21"/>
          <w:highlight w:val="none"/>
        </w:rPr>
        <w:t>　　方式：网上下载。本项目不发放纸质文件，潜在供应商可自行登录广西政府采购云平台下载采购文件，电子响应文件制作需要基于广西政府采购云平台获取的采购文件编制。</w:t>
      </w:r>
    </w:p>
    <w:p>
      <w:pPr>
        <w:snapToGrid w:val="0"/>
        <w:spacing w:line="390" w:lineRule="exact"/>
        <w:ind w:firstLine="420" w:firstLineChars="200"/>
        <w:rPr>
          <w:rFonts w:ascii="宋体" w:hAnsi="宋体" w:cs="宋体"/>
          <w:szCs w:val="21"/>
          <w:highlight w:val="none"/>
        </w:rPr>
      </w:pPr>
      <w:r>
        <w:rPr>
          <w:rFonts w:hint="eastAsia" w:ascii="宋体" w:hAnsi="宋体" w:cs="宋体"/>
          <w:szCs w:val="21"/>
          <w:highlight w:val="none"/>
        </w:rPr>
        <w:t>售价（元）：0</w:t>
      </w:r>
    </w:p>
    <w:p>
      <w:pPr>
        <w:spacing w:line="390" w:lineRule="exact"/>
        <w:ind w:firstLine="482" w:firstLineChars="200"/>
        <w:rPr>
          <w:rFonts w:ascii="宋体" w:hAnsi="宋体" w:cs="宋体"/>
          <w:b/>
          <w:bCs/>
          <w:sz w:val="24"/>
          <w:highlight w:val="none"/>
        </w:rPr>
      </w:pPr>
      <w:r>
        <w:rPr>
          <w:rFonts w:hint="eastAsia" w:ascii="宋体" w:hAnsi="宋体" w:cs="宋体"/>
          <w:b/>
          <w:bCs/>
          <w:sz w:val="24"/>
          <w:highlight w:val="none"/>
        </w:rPr>
        <w:t>四、</w:t>
      </w:r>
      <w:bookmarkEnd w:id="34"/>
      <w:bookmarkEnd w:id="35"/>
      <w:bookmarkEnd w:id="36"/>
      <w:bookmarkEnd w:id="37"/>
      <w:r>
        <w:rPr>
          <w:rFonts w:hint="eastAsia" w:ascii="宋体" w:hAnsi="宋体" w:cs="宋体"/>
          <w:b/>
          <w:bCs/>
          <w:sz w:val="24"/>
          <w:highlight w:val="none"/>
        </w:rPr>
        <w:t>响应文件提交</w:t>
      </w:r>
    </w:p>
    <w:p>
      <w:pPr>
        <w:spacing w:line="390" w:lineRule="exact"/>
        <w:ind w:firstLine="420" w:firstLineChars="200"/>
        <w:rPr>
          <w:rFonts w:ascii="宋体" w:hAnsi="宋体" w:cs="宋体"/>
          <w:bCs/>
          <w:szCs w:val="21"/>
          <w:highlight w:val="none"/>
        </w:rPr>
      </w:pPr>
      <w:r>
        <w:rPr>
          <w:rFonts w:hint="eastAsia" w:ascii="宋体" w:hAnsi="宋体" w:cs="宋体"/>
          <w:szCs w:val="21"/>
          <w:highlight w:val="none"/>
        </w:rPr>
        <w:t>1、首次响应文件提交截止时间</w:t>
      </w:r>
      <w:r>
        <w:rPr>
          <w:rFonts w:hint="eastAsia" w:ascii="宋体" w:hAnsi="宋体" w:cs="宋体"/>
          <w:bCs/>
          <w:szCs w:val="21"/>
          <w:highlight w:val="none"/>
        </w:rPr>
        <w:t>：</w:t>
      </w:r>
      <w:r>
        <w:rPr>
          <w:rFonts w:hint="eastAsia" w:ascii="宋体" w:hAnsi="宋体" w:cs="宋体"/>
          <w:b/>
          <w:szCs w:val="21"/>
          <w:highlight w:val="none"/>
        </w:rPr>
        <w:t>2024年</w:t>
      </w:r>
      <w:r>
        <w:rPr>
          <w:rFonts w:hint="eastAsia" w:ascii="宋体" w:hAnsi="宋体" w:cs="宋体"/>
          <w:b/>
          <w:szCs w:val="21"/>
          <w:highlight w:val="none"/>
          <w:lang w:val="en-US" w:eastAsia="zh-CN"/>
        </w:rPr>
        <w:t>5</w:t>
      </w:r>
      <w:r>
        <w:rPr>
          <w:rFonts w:hint="eastAsia" w:ascii="宋体" w:hAnsi="宋体" w:cs="宋体"/>
          <w:b/>
          <w:szCs w:val="21"/>
          <w:highlight w:val="none"/>
        </w:rPr>
        <w:t>月</w:t>
      </w:r>
      <w:r>
        <w:rPr>
          <w:rFonts w:hint="eastAsia" w:ascii="宋体" w:hAnsi="宋体" w:cs="宋体"/>
          <w:b/>
          <w:szCs w:val="21"/>
          <w:highlight w:val="none"/>
          <w:lang w:val="en-US" w:eastAsia="zh-CN"/>
        </w:rPr>
        <w:t>10</w:t>
      </w:r>
      <w:r>
        <w:rPr>
          <w:rFonts w:hint="eastAsia" w:ascii="宋体" w:hAnsi="宋体" w:cs="宋体"/>
          <w:b/>
          <w:szCs w:val="21"/>
          <w:highlight w:val="none"/>
        </w:rPr>
        <w:t>日09:30:00</w:t>
      </w:r>
      <w:r>
        <w:rPr>
          <w:rFonts w:hint="eastAsia" w:ascii="宋体" w:hAnsi="宋体" w:cs="宋体"/>
          <w:bCs/>
          <w:szCs w:val="21"/>
          <w:highlight w:val="none"/>
        </w:rPr>
        <w:t>（北京时间</w:t>
      </w:r>
      <w:r>
        <w:rPr>
          <w:rFonts w:hint="eastAsia" w:ascii="宋体" w:hAnsi="宋体" w:cs="宋体"/>
          <w:bCs/>
          <w:szCs w:val="21"/>
          <w:highlight w:val="none"/>
        </w:rPr>
        <w:t>）</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2、首次响应文件提交地点：请登录广西政府采购云平台投标客户端投标。</w:t>
      </w:r>
    </w:p>
    <w:p>
      <w:pPr>
        <w:spacing w:line="390" w:lineRule="exact"/>
        <w:ind w:firstLine="482" w:firstLineChars="200"/>
        <w:rPr>
          <w:rFonts w:ascii="宋体" w:hAnsi="宋体" w:cs="宋体"/>
          <w:b/>
          <w:bCs/>
          <w:sz w:val="24"/>
          <w:highlight w:val="none"/>
        </w:rPr>
      </w:pPr>
      <w:r>
        <w:rPr>
          <w:rFonts w:hint="eastAsia" w:ascii="宋体" w:hAnsi="宋体" w:cs="宋体"/>
          <w:b/>
          <w:bCs/>
          <w:sz w:val="24"/>
          <w:highlight w:val="none"/>
        </w:rPr>
        <w:t>五、开启（首次响应文件开启时间）</w:t>
      </w:r>
    </w:p>
    <w:p>
      <w:pPr>
        <w:spacing w:line="390" w:lineRule="exact"/>
        <w:ind w:firstLine="420" w:firstLineChars="200"/>
        <w:rPr>
          <w:rFonts w:ascii="宋体" w:hAnsi="宋体" w:cs="宋体"/>
          <w:bCs/>
          <w:szCs w:val="21"/>
          <w:highlight w:val="none"/>
        </w:rPr>
      </w:pPr>
      <w:r>
        <w:rPr>
          <w:rFonts w:hint="eastAsia" w:ascii="宋体" w:hAnsi="宋体" w:cs="宋体"/>
          <w:szCs w:val="21"/>
          <w:highlight w:val="none"/>
        </w:rPr>
        <w:t>时间：</w:t>
      </w:r>
      <w:r>
        <w:rPr>
          <w:rFonts w:hint="eastAsia" w:ascii="宋体" w:hAnsi="宋体" w:cs="宋体"/>
          <w:b/>
          <w:bCs/>
          <w:szCs w:val="21"/>
          <w:highlight w:val="none"/>
        </w:rPr>
        <w:t>2024年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10</w:t>
      </w:r>
      <w:r>
        <w:rPr>
          <w:rFonts w:hint="eastAsia" w:ascii="宋体" w:hAnsi="宋体" w:cs="宋体"/>
          <w:b/>
          <w:bCs/>
          <w:szCs w:val="21"/>
          <w:highlight w:val="none"/>
        </w:rPr>
        <w:t>日09:30:00</w:t>
      </w:r>
      <w:r>
        <w:rPr>
          <w:rFonts w:hint="eastAsia" w:ascii="宋体" w:hAnsi="宋体" w:cs="宋体"/>
          <w:bCs/>
          <w:szCs w:val="21"/>
          <w:highlight w:val="none"/>
        </w:rPr>
        <w:t>（</w:t>
      </w:r>
      <w:r>
        <w:rPr>
          <w:rFonts w:hint="eastAsia" w:ascii="宋体" w:hAnsi="宋体" w:cs="宋体"/>
          <w:bCs/>
          <w:szCs w:val="21"/>
          <w:highlight w:val="none"/>
        </w:rPr>
        <w:t>北京时间）</w:t>
      </w:r>
      <w:r>
        <w:rPr>
          <w:rFonts w:hint="eastAsia" w:ascii="宋体" w:hAnsi="宋体" w:cs="宋体"/>
          <w:szCs w:val="21"/>
          <w:highlight w:val="none"/>
        </w:rPr>
        <w:t>后</w:t>
      </w:r>
    </w:p>
    <w:p>
      <w:pPr>
        <w:spacing w:line="390" w:lineRule="exact"/>
        <w:ind w:firstLine="420" w:firstLineChars="200"/>
        <w:rPr>
          <w:rFonts w:ascii="宋体" w:hAnsi="宋体" w:cs="宋体"/>
          <w:bCs/>
          <w:szCs w:val="21"/>
          <w:highlight w:val="none"/>
          <w:u w:val="single"/>
        </w:rPr>
      </w:pPr>
      <w:r>
        <w:rPr>
          <w:rFonts w:hint="eastAsia" w:ascii="宋体" w:hAnsi="宋体" w:cs="宋体"/>
          <w:szCs w:val="21"/>
          <w:highlight w:val="none"/>
        </w:rPr>
        <w:t>地点：广西政府采购云平台电子开标大厅</w:t>
      </w:r>
    </w:p>
    <w:p>
      <w:pPr>
        <w:spacing w:line="390" w:lineRule="exact"/>
        <w:ind w:firstLine="482" w:firstLineChars="200"/>
        <w:rPr>
          <w:rFonts w:ascii="宋体" w:hAnsi="宋体" w:cs="宋体"/>
          <w:b/>
          <w:bCs/>
          <w:sz w:val="24"/>
          <w:highlight w:val="none"/>
        </w:rPr>
      </w:pPr>
      <w:bookmarkStart w:id="38" w:name="_Toc35393794"/>
      <w:bookmarkStart w:id="39" w:name="_Toc28359084"/>
      <w:bookmarkStart w:id="40" w:name="_Toc28359007"/>
      <w:bookmarkStart w:id="41" w:name="_Toc35393625"/>
      <w:r>
        <w:rPr>
          <w:rFonts w:hint="eastAsia" w:ascii="宋体" w:hAnsi="宋体" w:cs="宋体"/>
          <w:b/>
          <w:bCs/>
          <w:sz w:val="24"/>
          <w:highlight w:val="none"/>
        </w:rPr>
        <w:t>六、公告期限</w:t>
      </w:r>
      <w:bookmarkEnd w:id="38"/>
      <w:bookmarkEnd w:id="39"/>
      <w:bookmarkEnd w:id="40"/>
      <w:bookmarkEnd w:id="41"/>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自本公告发布之日起3个工作日。</w:t>
      </w:r>
    </w:p>
    <w:p>
      <w:pPr>
        <w:spacing w:line="390" w:lineRule="exact"/>
        <w:ind w:firstLine="482" w:firstLineChars="200"/>
        <w:rPr>
          <w:rFonts w:ascii="宋体" w:hAnsi="宋体" w:cs="宋体"/>
          <w:b/>
          <w:bCs/>
          <w:sz w:val="24"/>
          <w:highlight w:val="none"/>
        </w:rPr>
      </w:pPr>
      <w:bookmarkStart w:id="42" w:name="_Toc35393795"/>
      <w:bookmarkStart w:id="43" w:name="_Toc35393626"/>
      <w:r>
        <w:rPr>
          <w:rFonts w:hint="eastAsia" w:ascii="宋体" w:hAnsi="宋体" w:cs="宋体"/>
          <w:b/>
          <w:bCs/>
          <w:sz w:val="24"/>
          <w:highlight w:val="none"/>
        </w:rPr>
        <w:t>七、其他补充事宜</w:t>
      </w:r>
      <w:bookmarkEnd w:id="42"/>
      <w:bookmarkEnd w:id="43"/>
    </w:p>
    <w:p>
      <w:pPr>
        <w:spacing w:line="390" w:lineRule="exact"/>
        <w:ind w:firstLine="420" w:firstLineChars="200"/>
        <w:rPr>
          <w:rFonts w:ascii="宋体" w:hAnsi="宋体" w:cs="宋体"/>
          <w:kern w:val="0"/>
          <w:szCs w:val="21"/>
          <w:highlight w:val="none"/>
        </w:rPr>
      </w:pPr>
      <w:bookmarkStart w:id="44" w:name="_Hlk37429585"/>
      <w:r>
        <w:rPr>
          <w:rFonts w:hint="eastAsia" w:ascii="宋体" w:hAnsi="宋体" w:cs="宋体"/>
          <w:kern w:val="0"/>
          <w:szCs w:val="21"/>
          <w:highlight w:val="none"/>
        </w:rPr>
        <w:t>1.磋商保证金：</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磋商保证金金额：人民币14000.00元</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磋商保证金的缴纳方式：银行转账、支票、汇票、本票或者金融机构、担保机构出具的保函等非现金形式提交。采用银行转账方式的，在首次响应文件提交截止时间前交至采购代理机构指定账户并且到账；</w:t>
      </w:r>
      <w:r>
        <w:rPr>
          <w:rFonts w:hint="eastAsia" w:ascii="宋体" w:hAnsi="宋体" w:cs="宋体"/>
          <w:szCs w:val="21"/>
          <w:highlight w:val="none"/>
        </w:rPr>
        <w:t>（竞标人转账时，须在银行转账底单上备注项目标识如“【项目编号：</w:t>
      </w:r>
      <w:r>
        <w:rPr>
          <w:rFonts w:hint="eastAsia" w:ascii="宋体" w:hAnsi="宋体" w:cs="宋体"/>
          <w:szCs w:val="21"/>
          <w:highlight w:val="none"/>
          <w:lang w:eastAsia="zh-CN"/>
        </w:rPr>
        <w:t>GXZC2024-C3-003396-JGJD</w:t>
      </w:r>
      <w:r>
        <w:rPr>
          <w:rFonts w:hint="eastAsia" w:ascii="宋体" w:hAnsi="宋体" w:cs="宋体"/>
          <w:szCs w:val="21"/>
          <w:highlight w:val="none"/>
        </w:rPr>
        <w:t>】</w:t>
      </w:r>
      <w:r>
        <w:rPr>
          <w:rFonts w:hint="eastAsia" w:ascii="宋体" w:hAnsi="宋体" w:cs="宋体"/>
          <w:kern w:val="0"/>
          <w:szCs w:val="21"/>
          <w:highlight w:val="none"/>
        </w:rPr>
        <w:t>磋商</w:t>
      </w:r>
      <w:r>
        <w:rPr>
          <w:rFonts w:hint="eastAsia" w:ascii="宋体" w:hAnsi="宋体" w:cs="宋体"/>
          <w:szCs w:val="21"/>
          <w:highlight w:val="none"/>
        </w:rPr>
        <w:t>保证金”</w:t>
      </w:r>
      <w:r>
        <w:rPr>
          <w:rFonts w:hint="eastAsia" w:ascii="宋体" w:hAnsi="宋体" w:cs="宋体"/>
          <w:kern w:val="0"/>
          <w:szCs w:val="21"/>
          <w:highlight w:val="none"/>
        </w:rPr>
        <w:t>缴纳磋商保证金指定账户的信息：</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开户名称： 广西建设工程机电设备招标中心有限公司 </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开户银行： 招商银行南宁分行营业部</w:t>
      </w:r>
    </w:p>
    <w:p>
      <w:pPr>
        <w:spacing w:line="390" w:lineRule="exact"/>
        <w:ind w:firstLine="420" w:firstLineChars="200"/>
        <w:rPr>
          <w:rFonts w:ascii="宋体" w:hAnsi="宋体" w:cs="宋体"/>
          <w:kern w:val="0"/>
          <w:szCs w:val="21"/>
          <w:highlight w:val="none"/>
        </w:rPr>
      </w:pPr>
      <w:r>
        <w:rPr>
          <w:rFonts w:hint="eastAsia" w:ascii="宋体" w:hAnsi="宋体" w:cs="宋体"/>
          <w:szCs w:val="21"/>
          <w:highlight w:val="none"/>
        </w:rPr>
        <w:t>账    号： 771901423310201</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采用支票、汇票、本票或者保函等方式的，在首次响应文件提交截止时间前，供应商必须提交单独密封的支票、汇票、本票或者保函等原件给采购代理机构。否则视为无效磋商保证金。</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2.</w:t>
      </w:r>
      <w:bookmarkStart w:id="45" w:name="_Hlk37429595"/>
      <w:r>
        <w:rPr>
          <w:rFonts w:hint="eastAsia" w:ascii="宋体" w:hAnsi="宋体" w:cs="宋体"/>
          <w:kern w:val="0"/>
          <w:szCs w:val="21"/>
          <w:highlight w:val="none"/>
        </w:rPr>
        <w:t>网上查询地址</w:t>
      </w:r>
    </w:p>
    <w:bookmarkEnd w:id="44"/>
    <w:bookmarkEnd w:id="45"/>
    <w:p>
      <w:pPr>
        <w:spacing w:line="390" w:lineRule="exact"/>
        <w:ind w:firstLine="420" w:firstLineChars="200"/>
        <w:rPr>
          <w:rFonts w:ascii="宋体" w:hAnsi="宋体" w:cs="宋体"/>
          <w:kern w:val="0"/>
          <w:szCs w:val="21"/>
          <w:highlight w:val="none"/>
        </w:rPr>
      </w:pPr>
      <w:bookmarkStart w:id="46" w:name="_Hlk37429674"/>
      <w:r>
        <w:rPr>
          <w:rFonts w:hint="eastAsia" w:ascii="宋体" w:hAnsi="宋体" w:cs="宋体"/>
          <w:kern w:val="0"/>
          <w:szCs w:val="21"/>
          <w:highlight w:val="none"/>
        </w:rPr>
        <w:t>http://www.ccgp.gov.cn (中国政府采购网),http://zfcg.gxzf.gov.cn (广西政府采购网) ，http://www.guangxibid.com.cn/（广西招标网），https://ygcg.bbwcq.com（广西阳光采购服务平台）。</w:t>
      </w:r>
    </w:p>
    <w:bookmarkEnd w:id="46"/>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3. 本项目需要落实的政府采购政策</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（4）政府采购促进残疾人就业政策。</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（5）政府采购支持监狱企业发展。</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9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6.在线竞标的有关说明：</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（1）响应文件提交方式：本项目为全流程电子化项目，通过广西政府采购云平台（https://www.gcy.zfcg.gxzf.gov.cn/）实行在线电子响应，</w:t>
      </w:r>
      <w:r>
        <w:rPr>
          <w:rFonts w:hint="eastAsia" w:ascii="宋体" w:hAnsi="宋体" w:cs="宋体"/>
          <w:highlight w:val="none"/>
        </w:rPr>
        <w:t>供应商应先安装广西政府采购云平台新版客户端（新版客户端下载路径：广西政府采购网（访问地址http://zfcg.gxzf.gov.cn/）—办事服务—下载专区）</w:t>
      </w:r>
      <w:r>
        <w:rPr>
          <w:rFonts w:hint="eastAsia" w:ascii="宋体" w:hAnsi="宋体" w:cs="宋体"/>
          <w:kern w:val="0"/>
          <w:szCs w:val="21"/>
          <w:highlight w:val="none"/>
        </w:rPr>
        <w:t>，并按照本项目采购文件和广西政府采购云平台的要求编制、加密后在响应文件提交截止时间前通过网络上传至广西政府采购云平台，</w:t>
      </w:r>
      <w:r>
        <w:rPr>
          <w:rFonts w:hint="eastAsia" w:ascii="宋体" w:hAnsi="宋体" w:cs="宋体"/>
          <w:b/>
          <w:bCs/>
          <w:kern w:val="0"/>
          <w:szCs w:val="21"/>
          <w:highlight w:val="none"/>
        </w:rPr>
        <w:t>供应商在广西政府采购云平台提交电子版响应文件时，请填写参加远程开标活动经办人联系方式</w:t>
      </w:r>
      <w:r>
        <w:rPr>
          <w:rFonts w:hint="eastAsia" w:ascii="宋体" w:hAnsi="宋体" w:cs="宋体"/>
          <w:kern w:val="0"/>
          <w:szCs w:val="21"/>
          <w:highlight w:val="none"/>
        </w:rPr>
        <w:t>。</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spacing w:line="39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（5）供应商需要在具备有摄像头及语音功能且互联网网络状况良好的电脑登录广西政府采购云平台远程开标大厅参与本次磋商，否则后果自负。</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pPr>
        <w:spacing w:line="390" w:lineRule="exact"/>
        <w:ind w:firstLine="482" w:firstLineChars="200"/>
        <w:rPr>
          <w:rFonts w:ascii="宋体" w:hAnsi="宋体" w:cs="宋体"/>
          <w:bCs/>
          <w:sz w:val="24"/>
          <w:highlight w:val="none"/>
        </w:rPr>
      </w:pPr>
      <w:r>
        <w:rPr>
          <w:rFonts w:hint="eastAsia" w:ascii="宋体" w:hAnsi="宋体" w:cs="宋体"/>
          <w:b/>
          <w:kern w:val="44"/>
          <w:sz w:val="24"/>
          <w:highlight w:val="none"/>
        </w:rPr>
        <w:t>八、凡对本次采购提出询问，请按以下方式联系。</w:t>
      </w:r>
    </w:p>
    <w:p>
      <w:pPr>
        <w:spacing w:line="390" w:lineRule="exact"/>
        <w:ind w:firstLine="420" w:firstLineChars="200"/>
        <w:rPr>
          <w:rFonts w:ascii="宋体" w:hAnsi="宋体" w:cs="宋体"/>
          <w:kern w:val="0"/>
          <w:szCs w:val="21"/>
          <w:highlight w:val="none"/>
        </w:rPr>
      </w:pPr>
      <w:bookmarkStart w:id="47" w:name="_Toc28359098"/>
      <w:bookmarkStart w:id="48" w:name="_Toc28359021"/>
      <w:bookmarkStart w:id="49" w:name="_Toc35393639"/>
      <w:bookmarkStart w:id="50" w:name="_Toc35393808"/>
      <w:r>
        <w:rPr>
          <w:rFonts w:hint="eastAsia" w:ascii="宋体" w:hAnsi="宋体" w:cs="宋体"/>
          <w:kern w:val="0"/>
          <w:szCs w:val="21"/>
          <w:highlight w:val="none"/>
        </w:rPr>
        <w:t>1.采购单位名称：广西壮族自治区道路运输发展中心</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联系地址：南宁青秀区厢竹大道4号</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联 系 人：覃宇昀      联系电话：0771-2115425</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 xml:space="preserve">2.采购代理机构名称：广西建设工程机电设备招标中心有限公司 </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地址：南宁市良庆区凯旋路15号南宁绿地中心5号楼6楼612</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联系人：江艳妹       联系电话：0771-2804614</w:t>
      </w:r>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3.项目联系方式</w:t>
      </w:r>
      <w:bookmarkEnd w:id="47"/>
      <w:bookmarkEnd w:id="48"/>
      <w:bookmarkEnd w:id="49"/>
      <w:bookmarkEnd w:id="50"/>
    </w:p>
    <w:p>
      <w:pPr>
        <w:spacing w:line="390" w:lineRule="exact"/>
        <w:ind w:firstLine="420" w:firstLineChars="200"/>
        <w:rPr>
          <w:rFonts w:ascii="宋体" w:hAnsi="宋体" w:cs="宋体"/>
          <w:kern w:val="0"/>
          <w:szCs w:val="21"/>
          <w:highlight w:val="none"/>
        </w:rPr>
      </w:pPr>
      <w:r>
        <w:rPr>
          <w:rFonts w:hint="eastAsia" w:ascii="宋体" w:hAnsi="宋体" w:cs="宋体"/>
          <w:kern w:val="0"/>
          <w:szCs w:val="21"/>
          <w:highlight w:val="none"/>
        </w:rPr>
        <w:t>联系人：江艳妹       联系电话：0771-2804614</w:t>
      </w:r>
    </w:p>
    <w:p>
      <w:pPr>
        <w:pStyle w:val="2"/>
        <w:rPr>
          <w:rFonts w:ascii="宋体" w:hAnsi="宋体" w:cs="宋体"/>
          <w:szCs w:val="21"/>
          <w:highlight w:val="none"/>
        </w:rPr>
      </w:pPr>
    </w:p>
    <w:p>
      <w:pPr>
        <w:rPr>
          <w:rFonts w:ascii="宋体" w:hAnsi="宋体" w:cs="宋体"/>
          <w:kern w:val="0"/>
          <w:szCs w:val="21"/>
          <w:highlight w:val="none"/>
        </w:rPr>
      </w:pPr>
    </w:p>
    <w:p>
      <w:pPr>
        <w:spacing w:line="390" w:lineRule="exact"/>
        <w:ind w:firstLine="420" w:firstLineChars="200"/>
        <w:jc w:val="right"/>
        <w:rPr>
          <w:rFonts w:ascii="宋体" w:hAnsi="宋体" w:cs="宋体"/>
          <w:kern w:val="0"/>
          <w:szCs w:val="21"/>
          <w:highlight w:val="none"/>
        </w:rPr>
      </w:pPr>
      <w:r>
        <w:rPr>
          <w:rFonts w:hint="eastAsia" w:ascii="宋体" w:hAnsi="宋体" w:cs="宋体"/>
          <w:kern w:val="0"/>
          <w:szCs w:val="21"/>
          <w:highlight w:val="none"/>
        </w:rPr>
        <w:t>广西建设工程机电设备招标中心有限公司</w:t>
      </w:r>
    </w:p>
    <w:p>
      <w:pPr>
        <w:spacing w:line="390" w:lineRule="exact"/>
        <w:ind w:firstLine="420" w:firstLineChars="200"/>
        <w:jc w:val="right"/>
        <w:rPr>
          <w:rFonts w:ascii="宋体" w:hAnsi="宋体" w:cs="宋体"/>
          <w:kern w:val="0"/>
          <w:szCs w:val="21"/>
          <w:highlight w:val="none"/>
        </w:rPr>
      </w:pPr>
      <w:r>
        <w:rPr>
          <w:rFonts w:hint="eastAsia" w:ascii="宋体" w:hAnsi="宋体" w:cs="宋体"/>
          <w:kern w:val="0"/>
          <w:szCs w:val="21"/>
          <w:highlight w:val="none"/>
        </w:rPr>
        <w:t>2024年</w:t>
      </w:r>
      <w:r>
        <w:rPr>
          <w:rFonts w:hint="eastAsia" w:ascii="宋体" w:hAnsi="宋体" w:cs="宋体"/>
          <w:kern w:val="0"/>
          <w:szCs w:val="21"/>
          <w:highlight w:val="none"/>
          <w:lang w:val="en-US" w:eastAsia="zh-CN"/>
        </w:rPr>
        <w:t>4</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28</w:t>
      </w:r>
      <w:r>
        <w:rPr>
          <w:rFonts w:hint="eastAsia" w:ascii="宋体" w:hAnsi="宋体" w:cs="宋体"/>
          <w:kern w:val="0"/>
          <w:szCs w:val="21"/>
          <w:highlight w:val="none"/>
        </w:rPr>
        <w:t>日</w:t>
      </w:r>
    </w:p>
    <w:p>
      <w:pPr>
        <w:rPr>
          <w:rFonts w:ascii="宋体" w:hAnsi="宋体" w:cs="宋体"/>
          <w:sz w:val="32"/>
          <w:szCs w:val="32"/>
          <w:highlight w:val="none"/>
        </w:rPr>
      </w:pPr>
      <w:bookmarkStart w:id="51" w:name="_Toc9127"/>
      <w:bookmarkStart w:id="52" w:name="_Toc22325"/>
      <w:bookmarkStart w:id="53" w:name="_Toc7184"/>
      <w:bookmarkStart w:id="54" w:name="_Toc26836"/>
      <w:bookmarkStart w:id="55" w:name="_Toc25520"/>
      <w:bookmarkStart w:id="56" w:name="_Toc80886926"/>
      <w:bookmarkStart w:id="57" w:name="_Toc11093"/>
      <w:bookmarkStart w:id="58" w:name="_Toc22760"/>
      <w:r>
        <w:rPr>
          <w:rFonts w:hint="eastAsia" w:ascii="宋体" w:hAnsi="宋体" w:cs="宋体"/>
          <w:sz w:val="32"/>
          <w:szCs w:val="32"/>
          <w:highlight w:val="none"/>
        </w:rPr>
        <w:br w:type="page"/>
      </w:r>
    </w:p>
    <w:p>
      <w:pPr>
        <w:pStyle w:val="3"/>
        <w:spacing w:before="100" w:after="90" w:line="240" w:lineRule="auto"/>
        <w:jc w:val="center"/>
        <w:rPr>
          <w:rFonts w:ascii="宋体" w:hAnsi="宋体" w:cs="宋体"/>
          <w:bCs w:val="0"/>
          <w:sz w:val="32"/>
          <w:szCs w:val="32"/>
          <w:highlight w:val="none"/>
        </w:rPr>
      </w:pPr>
      <w:r>
        <w:rPr>
          <w:rFonts w:hint="eastAsia" w:ascii="宋体" w:hAnsi="宋体" w:cs="宋体"/>
          <w:bCs w:val="0"/>
          <w:sz w:val="32"/>
          <w:szCs w:val="32"/>
          <w:highlight w:val="none"/>
        </w:rPr>
        <w:t>第二章 采购需求</w:t>
      </w:r>
      <w:bookmarkEnd w:id="51"/>
      <w:bookmarkEnd w:id="52"/>
      <w:bookmarkEnd w:id="53"/>
      <w:bookmarkEnd w:id="54"/>
      <w:bookmarkEnd w:id="55"/>
      <w:bookmarkEnd w:id="56"/>
      <w:bookmarkEnd w:id="57"/>
    </w:p>
    <w:bookmarkEnd w:id="58"/>
    <w:p>
      <w:pPr>
        <w:spacing w:line="450" w:lineRule="exact"/>
        <w:jc w:val="left"/>
        <w:rPr>
          <w:rFonts w:ascii="宋体" w:hAnsi="宋体" w:cs="宋体"/>
          <w:b/>
          <w:bCs/>
          <w:szCs w:val="21"/>
          <w:highlight w:val="none"/>
        </w:rPr>
      </w:pPr>
      <w:r>
        <w:rPr>
          <w:rFonts w:hint="eastAsia" w:ascii="宋体" w:hAnsi="宋体" w:cs="宋体"/>
          <w:b/>
          <w:bCs/>
          <w:szCs w:val="21"/>
          <w:highlight w:val="none"/>
        </w:rPr>
        <w:t>说明：</w:t>
      </w:r>
    </w:p>
    <w:p>
      <w:pPr>
        <w:spacing w:line="450" w:lineRule="exact"/>
        <w:ind w:firstLine="420" w:firstLineChars="200"/>
        <w:jc w:val="left"/>
        <w:rPr>
          <w:rFonts w:ascii="宋体" w:hAnsi="宋体" w:cs="宋体"/>
          <w:szCs w:val="21"/>
          <w:highlight w:val="none"/>
        </w:rPr>
      </w:pPr>
      <w:r>
        <w:rPr>
          <w:rFonts w:hint="eastAsia" w:ascii="宋体" w:hAnsi="宋体" w:cs="宋体"/>
          <w:highlight w:val="none"/>
        </w:rPr>
        <w:t>1、为落实政府采购政策需满足的要求：</w:t>
      </w:r>
    </w:p>
    <w:p>
      <w:pPr>
        <w:spacing w:line="450" w:lineRule="exact"/>
        <w:ind w:firstLine="420" w:firstLineChars="200"/>
        <w:jc w:val="left"/>
        <w:rPr>
          <w:rFonts w:ascii="宋体" w:hAnsi="宋体" w:cs="宋体"/>
          <w:szCs w:val="21"/>
          <w:highlight w:val="none"/>
        </w:rPr>
      </w:pPr>
      <w:r>
        <w:rPr>
          <w:rFonts w:hint="eastAsia" w:ascii="宋体" w:hAnsi="宋体" w:cs="宋体"/>
          <w:szCs w:val="21"/>
          <w:highlight w:val="none"/>
        </w:rPr>
        <w:t>（1）本竞争性磋商文件所称中小企业必须符合《政府采购促进中小企业发展管理办法》（财库〔2020〕46号）的规定。</w:t>
      </w:r>
    </w:p>
    <w:p>
      <w:pPr>
        <w:spacing w:line="450" w:lineRule="exact"/>
        <w:ind w:firstLine="420" w:firstLineChars="200"/>
        <w:jc w:val="left"/>
        <w:rPr>
          <w:rFonts w:ascii="宋体" w:hAnsi="宋体" w:cs="宋体"/>
          <w:szCs w:val="21"/>
          <w:highlight w:val="none"/>
        </w:rPr>
      </w:pPr>
      <w:r>
        <w:rPr>
          <w:rFonts w:hint="eastAsia" w:ascii="宋体" w:hAnsi="宋体" w:cs="宋体"/>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szCs w:val="21"/>
          <w:highlight w:val="none"/>
        </w:rPr>
        <w:t>否则响应文件按无效处理</w:t>
      </w:r>
      <w:r>
        <w:rPr>
          <w:rFonts w:hint="eastAsia" w:ascii="宋体" w:hAnsi="宋体" w:cs="宋体"/>
          <w:szCs w:val="21"/>
          <w:highlight w:val="none"/>
        </w:rPr>
        <w:t xml:space="preserve">。如本项目包含的配套货物属于品目清单内非标注“★”的产品时，应优先采购，具体详见“第四章 </w:t>
      </w:r>
      <w:r>
        <w:rPr>
          <w:rStyle w:val="38"/>
          <w:rFonts w:hint="eastAsia" w:ascii="宋体" w:hAnsi="宋体" w:cs="宋体"/>
          <w:color w:val="auto"/>
          <w:highlight w:val="none"/>
          <w:u w:val="none"/>
        </w:rPr>
        <w:t>评审程序、评审方法和评审标准</w:t>
      </w:r>
      <w:r>
        <w:rPr>
          <w:rFonts w:hint="eastAsia" w:ascii="宋体" w:hAnsi="宋体" w:cs="宋体"/>
          <w:szCs w:val="21"/>
          <w:highlight w:val="none"/>
        </w:rPr>
        <w:t>”。</w:t>
      </w:r>
    </w:p>
    <w:p>
      <w:pPr>
        <w:spacing w:line="450" w:lineRule="exact"/>
        <w:ind w:firstLine="413" w:firstLineChars="196"/>
        <w:rPr>
          <w:rFonts w:ascii="宋体" w:hAnsi="宋体" w:cs="宋体"/>
          <w:b/>
          <w:bCs/>
          <w:szCs w:val="21"/>
          <w:highlight w:val="none"/>
        </w:rPr>
      </w:pPr>
      <w:r>
        <w:rPr>
          <w:rFonts w:hint="eastAsia" w:ascii="宋体" w:hAnsi="宋体" w:cs="宋体"/>
          <w:b/>
          <w:bCs/>
          <w:szCs w:val="21"/>
          <w:highlight w:val="none"/>
        </w:rPr>
        <w:t>2、“实质性要求”是指磋商文件中已经指明不满足响应文件则按无效响应处理的条款，或者不能负偏离的条款，或者采购需求中带“▲”的条款。</w:t>
      </w:r>
    </w:p>
    <w:p>
      <w:pPr>
        <w:pStyle w:val="14"/>
        <w:spacing w:line="450" w:lineRule="exact"/>
        <w:ind w:firstLine="420" w:firstLineChars="200"/>
        <w:rPr>
          <w:rFonts w:ascii="宋体" w:hAnsi="宋体" w:cs="宋体"/>
          <w:highlight w:val="none"/>
        </w:rPr>
      </w:pPr>
      <w:r>
        <w:rPr>
          <w:rFonts w:hint="eastAsia" w:ascii="宋体" w:hAnsi="宋体" w:cs="宋体"/>
          <w:highlight w:val="none"/>
        </w:rPr>
        <w:t>3、如竞标产品存在侵犯他人的知识产权或者专利成果行为的，应承担相应法律责任。</w:t>
      </w:r>
    </w:p>
    <w:p>
      <w:pPr>
        <w:pStyle w:val="14"/>
        <w:spacing w:line="450" w:lineRule="exact"/>
        <w:ind w:firstLine="420" w:firstLineChars="200"/>
        <w:rPr>
          <w:rFonts w:ascii="宋体" w:hAnsi="宋体" w:cs="宋体"/>
          <w:highlight w:val="none"/>
        </w:rPr>
      </w:pPr>
      <w:r>
        <w:rPr>
          <w:rFonts w:hint="eastAsia" w:ascii="宋体" w:hAnsi="宋体" w:cs="宋体"/>
          <w:szCs w:val="21"/>
          <w:highlight w:val="none"/>
        </w:rPr>
        <w:t>4、</w:t>
      </w:r>
      <w:r>
        <w:rPr>
          <w:rFonts w:hint="eastAsia" w:ascii="宋体" w:hAnsi="宋体" w:cs="宋体"/>
          <w:highlight w:val="none"/>
        </w:rPr>
        <w:t>供应商必须自行为其竞标产品侵犯他人的知识产权或者专利成果的行为承担相应法律责任。</w:t>
      </w:r>
    </w:p>
    <w:p>
      <w:pPr>
        <w:pStyle w:val="14"/>
        <w:spacing w:line="450" w:lineRule="exact"/>
        <w:ind w:firstLine="420" w:firstLineChars="200"/>
        <w:rPr>
          <w:rFonts w:ascii="宋体" w:hAnsi="宋体" w:cs="宋体"/>
          <w:b/>
          <w:bCs/>
          <w:szCs w:val="21"/>
          <w:highlight w:val="none"/>
          <w:u w:val="single"/>
        </w:rPr>
      </w:pPr>
      <w:r>
        <w:rPr>
          <w:rFonts w:hint="eastAsia" w:ascii="宋体" w:hAnsi="宋体" w:cs="宋体"/>
          <w:highlight w:val="none"/>
        </w:rPr>
        <w:t>5、采购内容所属行业：</w:t>
      </w:r>
      <w:r>
        <w:rPr>
          <w:rFonts w:hint="eastAsia" w:ascii="宋体" w:hAnsi="宋体" w:cs="宋体"/>
          <w:b/>
          <w:bCs/>
          <w:highlight w:val="none"/>
          <w:u w:val="single"/>
        </w:rPr>
        <w:t>软件和信息技术服务业</w:t>
      </w:r>
      <w:r>
        <w:rPr>
          <w:rFonts w:hint="eastAsia" w:ascii="宋体" w:hAnsi="宋体" w:cs="宋体"/>
          <w:b/>
          <w:bCs/>
          <w:szCs w:val="21"/>
          <w:highlight w:val="none"/>
          <w:u w:val="single"/>
        </w:rPr>
        <w:t>。</w:t>
      </w:r>
    </w:p>
    <w:tbl>
      <w:tblPr>
        <w:tblStyle w:val="31"/>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pPr>
              <w:pStyle w:val="21"/>
              <w:spacing w:line="340" w:lineRule="exact"/>
              <w:ind w:firstLine="482" w:firstLineChars="150"/>
              <w:jc w:val="center"/>
              <w:rPr>
                <w:rFonts w:hAnsi="宋体"/>
                <w:b/>
                <w:sz w:val="28"/>
                <w:szCs w:val="28"/>
                <w:highlight w:val="none"/>
              </w:rPr>
            </w:pPr>
            <w:bookmarkStart w:id="59" w:name="_Toc80886927"/>
            <w:bookmarkStart w:id="60" w:name="_Toc3319"/>
            <w:r>
              <w:rPr>
                <w:rFonts w:hint="eastAsia" w:hAnsi="宋体"/>
                <w:b/>
                <w:sz w:val="32"/>
                <w:szCs w:val="32"/>
                <w:highlight w:val="none"/>
              </w:rPr>
              <w:t>采购需求一览表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pStyle w:val="21"/>
              <w:spacing w:line="340" w:lineRule="exact"/>
              <w:jc w:val="center"/>
              <w:rPr>
                <w:rFonts w:hAnsi="宋体"/>
                <w:b/>
                <w:sz w:val="24"/>
                <w:szCs w:val="24"/>
                <w:highlight w:val="none"/>
              </w:rPr>
            </w:pPr>
            <w:r>
              <w:rPr>
                <w:rFonts w:hint="eastAsia" w:hAnsi="宋体"/>
                <w:b/>
                <w:sz w:val="24"/>
                <w:szCs w:val="24"/>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pStyle w:val="21"/>
              <w:spacing w:line="340" w:lineRule="exact"/>
              <w:jc w:val="center"/>
              <w:rPr>
                <w:rFonts w:hAnsi="宋体"/>
                <w:b/>
                <w:sz w:val="24"/>
                <w:szCs w:val="24"/>
                <w:highlight w:val="none"/>
              </w:rPr>
            </w:pPr>
            <w:r>
              <w:rPr>
                <w:rFonts w:hint="eastAsia" w:hAnsi="宋体"/>
                <w:b/>
                <w:sz w:val="24"/>
                <w:szCs w:val="24"/>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b/>
                <w:kern w:val="0"/>
                <w:sz w:val="24"/>
                <w:highlight w:val="none"/>
              </w:rPr>
            </w:pPr>
            <w:r>
              <w:rPr>
                <w:rFonts w:hint="eastAsia" w:ascii="宋体" w:hAnsi="宋体" w:cs="宋体"/>
                <w:b/>
                <w:kern w:val="0"/>
                <w:sz w:val="24"/>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pPr>
              <w:pStyle w:val="21"/>
              <w:spacing w:line="340" w:lineRule="exact"/>
              <w:ind w:firstLine="361" w:firstLineChars="150"/>
              <w:jc w:val="center"/>
              <w:rPr>
                <w:rFonts w:hAnsi="宋体"/>
                <w:b/>
                <w:sz w:val="24"/>
                <w:szCs w:val="24"/>
                <w:highlight w:val="none"/>
              </w:rPr>
            </w:pPr>
            <w:r>
              <w:rPr>
                <w:rFonts w:hint="eastAsia" w:hAnsi="宋体"/>
                <w:b/>
                <w:sz w:val="24"/>
                <w:szCs w:val="24"/>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jc w:val="center"/>
        </w:trPr>
        <w:tc>
          <w:tcPr>
            <w:tcW w:w="686" w:type="dxa"/>
            <w:tcBorders>
              <w:top w:val="single" w:color="auto" w:sz="4" w:space="0"/>
              <w:left w:val="single" w:color="auto" w:sz="4" w:space="0"/>
              <w:right w:val="single" w:color="auto" w:sz="4" w:space="0"/>
            </w:tcBorders>
            <w:vAlign w:val="center"/>
          </w:tcPr>
          <w:p>
            <w:pPr>
              <w:pStyle w:val="21"/>
              <w:spacing w:line="340" w:lineRule="exact"/>
              <w:jc w:val="center"/>
              <w:rPr>
                <w:rFonts w:hAnsi="宋体"/>
                <w:highlight w:val="none"/>
              </w:rPr>
            </w:pPr>
            <w:r>
              <w:rPr>
                <w:rFonts w:hint="eastAsia" w:hAnsi="宋体"/>
                <w:highlight w:val="none"/>
              </w:rPr>
              <w:t>1</w:t>
            </w:r>
          </w:p>
        </w:tc>
        <w:tc>
          <w:tcPr>
            <w:tcW w:w="1601" w:type="dxa"/>
            <w:tcBorders>
              <w:top w:val="single" w:color="auto" w:sz="4" w:space="0"/>
              <w:left w:val="single" w:color="auto" w:sz="4" w:space="0"/>
              <w:right w:val="single" w:color="auto" w:sz="4" w:space="0"/>
            </w:tcBorders>
            <w:vAlign w:val="center"/>
          </w:tcPr>
          <w:p>
            <w:pPr>
              <w:spacing w:line="340" w:lineRule="exact"/>
              <w:jc w:val="center"/>
              <w:rPr>
                <w:szCs w:val="21"/>
                <w:highlight w:val="none"/>
              </w:rPr>
            </w:pPr>
            <w:r>
              <w:rPr>
                <w:rFonts w:hint="eastAsia"/>
                <w:szCs w:val="21"/>
                <w:highlight w:val="none"/>
              </w:rPr>
              <w:t>广西道路运输预警研判大数据平台</w:t>
            </w:r>
          </w:p>
          <w:p>
            <w:pPr>
              <w:spacing w:line="340" w:lineRule="exact"/>
              <w:jc w:val="center"/>
              <w:rPr>
                <w:rFonts w:ascii="宋体" w:hAnsi="宋体" w:cs="宋体"/>
                <w:szCs w:val="21"/>
                <w:highlight w:val="none"/>
              </w:rPr>
            </w:pPr>
          </w:p>
        </w:tc>
        <w:tc>
          <w:tcPr>
            <w:tcW w:w="756" w:type="dxa"/>
            <w:tcBorders>
              <w:top w:val="single" w:color="auto" w:sz="4" w:space="0"/>
              <w:left w:val="single" w:color="auto" w:sz="4" w:space="0"/>
              <w:right w:val="single" w:color="auto" w:sz="4" w:space="0"/>
            </w:tcBorders>
            <w:vAlign w:val="center"/>
          </w:tcPr>
          <w:p>
            <w:pPr>
              <w:spacing w:line="340" w:lineRule="exact"/>
              <w:jc w:val="center"/>
              <w:rPr>
                <w:rFonts w:ascii="宋体" w:hAnsi="宋体" w:cs="宋体"/>
                <w:szCs w:val="21"/>
                <w:highlight w:val="none"/>
              </w:rPr>
            </w:pPr>
            <w:r>
              <w:rPr>
                <w:rFonts w:hint="eastAsia"/>
                <w:szCs w:val="21"/>
                <w:highlight w:val="none"/>
              </w:rPr>
              <w:t>1项</w:t>
            </w:r>
          </w:p>
        </w:tc>
        <w:tc>
          <w:tcPr>
            <w:tcW w:w="6675" w:type="dxa"/>
            <w:tcBorders>
              <w:top w:val="single" w:color="auto" w:sz="4" w:space="0"/>
              <w:left w:val="single" w:color="auto" w:sz="4" w:space="0"/>
              <w:right w:val="single" w:color="auto" w:sz="4" w:space="0"/>
            </w:tcBorders>
            <w:vAlign w:val="center"/>
          </w:tcPr>
          <w:p>
            <w:pPr>
              <w:spacing w:line="340" w:lineRule="exact"/>
              <w:ind w:firstLine="422" w:firstLineChars="200"/>
              <w:rPr>
                <w:b/>
                <w:bCs/>
                <w:szCs w:val="21"/>
                <w:highlight w:val="none"/>
              </w:rPr>
            </w:pPr>
            <w:r>
              <w:rPr>
                <w:rFonts w:hint="eastAsia"/>
                <w:b/>
                <w:bCs/>
                <w:szCs w:val="21"/>
                <w:highlight w:val="none"/>
              </w:rPr>
              <w:t>一、服务主要内容</w:t>
            </w:r>
          </w:p>
          <w:p>
            <w:pPr>
              <w:spacing w:line="340" w:lineRule="exact"/>
              <w:rPr>
                <w:rFonts w:hint="eastAsia" w:ascii="宋体" w:hAnsi="宋体" w:eastAsia="宋体" w:cs="宋体"/>
                <w:szCs w:val="21"/>
                <w:highlight w:val="none"/>
                <w:lang w:eastAsia="zh-CN"/>
              </w:rPr>
            </w:pPr>
            <w:r>
              <w:rPr>
                <w:rFonts w:hint="eastAsia" w:ascii="宋体" w:hAnsi="宋体" w:cs="宋体"/>
                <w:szCs w:val="21"/>
                <w:highlight w:val="none"/>
              </w:rPr>
              <w:t>此项目为采购技术服务项目，服务供应商应提供如下服务</w:t>
            </w:r>
            <w:r>
              <w:rPr>
                <w:rFonts w:hint="eastAsia" w:ascii="宋体" w:hAnsi="宋体" w:cs="宋体"/>
                <w:szCs w:val="21"/>
                <w:highlight w:val="none"/>
                <w:lang w:eastAsia="zh-CN"/>
              </w:rPr>
              <w:t>：</w:t>
            </w:r>
          </w:p>
          <w:p>
            <w:pPr>
              <w:spacing w:line="340" w:lineRule="exact"/>
              <w:ind w:firstLine="422" w:firstLineChars="200"/>
              <w:rPr>
                <w:rFonts w:ascii="宋体" w:hAnsi="宋体" w:cs="宋体"/>
                <w:szCs w:val="21"/>
                <w:highlight w:val="none"/>
              </w:rPr>
            </w:pPr>
            <w:r>
              <w:rPr>
                <w:rFonts w:hint="eastAsia" w:hAnsi="宋体"/>
                <w:b/>
                <w:szCs w:val="21"/>
                <w:highlight w:val="none"/>
              </w:rPr>
              <w:t>（一）安全隐患预警处置与监督服务。</w:t>
            </w:r>
            <w:r>
              <w:rPr>
                <w:rFonts w:hint="eastAsia" w:ascii="宋体" w:hAnsi="宋体" w:cs="宋体"/>
                <w:szCs w:val="21"/>
                <w:highlight w:val="none"/>
              </w:rPr>
              <w:t>主要内容包含在现有平台基础上扩展建立广西道路运输行业针对重点领域的安全监管分析模型，使系统模型能通过大数据自主分析研判驾驶员和企业出现的安全隐患行为，形成隐患预警信息，并将其第一时间派送到监管部门</w:t>
            </w:r>
            <w:r>
              <w:rPr>
                <w:rFonts w:hint="eastAsia" w:ascii="宋体" w:hAnsi="宋体" w:cs="宋体"/>
                <w:color w:val="auto"/>
                <w:szCs w:val="21"/>
                <w:highlight w:val="none"/>
              </w:rPr>
              <w:t>和相关企业，</w:t>
            </w:r>
            <w:r>
              <w:rPr>
                <w:rFonts w:hint="eastAsia" w:ascii="宋体" w:hAnsi="宋体" w:cs="宋体"/>
                <w:szCs w:val="21"/>
                <w:highlight w:val="none"/>
              </w:rPr>
              <w:t>同时与我区道路运输业务系统协同，实现数据管理闭环，利用数据产生预警信息，实现监管部门对整改和处置进行全过程监督。</w:t>
            </w:r>
          </w:p>
          <w:p>
            <w:pPr>
              <w:spacing w:line="340" w:lineRule="exact"/>
              <w:ind w:firstLine="422" w:firstLineChars="200"/>
              <w:rPr>
                <w:rFonts w:ascii="宋体" w:hAnsi="宋体" w:cs="宋体"/>
                <w:szCs w:val="21"/>
                <w:highlight w:val="none"/>
              </w:rPr>
            </w:pPr>
            <w:r>
              <w:rPr>
                <w:rFonts w:hint="eastAsia" w:hAnsi="宋体"/>
                <w:b/>
                <w:szCs w:val="21"/>
                <w:highlight w:val="none"/>
              </w:rPr>
              <w:t>（二）安全数据分析与辅助决策服务。</w:t>
            </w:r>
            <w:r>
              <w:rPr>
                <w:rFonts w:hint="eastAsia" w:ascii="宋体" w:hAnsi="宋体" w:cs="宋体"/>
                <w:szCs w:val="21"/>
                <w:highlight w:val="none"/>
              </w:rPr>
              <w:t>包含维护道路运输行业数据“瞭望台”，能通过大数据通观我区道路运输综合态势，将海量、多来源、多维度的数据源深度融合关联以支持管理部门科学决策和感知研判，为管理部门提供一体化联动交互控制、可扩展和复用、灵活部署和发布的专业级大数据可视化平台。</w:t>
            </w:r>
            <w:r>
              <w:rPr>
                <w:rFonts w:hint="eastAsia"/>
                <w:szCs w:val="21"/>
                <w:highlight w:val="none"/>
              </w:rPr>
              <w:t>依据行业管理要求以及信用体系建设要求，建立道路运输行业的经营企业画像、从业人员画像、营运车辆画像。</w:t>
            </w:r>
          </w:p>
          <w:p>
            <w:pPr>
              <w:spacing w:line="340" w:lineRule="exact"/>
              <w:ind w:firstLine="420" w:firstLineChars="200"/>
              <w:rPr>
                <w:rFonts w:ascii="宋体" w:hAnsi="宋体" w:cs="宋体"/>
                <w:szCs w:val="21"/>
                <w:highlight w:val="none"/>
              </w:rPr>
            </w:pPr>
            <w:r>
              <w:rPr>
                <w:rFonts w:ascii="宋体" w:hAnsi="宋体" w:cs="宋体"/>
                <w:szCs w:val="21"/>
                <w:highlight w:val="none"/>
              </w:rPr>
              <w:t>系统须提供</w:t>
            </w:r>
            <w:r>
              <w:rPr>
                <w:rFonts w:hint="eastAsia" w:ascii="宋体" w:hAnsi="宋体" w:cs="宋体"/>
                <w:szCs w:val="21"/>
                <w:highlight w:val="none"/>
              </w:rPr>
              <w:t>“两客一危”车辆专项安全数据分析扩充服务，实现以下功能：</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1、客运车辆一键查看功能，通过车牌号，车牌颜色，可查询相关车辆关联的包车客运标志牌或班车客运标志牌信息、包车客运标志牌关联的从业人员信息、车辆道路运输证信息、业户许可证信息。通过包车客运标志牌起止日期，可关联对应时间段内车辆动态监控轨迹信息。根据指定时间段查询车辆对应动态监控轨迹信息或高速公路卡口信息。</w:t>
            </w:r>
          </w:p>
          <w:p>
            <w:pPr>
              <w:spacing w:line="340" w:lineRule="exact"/>
              <w:ind w:firstLine="420" w:firstLineChars="200"/>
              <w:rPr>
                <w:highlight w:val="none"/>
              </w:rPr>
            </w:pPr>
            <w:r>
              <w:rPr>
                <w:rFonts w:hint="eastAsia" w:ascii="宋体" w:hAnsi="宋体" w:cs="宋体"/>
                <w:szCs w:val="21"/>
                <w:highlight w:val="none"/>
              </w:rPr>
              <w:t>2、危货车辆一键查看功能，可通过车牌号，车牌颜色，查询相关危险货物运输车辆所属危货电子运单内容；包含电子运单关联的从业人员信息、车辆营运证信息、业户信息，并可根据指定运单的起运时间、预计到达时间，关联对应时间段内车辆动态监控轨迹信息。也可根据指定时间段查询车辆对应动态监控轨迹信息或高速公路卡口信息。</w:t>
            </w:r>
          </w:p>
          <w:p>
            <w:pPr>
              <w:spacing w:line="340" w:lineRule="exact"/>
              <w:ind w:firstLine="422" w:firstLineChars="200"/>
              <w:rPr>
                <w:rFonts w:ascii="宋体" w:hAnsi="宋体" w:cs="宋体"/>
                <w:szCs w:val="21"/>
                <w:highlight w:val="none"/>
              </w:rPr>
            </w:pPr>
            <w:r>
              <w:rPr>
                <w:rFonts w:hint="eastAsia" w:hAnsi="宋体"/>
                <w:b/>
                <w:szCs w:val="21"/>
                <w:highlight w:val="none"/>
              </w:rPr>
              <w:t>（三）相关业务系统匹配服务。</w:t>
            </w:r>
            <w:r>
              <w:rPr>
                <w:rFonts w:hint="eastAsia" w:ascii="宋体" w:hAnsi="宋体" w:cs="宋体"/>
                <w:szCs w:val="21"/>
                <w:highlight w:val="none"/>
              </w:rPr>
              <w:t>对道路运输行业的准入业务、日常业务管理等相关系统进行联通，通过系统对出现隐患预警严重的企业、车辆、驾驶员进行业务限定或警告提示，形成广西道路运输智慧监管业务闭环。联通系统主要包括：</w:t>
            </w:r>
            <w:r>
              <w:rPr>
                <w:rFonts w:hint="eastAsia" w:hAnsi="宋体"/>
                <w:szCs w:val="21"/>
                <w:highlight w:val="none"/>
              </w:rPr>
              <w:t>广西道路运输管理信息系统、</w:t>
            </w:r>
            <w:r>
              <w:rPr>
                <w:rFonts w:hint="eastAsia" w:ascii="宋体" w:hAnsi="宋体" w:cs="宋体"/>
                <w:szCs w:val="21"/>
                <w:highlight w:val="none"/>
              </w:rPr>
              <w:t>广西包车客运管理信息系统、广西道路运输企业与公众服务平台、</w:t>
            </w:r>
            <w:r>
              <w:rPr>
                <w:rFonts w:hint="eastAsia" w:hAnsi="宋体"/>
                <w:szCs w:val="21"/>
                <w:highlight w:val="none"/>
              </w:rPr>
              <w:t>广西道路危险货物运输监管系统</w:t>
            </w:r>
            <w:r>
              <w:rPr>
                <w:rFonts w:hint="eastAsia" w:ascii="宋体" w:hAnsi="宋体" w:cs="宋体"/>
                <w:szCs w:val="21"/>
                <w:highlight w:val="none"/>
              </w:rPr>
              <w:t>等。</w:t>
            </w:r>
          </w:p>
          <w:p>
            <w:pPr>
              <w:spacing w:line="340" w:lineRule="exact"/>
              <w:ind w:firstLine="422" w:firstLineChars="200"/>
              <w:rPr>
                <w:szCs w:val="21"/>
                <w:highlight w:val="none"/>
              </w:rPr>
            </w:pPr>
            <w:r>
              <w:rPr>
                <w:rFonts w:hint="eastAsia" w:hAnsi="宋体"/>
                <w:b/>
                <w:szCs w:val="21"/>
                <w:highlight w:val="none"/>
              </w:rPr>
              <w:t>（四）接口服务。</w:t>
            </w:r>
            <w:r>
              <w:rPr>
                <w:rFonts w:hint="eastAsia" w:ascii="宋体" w:hAnsi="宋体" w:cs="宋体"/>
                <w:szCs w:val="21"/>
                <w:highlight w:val="none"/>
              </w:rPr>
              <w:t>平台需与广西包车客运管理信息系统、广西道路运输企业与公众服务平台实现实时数据共享，开通数据接口，保证预警信息推送至业务系统，确保业务的实时互联，业务协同，并通过接口数据分析车辆及人员违规情况形成系统月报。</w:t>
            </w:r>
          </w:p>
          <w:p>
            <w:pPr>
              <w:spacing w:line="360" w:lineRule="exact"/>
              <w:ind w:firstLine="422" w:firstLineChars="200"/>
              <w:rPr>
                <w:b/>
                <w:szCs w:val="21"/>
                <w:highlight w:val="none"/>
              </w:rPr>
            </w:pPr>
            <w:r>
              <w:rPr>
                <w:rFonts w:hAnsi="宋体"/>
                <w:b/>
                <w:szCs w:val="21"/>
                <w:highlight w:val="none"/>
              </w:rPr>
              <w:t>（</w:t>
            </w:r>
            <w:r>
              <w:rPr>
                <w:rFonts w:hint="eastAsia" w:hAnsi="宋体"/>
                <w:b/>
                <w:szCs w:val="21"/>
                <w:highlight w:val="none"/>
              </w:rPr>
              <w:t>五</w:t>
            </w:r>
            <w:r>
              <w:rPr>
                <w:rFonts w:hAnsi="宋体"/>
                <w:b/>
                <w:szCs w:val="21"/>
                <w:highlight w:val="none"/>
              </w:rPr>
              <w:t>）日常管理及技术支持服务</w:t>
            </w:r>
          </w:p>
          <w:p>
            <w:pPr>
              <w:spacing w:line="360" w:lineRule="exact"/>
              <w:ind w:firstLine="420" w:firstLineChars="200"/>
              <w:rPr>
                <w:szCs w:val="21"/>
                <w:highlight w:val="none"/>
              </w:rPr>
            </w:pPr>
            <w:r>
              <w:rPr>
                <w:rFonts w:hAnsi="宋体"/>
                <w:szCs w:val="21"/>
                <w:highlight w:val="none"/>
              </w:rPr>
              <w:t>服务期内，提供至少</w:t>
            </w:r>
            <w:r>
              <w:rPr>
                <w:rFonts w:hint="eastAsia"/>
                <w:szCs w:val="21"/>
                <w:highlight w:val="none"/>
              </w:rPr>
              <w:t>6</w:t>
            </w:r>
            <w:r>
              <w:rPr>
                <w:rFonts w:hAnsi="宋体"/>
                <w:szCs w:val="21"/>
                <w:highlight w:val="none"/>
              </w:rPr>
              <w:t>名本地专职专业技术服务人员常驻广西南宁招标人指定地点，并自行解决满足业务办公需要的办公设备和用品（如招标人无法提供办公场所，须由磋商供应商自行租用），对项目系统运行进行日常维护与管理。</w:t>
            </w:r>
          </w:p>
          <w:p>
            <w:pPr>
              <w:spacing w:line="360" w:lineRule="exact"/>
              <w:ind w:firstLine="420" w:firstLineChars="200"/>
              <w:rPr>
                <w:b/>
                <w:szCs w:val="21"/>
                <w:highlight w:val="none"/>
              </w:rPr>
            </w:pPr>
            <w:r>
              <w:rPr>
                <w:rFonts w:hint="eastAsia" w:ascii="宋体" w:hAnsi="宋体" w:cs="宋体"/>
                <w:szCs w:val="21"/>
                <w:highlight w:val="none"/>
              </w:rPr>
              <w:t>▲</w:t>
            </w:r>
            <w:r>
              <w:rPr>
                <w:rFonts w:hAnsi="宋体"/>
                <w:b/>
                <w:szCs w:val="21"/>
                <w:highlight w:val="none"/>
              </w:rPr>
              <w:t>（</w:t>
            </w:r>
            <w:r>
              <w:rPr>
                <w:rFonts w:hint="eastAsia" w:hAnsi="宋体"/>
                <w:b/>
                <w:szCs w:val="21"/>
                <w:highlight w:val="none"/>
              </w:rPr>
              <w:t>六</w:t>
            </w:r>
            <w:r>
              <w:rPr>
                <w:rFonts w:hAnsi="宋体"/>
                <w:b/>
                <w:szCs w:val="21"/>
                <w:highlight w:val="none"/>
              </w:rPr>
              <w:t>）数据备份服务</w:t>
            </w:r>
          </w:p>
          <w:p>
            <w:pPr>
              <w:spacing w:line="360" w:lineRule="exact"/>
              <w:ind w:firstLine="420" w:firstLineChars="200"/>
              <w:rPr>
                <w:szCs w:val="21"/>
                <w:highlight w:val="none"/>
              </w:rPr>
            </w:pPr>
            <w:r>
              <w:rPr>
                <w:rFonts w:hAnsi="宋体"/>
                <w:szCs w:val="21"/>
                <w:highlight w:val="none"/>
              </w:rPr>
              <w:t>服务期内，磋商供应商负责将系统平台所有业务数据实时同步备份到招标人指定的数据中心备份服务器，确保系统数据安全。</w:t>
            </w:r>
          </w:p>
          <w:p>
            <w:pPr>
              <w:spacing w:line="360" w:lineRule="exact"/>
              <w:ind w:firstLine="420" w:firstLineChars="200"/>
              <w:rPr>
                <w:b/>
                <w:szCs w:val="21"/>
                <w:highlight w:val="none"/>
              </w:rPr>
            </w:pPr>
            <w:r>
              <w:rPr>
                <w:rFonts w:hint="eastAsia" w:ascii="宋体" w:hAnsi="宋体" w:cs="宋体"/>
                <w:szCs w:val="21"/>
                <w:highlight w:val="none"/>
              </w:rPr>
              <w:t>▲</w:t>
            </w:r>
            <w:r>
              <w:rPr>
                <w:rFonts w:hAnsi="宋体"/>
                <w:b/>
                <w:szCs w:val="21"/>
                <w:highlight w:val="none"/>
              </w:rPr>
              <w:t>（</w:t>
            </w:r>
            <w:r>
              <w:rPr>
                <w:rFonts w:hint="eastAsia" w:hAnsi="宋体"/>
                <w:b/>
                <w:szCs w:val="21"/>
                <w:highlight w:val="none"/>
              </w:rPr>
              <w:t>七</w:t>
            </w:r>
            <w:r>
              <w:rPr>
                <w:rFonts w:hAnsi="宋体"/>
                <w:b/>
                <w:szCs w:val="21"/>
                <w:highlight w:val="none"/>
              </w:rPr>
              <w:t>）系统升级完善服务</w:t>
            </w:r>
          </w:p>
          <w:p>
            <w:pPr>
              <w:spacing w:line="360" w:lineRule="exact"/>
              <w:ind w:firstLine="420" w:firstLineChars="200"/>
              <w:rPr>
                <w:rFonts w:hAnsi="宋体"/>
                <w:szCs w:val="21"/>
                <w:highlight w:val="none"/>
              </w:rPr>
            </w:pPr>
            <w:r>
              <w:rPr>
                <w:rFonts w:hAnsi="宋体"/>
                <w:szCs w:val="21"/>
                <w:highlight w:val="none"/>
              </w:rPr>
              <w:t>中标人在合同期内按照招标人的需求无条件、免费的对系统进行升级、改进和完善，满足招标人的提出功能要求。</w:t>
            </w:r>
          </w:p>
          <w:p>
            <w:pPr>
              <w:spacing w:line="360" w:lineRule="exact"/>
              <w:ind w:firstLine="420" w:firstLineChars="200"/>
              <w:rPr>
                <w:rFonts w:hAnsi="宋体"/>
                <w:b/>
                <w:szCs w:val="21"/>
                <w:highlight w:val="none"/>
              </w:rPr>
            </w:pPr>
            <w:r>
              <w:rPr>
                <w:rFonts w:hint="eastAsia" w:ascii="宋体" w:hAnsi="宋体" w:cs="宋体"/>
                <w:szCs w:val="21"/>
                <w:highlight w:val="none"/>
              </w:rPr>
              <w:t>▲二、</w:t>
            </w:r>
            <w:r>
              <w:rPr>
                <w:rFonts w:hAnsi="宋体"/>
                <w:b/>
                <w:szCs w:val="21"/>
                <w:highlight w:val="none"/>
              </w:rPr>
              <w:t>技术服务性能要求</w:t>
            </w:r>
          </w:p>
          <w:p>
            <w:pPr>
              <w:spacing w:line="360" w:lineRule="exact"/>
              <w:ind w:firstLine="420" w:firstLineChars="200"/>
              <w:rPr>
                <w:rFonts w:hAnsi="宋体"/>
                <w:szCs w:val="21"/>
                <w:highlight w:val="none"/>
              </w:rPr>
            </w:pPr>
            <w:r>
              <w:rPr>
                <w:rFonts w:hAnsi="宋体"/>
                <w:szCs w:val="21"/>
                <w:highlight w:val="none"/>
              </w:rPr>
              <w:t>1、稳定性：满足本项目系统稳定、可靠、持续、安全运行的需要。</w:t>
            </w:r>
          </w:p>
          <w:p>
            <w:pPr>
              <w:spacing w:line="360" w:lineRule="exact"/>
              <w:ind w:firstLine="420" w:firstLineChars="200"/>
              <w:rPr>
                <w:rFonts w:hAnsi="宋体"/>
                <w:szCs w:val="21"/>
                <w:highlight w:val="none"/>
              </w:rPr>
            </w:pPr>
            <w:r>
              <w:rPr>
                <w:rFonts w:hint="eastAsia" w:hAnsi="宋体"/>
                <w:szCs w:val="21"/>
                <w:highlight w:val="none"/>
              </w:rPr>
              <w:t>2</w:t>
            </w:r>
            <w:r>
              <w:rPr>
                <w:rFonts w:hAnsi="宋体"/>
                <w:szCs w:val="21"/>
                <w:highlight w:val="none"/>
              </w:rPr>
              <w:t>、高速高效：系统在编程设计时应调整存储机制，实现负载均衡和分布式存储，减少系统IO的负载，极大加快系统的运行速度。</w:t>
            </w:r>
          </w:p>
          <w:p>
            <w:pPr>
              <w:spacing w:line="360" w:lineRule="exact"/>
              <w:ind w:firstLine="420" w:firstLineChars="200"/>
              <w:rPr>
                <w:rFonts w:hAnsi="宋体"/>
                <w:szCs w:val="21"/>
                <w:highlight w:val="none"/>
              </w:rPr>
            </w:pPr>
            <w:r>
              <w:rPr>
                <w:rFonts w:hint="eastAsia" w:hAnsi="宋体"/>
                <w:szCs w:val="21"/>
                <w:highlight w:val="none"/>
              </w:rPr>
              <w:t>3、易操作性：提供友好的用户管理和使用界面，便于操作的维护。</w:t>
            </w:r>
          </w:p>
          <w:p>
            <w:pPr>
              <w:spacing w:line="360" w:lineRule="exact"/>
              <w:rPr>
                <w:rFonts w:hAnsi="宋体"/>
                <w:szCs w:val="21"/>
                <w:highlight w:val="none"/>
              </w:rPr>
            </w:pPr>
            <w:r>
              <w:rPr>
                <w:rFonts w:hint="eastAsia" w:hAnsi="宋体"/>
                <w:szCs w:val="21"/>
                <w:highlight w:val="none"/>
              </w:rPr>
              <w:t xml:space="preserve"> </w:t>
            </w:r>
            <w:r>
              <w:rPr>
                <w:rFonts w:hAnsi="宋体"/>
                <w:szCs w:val="21"/>
                <w:highlight w:val="none"/>
              </w:rPr>
              <w:t xml:space="preserve">   </w:t>
            </w:r>
            <w:r>
              <w:rPr>
                <w:rFonts w:hint="eastAsia" w:hAnsi="宋体"/>
                <w:szCs w:val="21"/>
                <w:highlight w:val="none"/>
              </w:rPr>
              <w:t>4、数据处理存储：要求系统平台所有业务数据实时同步备份到招标人指定的数据中心备份服务器。</w:t>
            </w:r>
          </w:p>
          <w:p>
            <w:pPr>
              <w:spacing w:line="360" w:lineRule="exact"/>
              <w:ind w:firstLine="420" w:firstLineChars="200"/>
              <w:rPr>
                <w:rFonts w:hAnsi="宋体"/>
                <w:szCs w:val="21"/>
                <w:highlight w:val="none"/>
              </w:rPr>
            </w:pPr>
            <w:r>
              <w:rPr>
                <w:rFonts w:hint="eastAsia" w:hAnsi="宋体"/>
                <w:szCs w:val="21"/>
                <w:highlight w:val="none"/>
              </w:rPr>
              <w:t>5、网络安全：补丁管理、安全巡检、木马查杀、系统密码暴力破解联动拦截等，具备主机防火墙功能。采用访问控制、线路备份、安全审查等多种方式。</w:t>
            </w:r>
          </w:p>
          <w:p>
            <w:pPr>
              <w:spacing w:line="360" w:lineRule="exact"/>
              <w:ind w:firstLine="422" w:firstLineChars="200"/>
              <w:rPr>
                <w:rFonts w:hAnsi="宋体"/>
                <w:b/>
                <w:szCs w:val="21"/>
                <w:highlight w:val="none"/>
              </w:rPr>
            </w:pPr>
            <w:r>
              <w:rPr>
                <w:rFonts w:hint="eastAsia" w:hAnsi="宋体"/>
                <w:b/>
                <w:szCs w:val="21"/>
                <w:highlight w:val="none"/>
              </w:rPr>
              <w:t>三</w:t>
            </w:r>
            <w:r>
              <w:rPr>
                <w:rFonts w:hAnsi="宋体"/>
                <w:b/>
                <w:szCs w:val="21"/>
                <w:highlight w:val="none"/>
              </w:rPr>
              <w:t>、其他服务要求</w:t>
            </w:r>
          </w:p>
          <w:p>
            <w:pPr>
              <w:spacing w:line="360" w:lineRule="exact"/>
              <w:ind w:firstLine="420" w:firstLineChars="200"/>
              <w:rPr>
                <w:szCs w:val="21"/>
                <w:highlight w:val="none"/>
              </w:rPr>
            </w:pPr>
            <w:r>
              <w:rPr>
                <w:rFonts w:hint="eastAsia" w:hAnsi="宋体"/>
                <w:bCs/>
                <w:szCs w:val="21"/>
                <w:highlight w:val="none"/>
              </w:rPr>
              <w:t>1、</w:t>
            </w:r>
            <w:r>
              <w:rPr>
                <w:rFonts w:hAnsi="宋体"/>
                <w:bCs/>
                <w:szCs w:val="21"/>
                <w:highlight w:val="none"/>
              </w:rPr>
              <w:t>磋商供应商</w:t>
            </w:r>
            <w:r>
              <w:rPr>
                <w:rFonts w:hint="eastAsia" w:hAnsi="宋体"/>
                <w:bCs/>
                <w:szCs w:val="21"/>
                <w:highlight w:val="none"/>
              </w:rPr>
              <w:t>应</w:t>
            </w:r>
            <w:r>
              <w:rPr>
                <w:rFonts w:hAnsi="宋体"/>
                <w:bCs/>
                <w:szCs w:val="21"/>
                <w:highlight w:val="none"/>
              </w:rPr>
              <w:t>具备提供广西本地化服务的能力</w:t>
            </w:r>
            <w:r>
              <w:rPr>
                <w:rFonts w:hint="eastAsia" w:hAnsi="宋体"/>
                <w:bCs/>
                <w:szCs w:val="21"/>
                <w:highlight w:val="none"/>
              </w:rPr>
              <w:t>（投标文件中提供地址、服务团队名单、联系方式）</w:t>
            </w:r>
            <w:r>
              <w:rPr>
                <w:rFonts w:hAnsi="宋体"/>
                <w:bCs/>
                <w:szCs w:val="21"/>
                <w:highlight w:val="none"/>
              </w:rPr>
              <w:t>；本地化服务团队提供在线网络、电话、电子邮箱等服务方式；</w:t>
            </w:r>
            <w:r>
              <w:rPr>
                <w:rFonts w:hint="eastAsia" w:hAnsi="宋体"/>
                <w:bCs/>
                <w:szCs w:val="21"/>
                <w:highlight w:val="none"/>
              </w:rPr>
              <w:t>提供7*24小时专人职守</w:t>
            </w:r>
            <w:r>
              <w:rPr>
                <w:rFonts w:hint="eastAsia" w:ascii="宋体" w:hAnsi="宋体"/>
                <w:bCs/>
                <w:szCs w:val="21"/>
                <w:highlight w:val="none"/>
              </w:rPr>
              <w:t>服</w:t>
            </w:r>
            <w:r>
              <w:rPr>
                <w:rFonts w:hint="eastAsia" w:ascii="宋体" w:hAnsi="宋体"/>
                <w:szCs w:val="21"/>
                <w:highlight w:val="none"/>
              </w:rPr>
              <w:t>务</w:t>
            </w:r>
            <w:r>
              <w:rPr>
                <w:rFonts w:hAnsi="宋体"/>
                <w:szCs w:val="21"/>
                <w:highlight w:val="none"/>
              </w:rPr>
              <w:t>。实时响应内部服务请求，详细记录问题解决情况。面向广西各级道路运输管理机构提供技术和业务支持，包括通过网络、电话和邮件远程技术协助，现场技术支持。</w:t>
            </w:r>
          </w:p>
          <w:p>
            <w:pPr>
              <w:spacing w:line="360" w:lineRule="exact"/>
              <w:ind w:firstLine="420" w:firstLineChars="200"/>
              <w:rPr>
                <w:szCs w:val="21"/>
                <w:highlight w:val="none"/>
              </w:rPr>
            </w:pPr>
            <w:r>
              <w:rPr>
                <w:rFonts w:hint="eastAsia" w:hAnsi="宋体"/>
                <w:szCs w:val="21"/>
                <w:highlight w:val="none"/>
              </w:rPr>
              <w:t>2、</w:t>
            </w:r>
            <w:r>
              <w:rPr>
                <w:rFonts w:hAnsi="宋体"/>
                <w:szCs w:val="21"/>
                <w:highlight w:val="none"/>
              </w:rPr>
              <w:t>磋商供应商必须建立规范的内部管理制度。严格管理专职专业技术人员，保证服务态度良好、问题解决及时、重大问题及时反馈、运维记录详细。</w:t>
            </w:r>
          </w:p>
          <w:p>
            <w:pPr>
              <w:spacing w:line="360" w:lineRule="exact"/>
              <w:ind w:firstLine="420" w:firstLineChars="200"/>
              <w:rPr>
                <w:szCs w:val="21"/>
                <w:highlight w:val="none"/>
              </w:rPr>
            </w:pPr>
            <w:r>
              <w:rPr>
                <w:rFonts w:hint="eastAsia" w:hAnsi="宋体"/>
                <w:szCs w:val="21"/>
                <w:highlight w:val="none"/>
              </w:rPr>
              <w:t>3、</w:t>
            </w:r>
            <w:r>
              <w:rPr>
                <w:rFonts w:hAnsi="宋体"/>
                <w:szCs w:val="21"/>
                <w:highlight w:val="none"/>
              </w:rPr>
              <w:t>当系统出现漏洞、故障或被攻击时，磋商供应商必须在</w:t>
            </w:r>
            <w:r>
              <w:rPr>
                <w:szCs w:val="21"/>
                <w:highlight w:val="none"/>
              </w:rPr>
              <w:t>10</w:t>
            </w:r>
            <w:r>
              <w:rPr>
                <w:rFonts w:hAnsi="宋体"/>
                <w:szCs w:val="21"/>
                <w:highlight w:val="none"/>
              </w:rPr>
              <w:t>分钟内进行响应，</w:t>
            </w:r>
            <w:r>
              <w:rPr>
                <w:szCs w:val="21"/>
                <w:highlight w:val="none"/>
              </w:rPr>
              <w:t>1</w:t>
            </w:r>
            <w:r>
              <w:rPr>
                <w:rFonts w:hAnsi="宋体"/>
                <w:szCs w:val="21"/>
                <w:highlight w:val="none"/>
              </w:rPr>
              <w:t>小时内提出处理方案，</w:t>
            </w:r>
            <w:r>
              <w:rPr>
                <w:szCs w:val="21"/>
                <w:highlight w:val="none"/>
              </w:rPr>
              <w:t>24</w:t>
            </w:r>
            <w:r>
              <w:rPr>
                <w:rFonts w:hAnsi="宋体"/>
                <w:szCs w:val="21"/>
                <w:highlight w:val="none"/>
              </w:rPr>
              <w:t>小时内解决问题。</w:t>
            </w:r>
          </w:p>
          <w:p>
            <w:pPr>
              <w:spacing w:line="360" w:lineRule="exact"/>
              <w:ind w:firstLine="420" w:firstLineChars="200"/>
              <w:rPr>
                <w:rFonts w:hAnsi="宋体"/>
                <w:szCs w:val="21"/>
                <w:highlight w:val="none"/>
              </w:rPr>
            </w:pPr>
            <w:r>
              <w:rPr>
                <w:rFonts w:hint="eastAsia" w:hAnsi="宋体"/>
                <w:szCs w:val="21"/>
                <w:highlight w:val="none"/>
              </w:rPr>
              <w:t>4、</w:t>
            </w:r>
            <w:r>
              <w:rPr>
                <w:rFonts w:hAnsi="宋体"/>
                <w:szCs w:val="21"/>
                <w:highlight w:val="none"/>
              </w:rPr>
              <w:t>磋商供应商在项目验收并投入使用之日起5个工作日内，必须向招标人提交系统知识产权相关材料，包括但不限于系统源代码、完整功能需求规格说明书、数据库设计方案、系统设计思路、系统设计功能方案及拟投入所有设备的品牌型号、具体技术参数及性能配置等详细的配置方案。</w:t>
            </w:r>
          </w:p>
          <w:p>
            <w:pPr>
              <w:spacing w:line="360" w:lineRule="exact"/>
              <w:ind w:firstLine="420" w:firstLineChars="200"/>
              <w:rPr>
                <w:rFonts w:hAnsi="宋体"/>
                <w:szCs w:val="21"/>
                <w:highlight w:val="none"/>
              </w:rPr>
            </w:pPr>
            <w:r>
              <w:rPr>
                <w:rFonts w:hint="eastAsia" w:ascii="宋体" w:hAnsi="宋体" w:cs="宋体"/>
                <w:szCs w:val="21"/>
                <w:highlight w:val="none"/>
              </w:rPr>
              <w:t>▲5、</w:t>
            </w:r>
            <w:r>
              <w:rPr>
                <w:rFonts w:hint="eastAsia" w:hAnsi="宋体"/>
                <w:bCs/>
                <w:szCs w:val="21"/>
                <w:highlight w:val="none"/>
              </w:rPr>
              <w:t>中标人必须具有项目中所有系统的自主知识产权，</w:t>
            </w:r>
            <w:r>
              <w:rPr>
                <w:rFonts w:hint="eastAsia" w:hAnsi="宋体"/>
                <w:szCs w:val="21"/>
                <w:highlight w:val="none"/>
              </w:rPr>
              <w:t>中标人必须确保招标人在使用系统、服务时，不会受到第三者关于侵犯专利权、商标权或工业设计权等知识产权相关的投诉。如发生任何上述行为，由中标人承担全部责任。</w:t>
            </w:r>
          </w:p>
          <w:p>
            <w:pPr>
              <w:spacing w:line="360" w:lineRule="exact"/>
              <w:ind w:firstLine="420" w:firstLineChars="200"/>
              <w:rPr>
                <w:szCs w:val="21"/>
                <w:highlight w:val="none"/>
              </w:rPr>
            </w:pPr>
            <w:r>
              <w:rPr>
                <w:rFonts w:hint="eastAsia" w:ascii="宋体" w:hAnsi="宋体" w:cs="宋体"/>
                <w:szCs w:val="21"/>
                <w:highlight w:val="none"/>
              </w:rPr>
              <w:t>▲6、</w:t>
            </w:r>
            <w:r>
              <w:rPr>
                <w:rFonts w:hAnsi="宋体"/>
                <w:szCs w:val="21"/>
                <w:highlight w:val="none"/>
              </w:rPr>
              <w:t>中标人必须与招标人签订保密协议，对所接触到的所有信息负有保密义务，任何时候均不得将收集的任何信息以任何方式提供给任何第三方，不得违反《最高人民法院、最高人民检察院关于办理侵犯公民个人信息刑事案件适用法律若干问题的解释》。未经招标人许可，中标人不得将关于招标人的信息系统现状及需求情况、建设情况以及系统数据等提供给任何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pPr>
              <w:spacing w:line="340" w:lineRule="exact"/>
              <w:rPr>
                <w:b/>
                <w:szCs w:val="21"/>
                <w:highlight w:val="none"/>
              </w:rPr>
            </w:pPr>
            <w:r>
              <w:rPr>
                <w:rFonts w:hint="eastAsia" w:ascii="宋体" w:hAnsi="宋体"/>
                <w:b/>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7" w:type="dxa"/>
            <w:gridSpan w:val="2"/>
            <w:tcBorders>
              <w:top w:val="single" w:color="auto" w:sz="4" w:space="0"/>
              <w:left w:val="single" w:color="auto" w:sz="4" w:space="0"/>
              <w:right w:val="single" w:color="auto" w:sz="4" w:space="0"/>
            </w:tcBorders>
            <w:vAlign w:val="center"/>
          </w:tcPr>
          <w:p>
            <w:pPr>
              <w:snapToGrid w:val="0"/>
              <w:spacing w:line="340" w:lineRule="exact"/>
              <w:rPr>
                <w:rFonts w:ascii="宋体" w:hAnsi="宋体"/>
                <w:szCs w:val="21"/>
                <w:highlight w:val="none"/>
              </w:rPr>
            </w:pPr>
            <w:r>
              <w:rPr>
                <w:rFonts w:hint="eastAsia" w:ascii="宋体" w:hAnsi="宋体"/>
                <w:szCs w:val="21"/>
                <w:highlight w:val="none"/>
              </w:rPr>
              <w:t>▲交付及维护保证期（服务期）</w:t>
            </w:r>
          </w:p>
        </w:tc>
        <w:tc>
          <w:tcPr>
            <w:tcW w:w="7431" w:type="dxa"/>
            <w:gridSpan w:val="2"/>
            <w:tcBorders>
              <w:top w:val="single" w:color="auto" w:sz="4" w:space="0"/>
              <w:left w:val="single" w:color="auto" w:sz="4" w:space="0"/>
              <w:right w:val="single" w:color="auto" w:sz="4" w:space="0"/>
            </w:tcBorders>
            <w:vAlign w:val="center"/>
          </w:tcPr>
          <w:p>
            <w:pPr>
              <w:spacing w:line="340" w:lineRule="exact"/>
              <w:rPr>
                <w:szCs w:val="21"/>
                <w:highlight w:val="none"/>
              </w:rPr>
            </w:pPr>
            <w:r>
              <w:rPr>
                <w:rFonts w:hint="eastAsia"/>
                <w:szCs w:val="21"/>
                <w:highlight w:val="none"/>
              </w:rPr>
              <w:t>2024年</w:t>
            </w:r>
            <w:r>
              <w:rPr>
                <w:szCs w:val="21"/>
                <w:highlight w:val="none"/>
              </w:rPr>
              <w:t>6</w:t>
            </w:r>
            <w:r>
              <w:rPr>
                <w:rFonts w:hint="eastAsia"/>
                <w:szCs w:val="21"/>
                <w:highlight w:val="none"/>
              </w:rPr>
              <w:t>月3</w:t>
            </w:r>
            <w:r>
              <w:rPr>
                <w:szCs w:val="21"/>
                <w:highlight w:val="none"/>
              </w:rPr>
              <w:t>0日</w:t>
            </w:r>
            <w:r>
              <w:rPr>
                <w:rFonts w:hint="eastAsia"/>
                <w:szCs w:val="21"/>
                <w:highlight w:val="none"/>
              </w:rPr>
              <w:t>前完成服务能力验收</w:t>
            </w:r>
            <w:r>
              <w:rPr>
                <w:rFonts w:hint="eastAsia" w:ascii="宋体" w:hAnsi="宋体"/>
                <w:szCs w:val="21"/>
                <w:highlight w:val="none"/>
              </w:rPr>
              <w:t>，验收合格后五天内部署上线，服务期自服务能力验收合格之日起1年。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7" w:type="dxa"/>
            <w:gridSpan w:val="2"/>
            <w:tcBorders>
              <w:top w:val="single" w:color="auto" w:sz="4" w:space="0"/>
              <w:left w:val="single" w:color="auto" w:sz="4" w:space="0"/>
              <w:right w:val="single" w:color="auto" w:sz="4" w:space="0"/>
            </w:tcBorders>
            <w:vAlign w:val="center"/>
          </w:tcPr>
          <w:p>
            <w:pPr>
              <w:tabs>
                <w:tab w:val="left" w:pos="180"/>
                <w:tab w:val="left" w:pos="1620"/>
              </w:tabs>
              <w:spacing w:line="400" w:lineRule="exact"/>
              <w:jc w:val="center"/>
              <w:rPr>
                <w:rFonts w:ascii="宋体" w:hAnsi="宋体"/>
                <w:szCs w:val="21"/>
                <w:highlight w:val="none"/>
              </w:rPr>
            </w:pPr>
            <w:r>
              <w:rPr>
                <w:rFonts w:hint="eastAsia" w:ascii="宋体" w:hAnsi="宋体"/>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pPr>
              <w:tabs>
                <w:tab w:val="left" w:pos="180"/>
                <w:tab w:val="left" w:pos="1620"/>
              </w:tabs>
              <w:spacing w:line="400" w:lineRule="exact"/>
              <w:jc w:val="left"/>
              <w:rPr>
                <w:rFonts w:ascii="宋体" w:hAnsi="宋体"/>
                <w:szCs w:val="21"/>
                <w:highlight w:val="none"/>
              </w:rPr>
            </w:pPr>
            <w:r>
              <w:rPr>
                <w:rFonts w:hint="eastAsia" w:ascii="宋体" w:hAnsi="宋体"/>
                <w:szCs w:val="21"/>
                <w:highlight w:val="none"/>
              </w:rPr>
              <w:t>自成交通知书发出之日起7个工作日内。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pPr>
              <w:snapToGrid w:val="0"/>
              <w:spacing w:line="340" w:lineRule="exact"/>
              <w:rPr>
                <w:rFonts w:ascii="宋体" w:hAnsi="宋体"/>
                <w:szCs w:val="21"/>
                <w:highlight w:val="none"/>
              </w:rPr>
            </w:pPr>
            <w:r>
              <w:rPr>
                <w:rFonts w:hint="eastAsia" w:ascii="宋体" w:hAnsi="宋体"/>
                <w:szCs w:val="21"/>
                <w:highlight w:val="none"/>
              </w:rPr>
              <w:t>▲交付地点</w:t>
            </w:r>
          </w:p>
        </w:tc>
        <w:tc>
          <w:tcPr>
            <w:tcW w:w="7431" w:type="dxa"/>
            <w:gridSpan w:val="2"/>
            <w:tcBorders>
              <w:top w:val="single" w:color="auto" w:sz="4" w:space="0"/>
              <w:left w:val="single" w:color="auto" w:sz="4" w:space="0"/>
              <w:right w:val="single" w:color="auto" w:sz="4" w:space="0"/>
            </w:tcBorders>
            <w:vAlign w:val="center"/>
          </w:tcPr>
          <w:p>
            <w:pPr>
              <w:spacing w:line="340" w:lineRule="exact"/>
              <w:rPr>
                <w:szCs w:val="21"/>
                <w:highlight w:val="none"/>
              </w:rPr>
            </w:pPr>
            <w:r>
              <w:rPr>
                <w:rFonts w:hint="eastAsia" w:ascii="宋体" w:hAnsi="宋体"/>
                <w:szCs w:val="21"/>
                <w:highlight w:val="none"/>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pPr>
              <w:snapToGrid w:val="0"/>
              <w:spacing w:line="340" w:lineRule="exact"/>
              <w:rPr>
                <w:rFonts w:ascii="宋体" w:hAnsi="宋体"/>
                <w:szCs w:val="21"/>
                <w:highlight w:val="none"/>
              </w:rPr>
            </w:pPr>
            <w:r>
              <w:rPr>
                <w:rFonts w:hint="eastAsia" w:ascii="宋体" w:hAnsi="宋体"/>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pPr>
              <w:spacing w:line="340" w:lineRule="exact"/>
              <w:rPr>
                <w:szCs w:val="21"/>
                <w:highlight w:val="none"/>
              </w:rPr>
            </w:pPr>
            <w:r>
              <w:rPr>
                <w:rFonts w:hint="eastAsia" w:ascii="宋体" w:hAnsi="宋体"/>
                <w:szCs w:val="21"/>
                <w:highlight w:val="none"/>
              </w:rPr>
              <w:t>签订合同后十个工作日内，采购人向成交人支付合同总额的</w:t>
            </w:r>
            <w:r>
              <w:rPr>
                <w:rFonts w:ascii="宋体" w:hAnsi="宋体"/>
                <w:szCs w:val="21"/>
                <w:highlight w:val="none"/>
              </w:rPr>
              <w:t>7</w:t>
            </w:r>
            <w:r>
              <w:rPr>
                <w:rFonts w:hint="eastAsia" w:ascii="宋体" w:hAnsi="宋体"/>
                <w:szCs w:val="21"/>
                <w:highlight w:val="none"/>
              </w:rPr>
              <w:t>0</w:t>
            </w:r>
            <w:r>
              <w:rPr>
                <w:rFonts w:ascii="宋体" w:hAnsi="宋体"/>
                <w:szCs w:val="21"/>
                <w:highlight w:val="none"/>
              </w:rPr>
              <w:t>%</w:t>
            </w:r>
            <w:r>
              <w:rPr>
                <w:rFonts w:hint="eastAsia" w:ascii="宋体" w:hAnsi="宋体"/>
                <w:szCs w:val="21"/>
                <w:highlight w:val="none"/>
              </w:rPr>
              <w:t>；项目通过服务能力验收</w:t>
            </w:r>
            <w:r>
              <w:rPr>
                <w:rFonts w:ascii="宋体" w:hAnsi="宋体"/>
                <w:szCs w:val="21"/>
                <w:highlight w:val="none"/>
              </w:rPr>
              <w:t>后</w:t>
            </w:r>
            <w:r>
              <w:rPr>
                <w:rFonts w:hint="eastAsia" w:ascii="宋体" w:hAnsi="宋体"/>
                <w:szCs w:val="21"/>
                <w:highlight w:val="none"/>
              </w:rPr>
              <w:t>，采购人</w:t>
            </w:r>
            <w:r>
              <w:rPr>
                <w:rFonts w:ascii="宋体" w:hAnsi="宋体"/>
                <w:szCs w:val="21"/>
                <w:highlight w:val="none"/>
              </w:rPr>
              <w:t>向</w:t>
            </w:r>
            <w:r>
              <w:rPr>
                <w:rFonts w:hint="eastAsia" w:ascii="宋体" w:hAnsi="宋体"/>
                <w:szCs w:val="21"/>
                <w:highlight w:val="none"/>
              </w:rPr>
              <w:t>成交人</w:t>
            </w:r>
            <w:r>
              <w:rPr>
                <w:rFonts w:ascii="宋体" w:hAnsi="宋体"/>
                <w:szCs w:val="21"/>
                <w:highlight w:val="none"/>
              </w:rPr>
              <w:t>支付</w:t>
            </w:r>
            <w:r>
              <w:rPr>
                <w:rFonts w:hint="eastAsia" w:ascii="宋体" w:hAnsi="宋体"/>
                <w:szCs w:val="21"/>
                <w:highlight w:val="none"/>
              </w:rPr>
              <w:t>合同总额的</w:t>
            </w:r>
            <w:r>
              <w:rPr>
                <w:rFonts w:ascii="宋体" w:hAnsi="宋体"/>
                <w:szCs w:val="21"/>
                <w:highlight w:val="none"/>
              </w:rPr>
              <w:t>3</w:t>
            </w:r>
            <w:r>
              <w:rPr>
                <w:rFonts w:hint="eastAsia" w:ascii="宋体" w:hAnsi="宋体"/>
                <w:szCs w:val="21"/>
                <w:highlight w:val="none"/>
              </w:rPr>
              <w:t>0</w:t>
            </w:r>
            <w:r>
              <w:rPr>
                <w:rFonts w:ascii="宋体" w:hAnsi="宋体"/>
                <w:szCs w:val="21"/>
                <w:highlight w:val="none"/>
              </w:rPr>
              <w:t>%</w:t>
            </w:r>
            <w:r>
              <w:rPr>
                <w:rFonts w:hint="eastAsia" w:ascii="宋体" w:hAnsi="宋体"/>
                <w:szCs w:val="21"/>
                <w:highlight w:val="none"/>
              </w:rPr>
              <w:t>。成交人自收到合同价款之日起三个工作日内，开具发票给采购人。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right w:val="single" w:color="auto" w:sz="4" w:space="0"/>
            </w:tcBorders>
            <w:vAlign w:val="center"/>
          </w:tcPr>
          <w:p>
            <w:pPr>
              <w:snapToGrid w:val="0"/>
              <w:spacing w:line="340" w:lineRule="exact"/>
              <w:rPr>
                <w:rFonts w:ascii="宋体" w:hAnsi="宋体"/>
                <w:szCs w:val="21"/>
                <w:highlight w:val="none"/>
              </w:rPr>
            </w:pPr>
            <w:r>
              <w:rPr>
                <w:rFonts w:hint="eastAsia" w:ascii="宋体" w:hAnsi="宋体"/>
                <w:szCs w:val="21"/>
                <w:highlight w:val="none"/>
              </w:rPr>
              <w:t>报价要求</w:t>
            </w:r>
          </w:p>
        </w:tc>
        <w:tc>
          <w:tcPr>
            <w:tcW w:w="7431" w:type="dxa"/>
            <w:gridSpan w:val="2"/>
            <w:tcBorders>
              <w:top w:val="single" w:color="auto" w:sz="4" w:space="0"/>
              <w:left w:val="single" w:color="auto" w:sz="4" w:space="0"/>
              <w:right w:val="single" w:color="auto" w:sz="4" w:space="0"/>
            </w:tcBorders>
            <w:vAlign w:val="center"/>
          </w:tcPr>
          <w:p>
            <w:pPr>
              <w:spacing w:line="340" w:lineRule="exact"/>
              <w:rPr>
                <w:highlight w:val="none"/>
              </w:rPr>
            </w:pPr>
            <w:r>
              <w:rPr>
                <w:rFonts w:hint="eastAsia"/>
                <w:highlight w:val="none"/>
              </w:rPr>
              <w:t>本项目报价为总包干价。</w:t>
            </w:r>
          </w:p>
          <w:p>
            <w:pPr>
              <w:spacing w:line="400" w:lineRule="exact"/>
              <w:rPr>
                <w:rFonts w:ascii="宋体" w:hAnsi="宋体"/>
                <w:szCs w:val="21"/>
                <w:highlight w:val="none"/>
              </w:rPr>
            </w:pPr>
            <w:r>
              <w:rPr>
                <w:rFonts w:hint="eastAsia" w:ascii="宋体" w:hAnsi="宋体" w:cs="宋体"/>
                <w:szCs w:val="21"/>
                <w:highlight w:val="none"/>
              </w:rPr>
              <w:t>▲</w:t>
            </w:r>
            <w:r>
              <w:rPr>
                <w:rFonts w:hint="eastAsia" w:ascii="宋体" w:hAnsi="宋体"/>
                <w:szCs w:val="21"/>
                <w:highlight w:val="none"/>
              </w:rPr>
              <w:t>1.报价必须含以下部分，包括：</w:t>
            </w:r>
          </w:p>
          <w:p>
            <w:pPr>
              <w:spacing w:line="400" w:lineRule="exact"/>
              <w:rPr>
                <w:rFonts w:ascii="宋体" w:hAnsi="宋体"/>
                <w:szCs w:val="21"/>
                <w:highlight w:val="none"/>
              </w:rPr>
            </w:pPr>
            <w:r>
              <w:rPr>
                <w:rFonts w:hint="eastAsia" w:ascii="宋体" w:hAnsi="宋体"/>
                <w:szCs w:val="21"/>
                <w:highlight w:val="none"/>
              </w:rPr>
              <w:t>（1）服务的价格；</w:t>
            </w:r>
          </w:p>
          <w:p>
            <w:pPr>
              <w:spacing w:line="400" w:lineRule="exact"/>
              <w:rPr>
                <w:rFonts w:ascii="宋体" w:hAnsi="宋体"/>
                <w:szCs w:val="21"/>
                <w:highlight w:val="none"/>
              </w:rPr>
            </w:pPr>
            <w:r>
              <w:rPr>
                <w:rFonts w:hint="eastAsia" w:ascii="宋体" w:hAnsi="宋体"/>
                <w:szCs w:val="21"/>
                <w:highlight w:val="none"/>
              </w:rPr>
              <w:t>（2）实施和完成工作所需的劳务费、技术服务费、交通、通讯、办公场地、管理费、税费和利润等费用和政策性文件规定及合同包含的所有风险、责任等各项（所有）费用。</w:t>
            </w:r>
          </w:p>
          <w:p>
            <w:pPr>
              <w:spacing w:line="400" w:lineRule="exact"/>
              <w:rPr>
                <w:rFonts w:ascii="宋体" w:hAnsi="宋体"/>
                <w:szCs w:val="21"/>
                <w:highlight w:val="none"/>
              </w:rPr>
            </w:pPr>
            <w:r>
              <w:rPr>
                <w:rFonts w:hint="eastAsia" w:ascii="宋体" w:hAnsi="宋体"/>
                <w:szCs w:val="21"/>
                <w:highlight w:val="none"/>
              </w:rPr>
              <w:t>（3）必要的保险费用和各项税金；</w:t>
            </w:r>
          </w:p>
          <w:p>
            <w:pPr>
              <w:spacing w:line="400" w:lineRule="exact"/>
              <w:rPr>
                <w:rFonts w:ascii="宋体" w:hAnsi="宋体"/>
                <w:szCs w:val="21"/>
                <w:highlight w:val="none"/>
              </w:rPr>
            </w:pPr>
            <w:r>
              <w:rPr>
                <w:rFonts w:hint="eastAsia" w:ascii="宋体" w:hAnsi="宋体"/>
                <w:szCs w:val="21"/>
                <w:highlight w:val="none"/>
              </w:rPr>
              <w:t xml:space="preserve">（4）该项目全程服务过程中所发生的一切费用均由成交供应商自行负责，如所涉及的一切评审费、会务费和在外调查期间等所发生的费用由成交供应商自行承担。 </w:t>
            </w:r>
          </w:p>
          <w:p>
            <w:pPr>
              <w:spacing w:line="400" w:lineRule="exact"/>
              <w:rPr>
                <w:highlight w:val="none"/>
              </w:rPr>
            </w:pPr>
            <w:r>
              <w:rPr>
                <w:rFonts w:hint="eastAsia" w:ascii="宋体" w:hAnsi="宋体"/>
                <w:szCs w:val="21"/>
                <w:highlight w:val="none"/>
              </w:rPr>
              <w:t>（5）其他：售后服务所产生的费用。</w:t>
            </w:r>
          </w:p>
        </w:tc>
      </w:tr>
    </w:tbl>
    <w:p>
      <w:pPr>
        <w:ind w:left="119"/>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pStyle w:val="2"/>
        <w:rPr>
          <w:rFonts w:ascii="宋体" w:hAnsi="宋体" w:cs="宋体"/>
          <w:sz w:val="32"/>
          <w:szCs w:val="32"/>
          <w:highlight w:val="none"/>
        </w:rPr>
      </w:pPr>
    </w:p>
    <w:p>
      <w:pPr>
        <w:ind w:left="119"/>
        <w:rPr>
          <w:rFonts w:ascii="宋体" w:hAnsi="宋体" w:cs="宋体"/>
          <w:sz w:val="32"/>
          <w:szCs w:val="32"/>
          <w:highlight w:val="none"/>
        </w:rPr>
      </w:pPr>
      <w:r>
        <w:rPr>
          <w:rFonts w:hint="eastAsia" w:ascii="宋体" w:hAnsi="宋体" w:cs="宋体"/>
          <w:sz w:val="32"/>
          <w:szCs w:val="32"/>
          <w:highlight w:val="none"/>
        </w:rPr>
        <w:t>附件1：</w:t>
      </w:r>
    </w:p>
    <w:p>
      <w:pPr>
        <w:widowControl/>
        <w:jc w:val="center"/>
        <w:rPr>
          <w:rFonts w:ascii="宋体" w:hAnsi="宋体" w:cs="宋体"/>
          <w:b/>
          <w:bCs/>
          <w:kern w:val="0"/>
          <w:sz w:val="30"/>
          <w:szCs w:val="30"/>
          <w:highlight w:val="none"/>
        </w:rPr>
      </w:pPr>
      <w:r>
        <w:rPr>
          <w:rFonts w:hint="eastAsia" w:ascii="宋体" w:hAnsi="宋体" w:cs="宋体"/>
          <w:b/>
          <w:sz w:val="30"/>
          <w:szCs w:val="30"/>
          <w:highlight w:val="none"/>
        </w:rPr>
        <w:t>中小微企业划型标准</w:t>
      </w:r>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pPr>
              <w:widowControl/>
              <w:spacing w:line="280" w:lineRule="exact"/>
              <w:jc w:val="center"/>
              <w:rPr>
                <w:rFonts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noWrap/>
            <w:vAlign w:val="center"/>
          </w:tcPr>
          <w:p>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noWrap/>
            <w:vAlign w:val="center"/>
          </w:tcPr>
          <w:p>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计量单位</w:t>
            </w:r>
          </w:p>
        </w:tc>
        <w:tc>
          <w:tcPr>
            <w:tcW w:w="1125" w:type="dxa"/>
            <w:noWrap/>
            <w:vAlign w:val="center"/>
          </w:tcPr>
          <w:p>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noWrap/>
            <w:vAlign w:val="center"/>
          </w:tcPr>
          <w:p>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noWrap/>
            <w:vAlign w:val="center"/>
          </w:tcPr>
          <w:p>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noWrap/>
            <w:vAlign w:val="center"/>
          </w:tcPr>
          <w:p>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rFonts w:ascii="宋体" w:hAnsi="宋体" w:cs="宋体"/>
                <w:sz w:val="18"/>
                <w:szCs w:val="21"/>
                <w:highlight w:val="none"/>
              </w:rPr>
            </w:pPr>
            <w:r>
              <w:rPr>
                <w:rFonts w:hint="eastAsia" w:ascii="宋体" w:hAnsi="宋体" w:cs="宋体"/>
                <w:sz w:val="18"/>
                <w:szCs w:val="21"/>
                <w:highlight w:val="none"/>
              </w:rPr>
              <w:t>农、林、牧、渔业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工业 *</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建筑业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批发业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5≤X＜20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noWrap/>
            <w:vAlign w:val="center"/>
          </w:tcPr>
          <w:p>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零售业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noWrap/>
            <w:vAlign w:val="center"/>
          </w:tcPr>
          <w:p>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ign w:val="center"/>
          </w:tcPr>
          <w:p>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交通运输业 *</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仓储业*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邮政业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住宿业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餐饮业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信息传输业 *</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软件和信息技术服务业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房地产开发经营</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2000≤Z＜5000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物业管理</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rFonts w:ascii="宋体" w:hAnsi="宋体" w:cs="宋体"/>
                <w:sz w:val="18"/>
                <w:szCs w:val="21"/>
                <w:highlight w:val="none"/>
              </w:rPr>
            </w:pPr>
            <w:r>
              <w:rPr>
                <w:rFonts w:hint="eastAsia" w:ascii="宋体" w:hAnsi="宋体" w:cs="宋体"/>
                <w:sz w:val="18"/>
                <w:szCs w:val="21"/>
                <w:highlight w:val="none"/>
              </w:rPr>
              <w:t>租赁和商务服务业</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rFonts w:ascii="宋体" w:hAnsi="宋体" w:cs="宋体"/>
                <w:sz w:val="18"/>
                <w:szCs w:val="21"/>
                <w:highlight w:val="none"/>
              </w:rPr>
            </w:pP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rFonts w:ascii="宋体" w:hAnsi="宋体" w:cs="宋体"/>
                <w:sz w:val="18"/>
                <w:szCs w:val="21"/>
                <w:highlight w:val="none"/>
              </w:rPr>
            </w:pPr>
            <w:r>
              <w:rPr>
                <w:rFonts w:hint="eastAsia" w:ascii="宋体" w:hAnsi="宋体" w:cs="宋体"/>
                <w:sz w:val="18"/>
                <w:szCs w:val="21"/>
                <w:highlight w:val="none"/>
              </w:rPr>
              <w:t>其他未列明行业 *</w:t>
            </w:r>
          </w:p>
        </w:tc>
        <w:tc>
          <w:tcPr>
            <w:tcW w:w="136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ign w:val="center"/>
          </w:tcPr>
          <w:p>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bl>
    <w:p>
      <w:pPr>
        <w:widowControl/>
        <w:rPr>
          <w:rFonts w:ascii="宋体" w:hAnsi="宋体" w:cs="宋体"/>
          <w:kern w:val="0"/>
          <w:szCs w:val="21"/>
          <w:highlight w:val="none"/>
        </w:rPr>
      </w:pPr>
      <w:r>
        <w:rPr>
          <w:rFonts w:hint="eastAsia" w:ascii="宋体" w:hAnsi="宋体" w:cs="宋体"/>
          <w:kern w:val="0"/>
          <w:szCs w:val="21"/>
          <w:highlight w:val="none"/>
        </w:rPr>
        <w:t>说明：</w:t>
      </w:r>
    </w:p>
    <w:p>
      <w:pPr>
        <w:adjustRightInd w:val="0"/>
        <w:ind w:firstLine="420" w:firstLineChars="200"/>
        <w:contextualSpacing/>
        <w:rPr>
          <w:rFonts w:ascii="宋体" w:hAnsi="宋体" w:cs="宋体"/>
          <w:kern w:val="0"/>
          <w:szCs w:val="21"/>
          <w:highlight w:val="none"/>
        </w:rPr>
      </w:pPr>
      <w:r>
        <w:rPr>
          <w:rFonts w:hint="eastAsia" w:ascii="宋体" w:hAnsi="宋体" w:cs="宋体"/>
          <w:kern w:val="0"/>
          <w:szCs w:val="21"/>
          <w:highlight w:val="none"/>
        </w:rPr>
        <w:t>1.大型、中型和小型企业须同时满足所列指标的下限，否则下划一档。微型企业只须满足所列指标中的一项即可。</w:t>
      </w:r>
    </w:p>
    <w:p>
      <w:pPr>
        <w:adjustRightInd w:val="0"/>
        <w:ind w:firstLine="420" w:firstLineChars="200"/>
        <w:contextualSpacing/>
        <w:rPr>
          <w:rFonts w:ascii="宋体" w:hAnsi="宋体" w:cs="宋体"/>
          <w:kern w:val="0"/>
          <w:szCs w:val="21"/>
          <w:highlight w:val="none"/>
        </w:rPr>
      </w:pPr>
      <w:r>
        <w:rPr>
          <w:rFonts w:hint="eastAsia" w:ascii="宋体" w:hAnsi="宋体" w:cs="宋体"/>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ind w:firstLine="420" w:firstLineChars="200"/>
        <w:rPr>
          <w:rFonts w:ascii="宋体" w:hAnsi="宋体" w:cs="宋体"/>
          <w:kern w:val="0"/>
          <w:sz w:val="24"/>
          <w:highlight w:val="none"/>
        </w:rPr>
      </w:pPr>
      <w:r>
        <w:rPr>
          <w:rFonts w:hint="eastAsia" w:ascii="宋体" w:hAnsi="宋体" w:cs="宋体"/>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spacing w:line="480" w:lineRule="auto"/>
        <w:jc w:val="center"/>
        <w:rPr>
          <w:rFonts w:ascii="宋体" w:hAnsi="宋体" w:cs="宋体"/>
          <w:highlight w:val="none"/>
        </w:rPr>
      </w:pPr>
      <w:bookmarkStart w:id="61" w:name="_Toc7704"/>
      <w:bookmarkStart w:id="62" w:name="_Toc2072"/>
      <w:bookmarkStart w:id="63" w:name="_Toc13614"/>
      <w:bookmarkStart w:id="64" w:name="_Toc9239"/>
      <w:bookmarkStart w:id="65" w:name="_Toc19152"/>
      <w:bookmarkStart w:id="66" w:name="_Toc24174"/>
      <w:r>
        <w:rPr>
          <w:rFonts w:hint="eastAsia" w:ascii="宋体" w:hAnsi="宋体" w:cs="宋体"/>
          <w:bCs w:val="0"/>
          <w:sz w:val="32"/>
          <w:szCs w:val="32"/>
          <w:highlight w:val="none"/>
        </w:rPr>
        <w:t>第三章 供应商须知</w:t>
      </w:r>
      <w:bookmarkEnd w:id="59"/>
      <w:bookmarkEnd w:id="60"/>
      <w:bookmarkEnd w:id="61"/>
      <w:bookmarkEnd w:id="62"/>
      <w:bookmarkEnd w:id="63"/>
      <w:bookmarkEnd w:id="64"/>
      <w:bookmarkEnd w:id="65"/>
      <w:bookmarkEnd w:id="66"/>
    </w:p>
    <w:p>
      <w:pPr>
        <w:pStyle w:val="4"/>
        <w:jc w:val="center"/>
        <w:rPr>
          <w:rFonts w:ascii="宋体" w:hAnsi="宋体" w:cs="宋体"/>
          <w:b w:val="0"/>
          <w:highlight w:val="none"/>
        </w:rPr>
      </w:pPr>
      <w:bookmarkStart w:id="67" w:name="_Toc80886928"/>
      <w:bookmarkStart w:id="68" w:name="_Toc9482"/>
      <w:bookmarkStart w:id="69" w:name="_Toc30660"/>
      <w:r>
        <w:rPr>
          <w:rFonts w:hint="eastAsia" w:ascii="宋体" w:hAnsi="宋体" w:cs="宋体"/>
          <w:b w:val="0"/>
          <w:highlight w:val="none"/>
        </w:rPr>
        <w:t>第一节 供应商须知前附表</w:t>
      </w:r>
      <w:bookmarkEnd w:id="67"/>
      <w:bookmarkEnd w:id="68"/>
      <w:bookmarkEnd w:id="69"/>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937"/>
        <w:gridCol w:w="6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1937" w:type="dxa"/>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条款内容</w:t>
            </w:r>
          </w:p>
        </w:tc>
        <w:tc>
          <w:tcPr>
            <w:tcW w:w="6869" w:type="dxa"/>
          </w:tcPr>
          <w:p>
            <w:pPr>
              <w:spacing w:line="360" w:lineRule="auto"/>
              <w:jc w:val="center"/>
              <w:rPr>
                <w:rFonts w:ascii="宋体" w:hAnsi="宋体" w:cs="宋体"/>
                <w:b/>
                <w:szCs w:val="21"/>
                <w:highlight w:val="none"/>
              </w:rPr>
            </w:pPr>
            <w:r>
              <w:rPr>
                <w:rFonts w:hint="eastAsia" w:ascii="宋体" w:hAnsi="宋体" w:cs="宋体"/>
                <w:b/>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3.1</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供应商资格条件</w:t>
            </w:r>
          </w:p>
        </w:tc>
        <w:tc>
          <w:tcPr>
            <w:tcW w:w="6869" w:type="dxa"/>
          </w:tcPr>
          <w:p>
            <w:pPr>
              <w:spacing w:line="360" w:lineRule="auto"/>
              <w:rPr>
                <w:rFonts w:ascii="宋体" w:hAnsi="宋体" w:cs="宋体"/>
                <w:szCs w:val="21"/>
                <w:highlight w:val="none"/>
              </w:rPr>
            </w:pPr>
            <w:r>
              <w:rPr>
                <w:rFonts w:hint="eastAsia" w:ascii="宋体" w:hAnsi="宋体" w:cs="宋体"/>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5.1</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是否接受联合体竞标</w:t>
            </w:r>
          </w:p>
        </w:tc>
        <w:tc>
          <w:tcPr>
            <w:tcW w:w="6869" w:type="dxa"/>
            <w:vAlign w:val="center"/>
          </w:tcPr>
          <w:p>
            <w:pPr>
              <w:spacing w:line="360" w:lineRule="auto"/>
              <w:rPr>
                <w:rFonts w:ascii="宋体" w:hAnsi="宋体" w:cs="宋体"/>
                <w:szCs w:val="21"/>
                <w:highlight w:val="none"/>
              </w:rPr>
            </w:pPr>
            <w:bookmarkStart w:id="70" w:name="PO_3000001868_PM007"/>
            <w:r>
              <w:rPr>
                <w:rFonts w:hint="eastAsia" w:ascii="宋体" w:hAnsi="宋体" w:cs="宋体"/>
                <w:szCs w:val="21"/>
                <w:highlight w:val="none"/>
              </w:rPr>
              <w:t>详见竞争性磋商公告</w:t>
            </w:r>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5.2</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联合体竞标要求</w:t>
            </w:r>
          </w:p>
        </w:tc>
        <w:tc>
          <w:tcPr>
            <w:tcW w:w="6869" w:type="dxa"/>
            <w:vAlign w:val="center"/>
          </w:tcPr>
          <w:p>
            <w:pPr>
              <w:spacing w:line="360" w:lineRule="auto"/>
              <w:rPr>
                <w:rFonts w:ascii="宋体" w:hAnsi="宋体" w:cs="宋体"/>
                <w:szCs w:val="21"/>
                <w:highlight w:val="none"/>
              </w:rPr>
            </w:pPr>
            <w:r>
              <w:rPr>
                <w:rFonts w:hint="eastAsia" w:ascii="宋体" w:hAnsi="宋体" w:cs="宋体"/>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6.1</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是否允许分包</w:t>
            </w:r>
          </w:p>
        </w:tc>
        <w:tc>
          <w:tcPr>
            <w:tcW w:w="6869" w:type="dxa"/>
            <w:vAlign w:val="center"/>
          </w:tcPr>
          <w:p>
            <w:pPr>
              <w:pStyle w:val="14"/>
              <w:spacing w:line="360" w:lineRule="auto"/>
              <w:rPr>
                <w:rFonts w:ascii="宋体" w:hAnsi="宋体" w:cs="宋体"/>
                <w:szCs w:val="21"/>
                <w:highlight w:val="none"/>
              </w:rPr>
            </w:pPr>
            <w:r>
              <w:rPr>
                <w:rFonts w:hint="eastAsia" w:ascii="宋体" w:hAnsi="宋体" w:cs="宋体"/>
                <w:szCs w:val="21"/>
                <w:highlight w:val="none"/>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12.1.1</w:t>
            </w:r>
          </w:p>
        </w:tc>
        <w:tc>
          <w:tcPr>
            <w:tcW w:w="1937" w:type="dxa"/>
            <w:vAlign w:val="center"/>
          </w:tcPr>
          <w:p>
            <w:pPr>
              <w:snapToGrid w:val="0"/>
              <w:spacing w:line="360" w:lineRule="auto"/>
              <w:jc w:val="center"/>
              <w:rPr>
                <w:rFonts w:ascii="宋体" w:hAnsi="宋体" w:cs="宋体"/>
                <w:szCs w:val="21"/>
                <w:highlight w:val="none"/>
              </w:rPr>
            </w:pPr>
            <w:r>
              <w:rPr>
                <w:rFonts w:hint="eastAsia" w:ascii="宋体" w:hAnsi="宋体" w:cs="宋体"/>
                <w:b/>
                <w:szCs w:val="21"/>
                <w:highlight w:val="none"/>
              </w:rPr>
              <w:t>资格证明文件组成</w:t>
            </w:r>
          </w:p>
        </w:tc>
        <w:tc>
          <w:tcPr>
            <w:tcW w:w="6869" w:type="dxa"/>
            <w:vAlign w:val="center"/>
          </w:tcPr>
          <w:p>
            <w:pPr>
              <w:pStyle w:val="14"/>
              <w:spacing w:line="360" w:lineRule="auto"/>
              <w:rPr>
                <w:rFonts w:ascii="宋体" w:hAnsi="宋体" w:cs="宋体"/>
                <w:szCs w:val="21"/>
                <w:highlight w:val="none"/>
              </w:rPr>
            </w:pPr>
            <w:r>
              <w:rPr>
                <w:rFonts w:hint="eastAsia" w:ascii="宋体" w:hAnsi="宋体" w:cs="宋体"/>
                <w:szCs w:val="21"/>
                <w:highlight w:val="none"/>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2.供应商依法缴纳税收的相关材料（</w:t>
            </w:r>
            <w:r>
              <w:rPr>
                <w:rFonts w:hint="eastAsia" w:ascii="宋体" w:hAnsi="宋体" w:cs="宋体"/>
                <w:szCs w:val="21"/>
                <w:highlight w:val="none"/>
                <w:u w:val="single"/>
              </w:rPr>
              <w:t>投标截止日期前半年内连续3个月</w:t>
            </w:r>
            <w:r>
              <w:rPr>
                <w:rFonts w:hint="eastAsia" w:ascii="宋体" w:hAnsi="宋体" w:cs="宋体"/>
                <w:szCs w:val="21"/>
                <w:highlight w:val="none"/>
              </w:rPr>
              <w:t>的依法缴纳税收的凭据复印件；</w:t>
            </w:r>
            <w:r>
              <w:rPr>
                <w:rFonts w:hint="eastAsia" w:ascii="宋体" w:hAnsi="宋体" w:cs="宋体"/>
                <w:highlight w:val="none"/>
              </w:rPr>
              <w:t>依法免税的，必须提供相应文件证明其依法免税。</w:t>
            </w:r>
            <w:r>
              <w:rPr>
                <w:rFonts w:hint="eastAsia" w:ascii="宋体" w:hAnsi="宋体" w:cs="宋体"/>
                <w:szCs w:val="21"/>
                <w:highlight w:val="none"/>
              </w:rPr>
              <w:t>从成立之日起到响应文件提交截止时间止不足要求月数的，只需提供从成立之日起的依法缴纳税收</w:t>
            </w:r>
            <w:r>
              <w:rPr>
                <w:rFonts w:hint="eastAsia" w:ascii="宋体" w:hAnsi="宋体" w:cs="宋体"/>
                <w:highlight w:val="none"/>
              </w:rPr>
              <w:t>相应证明文件</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3.供应商依法缴纳社会保障资金的相关材料（</w:t>
            </w:r>
            <w:r>
              <w:rPr>
                <w:rFonts w:hint="eastAsia" w:ascii="宋体" w:hAnsi="宋体" w:cs="宋体"/>
                <w:szCs w:val="21"/>
                <w:highlight w:val="none"/>
                <w:u w:val="single"/>
              </w:rPr>
              <w:t>投标截止日期前半年内连续3个月</w:t>
            </w:r>
            <w:r>
              <w:rPr>
                <w:rFonts w:hint="eastAsia" w:ascii="宋体" w:hAnsi="宋体" w:cs="宋体"/>
                <w:szCs w:val="21"/>
                <w:highlight w:val="none"/>
              </w:rPr>
              <w:t>的依法缴纳社会保障资金的缴费凭证（专用收据或者社会保险缴纳清单）复印件；</w:t>
            </w:r>
            <w:r>
              <w:rPr>
                <w:rFonts w:hint="eastAsia" w:ascii="宋体" w:hAnsi="宋体" w:cs="宋体"/>
                <w:highlight w:val="none"/>
              </w:rPr>
              <w:t>依法不需要缴纳社会保障资金的，必须提供相应文件证明不需要缴纳社会保障资金。</w:t>
            </w:r>
            <w:r>
              <w:rPr>
                <w:rFonts w:hint="eastAsia" w:ascii="宋体" w:hAnsi="宋体" w:cs="宋体"/>
                <w:szCs w:val="21"/>
                <w:highlight w:val="none"/>
              </w:rPr>
              <w:t>从成立之日起到响应文件提交截止时间止不足要求月数的只需提供从成立之日起的依法缴纳社会保障资金的</w:t>
            </w:r>
            <w:r>
              <w:rPr>
                <w:rFonts w:hint="eastAsia" w:ascii="宋体" w:hAnsi="宋体" w:cs="宋体"/>
                <w:highlight w:val="none"/>
              </w:rPr>
              <w:t>相应证明文件</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4.供应商财务状况报告（2022年或2023年财务报表复印件或者银行出具的资信证明；供应商属于</w:t>
            </w:r>
            <w:r>
              <w:rPr>
                <w:rFonts w:hint="eastAsia" w:ascii="宋体" w:hAnsi="宋体" w:cs="宋体"/>
                <w:highlight w:val="none"/>
              </w:rPr>
              <w:t>成立时间</w:t>
            </w:r>
            <w:r>
              <w:rPr>
                <w:rFonts w:hint="eastAsia" w:ascii="宋体" w:hAnsi="宋体" w:cs="宋体"/>
                <w:kern w:val="0"/>
                <w:highlight w:val="none"/>
              </w:rPr>
              <w:t>在规定年度之后</w:t>
            </w:r>
            <w:r>
              <w:rPr>
                <w:rFonts w:hint="eastAsia" w:ascii="宋体" w:hAnsi="宋体" w:cs="宋体"/>
                <w:highlight w:val="none"/>
              </w:rPr>
              <w:t>的</w:t>
            </w:r>
            <w:r>
              <w:rPr>
                <w:rFonts w:hint="eastAsia" w:ascii="宋体" w:hAnsi="宋体" w:cs="宋体"/>
                <w:szCs w:val="21"/>
                <w:highlight w:val="none"/>
              </w:rPr>
              <w:t>法人或其他组织</w:t>
            </w:r>
            <w:r>
              <w:rPr>
                <w:rFonts w:hint="eastAsia" w:ascii="宋体" w:hAnsi="宋体" w:cs="宋体"/>
                <w:highlight w:val="none"/>
              </w:rPr>
              <w:t>，需提供成立之日起至响应文件提交截止时间前的月报表</w:t>
            </w:r>
            <w:r>
              <w:rPr>
                <w:rFonts w:hint="eastAsia" w:ascii="宋体" w:hAnsi="宋体" w:cs="宋体"/>
                <w:szCs w:val="21"/>
                <w:highlight w:val="none"/>
              </w:rPr>
              <w:t>或银行出具的资信证明；资信证明应在有效期内，未注明有效期的，银行出具时间至响应文件提交截止时间不超过一年）；</w:t>
            </w:r>
            <w:r>
              <w:rPr>
                <w:rFonts w:hint="eastAsia" w:ascii="宋体" w:hAnsi="宋体" w:cs="宋体"/>
                <w:bCs/>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bCs/>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5.竞标声明函；（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6.供应商直接控股股东信息表。（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7.供应商直接管理关系信息表。（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8.落</w:t>
            </w:r>
            <w:r>
              <w:rPr>
                <w:rFonts w:hint="eastAsia"/>
                <w:highlight w:val="none"/>
              </w:rPr>
              <w:t>实政府采购政策需满足的资格要求的证明文件：中小企业声明函(或监狱企业</w:t>
            </w:r>
            <w:r>
              <w:rPr>
                <w:rFonts w:hint="eastAsia"/>
                <w:highlight w:val="none"/>
                <w:lang w:eastAsia="zh-CN"/>
              </w:rPr>
              <w:t>或</w:t>
            </w:r>
            <w:r>
              <w:rPr>
                <w:rFonts w:hint="eastAsia"/>
                <w:highlight w:val="none"/>
              </w:rPr>
              <w:t>残疾人福利企业声明函)。</w:t>
            </w:r>
            <w:r>
              <w:rPr>
                <w:rFonts w:hint="eastAsia" w:ascii="宋体" w:hAnsi="宋体" w:cs="宋体"/>
                <w:szCs w:val="21"/>
                <w:highlight w:val="none"/>
              </w:rPr>
              <w:t>；（</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9.除竞争性磋商文件规定必须提供以外，供应商认为需要提供的其他证明材料。（</w:t>
            </w:r>
            <w:r>
              <w:rPr>
                <w:rFonts w:hint="eastAsia" w:ascii="宋体" w:hAnsi="宋体" w:cs="宋体"/>
                <w:b/>
                <w:bCs/>
                <w:szCs w:val="21"/>
                <w:highlight w:val="none"/>
              </w:rPr>
              <w:t>如有，请提供</w:t>
            </w:r>
            <w:r>
              <w:rPr>
                <w:rFonts w:hint="eastAsia" w:ascii="宋体" w:hAnsi="宋体" w:cs="宋体"/>
                <w:szCs w:val="21"/>
                <w:highlight w:val="none"/>
              </w:rPr>
              <w:t>）</w:t>
            </w:r>
          </w:p>
          <w:p>
            <w:pPr>
              <w:pStyle w:val="14"/>
              <w:spacing w:line="360" w:lineRule="auto"/>
              <w:rPr>
                <w:rFonts w:ascii="宋体" w:hAnsi="宋体" w:cs="宋体"/>
                <w:b/>
                <w:szCs w:val="21"/>
                <w:highlight w:val="none"/>
              </w:rPr>
            </w:pPr>
            <w:r>
              <w:rPr>
                <w:rFonts w:hint="eastAsia" w:ascii="宋体" w:hAnsi="宋体" w:cs="宋体"/>
                <w:b/>
                <w:szCs w:val="21"/>
                <w:highlight w:val="none"/>
              </w:rPr>
              <w:t>注：</w:t>
            </w:r>
          </w:p>
          <w:p>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注：</w:t>
            </w:r>
          </w:p>
          <w:p>
            <w:pPr>
              <w:snapToGrid w:val="0"/>
              <w:spacing w:line="360" w:lineRule="auto"/>
              <w:jc w:val="left"/>
              <w:rPr>
                <w:rFonts w:ascii="宋体" w:hAnsi="宋体" w:cs="宋体"/>
                <w:b/>
                <w:szCs w:val="21"/>
                <w:highlight w:val="none"/>
              </w:rPr>
            </w:pPr>
            <w:r>
              <w:rPr>
                <w:rFonts w:hint="eastAsia" w:ascii="宋体" w:hAnsi="宋体" w:cs="宋体"/>
                <w:b/>
                <w:szCs w:val="21"/>
                <w:highlight w:val="none"/>
              </w:rPr>
              <w:t>1.以上标明“必须提供”的材料属于复印件的，必须加盖供应商公章，否则响应文件按无效响应处理。</w:t>
            </w:r>
          </w:p>
          <w:p>
            <w:pPr>
              <w:pStyle w:val="14"/>
              <w:spacing w:line="360" w:lineRule="auto"/>
              <w:rPr>
                <w:rFonts w:ascii="宋体" w:hAnsi="宋体" w:cs="宋体"/>
                <w:b/>
                <w:szCs w:val="21"/>
                <w:highlight w:val="none"/>
              </w:rPr>
            </w:pPr>
            <w:r>
              <w:rPr>
                <w:rFonts w:hint="eastAsia" w:ascii="宋体" w:hAnsi="宋体" w:cs="宋体"/>
                <w:b/>
                <w:szCs w:val="21"/>
                <w:highlight w:val="none"/>
              </w:rPr>
              <w:t>2</w:t>
            </w:r>
            <w:r>
              <w:rPr>
                <w:rFonts w:hint="eastAsia" w:ascii="宋体" w:hAnsi="宋体"/>
                <w:b/>
                <w:bCs/>
                <w:szCs w:val="21"/>
                <w:highlight w:val="none"/>
              </w:rPr>
              <w:t>.分公司参加竞标的，应当取得总公司授权</w:t>
            </w:r>
            <w:r>
              <w:rPr>
                <w:rFonts w:hint="eastAsia" w:ascii="宋体" w:hAnsi="宋体" w:cs="宋体"/>
                <w:b/>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1937"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商务文件组成</w:t>
            </w:r>
          </w:p>
        </w:tc>
        <w:tc>
          <w:tcPr>
            <w:tcW w:w="6869" w:type="dxa"/>
            <w:vAlign w:val="center"/>
          </w:tcPr>
          <w:p>
            <w:pPr>
              <w:spacing w:line="360" w:lineRule="auto"/>
              <w:rPr>
                <w:rFonts w:ascii="宋体" w:hAnsi="宋体" w:cs="宋体"/>
                <w:szCs w:val="21"/>
                <w:highlight w:val="none"/>
              </w:rPr>
            </w:pPr>
            <w:r>
              <w:rPr>
                <w:rFonts w:hint="eastAsia" w:ascii="宋体" w:hAnsi="宋体" w:cs="宋体"/>
                <w:szCs w:val="21"/>
                <w:highlight w:val="none"/>
              </w:rPr>
              <w:t>1.无串通竞标行为的承诺函；（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napToGrid w:val="0"/>
              <w:spacing w:line="360" w:lineRule="auto"/>
              <w:jc w:val="left"/>
              <w:rPr>
                <w:rFonts w:ascii="宋体" w:hAnsi="宋体" w:cs="宋体"/>
                <w:szCs w:val="21"/>
                <w:highlight w:val="none"/>
              </w:rPr>
            </w:pPr>
            <w:r>
              <w:rPr>
                <w:rFonts w:hint="eastAsia" w:ascii="宋体" w:hAnsi="宋体" w:cs="宋体"/>
                <w:szCs w:val="21"/>
                <w:highlight w:val="none"/>
              </w:rPr>
              <w:t>2.法定代表人身份证明及法定代表人有效身份证正反面复印件；（</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3.法定代表人授权委托书及委托代理人有效身份证正反面复印件（格式后附）；（</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4.磋商保证金提交凭证；（</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5.商务条款偏离表；（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6.供应商情况介绍；（</w:t>
            </w:r>
            <w:r>
              <w:rPr>
                <w:rFonts w:hint="eastAsia" w:ascii="宋体" w:hAnsi="宋体" w:cs="宋体"/>
                <w:b/>
                <w:bCs/>
                <w:szCs w:val="21"/>
                <w:highlight w:val="none"/>
              </w:rPr>
              <w:t>如有，请提供</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7.对应采购需求的商务条款提供的其他文件资料；（</w:t>
            </w:r>
            <w:r>
              <w:rPr>
                <w:rFonts w:hint="eastAsia" w:ascii="宋体" w:hAnsi="宋体" w:cs="宋体"/>
                <w:b/>
                <w:bCs/>
                <w:szCs w:val="21"/>
                <w:highlight w:val="none"/>
              </w:rPr>
              <w:t>如有，请提供</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8.供应商认为需要提供的其他有关资料。（</w:t>
            </w:r>
            <w:r>
              <w:rPr>
                <w:rFonts w:hint="eastAsia" w:ascii="宋体" w:hAnsi="宋体" w:cs="宋体"/>
                <w:b/>
                <w:bCs/>
                <w:szCs w:val="21"/>
                <w:highlight w:val="none"/>
              </w:rPr>
              <w:t>如有，请提供</w:t>
            </w:r>
            <w:r>
              <w:rPr>
                <w:rFonts w:hint="eastAsia" w:ascii="宋体" w:hAnsi="宋体" w:cs="宋体"/>
                <w:szCs w:val="21"/>
                <w:highlight w:val="none"/>
              </w:rPr>
              <w:t>）</w:t>
            </w:r>
          </w:p>
          <w:p>
            <w:pPr>
              <w:snapToGrid w:val="0"/>
              <w:spacing w:line="360" w:lineRule="auto"/>
              <w:jc w:val="left"/>
              <w:rPr>
                <w:rFonts w:ascii="宋体" w:hAnsi="宋体" w:cs="宋体"/>
                <w:b/>
                <w:szCs w:val="21"/>
                <w:highlight w:val="none"/>
              </w:rPr>
            </w:pPr>
            <w:r>
              <w:rPr>
                <w:rFonts w:hint="eastAsia" w:ascii="宋体" w:hAnsi="宋体" w:cs="宋体"/>
                <w:b/>
                <w:szCs w:val="21"/>
                <w:highlight w:val="none"/>
              </w:rPr>
              <w:t xml:space="preserve">注： </w:t>
            </w:r>
          </w:p>
          <w:p>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1.法定代表人授权委托书必须由法定代表人及其委托代理人签字，并加盖供应商公章，否则响应文件按无效响应处理。</w:t>
            </w:r>
          </w:p>
          <w:p>
            <w:pPr>
              <w:spacing w:line="360" w:lineRule="auto"/>
              <w:ind w:firstLine="413" w:firstLineChars="196"/>
              <w:rPr>
                <w:rFonts w:ascii="宋体" w:hAnsi="宋体" w:cs="宋体"/>
                <w:b/>
                <w:szCs w:val="21"/>
                <w:highlight w:val="none"/>
              </w:rPr>
            </w:pPr>
            <w:r>
              <w:rPr>
                <w:rFonts w:hint="eastAsia" w:ascii="宋体" w:hAnsi="宋体" w:cs="宋体"/>
                <w:b/>
                <w:szCs w:val="21"/>
                <w:highlight w:val="none"/>
              </w:rPr>
              <w:t>2.以上标明“必须提供”的材料属于复印件的扫描件的，必须加盖供应商公章，否则响应文件按无效响应处理。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pPr>
              <w:spacing w:line="360" w:lineRule="auto"/>
              <w:jc w:val="center"/>
              <w:rPr>
                <w:rFonts w:ascii="宋体" w:hAnsi="宋体" w:cs="宋体"/>
                <w:szCs w:val="21"/>
                <w:highlight w:val="none"/>
              </w:rPr>
            </w:pPr>
          </w:p>
        </w:tc>
        <w:tc>
          <w:tcPr>
            <w:tcW w:w="1937"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技术文件组成</w:t>
            </w:r>
          </w:p>
        </w:tc>
        <w:tc>
          <w:tcPr>
            <w:tcW w:w="6869" w:type="dxa"/>
            <w:vAlign w:val="center"/>
          </w:tcPr>
          <w:p>
            <w:pPr>
              <w:spacing w:line="360" w:lineRule="auto"/>
              <w:rPr>
                <w:rFonts w:ascii="宋体" w:hAnsi="宋体" w:cs="宋体"/>
                <w:szCs w:val="21"/>
                <w:highlight w:val="none"/>
              </w:rPr>
            </w:pPr>
            <w:r>
              <w:rPr>
                <w:rFonts w:hint="eastAsia" w:ascii="宋体" w:hAnsi="宋体" w:cs="宋体"/>
                <w:szCs w:val="21"/>
                <w:highlight w:val="none"/>
              </w:rPr>
              <w:t>1.服务需求偏离表；（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2.服务方案；（</w:t>
            </w:r>
            <w:r>
              <w:rPr>
                <w:rFonts w:hint="eastAsia" w:ascii="宋体" w:hAnsi="宋体" w:cs="宋体"/>
                <w:b/>
                <w:bCs/>
                <w:szCs w:val="21"/>
                <w:highlight w:val="none"/>
              </w:rPr>
              <w:t>如有，请提供</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highlight w:val="none"/>
              </w:rPr>
              <w:t>3.</w:t>
            </w:r>
            <w:r>
              <w:rPr>
                <w:rFonts w:hint="eastAsia" w:ascii="宋体" w:hAnsi="宋体" w:cs="宋体"/>
                <w:szCs w:val="21"/>
                <w:highlight w:val="none"/>
              </w:rPr>
              <w:t>项目质量保障措施</w:t>
            </w:r>
            <w:r>
              <w:rPr>
                <w:rFonts w:hint="eastAsia" w:ascii="宋体" w:hAnsi="宋体" w:cs="宋体"/>
                <w:highlight w:val="none"/>
              </w:rPr>
              <w:t>；</w:t>
            </w:r>
            <w:r>
              <w:rPr>
                <w:rFonts w:hint="eastAsia" w:ascii="宋体" w:hAnsi="宋体" w:cs="宋体"/>
                <w:szCs w:val="21"/>
                <w:highlight w:val="none"/>
              </w:rPr>
              <w:t>（</w:t>
            </w:r>
            <w:r>
              <w:rPr>
                <w:rFonts w:hint="eastAsia" w:ascii="宋体" w:hAnsi="宋体" w:cs="宋体"/>
                <w:b/>
                <w:bCs/>
                <w:szCs w:val="21"/>
                <w:highlight w:val="none"/>
              </w:rPr>
              <w:t>如有，请提供</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4.项目实施人员一览表；（</w:t>
            </w:r>
            <w:r>
              <w:rPr>
                <w:rFonts w:hint="eastAsia" w:ascii="宋体" w:hAnsi="宋体" w:cs="宋体"/>
                <w:b/>
                <w:bCs/>
                <w:szCs w:val="21"/>
                <w:highlight w:val="none"/>
              </w:rPr>
              <w:t>如有，请提供</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5.对应采购需求的服务需求提供的其他文件资料；（</w:t>
            </w:r>
            <w:r>
              <w:rPr>
                <w:rFonts w:hint="eastAsia" w:ascii="宋体" w:hAnsi="宋体" w:cs="宋体"/>
                <w:b/>
                <w:bCs/>
                <w:szCs w:val="21"/>
                <w:highlight w:val="none"/>
              </w:rPr>
              <w:t>如有，请提供</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6.供应商认为需要提供的其他有关资料。（</w:t>
            </w:r>
            <w:r>
              <w:rPr>
                <w:rFonts w:hint="eastAsia" w:ascii="宋体" w:hAnsi="宋体" w:cs="宋体"/>
                <w:b/>
                <w:bCs/>
                <w:szCs w:val="21"/>
                <w:highlight w:val="none"/>
              </w:rPr>
              <w:t>如有，请提供</w:t>
            </w:r>
            <w:r>
              <w:rPr>
                <w:rFonts w:hint="eastAsia" w:ascii="宋体" w:hAnsi="宋体" w:cs="宋体"/>
                <w:szCs w:val="21"/>
                <w:highlight w:val="none"/>
              </w:rPr>
              <w:t>）</w:t>
            </w:r>
          </w:p>
          <w:p>
            <w:pPr>
              <w:spacing w:line="360" w:lineRule="auto"/>
              <w:rPr>
                <w:rFonts w:ascii="宋体" w:hAnsi="宋体" w:cs="宋体"/>
                <w:b/>
                <w:szCs w:val="21"/>
                <w:highlight w:val="none"/>
              </w:rPr>
            </w:pPr>
            <w:r>
              <w:rPr>
                <w:rFonts w:hint="eastAsia" w:ascii="宋体" w:hAnsi="宋体" w:cs="宋体"/>
                <w:b/>
                <w:szCs w:val="21"/>
                <w:highlight w:val="none"/>
              </w:rPr>
              <w:t>注：以上标明“必须提供”的材料属于复印件的扫描件的，必须加盖供应商公章，否则响应文件按无效响应处理。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12.1.3</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b/>
                <w:bCs/>
                <w:szCs w:val="21"/>
                <w:highlight w:val="none"/>
              </w:rPr>
              <w:t>报价文件组成</w:t>
            </w:r>
          </w:p>
        </w:tc>
        <w:tc>
          <w:tcPr>
            <w:tcW w:w="6869" w:type="dxa"/>
            <w:vAlign w:val="center"/>
          </w:tcPr>
          <w:p>
            <w:pPr>
              <w:spacing w:line="360" w:lineRule="auto"/>
              <w:jc w:val="left"/>
              <w:rPr>
                <w:rFonts w:ascii="宋体" w:hAnsi="宋体" w:cs="宋体"/>
                <w:szCs w:val="21"/>
                <w:highlight w:val="none"/>
              </w:rPr>
            </w:pPr>
            <w:r>
              <w:rPr>
                <w:rFonts w:hint="eastAsia" w:ascii="宋体" w:hAnsi="宋体" w:cs="宋体"/>
                <w:szCs w:val="21"/>
                <w:highlight w:val="none"/>
              </w:rPr>
              <w:t>1.响应函；</w:t>
            </w:r>
            <w:r>
              <w:rPr>
                <w:rFonts w:hint="eastAsia" w:ascii="宋体" w:hAnsi="宋体" w:cs="宋体"/>
                <w:b/>
                <w:szCs w:val="21"/>
                <w:highlight w:val="none"/>
              </w:rPr>
              <w:t>（必须提供，否则响应文件按无效响应处理）</w:t>
            </w:r>
          </w:p>
          <w:p>
            <w:pPr>
              <w:spacing w:line="360" w:lineRule="auto"/>
              <w:rPr>
                <w:rFonts w:ascii="宋体" w:hAnsi="宋体" w:cs="宋体"/>
                <w:szCs w:val="21"/>
                <w:highlight w:val="none"/>
              </w:rPr>
            </w:pPr>
            <w:r>
              <w:rPr>
                <w:rFonts w:hint="eastAsia" w:ascii="宋体" w:hAnsi="宋体" w:cs="宋体"/>
                <w:szCs w:val="21"/>
                <w:highlight w:val="none"/>
              </w:rPr>
              <w:t>2.响应报价表；（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3.供应商针对报价需要说明的其他文件和说明。（</w:t>
            </w:r>
            <w:r>
              <w:rPr>
                <w:rFonts w:hint="eastAsia" w:ascii="宋体" w:hAnsi="宋体" w:cs="宋体"/>
                <w:b/>
                <w:bCs/>
                <w:szCs w:val="21"/>
                <w:highlight w:val="none"/>
              </w:rPr>
              <w:t>如有，请提供</w:t>
            </w:r>
            <w:r>
              <w:rPr>
                <w:rFonts w:hint="eastAsia" w:ascii="宋体" w:hAnsi="宋体" w:cs="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12.2</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响应文件电子版要求</w:t>
            </w:r>
          </w:p>
        </w:tc>
        <w:tc>
          <w:tcPr>
            <w:tcW w:w="6869" w:type="dxa"/>
            <w:vAlign w:val="center"/>
          </w:tcPr>
          <w:p>
            <w:pPr>
              <w:snapToGrid w:val="0"/>
              <w:spacing w:line="360" w:lineRule="auto"/>
              <w:jc w:val="left"/>
              <w:rPr>
                <w:rFonts w:ascii="宋体" w:hAnsi="宋体" w:cs="宋体"/>
                <w:szCs w:val="21"/>
                <w:highlight w:val="none"/>
              </w:rPr>
            </w:pPr>
            <w:r>
              <w:rPr>
                <w:rFonts w:hint="eastAsia" w:ascii="宋体" w:hAnsi="宋体" w:cs="宋体"/>
                <w:szCs w:val="21"/>
                <w:highlight w:val="none"/>
              </w:rPr>
              <w:t>1.响应文件电子版要求：按照本竞争性磋商文件“第五章 响应文件格式”编写，第五章未附格式的，由供应商自行拟定。</w:t>
            </w:r>
          </w:p>
          <w:p>
            <w:pPr>
              <w:snapToGrid w:val="0"/>
              <w:spacing w:line="360" w:lineRule="auto"/>
              <w:jc w:val="left"/>
              <w:rPr>
                <w:rFonts w:ascii="宋体" w:hAnsi="宋体" w:cs="宋体"/>
                <w:szCs w:val="21"/>
                <w:highlight w:val="none"/>
              </w:rPr>
            </w:pPr>
            <w:r>
              <w:rPr>
                <w:rFonts w:hint="eastAsia" w:ascii="宋体" w:hAnsi="宋体" w:cs="宋体"/>
                <w:szCs w:val="21"/>
                <w:highlight w:val="none"/>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15.2</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响应报价要求</w:t>
            </w:r>
          </w:p>
        </w:tc>
        <w:tc>
          <w:tcPr>
            <w:tcW w:w="6869" w:type="dxa"/>
            <w:vAlign w:val="center"/>
          </w:tcPr>
          <w:p>
            <w:pPr>
              <w:snapToGrid w:val="0"/>
              <w:spacing w:line="360" w:lineRule="auto"/>
              <w:jc w:val="left"/>
              <w:rPr>
                <w:rFonts w:ascii="宋体" w:hAnsi="宋体" w:cs="宋体"/>
                <w:highlight w:val="none"/>
              </w:rPr>
            </w:pPr>
            <w:r>
              <w:rPr>
                <w:rFonts w:hint="eastAsia" w:ascii="宋体" w:hAnsi="宋体" w:cs="宋体"/>
                <w:highlight w:val="none"/>
              </w:rPr>
              <w:t>响应报价必须包含满足本次竞标全部采购需求所应提供的服务，以及伴随的货物和工程（如有）的价格；包含竞标服务、货物、工程的成本、运输（含保险）、安装（如有）、调试、检验、技术服务、培训、</w:t>
            </w:r>
            <w:r>
              <w:rPr>
                <w:rFonts w:hint="eastAsia" w:ascii="宋体" w:hAnsi="宋体" w:cs="宋体"/>
                <w:bCs/>
                <w:szCs w:val="21"/>
                <w:highlight w:val="none"/>
              </w:rPr>
              <w:t>验收、</w:t>
            </w:r>
            <w:r>
              <w:rPr>
                <w:rFonts w:hint="eastAsia" w:ascii="宋体" w:hAnsi="宋体" w:cs="宋体"/>
                <w:highlight w:val="none"/>
              </w:rPr>
              <w:t>税费等所有费用。（采购需求另有约定的，从其约定。）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16.2</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竞标有效期</w:t>
            </w:r>
          </w:p>
        </w:tc>
        <w:tc>
          <w:tcPr>
            <w:tcW w:w="6869" w:type="dxa"/>
            <w:vAlign w:val="center"/>
          </w:tcPr>
          <w:p>
            <w:pPr>
              <w:pStyle w:val="12"/>
              <w:widowControl w:val="0"/>
              <w:tabs>
                <w:tab w:val="clear" w:pos="454"/>
              </w:tabs>
              <w:snapToGrid w:val="0"/>
              <w:spacing w:afterLines="0" w:line="360" w:lineRule="auto"/>
              <w:ind w:left="283" w:hanging="283" w:hangingChars="135"/>
              <w:rPr>
                <w:rFonts w:ascii="宋体" w:hAnsi="宋体" w:cs="宋体"/>
                <w:kern w:val="2"/>
                <w:sz w:val="21"/>
                <w:szCs w:val="21"/>
                <w:highlight w:val="none"/>
              </w:rPr>
            </w:pPr>
            <w:r>
              <w:rPr>
                <w:rFonts w:hint="eastAsia" w:ascii="宋体" w:hAnsi="宋体" w:cs="宋体"/>
                <w:kern w:val="2"/>
                <w:sz w:val="21"/>
                <w:szCs w:val="21"/>
                <w:highlight w:val="none"/>
              </w:rPr>
              <w:t>自首次响应文件提交截止之日起</w:t>
            </w:r>
            <w:r>
              <w:rPr>
                <w:rFonts w:hint="eastAsia" w:ascii="宋体" w:hAnsi="宋体" w:cs="宋体"/>
                <w:kern w:val="2"/>
                <w:sz w:val="21"/>
                <w:szCs w:val="21"/>
                <w:highlight w:val="none"/>
                <w:u w:val="single"/>
              </w:rPr>
              <w:t xml:space="preserve"> 60 </w:t>
            </w:r>
            <w:r>
              <w:rPr>
                <w:rFonts w:hint="eastAsia" w:ascii="宋体" w:hAnsi="宋体" w:cs="宋体"/>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17.1</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磋商保证金</w:t>
            </w:r>
          </w:p>
        </w:tc>
        <w:tc>
          <w:tcPr>
            <w:tcW w:w="6869" w:type="dxa"/>
            <w:vAlign w:val="center"/>
          </w:tcPr>
          <w:p>
            <w:pPr>
              <w:snapToGrid w:val="0"/>
              <w:spacing w:line="360" w:lineRule="auto"/>
              <w:rPr>
                <w:rFonts w:ascii="宋体" w:hAnsi="宋体" w:cs="宋体"/>
                <w:b/>
                <w:bCs/>
                <w:szCs w:val="21"/>
                <w:highlight w:val="none"/>
              </w:rPr>
            </w:pPr>
            <w:r>
              <w:rPr>
                <w:rFonts w:hint="eastAsia" w:ascii="宋体" w:hAnsi="宋体" w:cs="宋体"/>
                <w:b/>
                <w:bCs/>
                <w:szCs w:val="21"/>
                <w:highlight w:val="none"/>
              </w:rPr>
              <w:t>本项目需要缴</w:t>
            </w:r>
            <w:r>
              <w:rPr>
                <w:rFonts w:hint="eastAsia" w:ascii="宋体" w:hAnsi="宋体" w:cs="宋体"/>
                <w:b/>
                <w:bCs/>
                <w:kern w:val="0"/>
                <w:szCs w:val="21"/>
                <w:highlight w:val="none"/>
              </w:rPr>
              <w:t>纳</w:t>
            </w:r>
            <w:r>
              <w:rPr>
                <w:rFonts w:hint="eastAsia" w:ascii="宋体" w:hAnsi="宋体" w:cs="宋体"/>
                <w:b/>
                <w:bCs/>
                <w:szCs w:val="21"/>
                <w:highlight w:val="none"/>
              </w:rPr>
              <w:t>磋商保证金，相关要求如下：</w:t>
            </w:r>
          </w:p>
          <w:p>
            <w:pPr>
              <w:snapToGrid w:val="0"/>
              <w:spacing w:line="360" w:lineRule="auto"/>
              <w:rPr>
                <w:rFonts w:ascii="宋体" w:hAnsi="宋体" w:cs="宋体"/>
                <w:szCs w:val="21"/>
                <w:highlight w:val="none"/>
              </w:rPr>
            </w:pPr>
            <w:r>
              <w:rPr>
                <w:rFonts w:hint="eastAsia" w:ascii="宋体" w:hAnsi="宋体" w:cs="宋体"/>
                <w:szCs w:val="21"/>
                <w:highlight w:val="none"/>
              </w:rPr>
              <w:t>1.磋商保证金的缴纳方式：详见竞争性磋商公告。</w:t>
            </w:r>
          </w:p>
          <w:p>
            <w:pPr>
              <w:snapToGrid w:val="0"/>
              <w:spacing w:line="360" w:lineRule="auto"/>
              <w:rPr>
                <w:rFonts w:ascii="宋体" w:hAnsi="宋体" w:cs="宋体"/>
                <w:szCs w:val="21"/>
                <w:highlight w:val="none"/>
              </w:rPr>
            </w:pPr>
            <w:r>
              <w:rPr>
                <w:rFonts w:hint="eastAsia" w:ascii="宋体" w:hAnsi="宋体" w:cs="宋体"/>
                <w:szCs w:val="21"/>
                <w:highlight w:val="none"/>
              </w:rPr>
              <w:t>2.磋商保证金的金额：详见竞争性磋商公告。</w:t>
            </w:r>
          </w:p>
          <w:p>
            <w:pPr>
              <w:snapToGrid w:val="0"/>
              <w:spacing w:line="360" w:lineRule="auto"/>
              <w:rPr>
                <w:rFonts w:ascii="宋体" w:hAnsi="宋体" w:cs="宋体"/>
                <w:szCs w:val="21"/>
                <w:highlight w:val="none"/>
              </w:rPr>
            </w:pPr>
            <w:r>
              <w:rPr>
                <w:rFonts w:hint="eastAsia" w:ascii="宋体" w:hAnsi="宋体" w:cs="宋体"/>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szCs w:val="21"/>
                <w:highlight w:val="none"/>
              </w:rPr>
              <w:t>否则响应文件按无效响应处理</w:t>
            </w:r>
            <w:r>
              <w:rPr>
                <w:rFonts w:hint="eastAsia" w:ascii="宋体" w:hAnsi="宋体" w:cs="宋体"/>
                <w:szCs w:val="21"/>
                <w:highlight w:val="none"/>
              </w:rPr>
              <w:t>。</w:t>
            </w:r>
          </w:p>
          <w:p>
            <w:pPr>
              <w:snapToGrid w:val="0"/>
              <w:spacing w:line="360" w:lineRule="auto"/>
              <w:rPr>
                <w:rFonts w:ascii="宋体" w:hAnsi="宋体" w:cs="宋体"/>
                <w:szCs w:val="21"/>
                <w:highlight w:val="none"/>
              </w:rPr>
            </w:pPr>
            <w:r>
              <w:rPr>
                <w:rFonts w:hint="eastAsia" w:ascii="宋体" w:hAnsi="宋体" w:cs="宋体"/>
                <w:szCs w:val="21"/>
                <w:highlight w:val="none"/>
              </w:rPr>
              <w:t>4.磋商保证金采用支票、汇票、本票或者金融机构、担保机构出具的保函等缴纳方式的，供应商应将支票、汇票、本票或者金融机构、担保机构出具的保函等的复印件</w:t>
            </w:r>
            <w:r>
              <w:rPr>
                <w:rFonts w:hint="eastAsia" w:ascii="宋体" w:hAnsi="宋体" w:cs="宋体"/>
                <w:highlight w:val="none"/>
              </w:rPr>
              <w:t>或者金融机构、担保机构出具的电子保函</w:t>
            </w:r>
            <w:r>
              <w:rPr>
                <w:rFonts w:hint="eastAsia" w:ascii="宋体" w:hAnsi="宋体" w:cs="宋体"/>
                <w:szCs w:val="21"/>
                <w:highlight w:val="none"/>
              </w:rPr>
              <w:t>作为磋商保证金提交凭证，放置于商务文件中，</w:t>
            </w:r>
            <w:r>
              <w:rPr>
                <w:rFonts w:hint="eastAsia" w:ascii="宋体" w:hAnsi="宋体" w:cs="宋体"/>
                <w:b/>
                <w:szCs w:val="21"/>
                <w:highlight w:val="none"/>
              </w:rPr>
              <w:t>否则响应文件按无效响应处理</w:t>
            </w:r>
            <w:r>
              <w:rPr>
                <w:rFonts w:hint="eastAsia" w:ascii="宋体" w:hAnsi="宋体" w:cs="宋体"/>
                <w:szCs w:val="21"/>
                <w:highlight w:val="none"/>
              </w:rPr>
              <w:t>。供应商必须在</w:t>
            </w:r>
            <w:r>
              <w:rPr>
                <w:rFonts w:hint="eastAsia" w:ascii="宋体" w:hAnsi="宋体" w:cs="宋体"/>
                <w:kern w:val="0"/>
                <w:szCs w:val="21"/>
                <w:highlight w:val="none"/>
              </w:rPr>
              <w:t>首次响应文件提交截止时间前</w:t>
            </w:r>
            <w:r>
              <w:rPr>
                <w:rFonts w:hint="eastAsia" w:ascii="宋体" w:hAnsi="宋体" w:cs="宋体"/>
                <w:szCs w:val="21"/>
                <w:highlight w:val="none"/>
              </w:rPr>
              <w:t>将支票、汇票、本票或者金融机构、担保机构出具的保函等原件（</w:t>
            </w:r>
            <w:r>
              <w:rPr>
                <w:rFonts w:hint="eastAsia" w:ascii="宋体" w:hAnsi="宋体" w:cs="宋体"/>
                <w:highlight w:val="none"/>
              </w:rPr>
              <w:t>电子保函除外</w:t>
            </w:r>
            <w:r>
              <w:rPr>
                <w:rFonts w:hint="eastAsia" w:ascii="宋体" w:hAnsi="宋体" w:cs="宋体"/>
                <w:szCs w:val="21"/>
                <w:highlight w:val="none"/>
              </w:rPr>
              <w:t>）提交给采购代理机构，由采购代理机构向供应商出具回执，并妥善保管。</w:t>
            </w:r>
          </w:p>
          <w:p>
            <w:pPr>
              <w:snapToGrid w:val="0"/>
              <w:spacing w:line="360" w:lineRule="auto"/>
              <w:rPr>
                <w:rFonts w:ascii="宋体" w:hAnsi="宋体" w:cs="宋体"/>
                <w:szCs w:val="21"/>
                <w:highlight w:val="none"/>
              </w:rPr>
            </w:pPr>
            <w:r>
              <w:rPr>
                <w:rFonts w:hint="eastAsia" w:ascii="宋体" w:hAnsi="宋体" w:cs="宋体"/>
                <w:szCs w:val="21"/>
                <w:highlight w:val="none"/>
              </w:rPr>
              <w:t>5.磋商保证金指定账户：详见竞争性磋商公告。</w:t>
            </w:r>
          </w:p>
          <w:p>
            <w:pPr>
              <w:snapToGrid w:val="0"/>
              <w:spacing w:line="360" w:lineRule="auto"/>
              <w:rPr>
                <w:rFonts w:ascii="宋体" w:hAnsi="宋体" w:cs="宋体"/>
                <w:b/>
                <w:szCs w:val="21"/>
                <w:highlight w:val="none"/>
              </w:rPr>
            </w:pPr>
            <w:r>
              <w:rPr>
                <w:rFonts w:hint="eastAsia" w:ascii="宋体" w:hAnsi="宋体" w:cs="宋体"/>
                <w:szCs w:val="21"/>
                <w:highlight w:val="none"/>
              </w:rPr>
              <w:t>6.供应商为联合体的，可以由联合体中的一方或者多方共同缴纳磋商保证金，其缴纳的磋商保证金对联合体各方均具有约束力。</w:t>
            </w:r>
          </w:p>
          <w:p>
            <w:pPr>
              <w:snapToGrid w:val="0"/>
              <w:spacing w:line="360" w:lineRule="auto"/>
              <w:rPr>
                <w:rFonts w:ascii="宋体" w:hAnsi="宋体" w:cs="宋体"/>
                <w:b/>
                <w:szCs w:val="21"/>
                <w:highlight w:val="none"/>
              </w:rPr>
            </w:pPr>
            <w:r>
              <w:rPr>
                <w:rFonts w:hint="eastAsia" w:ascii="宋体" w:hAnsi="宋体" w:cs="宋体"/>
                <w:b/>
                <w:szCs w:val="21"/>
                <w:highlight w:val="none"/>
              </w:rPr>
              <w:t xml:space="preserve">备注： </w:t>
            </w:r>
          </w:p>
          <w:p>
            <w:pPr>
              <w:snapToGrid w:val="0"/>
              <w:spacing w:line="360" w:lineRule="auto"/>
              <w:rPr>
                <w:rFonts w:ascii="宋体" w:hAnsi="宋体" w:cs="宋体"/>
                <w:b/>
                <w:szCs w:val="21"/>
                <w:highlight w:val="none"/>
              </w:rPr>
            </w:pPr>
            <w:r>
              <w:rPr>
                <w:rFonts w:hint="eastAsia" w:ascii="宋体" w:hAnsi="宋体" w:cs="宋体"/>
                <w:b/>
                <w:szCs w:val="21"/>
                <w:highlight w:val="none"/>
              </w:rPr>
              <w:t>1.磋商保证金在首次响应文件提交截止时间后提交的，或者不按规定缴纳方式缴纳的，或者未足额缴纳的（包含保函额度不足的），视为无效磋商保证金。</w:t>
            </w:r>
          </w:p>
          <w:p>
            <w:pPr>
              <w:snapToGrid w:val="0"/>
              <w:spacing w:line="360" w:lineRule="auto"/>
              <w:rPr>
                <w:rFonts w:ascii="宋体" w:hAnsi="宋体" w:cs="宋体"/>
                <w:b/>
                <w:szCs w:val="21"/>
                <w:highlight w:val="none"/>
              </w:rPr>
            </w:pPr>
            <w:r>
              <w:rPr>
                <w:rFonts w:hint="eastAsia" w:ascii="宋体" w:hAnsi="宋体" w:cs="宋体"/>
                <w:b/>
                <w:szCs w:val="21"/>
                <w:highlight w:val="none"/>
              </w:rPr>
              <w:t>2.供应商采用现金方式或者从个人账户（自然人竞标除外）转出的磋商保证金，视为无效磋商保证金。</w:t>
            </w:r>
          </w:p>
          <w:p>
            <w:pPr>
              <w:snapToGrid w:val="0"/>
              <w:spacing w:line="360" w:lineRule="auto"/>
              <w:rPr>
                <w:rFonts w:ascii="宋体" w:hAnsi="宋体" w:cs="宋体"/>
                <w:b/>
                <w:szCs w:val="21"/>
                <w:highlight w:val="none"/>
              </w:rPr>
            </w:pPr>
            <w:r>
              <w:rPr>
                <w:rFonts w:hint="eastAsia" w:ascii="宋体" w:hAnsi="宋体" w:cs="宋体"/>
                <w:b/>
                <w:szCs w:val="21"/>
                <w:highlight w:val="none"/>
              </w:rPr>
              <w:t>3.支票、汇票或者本票出现无效或者背书情形的，视为无效磋商保证金。</w:t>
            </w:r>
          </w:p>
          <w:p>
            <w:pPr>
              <w:snapToGrid w:val="0"/>
              <w:spacing w:line="360" w:lineRule="auto"/>
              <w:rPr>
                <w:rFonts w:ascii="宋体" w:hAnsi="宋体" w:cs="宋体"/>
                <w:b/>
                <w:szCs w:val="21"/>
                <w:highlight w:val="none"/>
              </w:rPr>
            </w:pPr>
            <w:r>
              <w:rPr>
                <w:rFonts w:hint="eastAsia" w:ascii="宋体" w:hAnsi="宋体" w:cs="宋体"/>
                <w:b/>
                <w:szCs w:val="21"/>
                <w:highlight w:val="none"/>
              </w:rPr>
              <w:t>4.保函有效期低于竞标有效期的，视为无效磋商保证金。</w:t>
            </w:r>
          </w:p>
          <w:p>
            <w:pPr>
              <w:autoSpaceDE w:val="0"/>
              <w:autoSpaceDN w:val="0"/>
              <w:snapToGrid w:val="0"/>
              <w:spacing w:line="360" w:lineRule="auto"/>
              <w:textAlignment w:val="bottom"/>
              <w:rPr>
                <w:rFonts w:ascii="宋体" w:hAnsi="宋体" w:cs="宋体"/>
                <w:szCs w:val="21"/>
                <w:highlight w:val="none"/>
              </w:rPr>
            </w:pPr>
            <w:r>
              <w:rPr>
                <w:rFonts w:hint="eastAsia" w:ascii="宋体" w:hAnsi="宋体" w:cs="宋体"/>
                <w:b/>
                <w:szCs w:val="21"/>
                <w:highlight w:val="none"/>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963"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20.1</w:t>
            </w:r>
          </w:p>
        </w:tc>
        <w:tc>
          <w:tcPr>
            <w:tcW w:w="1937" w:type="dxa"/>
            <w:vAlign w:val="center"/>
          </w:tcPr>
          <w:p>
            <w:pPr>
              <w:jc w:val="center"/>
              <w:rPr>
                <w:rFonts w:ascii="宋体" w:hAnsi="宋体" w:cs="宋体"/>
                <w:szCs w:val="21"/>
                <w:highlight w:val="none"/>
              </w:rPr>
            </w:pPr>
            <w:r>
              <w:rPr>
                <w:rFonts w:hint="eastAsia" w:ascii="宋体" w:hAnsi="宋体" w:cs="宋体"/>
                <w:szCs w:val="21"/>
                <w:highlight w:val="none"/>
              </w:rPr>
              <w:t>首次响应文件提交截止时间</w:t>
            </w:r>
          </w:p>
        </w:tc>
        <w:tc>
          <w:tcPr>
            <w:tcW w:w="6869" w:type="dxa"/>
            <w:vAlign w:val="center"/>
          </w:tcPr>
          <w:p>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pPr>
              <w:spacing w:line="360" w:lineRule="auto"/>
              <w:jc w:val="center"/>
              <w:rPr>
                <w:rFonts w:ascii="宋体" w:hAnsi="宋体" w:cs="宋体"/>
                <w:szCs w:val="21"/>
                <w:highlight w:val="none"/>
              </w:rPr>
            </w:pP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首次响应文件开启时间</w:t>
            </w:r>
          </w:p>
        </w:tc>
        <w:tc>
          <w:tcPr>
            <w:tcW w:w="6869" w:type="dxa"/>
            <w:vAlign w:val="center"/>
          </w:tcPr>
          <w:p>
            <w:pPr>
              <w:snapToGrid w:val="0"/>
              <w:spacing w:line="360" w:lineRule="auto"/>
              <w:jc w:val="left"/>
              <w:rPr>
                <w:rFonts w:ascii="宋体" w:hAnsi="宋体" w:cs="宋体"/>
                <w:szCs w:val="21"/>
                <w:highlight w:val="none"/>
              </w:rPr>
            </w:pPr>
            <w:r>
              <w:rPr>
                <w:rFonts w:hint="eastAsia" w:ascii="宋体" w:hAnsi="宋体" w:cs="宋体"/>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pPr>
              <w:spacing w:line="360" w:lineRule="auto"/>
              <w:jc w:val="center"/>
              <w:rPr>
                <w:rFonts w:ascii="宋体" w:hAnsi="宋体" w:cs="宋体"/>
                <w:szCs w:val="21"/>
                <w:highlight w:val="none"/>
              </w:rPr>
            </w:pP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首次响应文件提交地点</w:t>
            </w:r>
          </w:p>
        </w:tc>
        <w:tc>
          <w:tcPr>
            <w:tcW w:w="6869" w:type="dxa"/>
            <w:vAlign w:val="center"/>
          </w:tcPr>
          <w:p>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20.6</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备份响应文件</w:t>
            </w:r>
          </w:p>
        </w:tc>
        <w:tc>
          <w:tcPr>
            <w:tcW w:w="6869" w:type="dxa"/>
            <w:vAlign w:val="center"/>
          </w:tcPr>
          <w:p>
            <w:pPr>
              <w:snapToGrid w:val="0"/>
              <w:spacing w:line="360" w:lineRule="auto"/>
              <w:jc w:val="left"/>
              <w:rPr>
                <w:rFonts w:ascii="宋体" w:hAnsi="宋体" w:cs="宋体"/>
                <w:szCs w:val="21"/>
                <w:highlight w:val="none"/>
              </w:rPr>
            </w:pPr>
            <w:r>
              <w:rPr>
                <w:rFonts w:hint="eastAsia" w:ascii="宋体" w:hAnsi="宋体" w:cs="宋体"/>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26</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负偏离要求</w:t>
            </w:r>
          </w:p>
        </w:tc>
        <w:tc>
          <w:tcPr>
            <w:tcW w:w="6869"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商务条款中允许负偏离的条款数为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pPr>
              <w:snapToGrid w:val="0"/>
              <w:spacing w:line="360" w:lineRule="auto"/>
              <w:rPr>
                <w:rFonts w:ascii="宋体" w:hAnsi="宋体" w:cs="宋体"/>
                <w:szCs w:val="21"/>
                <w:highlight w:val="none"/>
              </w:rPr>
            </w:pPr>
            <w:r>
              <w:rPr>
                <w:rFonts w:hint="eastAsia" w:ascii="宋体" w:hAnsi="宋体" w:cs="宋体"/>
                <w:szCs w:val="21"/>
                <w:highlight w:val="none"/>
              </w:rPr>
              <w:t>技术要求中允许负偏离的条款数为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pPr>
              <w:spacing w:line="360" w:lineRule="auto"/>
              <w:jc w:val="center"/>
              <w:rPr>
                <w:rFonts w:ascii="宋体" w:hAnsi="宋体" w:cs="宋体"/>
                <w:szCs w:val="21"/>
                <w:highlight w:val="none"/>
              </w:rPr>
            </w:pPr>
          </w:p>
        </w:tc>
        <w:tc>
          <w:tcPr>
            <w:tcW w:w="1937" w:type="dxa"/>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评审方法</w:t>
            </w:r>
          </w:p>
        </w:tc>
        <w:tc>
          <w:tcPr>
            <w:tcW w:w="6869" w:type="dxa"/>
            <w:vAlign w:val="center"/>
          </w:tcPr>
          <w:p>
            <w:pPr>
              <w:pStyle w:val="14"/>
              <w:spacing w:line="360" w:lineRule="auto"/>
              <w:rPr>
                <w:rFonts w:ascii="宋体" w:hAnsi="宋体" w:cs="宋体"/>
                <w:szCs w:val="21"/>
                <w:highlight w:val="none"/>
              </w:rPr>
            </w:pPr>
            <w:r>
              <w:rPr>
                <w:rFonts w:hint="eastAsia" w:ascii="宋体" w:hAnsi="宋体" w:cs="宋体"/>
                <w:highlight w:val="none"/>
              </w:rPr>
              <w:t>本项目采用综合评分法。综合评分法是指响应文件满足竞争性磋商文件全部实质性要求且按评审因素的量化指标评审得分最高的供应商为成交候选供应商的评审方法。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szCs w:val="21"/>
                <w:highlight w:val="none"/>
              </w:rPr>
            </w:pPr>
          </w:p>
        </w:tc>
        <w:tc>
          <w:tcPr>
            <w:tcW w:w="1937" w:type="dxa"/>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磋商的顺序</w:t>
            </w:r>
          </w:p>
        </w:tc>
        <w:tc>
          <w:tcPr>
            <w:tcW w:w="6869" w:type="dxa"/>
            <w:vAlign w:val="center"/>
          </w:tcPr>
          <w:p>
            <w:pPr>
              <w:pStyle w:val="14"/>
              <w:spacing w:line="360" w:lineRule="auto"/>
              <w:rPr>
                <w:rFonts w:ascii="宋体" w:hAnsi="宋体" w:cs="宋体"/>
                <w:szCs w:val="21"/>
                <w:highlight w:val="none"/>
              </w:rPr>
            </w:pPr>
            <w:r>
              <w:rPr>
                <w:rFonts w:hint="eastAsia" w:ascii="宋体" w:hAnsi="宋体" w:cs="宋体"/>
                <w:szCs w:val="21"/>
                <w:highlight w:val="none"/>
              </w:rPr>
              <w:t>如采用视频会议形式进行磋商，将按照提交首次响应文件的顺序，通知磋商时，若某供应商不在通知现场时，该供应商排序到最后磋商，按照签到的顺序由其下一位供应商先参与磋商。</w:t>
            </w:r>
          </w:p>
          <w:p>
            <w:pPr>
              <w:pStyle w:val="14"/>
              <w:spacing w:line="360" w:lineRule="auto"/>
              <w:rPr>
                <w:rFonts w:ascii="宋体" w:hAnsi="宋体" w:cs="宋体"/>
                <w:b/>
                <w:szCs w:val="21"/>
                <w:highlight w:val="none"/>
              </w:rPr>
            </w:pPr>
            <w:r>
              <w:rPr>
                <w:rFonts w:hint="eastAsia" w:ascii="宋体" w:hAnsi="宋体" w:cs="宋体"/>
                <w:b/>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28</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履约保证金</w:t>
            </w:r>
          </w:p>
        </w:tc>
        <w:tc>
          <w:tcPr>
            <w:tcW w:w="6869" w:type="dxa"/>
            <w:vAlign w:val="center"/>
          </w:tcPr>
          <w:p>
            <w:pPr>
              <w:autoSpaceDE w:val="0"/>
              <w:autoSpaceDN w:val="0"/>
              <w:snapToGrid w:val="0"/>
              <w:spacing w:line="360" w:lineRule="auto"/>
              <w:textAlignment w:val="bottom"/>
              <w:rPr>
                <w:rFonts w:ascii="宋体" w:hAnsi="宋体" w:cs="宋体"/>
                <w:szCs w:val="21"/>
                <w:highlight w:val="none"/>
              </w:rPr>
            </w:pPr>
            <w:r>
              <w:rPr>
                <w:rFonts w:hint="eastAsia" w:ascii="宋体" w:hAnsi="宋体" w:cs="宋体"/>
                <w:b/>
                <w:bCs/>
                <w:szCs w:val="21"/>
                <w:highlight w:val="none"/>
              </w:rPr>
              <w:t>本项目收取履约保证金</w:t>
            </w:r>
            <w:r>
              <w:rPr>
                <w:rFonts w:hint="eastAsia" w:ascii="宋体" w:hAnsi="宋体" w:cs="宋体"/>
                <w:szCs w:val="21"/>
                <w:highlight w:val="none"/>
              </w:rPr>
              <w:t>，具体规定如下：</w:t>
            </w:r>
          </w:p>
          <w:p>
            <w:pPr>
              <w:spacing w:line="360" w:lineRule="auto"/>
              <w:contextualSpacing/>
              <w:rPr>
                <w:rFonts w:ascii="宋体" w:hAnsi="宋体" w:cs="宋体"/>
                <w:szCs w:val="21"/>
                <w:highlight w:val="none"/>
              </w:rPr>
            </w:pPr>
            <w:r>
              <w:rPr>
                <w:rFonts w:hint="eastAsia" w:ascii="宋体" w:hAnsi="宋体" w:cs="宋体"/>
                <w:szCs w:val="21"/>
                <w:highlight w:val="none"/>
              </w:rPr>
              <w:t>履约保证金金额：按成交金额的</w:t>
            </w:r>
            <w:r>
              <w:rPr>
                <w:rFonts w:hint="eastAsia" w:ascii="宋体" w:hAnsi="宋体" w:cs="宋体"/>
                <w:szCs w:val="21"/>
                <w:highlight w:val="none"/>
                <w:u w:val="single"/>
              </w:rPr>
              <w:t xml:space="preserve">2 </w:t>
            </w:r>
            <w:r>
              <w:rPr>
                <w:rFonts w:hint="eastAsia" w:ascii="宋体" w:hAnsi="宋体" w:cs="宋体"/>
                <w:szCs w:val="21"/>
                <w:highlight w:val="none"/>
              </w:rPr>
              <w:t>%，</w:t>
            </w:r>
            <w:r>
              <w:rPr>
                <w:rFonts w:hint="eastAsia" w:ascii="宋体" w:hAnsi="宋体" w:cs="宋体"/>
                <w:highlight w:val="none"/>
              </w:rPr>
              <w:t>成交供应商在合同签订前支付到采购人指定账户</w:t>
            </w:r>
            <w:r>
              <w:rPr>
                <w:rFonts w:hint="eastAsia" w:ascii="宋体" w:hAnsi="宋体" w:cs="宋体"/>
                <w:szCs w:val="21"/>
                <w:highlight w:val="none"/>
              </w:rPr>
              <w:t>。</w:t>
            </w:r>
          </w:p>
          <w:p>
            <w:pPr>
              <w:spacing w:line="360" w:lineRule="auto"/>
              <w:contextualSpacing/>
              <w:rPr>
                <w:rFonts w:ascii="宋体" w:hAnsi="宋体" w:cs="宋体"/>
                <w:szCs w:val="21"/>
                <w:highlight w:val="none"/>
              </w:rPr>
            </w:pPr>
            <w:r>
              <w:rPr>
                <w:rFonts w:hint="eastAsia" w:ascii="宋体" w:hAnsi="宋体" w:cs="宋体"/>
                <w:szCs w:val="21"/>
                <w:highlight w:val="none"/>
              </w:rPr>
              <w:t>履约保证金提交方式：银行转账、支票、汇票、本票或者银行、保险机构出具的保函等非现金方式。</w:t>
            </w:r>
          </w:p>
          <w:p>
            <w:pPr>
              <w:spacing w:line="360" w:lineRule="auto"/>
              <w:contextualSpacing/>
              <w:rPr>
                <w:rFonts w:ascii="宋体" w:hAnsi="宋体" w:cs="宋体"/>
                <w:szCs w:val="21"/>
                <w:highlight w:val="none"/>
                <w:u w:val="single"/>
              </w:rPr>
            </w:pPr>
            <w:r>
              <w:rPr>
                <w:rFonts w:hint="eastAsia" w:ascii="宋体" w:hAnsi="宋体" w:cs="宋体"/>
                <w:szCs w:val="21"/>
                <w:highlight w:val="none"/>
              </w:rPr>
              <w:t>履约保证金退付方式、时间及条件：</w:t>
            </w:r>
            <w:r>
              <w:rPr>
                <w:rFonts w:hint="eastAsia" w:ascii="宋体" w:hAnsi="宋体" w:cs="宋体"/>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pPr>
              <w:spacing w:line="360" w:lineRule="auto"/>
              <w:contextualSpacing/>
              <w:rPr>
                <w:rFonts w:ascii="宋体" w:hAnsi="宋体" w:cs="宋体"/>
                <w:szCs w:val="21"/>
                <w:highlight w:val="none"/>
              </w:rPr>
            </w:pPr>
            <w:r>
              <w:rPr>
                <w:rFonts w:hint="eastAsia" w:ascii="宋体" w:hAnsi="宋体" w:cs="宋体"/>
                <w:szCs w:val="21"/>
                <w:highlight w:val="none"/>
              </w:rPr>
              <w:t>履约保证金指定账户：</w:t>
            </w:r>
          </w:p>
          <w:p>
            <w:pPr>
              <w:spacing w:line="360" w:lineRule="auto"/>
              <w:rPr>
                <w:rFonts w:ascii="宋体" w:hAnsi="宋体" w:cs="宋体"/>
                <w:szCs w:val="21"/>
                <w:highlight w:val="none"/>
                <w:u w:val="single"/>
              </w:rPr>
            </w:pPr>
            <w:r>
              <w:rPr>
                <w:rFonts w:hint="eastAsia" w:ascii="宋体" w:hAnsi="宋体" w:cs="宋体"/>
                <w:szCs w:val="21"/>
                <w:highlight w:val="none"/>
              </w:rPr>
              <w:t>开户名称：广西壮族自治区道路运输发展中心</w:t>
            </w:r>
          </w:p>
          <w:p>
            <w:pPr>
              <w:spacing w:line="360" w:lineRule="auto"/>
              <w:rPr>
                <w:rFonts w:ascii="宋体" w:hAnsi="宋体" w:cs="宋体"/>
                <w:szCs w:val="21"/>
                <w:highlight w:val="none"/>
                <w:u w:val="single"/>
              </w:rPr>
            </w:pPr>
            <w:r>
              <w:rPr>
                <w:rFonts w:hint="eastAsia" w:ascii="宋体" w:hAnsi="宋体" w:cs="宋体"/>
                <w:szCs w:val="21"/>
                <w:highlight w:val="none"/>
                <w:u w:val="single"/>
              </w:rPr>
              <w:t>银行账户：2102101109221017081</w:t>
            </w:r>
          </w:p>
          <w:p>
            <w:pPr>
              <w:spacing w:line="360" w:lineRule="auto"/>
              <w:rPr>
                <w:rFonts w:ascii="宋体" w:hAnsi="宋体" w:cs="宋体"/>
                <w:szCs w:val="21"/>
                <w:highlight w:val="none"/>
                <w:u w:val="single"/>
              </w:rPr>
            </w:pPr>
            <w:r>
              <w:rPr>
                <w:rFonts w:hint="eastAsia" w:ascii="宋体" w:hAnsi="宋体" w:cs="宋体"/>
                <w:szCs w:val="21"/>
                <w:highlight w:val="none"/>
                <w:u w:val="single"/>
              </w:rPr>
              <w:t>开户银行：工行南宁市公园支行</w:t>
            </w:r>
          </w:p>
          <w:p>
            <w:pPr>
              <w:spacing w:line="360" w:lineRule="auto"/>
              <w:rPr>
                <w:rFonts w:ascii="宋体" w:hAnsi="宋体" w:cs="宋体"/>
                <w:szCs w:val="21"/>
                <w:highlight w:val="none"/>
                <w:u w:val="single"/>
              </w:rPr>
            </w:pPr>
            <w:r>
              <w:rPr>
                <w:rFonts w:hint="eastAsia" w:ascii="宋体" w:hAnsi="宋体" w:cs="宋体"/>
                <w:szCs w:val="21"/>
                <w:highlight w:val="none"/>
                <w:u w:val="single"/>
              </w:rPr>
              <w:t>行号：102611010117</w:t>
            </w:r>
          </w:p>
          <w:p>
            <w:pPr>
              <w:spacing w:line="360" w:lineRule="auto"/>
              <w:rPr>
                <w:rFonts w:ascii="宋体" w:hAnsi="宋体" w:cs="宋体"/>
                <w:szCs w:val="21"/>
                <w:highlight w:val="none"/>
              </w:rPr>
            </w:pPr>
            <w:r>
              <w:rPr>
                <w:rFonts w:hint="eastAsia" w:ascii="宋体" w:hAnsi="宋体" w:cs="宋体"/>
                <w:szCs w:val="21"/>
                <w:highlight w:val="none"/>
              </w:rPr>
              <w:t>备注：</w:t>
            </w:r>
          </w:p>
          <w:p>
            <w:pPr>
              <w:spacing w:line="360" w:lineRule="auto"/>
              <w:rPr>
                <w:rFonts w:ascii="宋体" w:hAnsi="宋体" w:cs="宋体"/>
                <w:b/>
                <w:szCs w:val="21"/>
                <w:highlight w:val="none"/>
              </w:rPr>
            </w:pPr>
            <w:r>
              <w:rPr>
                <w:rFonts w:hint="eastAsia" w:ascii="宋体" w:hAnsi="宋体" w:cs="宋体"/>
                <w:b/>
                <w:szCs w:val="21"/>
                <w:highlight w:val="none"/>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pPr>
              <w:spacing w:line="360" w:lineRule="auto"/>
              <w:rPr>
                <w:rFonts w:ascii="宋体" w:hAnsi="宋体" w:cs="宋体"/>
                <w:b/>
                <w:szCs w:val="21"/>
                <w:highlight w:val="none"/>
              </w:rPr>
            </w:pPr>
            <w:r>
              <w:rPr>
                <w:rFonts w:hint="eastAsia" w:ascii="宋体" w:hAnsi="宋体" w:cs="宋体"/>
                <w:b/>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spacing w:line="360" w:lineRule="auto"/>
              <w:rPr>
                <w:rFonts w:ascii="宋体" w:hAnsi="宋体" w:cs="宋体"/>
                <w:b/>
                <w:szCs w:val="21"/>
                <w:highlight w:val="none"/>
              </w:rPr>
            </w:pPr>
            <w:r>
              <w:rPr>
                <w:rFonts w:hint="eastAsia" w:ascii="宋体" w:hAnsi="宋体" w:cs="宋体"/>
                <w:b/>
                <w:szCs w:val="21"/>
                <w:highlight w:val="none"/>
              </w:rPr>
              <w:t>3.采用金融、担保机构出具保函的，必须为无条件保函，否则视为未按规定提交履约保证金。开具银行保函的银行，应是具有办理相关业务资格的银行业法人及分支机构。办理保证保险的保险公司，应是经银保监会批准可以经营保证保险业务的保险公司及分支机构。开具担保保函的工程担保公司应是具有金融监管机构颁发的担保业务经营许可证。</w:t>
            </w:r>
          </w:p>
          <w:p>
            <w:pPr>
              <w:spacing w:line="360" w:lineRule="auto"/>
              <w:rPr>
                <w:rFonts w:ascii="宋体" w:hAnsi="宋体" w:cs="宋体"/>
                <w:szCs w:val="21"/>
                <w:highlight w:val="none"/>
              </w:rPr>
            </w:pPr>
            <w:r>
              <w:rPr>
                <w:rFonts w:hint="eastAsia" w:ascii="宋体" w:hAnsi="宋体" w:cs="宋体"/>
                <w:b/>
                <w:szCs w:val="21"/>
                <w:highlight w:val="none"/>
              </w:rPr>
              <w:t xml:space="preserve">4.供应商为联合体的，可由联合体任意一方或者联合体各方共同提交的履约保证金，视为有效履约保证金。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29.5</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签订合同携带的材料</w:t>
            </w:r>
          </w:p>
        </w:tc>
        <w:tc>
          <w:tcPr>
            <w:tcW w:w="6869" w:type="dxa"/>
            <w:vAlign w:val="center"/>
          </w:tcPr>
          <w:p>
            <w:pPr>
              <w:autoSpaceDE w:val="0"/>
              <w:autoSpaceDN w:val="0"/>
              <w:snapToGrid w:val="0"/>
              <w:spacing w:line="360" w:lineRule="auto"/>
              <w:textAlignment w:val="bottom"/>
              <w:rPr>
                <w:rFonts w:ascii="宋体" w:hAnsi="宋体" w:cs="宋体"/>
                <w:szCs w:val="21"/>
                <w:highlight w:val="none"/>
              </w:rPr>
            </w:pPr>
            <w:r>
              <w:rPr>
                <w:rFonts w:hint="eastAsia" w:ascii="宋体" w:hAnsi="宋体" w:cs="宋体"/>
                <w:szCs w:val="21"/>
                <w:highlight w:val="none"/>
              </w:rPr>
              <w:t>1、委托代理人负责签订合同的，须携带有效的法定代表人授权委托书及其委托代理人身份证原件等其他资格证件。</w:t>
            </w:r>
          </w:p>
          <w:p>
            <w:pPr>
              <w:autoSpaceDE w:val="0"/>
              <w:autoSpaceDN w:val="0"/>
              <w:snapToGrid w:val="0"/>
              <w:spacing w:line="360" w:lineRule="auto"/>
              <w:textAlignment w:val="bottom"/>
              <w:rPr>
                <w:rFonts w:ascii="宋体" w:hAnsi="宋体" w:cs="宋体"/>
                <w:szCs w:val="21"/>
                <w:highlight w:val="none"/>
              </w:rPr>
            </w:pPr>
            <w:r>
              <w:rPr>
                <w:rFonts w:hint="eastAsia" w:ascii="宋体" w:hAnsi="宋体" w:cs="宋体"/>
                <w:szCs w:val="21"/>
                <w:highlight w:val="none"/>
              </w:rPr>
              <w:t>2、法定代表人负责签订合同的，须携带法定代表人身份证明原件及身份证原件等其他证明材料。</w:t>
            </w:r>
          </w:p>
          <w:p>
            <w:pPr>
              <w:autoSpaceDE w:val="0"/>
              <w:autoSpaceDN w:val="0"/>
              <w:snapToGrid w:val="0"/>
              <w:spacing w:line="360" w:lineRule="auto"/>
              <w:textAlignment w:val="bottom"/>
              <w:rPr>
                <w:rFonts w:ascii="宋体" w:hAnsi="宋体" w:cs="宋体"/>
                <w:highlight w:val="none"/>
              </w:rPr>
            </w:pPr>
            <w:r>
              <w:rPr>
                <w:rFonts w:hint="eastAsia" w:ascii="宋体" w:hAnsi="宋体" w:cs="宋体"/>
                <w:szCs w:val="21"/>
                <w:highlight w:val="none"/>
              </w:rPr>
              <w:t>3、电子采购合同需要供应商通过有效CA证书进行电子签名与签章。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31.2</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接收质疑函方式</w:t>
            </w:r>
          </w:p>
        </w:tc>
        <w:tc>
          <w:tcPr>
            <w:tcW w:w="6869"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szCs w:val="21"/>
                <w:highlight w:val="none"/>
              </w:rPr>
            </w:pP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质疑联系部门及联系方式</w:t>
            </w:r>
          </w:p>
        </w:tc>
        <w:tc>
          <w:tcPr>
            <w:tcW w:w="6869" w:type="dxa"/>
            <w:vAlign w:val="center"/>
          </w:tcPr>
          <w:p>
            <w:pPr>
              <w:numPr>
                <w:ilvl w:val="0"/>
                <w:numId w:val="2"/>
              </w:numPr>
              <w:snapToGrid w:val="0"/>
              <w:spacing w:line="360" w:lineRule="auto"/>
              <w:rPr>
                <w:rFonts w:ascii="宋体" w:hAnsi="宋体" w:cs="宋体"/>
                <w:szCs w:val="21"/>
                <w:highlight w:val="none"/>
              </w:rPr>
            </w:pPr>
            <w:bookmarkStart w:id="71" w:name="PO_3000001868_PM031_3"/>
            <w:r>
              <w:rPr>
                <w:rFonts w:hint="eastAsia" w:ascii="宋体" w:hAnsi="宋体" w:cs="宋体"/>
                <w:szCs w:val="21"/>
                <w:highlight w:val="none"/>
              </w:rPr>
              <w:t>名称：</w:t>
            </w:r>
            <w:bookmarkEnd w:id="71"/>
            <w:r>
              <w:rPr>
                <w:rFonts w:hint="eastAsia" w:ascii="宋体" w:hAnsi="宋体" w:cs="宋体"/>
                <w:highlight w:val="none"/>
              </w:rPr>
              <w:t>广西壮族自治区道路运输发展中心</w:t>
            </w:r>
          </w:p>
          <w:p>
            <w:pPr>
              <w:snapToGrid w:val="0"/>
              <w:spacing w:line="360" w:lineRule="auto"/>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highlight w:val="none"/>
              </w:rPr>
              <w:t>0771-2115425</w:t>
            </w:r>
          </w:p>
          <w:p>
            <w:pPr>
              <w:snapToGrid w:val="0"/>
              <w:spacing w:line="360" w:lineRule="auto"/>
              <w:rPr>
                <w:rFonts w:ascii="宋体" w:hAnsi="宋体" w:cs="宋体"/>
                <w:szCs w:val="21"/>
                <w:highlight w:val="none"/>
              </w:rPr>
            </w:pPr>
            <w:r>
              <w:rPr>
                <w:rFonts w:hint="eastAsia" w:ascii="宋体" w:hAnsi="宋体" w:cs="宋体"/>
                <w:szCs w:val="21"/>
                <w:highlight w:val="none"/>
              </w:rPr>
              <w:t>通讯地址：南宁青秀区厢竹大道4号</w:t>
            </w:r>
          </w:p>
          <w:p>
            <w:pPr>
              <w:snapToGrid w:val="0"/>
              <w:spacing w:line="360" w:lineRule="auto"/>
              <w:rPr>
                <w:rFonts w:ascii="宋体" w:hAnsi="宋体" w:cs="宋体"/>
                <w:szCs w:val="21"/>
                <w:highlight w:val="none"/>
              </w:rPr>
            </w:pPr>
            <w:r>
              <w:rPr>
                <w:rFonts w:hint="eastAsia" w:ascii="宋体" w:hAnsi="宋体" w:cs="宋体"/>
                <w:szCs w:val="21"/>
                <w:highlight w:val="none"/>
              </w:rPr>
              <w:t>（2）名称：</w:t>
            </w:r>
            <w:r>
              <w:rPr>
                <w:rFonts w:hint="eastAsia" w:ascii="宋体" w:hAnsi="宋体" w:cs="宋体"/>
                <w:highlight w:val="none"/>
              </w:rPr>
              <w:t>广西建设工程机电设备招标中心有限公司</w:t>
            </w:r>
          </w:p>
          <w:p>
            <w:pPr>
              <w:snapToGrid w:val="0"/>
              <w:spacing w:line="360" w:lineRule="auto"/>
              <w:rPr>
                <w:rFonts w:ascii="宋体" w:hAnsi="宋体" w:cs="宋体"/>
                <w:highlight w:val="none"/>
              </w:rPr>
            </w:pPr>
            <w:r>
              <w:rPr>
                <w:rFonts w:hint="eastAsia" w:ascii="宋体" w:hAnsi="宋体" w:cs="宋体"/>
                <w:szCs w:val="21"/>
                <w:highlight w:val="none"/>
              </w:rPr>
              <w:t>联系地址：南宁市良庆区凯旋路15号南宁绿地中心5号楼6楼612</w:t>
            </w:r>
            <w:r>
              <w:rPr>
                <w:rFonts w:hint="eastAsia" w:ascii="宋体" w:hAnsi="宋体" w:cs="宋体"/>
                <w:highlight w:val="none"/>
              </w:rPr>
              <w:t>室</w:t>
            </w:r>
          </w:p>
          <w:p>
            <w:pPr>
              <w:snapToGrid w:val="0"/>
              <w:spacing w:line="360" w:lineRule="auto"/>
              <w:rPr>
                <w:rFonts w:ascii="宋体" w:hAnsi="宋体" w:cs="宋体"/>
                <w:szCs w:val="21"/>
                <w:highlight w:val="none"/>
              </w:rPr>
            </w:pPr>
            <w:r>
              <w:rPr>
                <w:rFonts w:hint="eastAsia" w:ascii="宋体" w:hAnsi="宋体" w:cs="宋体"/>
                <w:szCs w:val="21"/>
                <w:highlight w:val="none"/>
              </w:rPr>
              <w:t>联系电话：0771-2804614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63" w:type="dxa"/>
            <w:vMerge w:val="continue"/>
            <w:vAlign w:val="center"/>
          </w:tcPr>
          <w:p>
            <w:pPr>
              <w:spacing w:line="360" w:lineRule="auto"/>
              <w:jc w:val="center"/>
              <w:rPr>
                <w:rFonts w:ascii="宋体" w:hAnsi="宋体" w:cs="宋体"/>
                <w:szCs w:val="21"/>
                <w:highlight w:val="none"/>
              </w:rPr>
            </w:pPr>
          </w:p>
        </w:tc>
        <w:tc>
          <w:tcPr>
            <w:tcW w:w="1937" w:type="dxa"/>
            <w:vAlign w:val="center"/>
          </w:tcPr>
          <w:p>
            <w:pPr>
              <w:spacing w:line="360" w:lineRule="auto"/>
              <w:jc w:val="center"/>
              <w:rPr>
                <w:rFonts w:ascii="宋体" w:hAnsi="宋体" w:cs="宋体"/>
                <w:highlight w:val="none"/>
              </w:rPr>
            </w:pPr>
            <w:r>
              <w:rPr>
                <w:rFonts w:hint="eastAsia" w:ascii="宋体" w:hAnsi="宋体" w:cs="宋体"/>
                <w:highlight w:val="none"/>
              </w:rPr>
              <w:t>现场提交质疑办理业务</w:t>
            </w:r>
          </w:p>
          <w:p>
            <w:pPr>
              <w:spacing w:line="360" w:lineRule="auto"/>
              <w:jc w:val="center"/>
              <w:rPr>
                <w:rFonts w:ascii="宋体" w:hAnsi="宋体" w:cs="宋体"/>
                <w:szCs w:val="21"/>
                <w:highlight w:val="none"/>
              </w:rPr>
            </w:pPr>
            <w:r>
              <w:rPr>
                <w:rFonts w:hint="eastAsia" w:ascii="宋体" w:hAnsi="宋体" w:cs="宋体"/>
                <w:highlight w:val="none"/>
              </w:rPr>
              <w:t>时间</w:t>
            </w:r>
          </w:p>
        </w:tc>
        <w:tc>
          <w:tcPr>
            <w:tcW w:w="6869" w:type="dxa"/>
            <w:vAlign w:val="center"/>
          </w:tcPr>
          <w:p>
            <w:pPr>
              <w:snapToGrid w:val="0"/>
              <w:spacing w:line="360" w:lineRule="auto"/>
              <w:rPr>
                <w:rFonts w:ascii="宋体" w:hAnsi="宋体" w:cs="宋体"/>
                <w:szCs w:val="21"/>
                <w:highlight w:val="none"/>
              </w:rPr>
            </w:pPr>
            <w:r>
              <w:rPr>
                <w:rFonts w:hint="eastAsia" w:ascii="宋体" w:hAnsi="宋体" w:cs="宋体"/>
                <w:highlight w:val="none"/>
              </w:rPr>
              <w:t>质疑期内每个工作日（北京时间）上午8时00分到12时00分，下午15时00分到18时00分。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31.6</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受理投诉方式</w:t>
            </w:r>
          </w:p>
        </w:tc>
        <w:tc>
          <w:tcPr>
            <w:tcW w:w="6869" w:type="dxa"/>
            <w:vAlign w:val="center"/>
          </w:tcPr>
          <w:p>
            <w:pPr>
              <w:snapToGrid w:val="0"/>
              <w:spacing w:line="360" w:lineRule="auto"/>
              <w:rPr>
                <w:rFonts w:ascii="宋体" w:hAnsi="宋体" w:cs="宋体"/>
                <w:highlight w:val="none"/>
              </w:rPr>
            </w:pPr>
            <w:r>
              <w:rPr>
                <w:rFonts w:hint="eastAsia" w:ascii="宋体" w:hAnsi="宋体" w:cs="宋体"/>
                <w:highlight w:val="none"/>
              </w:rPr>
              <w:t>1、受理方式：纸质方式受理，投诉书正、副本（经过质疑的事项才可投诉）。</w:t>
            </w:r>
          </w:p>
          <w:p>
            <w:pPr>
              <w:snapToGrid w:val="0"/>
              <w:spacing w:line="360" w:lineRule="auto"/>
              <w:rPr>
                <w:rFonts w:ascii="宋体" w:hAnsi="宋体" w:cs="宋体"/>
                <w:highlight w:val="none"/>
              </w:rPr>
            </w:pPr>
            <w:r>
              <w:rPr>
                <w:rFonts w:hint="eastAsia" w:ascii="宋体" w:hAnsi="宋体" w:cs="宋体"/>
                <w:highlight w:val="none"/>
              </w:rPr>
              <w:t>2、通讯方式</w:t>
            </w:r>
          </w:p>
          <w:p>
            <w:pPr>
              <w:snapToGrid w:val="0"/>
              <w:spacing w:line="360" w:lineRule="auto"/>
              <w:rPr>
                <w:rFonts w:ascii="宋体" w:hAnsi="宋体" w:cs="宋体"/>
                <w:highlight w:val="none"/>
              </w:rPr>
            </w:pPr>
            <w:r>
              <w:rPr>
                <w:rFonts w:hint="eastAsia" w:ascii="宋体" w:hAnsi="宋体" w:cs="宋体"/>
                <w:highlight w:val="none"/>
              </w:rPr>
              <w:t xml:space="preserve">名称： 广西壮族自治区财政厅 </w:t>
            </w:r>
          </w:p>
          <w:p>
            <w:pPr>
              <w:snapToGrid w:val="0"/>
              <w:spacing w:line="360" w:lineRule="auto"/>
              <w:rPr>
                <w:rFonts w:ascii="宋体" w:hAnsi="宋体" w:cs="宋体"/>
                <w:highlight w:val="none"/>
              </w:rPr>
            </w:pPr>
            <w:r>
              <w:rPr>
                <w:rFonts w:hint="eastAsia" w:ascii="宋体" w:hAnsi="宋体" w:cs="宋体"/>
                <w:highlight w:val="none"/>
              </w:rPr>
              <w:t xml:space="preserve">地址： 南宁市青秀区桃源路69号 </w:t>
            </w:r>
          </w:p>
          <w:p>
            <w:pPr>
              <w:snapToGrid w:val="0"/>
              <w:spacing w:line="360" w:lineRule="auto"/>
              <w:rPr>
                <w:rFonts w:ascii="宋体" w:hAnsi="宋体" w:cs="宋体"/>
                <w:highlight w:val="none"/>
              </w:rPr>
            </w:pPr>
            <w:r>
              <w:rPr>
                <w:rFonts w:hint="eastAsia" w:ascii="宋体" w:hAnsi="宋体" w:cs="宋体"/>
                <w:highlight w:val="none"/>
              </w:rPr>
              <w:t>联系电话：0771-5331544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33</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采购代理服务费</w:t>
            </w:r>
          </w:p>
        </w:tc>
        <w:tc>
          <w:tcPr>
            <w:tcW w:w="6869" w:type="dxa"/>
            <w:vAlign w:val="center"/>
          </w:tcPr>
          <w:p>
            <w:pPr>
              <w:pStyle w:val="21"/>
              <w:snapToGrid w:val="0"/>
              <w:spacing w:line="360" w:lineRule="auto"/>
              <w:rPr>
                <w:rFonts w:hAnsi="宋体" w:cs="宋体"/>
                <w:sz w:val="21"/>
                <w:highlight w:val="none"/>
              </w:rPr>
            </w:pPr>
            <w:r>
              <w:rPr>
                <w:rFonts w:hint="eastAsia" w:hAnsi="宋体" w:cs="宋体"/>
                <w:sz w:val="21"/>
                <w:highlight w:val="none"/>
              </w:rPr>
              <w:t>1.采购代理费支付方式：</w:t>
            </w:r>
          </w:p>
          <w:p>
            <w:pPr>
              <w:pStyle w:val="21"/>
              <w:snapToGrid w:val="0"/>
              <w:spacing w:line="360" w:lineRule="auto"/>
              <w:rPr>
                <w:rFonts w:hAnsi="宋体" w:cs="宋体"/>
                <w:sz w:val="21"/>
                <w:highlight w:val="none"/>
              </w:rPr>
            </w:pPr>
            <w:r>
              <w:rPr>
                <w:rFonts w:hint="eastAsia" w:hAnsi="宋体" w:cs="宋体"/>
                <w:sz w:val="21"/>
                <w:highlight w:val="none"/>
              </w:rPr>
              <w:t>☑本项目代理服务费由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pPr>
              <w:pStyle w:val="21"/>
              <w:snapToGrid w:val="0"/>
              <w:spacing w:line="360" w:lineRule="auto"/>
              <w:rPr>
                <w:rFonts w:hAnsi="宋体" w:cs="宋体"/>
                <w:sz w:val="21"/>
                <w:highlight w:val="none"/>
              </w:rPr>
            </w:pPr>
            <w:r>
              <w:rPr>
                <w:rFonts w:hint="eastAsia" w:hAnsi="宋体" w:cs="宋体"/>
                <w:sz w:val="21"/>
                <w:highlight w:val="none"/>
              </w:rPr>
              <w:t>□采购人支付。</w:t>
            </w:r>
          </w:p>
          <w:p>
            <w:pPr>
              <w:pStyle w:val="21"/>
              <w:snapToGrid w:val="0"/>
              <w:spacing w:line="360" w:lineRule="auto"/>
              <w:rPr>
                <w:rFonts w:hAnsi="宋体" w:cs="宋体"/>
                <w:sz w:val="21"/>
                <w:highlight w:val="none"/>
              </w:rPr>
            </w:pPr>
            <w:r>
              <w:rPr>
                <w:rFonts w:hint="eastAsia" w:hAnsi="宋体" w:cs="宋体"/>
                <w:sz w:val="21"/>
                <w:highlight w:val="none"/>
              </w:rPr>
              <w:t>2.采购代理费收取标准：</w:t>
            </w:r>
          </w:p>
          <w:p>
            <w:pPr>
              <w:pStyle w:val="21"/>
              <w:snapToGrid w:val="0"/>
              <w:spacing w:line="360" w:lineRule="auto"/>
              <w:rPr>
                <w:rFonts w:hAnsi="宋体" w:cs="宋体"/>
                <w:sz w:val="21"/>
                <w:highlight w:val="none"/>
              </w:rPr>
            </w:pPr>
            <w:r>
              <w:rPr>
                <w:rFonts w:hint="eastAsia" w:hAnsi="宋体" w:cs="宋体"/>
                <w:sz w:val="21"/>
                <w:highlight w:val="none"/>
              </w:rPr>
              <w:t>☑以项目（☑成交金额/□采购预算/□暂定成交金额/□其他）为计费额，按本须知正文第32.2条规定的收费计算标准（□货物类/</w:t>
            </w:r>
            <w:r>
              <w:rPr>
                <w:rFonts w:hint="eastAsia" w:hAnsi="宋体" w:cs="宋体"/>
                <w:highlight w:val="none"/>
              </w:rPr>
              <w:t xml:space="preserve"> </w:t>
            </w:r>
            <w:r>
              <w:rPr>
                <w:rFonts w:hint="eastAsia" w:hAnsi="宋体" w:cs="宋体"/>
                <w:sz w:val="21"/>
                <w:highlight w:val="none"/>
              </w:rPr>
              <w:t>☑服务类/□工程类）采用差额定率累进法计算出收费基准价格，采购代理收费以（☑收费基准价格/□收费基准价格下浮</w:t>
            </w:r>
            <w:r>
              <w:rPr>
                <w:rFonts w:hint="eastAsia" w:hAnsi="宋体" w:cs="宋体"/>
                <w:sz w:val="21"/>
                <w:highlight w:val="none"/>
                <w:u w:val="single"/>
              </w:rPr>
              <w:t xml:space="preserve">    %</w:t>
            </w:r>
            <w:r>
              <w:rPr>
                <w:rFonts w:hint="eastAsia" w:hAnsi="宋体" w:cs="宋体"/>
                <w:sz w:val="21"/>
                <w:highlight w:val="none"/>
              </w:rPr>
              <w:t>/□收费基准价格上浮</w:t>
            </w:r>
            <w:r>
              <w:rPr>
                <w:rFonts w:hint="eastAsia" w:hAnsi="宋体" w:cs="宋体"/>
                <w:sz w:val="21"/>
                <w:highlight w:val="none"/>
                <w:u w:val="single"/>
              </w:rPr>
              <w:t xml:space="preserve">   %</w:t>
            </w:r>
            <w:r>
              <w:rPr>
                <w:rFonts w:hint="eastAsia" w:hAnsi="宋体" w:cs="宋体"/>
                <w:sz w:val="21"/>
                <w:highlight w:val="none"/>
              </w:rPr>
              <w:t>）收取</w:t>
            </w:r>
            <w:r>
              <w:rPr>
                <w:rFonts w:hint="eastAsia" w:hAnsi="宋体" w:cs="宋体"/>
                <w:sz w:val="21"/>
                <w:highlight w:val="none"/>
                <w:lang w:eastAsia="zh-CN"/>
              </w:rPr>
              <w:t>，如代理服务费低于人民币伍仟元整的，按人民币伍仟元整计算收取</w:t>
            </w:r>
            <w:r>
              <w:rPr>
                <w:rFonts w:hint="eastAsia" w:hAnsi="宋体" w:cs="宋体"/>
                <w:sz w:val="21"/>
                <w:highlight w:val="none"/>
              </w:rPr>
              <w:t>。</w:t>
            </w:r>
          </w:p>
          <w:p>
            <w:pPr>
              <w:pStyle w:val="21"/>
              <w:snapToGrid w:val="0"/>
              <w:spacing w:line="360" w:lineRule="auto"/>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pPr>
              <w:pStyle w:val="21"/>
              <w:snapToGrid w:val="0"/>
              <w:spacing w:line="360" w:lineRule="auto"/>
              <w:rPr>
                <w:rFonts w:hAnsi="宋体" w:cs="宋体"/>
                <w:sz w:val="21"/>
                <w:highlight w:val="none"/>
              </w:rPr>
            </w:pPr>
            <w:r>
              <w:rPr>
                <w:rFonts w:hint="eastAsia" w:hAnsi="宋体" w:cs="宋体"/>
                <w:sz w:val="21"/>
                <w:highlight w:val="none"/>
              </w:rPr>
              <w:t>3. 采购代理费收取银行账户</w:t>
            </w:r>
          </w:p>
          <w:p>
            <w:pPr>
              <w:pStyle w:val="21"/>
              <w:snapToGrid w:val="0"/>
              <w:spacing w:line="360" w:lineRule="auto"/>
              <w:rPr>
                <w:rFonts w:hAnsi="宋体" w:cs="宋体"/>
                <w:sz w:val="21"/>
                <w:highlight w:val="none"/>
              </w:rPr>
            </w:pPr>
            <w:r>
              <w:rPr>
                <w:rFonts w:hint="eastAsia" w:hAnsi="宋体" w:cs="宋体"/>
                <w:sz w:val="21"/>
                <w:highlight w:val="none"/>
              </w:rPr>
              <w:t>开户名称：广西建设工程机电设备招标中心有限公司</w:t>
            </w:r>
          </w:p>
          <w:p>
            <w:pPr>
              <w:pStyle w:val="21"/>
              <w:snapToGrid w:val="0"/>
              <w:spacing w:line="360" w:lineRule="auto"/>
              <w:rPr>
                <w:rFonts w:hAnsi="宋体" w:cs="宋体"/>
                <w:sz w:val="21"/>
                <w:highlight w:val="none"/>
              </w:rPr>
            </w:pPr>
            <w:r>
              <w:rPr>
                <w:rFonts w:hint="eastAsia" w:hAnsi="宋体" w:cs="宋体"/>
                <w:sz w:val="21"/>
                <w:highlight w:val="none"/>
              </w:rPr>
              <w:t>开户银行：招商银行南宁分行营业部</w:t>
            </w:r>
          </w:p>
          <w:p>
            <w:pPr>
              <w:pStyle w:val="21"/>
              <w:snapToGrid w:val="0"/>
              <w:spacing w:line="360" w:lineRule="auto"/>
              <w:rPr>
                <w:rFonts w:hAnsi="宋体" w:cs="宋体"/>
                <w:sz w:val="21"/>
                <w:highlight w:val="none"/>
              </w:rPr>
            </w:pPr>
            <w:r>
              <w:rPr>
                <w:rFonts w:hint="eastAsia" w:hAnsi="宋体" w:cs="宋体"/>
                <w:sz w:val="21"/>
                <w:highlight w:val="none"/>
              </w:rPr>
              <w:t>银行账号：771901423310201</w:t>
            </w:r>
          </w:p>
          <w:p>
            <w:pPr>
              <w:snapToGrid w:val="0"/>
              <w:spacing w:line="360" w:lineRule="auto"/>
              <w:rPr>
                <w:rFonts w:ascii="宋体" w:hAnsi="宋体" w:cs="宋体"/>
                <w:kern w:val="0"/>
                <w:szCs w:val="21"/>
                <w:highlight w:val="none"/>
              </w:rPr>
            </w:pPr>
            <w:r>
              <w:rPr>
                <w:rFonts w:hint="eastAsia" w:ascii="宋体" w:hAnsi="宋体" w:cs="宋体"/>
                <w:b/>
                <w:bCs/>
                <w:highlight w:val="none"/>
              </w:rPr>
              <w:t>备注信息：</w:t>
            </w:r>
            <w:r>
              <w:rPr>
                <w:rFonts w:hint="eastAsia" w:ascii="宋体" w:hAnsi="宋体" w:cs="宋体"/>
                <w:b/>
                <w:bCs/>
                <w:highlight w:val="none"/>
              </w:rPr>
              <w:t>（</w:t>
            </w:r>
            <w:r>
              <w:rPr>
                <w:rFonts w:hint="eastAsia" w:ascii="宋体" w:hAnsi="宋体" w:cs="宋体"/>
                <w:szCs w:val="21"/>
                <w:highlight w:val="none"/>
                <w:lang w:eastAsia="zh-CN"/>
              </w:rPr>
              <w:t>GXZC2024-C3-003396-JGJD</w:t>
            </w:r>
            <w:r>
              <w:rPr>
                <w:rFonts w:hint="eastAsia" w:ascii="宋体" w:hAnsi="宋体" w:cs="宋体"/>
                <w:b/>
                <w:bCs/>
                <w:highlight w:val="none"/>
              </w:rPr>
              <w:t>）</w:t>
            </w:r>
            <w:r>
              <w:rPr>
                <w:rFonts w:hint="eastAsia" w:ascii="宋体" w:hAnsi="宋体" w:cs="宋体"/>
                <w:b/>
                <w:bCs/>
                <w:highlight w:val="none"/>
              </w:rPr>
              <w:t>代理服务费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34.1</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highlight w:val="none"/>
              </w:rPr>
              <w:t>解释</w:t>
            </w:r>
          </w:p>
        </w:tc>
        <w:tc>
          <w:tcPr>
            <w:tcW w:w="6869" w:type="dxa"/>
            <w:vAlign w:val="center"/>
          </w:tcPr>
          <w:p>
            <w:pPr>
              <w:snapToGrid w:val="0"/>
              <w:spacing w:line="400" w:lineRule="exact"/>
              <w:rPr>
                <w:rFonts w:ascii="宋体" w:hAnsi="宋体" w:cs="宋体"/>
                <w:b/>
                <w:kern w:val="0"/>
                <w:szCs w:val="21"/>
                <w:highlight w:val="none"/>
              </w:rPr>
            </w:pPr>
            <w:r>
              <w:rPr>
                <w:rFonts w:hint="eastAsia" w:ascii="宋体" w:hAnsi="宋体" w:cs="宋体"/>
                <w:b/>
                <w:kern w:val="0"/>
                <w:szCs w:val="21"/>
                <w:highlight w:val="none"/>
              </w:rPr>
              <w:t>解释：</w:t>
            </w:r>
            <w:r>
              <w:rPr>
                <w:rFonts w:hint="eastAsia" w:ascii="宋体" w:hAnsi="宋体" w:cs="宋体"/>
                <w:kern w:val="0"/>
                <w:szCs w:val="21"/>
                <w:highlight w:val="none"/>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kern w:val="0"/>
                <w:szCs w:val="21"/>
                <w:highlight w:val="none"/>
              </w:rPr>
              <w:t>由采购人或者采购代理机构负责解释。</w:t>
            </w:r>
          </w:p>
          <w:p>
            <w:pPr>
              <w:snapToGrid w:val="0"/>
              <w:spacing w:line="400" w:lineRule="exact"/>
              <w:rPr>
                <w:rFonts w:ascii="宋体" w:hAnsi="宋体" w:cs="宋体"/>
                <w:b/>
                <w:kern w:val="0"/>
                <w:szCs w:val="21"/>
                <w:highlight w:val="none"/>
              </w:rPr>
            </w:pPr>
            <w:r>
              <w:rPr>
                <w:rFonts w:hint="eastAsia" w:ascii="宋体" w:hAnsi="宋体" w:cs="宋体"/>
                <w:b/>
                <w:kern w:val="0"/>
                <w:szCs w:val="21"/>
                <w:highlight w:val="none"/>
              </w:rPr>
              <w:t>法律责任：</w:t>
            </w:r>
          </w:p>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34.2</w:t>
            </w:r>
          </w:p>
        </w:tc>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其他</w:t>
            </w:r>
          </w:p>
        </w:tc>
        <w:tc>
          <w:tcPr>
            <w:tcW w:w="6869" w:type="dxa"/>
            <w:vAlign w:val="center"/>
          </w:tcPr>
          <w:p>
            <w:pPr>
              <w:pStyle w:val="14"/>
              <w:spacing w:line="400" w:lineRule="exact"/>
              <w:ind w:firstLine="420" w:firstLineChars="200"/>
              <w:rPr>
                <w:rFonts w:ascii="宋体" w:hAnsi="宋体" w:cs="宋体"/>
                <w:szCs w:val="21"/>
                <w:highlight w:val="none"/>
              </w:rPr>
            </w:pPr>
            <w:r>
              <w:rPr>
                <w:rFonts w:hint="eastAsia" w:ascii="宋体" w:hAnsi="宋体" w:cs="宋体"/>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pPr>
              <w:pStyle w:val="14"/>
              <w:spacing w:line="400" w:lineRule="exact"/>
              <w:ind w:firstLine="420" w:firstLineChars="200"/>
              <w:rPr>
                <w:rFonts w:ascii="宋体" w:hAnsi="宋体" w:cs="宋体"/>
                <w:szCs w:val="21"/>
                <w:highlight w:val="none"/>
              </w:rPr>
            </w:pPr>
            <w:r>
              <w:rPr>
                <w:rFonts w:hint="eastAsia" w:ascii="宋体" w:hAnsi="宋体" w:cs="宋体"/>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pPr>
              <w:pStyle w:val="14"/>
              <w:tabs>
                <w:tab w:val="center" w:pos="4153"/>
                <w:tab w:val="right" w:pos="8306"/>
              </w:tabs>
              <w:spacing w:line="400" w:lineRule="exact"/>
              <w:ind w:firstLine="420" w:firstLineChars="200"/>
              <w:rPr>
                <w:rFonts w:ascii="宋体" w:hAnsi="宋体" w:cs="宋体"/>
                <w:szCs w:val="21"/>
                <w:highlight w:val="none"/>
              </w:rPr>
            </w:pPr>
            <w:r>
              <w:rPr>
                <w:rFonts w:hint="eastAsia" w:ascii="宋体" w:hAnsi="宋体" w:cs="宋体"/>
                <w:szCs w:val="21"/>
                <w:highlight w:val="none"/>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4"/>
              <w:spacing w:line="400" w:lineRule="exact"/>
              <w:ind w:firstLine="420" w:firstLineChars="200"/>
              <w:rPr>
                <w:rFonts w:ascii="宋体" w:hAnsi="宋体" w:cs="宋体"/>
                <w:szCs w:val="21"/>
                <w:highlight w:val="none"/>
              </w:rPr>
            </w:pPr>
            <w:r>
              <w:rPr>
                <w:rFonts w:hint="eastAsia" w:ascii="宋体" w:hAnsi="宋体" w:cs="宋体"/>
                <w:szCs w:val="21"/>
                <w:highlight w:val="none"/>
              </w:rPr>
              <w:t>4.供应商为其他组织、自然人时，本磋商文件规定的法定代表人指负责人或者自然人。本磋商文件所称负责人是指参加竞标的其他组织营业执照上的负责人，本磋商文件所称自然人指参与竞标的自然人本人。</w:t>
            </w:r>
          </w:p>
          <w:p>
            <w:pPr>
              <w:pStyle w:val="14"/>
              <w:spacing w:line="400" w:lineRule="exact"/>
              <w:ind w:firstLine="420" w:firstLineChars="200"/>
              <w:rPr>
                <w:rFonts w:ascii="宋体" w:hAnsi="宋体" w:cs="宋体"/>
                <w:szCs w:val="21"/>
                <w:highlight w:val="none"/>
              </w:rPr>
            </w:pPr>
            <w:r>
              <w:rPr>
                <w:rFonts w:hint="eastAsia" w:ascii="宋体" w:hAnsi="宋体" w:cs="宋体"/>
                <w:szCs w:val="21"/>
                <w:highlight w:val="none"/>
              </w:rPr>
              <w:t>5.自然人竞标的，竞争性磋商文件规定盖公章处由自然人摁手指指印。</w:t>
            </w:r>
          </w:p>
          <w:p>
            <w:pPr>
              <w:snapToGrid w:val="0"/>
              <w:spacing w:line="400" w:lineRule="exact"/>
              <w:rPr>
                <w:rFonts w:ascii="宋体" w:hAnsi="宋体" w:cs="宋体"/>
                <w:kern w:val="0"/>
                <w:szCs w:val="21"/>
                <w:highlight w:val="none"/>
              </w:rPr>
            </w:pPr>
            <w:r>
              <w:rPr>
                <w:rFonts w:hint="eastAsia" w:ascii="宋体" w:hAnsi="宋体" w:cs="宋体"/>
                <w:szCs w:val="21"/>
                <w:highlight w:val="none"/>
              </w:rPr>
              <w:t xml:space="preserve">    6.本竞争性磋商文件所称的“以上”“以下”“以内”“届满”，包括本数；所称的“不满”“超过”“以外”，不包括本数。</w:t>
            </w:r>
          </w:p>
        </w:tc>
      </w:tr>
    </w:tbl>
    <w:p>
      <w:pPr>
        <w:pStyle w:val="4"/>
        <w:spacing w:line="420" w:lineRule="exact"/>
        <w:jc w:val="center"/>
        <w:rPr>
          <w:rFonts w:ascii="宋体" w:hAnsi="宋体" w:cs="宋体"/>
          <w:b w:val="0"/>
          <w:highlight w:val="none"/>
        </w:rPr>
      </w:pPr>
      <w:r>
        <w:rPr>
          <w:rFonts w:hint="eastAsia" w:ascii="宋体" w:hAnsi="宋体" w:cs="宋体"/>
          <w:b w:val="0"/>
          <w:highlight w:val="none"/>
        </w:rPr>
        <w:br w:type="page"/>
      </w:r>
      <w:bookmarkStart w:id="72" w:name="_Toc27094"/>
      <w:bookmarkStart w:id="73" w:name="_Toc30957"/>
      <w:bookmarkStart w:id="74" w:name="_Toc80886929"/>
      <w:r>
        <w:rPr>
          <w:rFonts w:hint="eastAsia" w:ascii="宋体" w:hAnsi="宋体" w:cs="宋体"/>
          <w:b w:val="0"/>
          <w:highlight w:val="none"/>
        </w:rPr>
        <w:t>第二节 供应商须知正文</w:t>
      </w:r>
      <w:bookmarkEnd w:id="72"/>
      <w:bookmarkEnd w:id="73"/>
      <w:bookmarkEnd w:id="74"/>
    </w:p>
    <w:p>
      <w:pPr>
        <w:pStyle w:val="5"/>
        <w:spacing w:before="0" w:after="0" w:line="360" w:lineRule="auto"/>
        <w:ind w:firstLine="640" w:firstLineChars="200"/>
        <w:rPr>
          <w:rFonts w:ascii="宋体" w:hAnsi="宋体" w:cs="宋体"/>
          <w:b w:val="0"/>
          <w:highlight w:val="none"/>
        </w:rPr>
      </w:pPr>
      <w:bookmarkStart w:id="75" w:name="_Toc6457"/>
      <w:bookmarkStart w:id="76" w:name="_Toc80886930"/>
      <w:bookmarkStart w:id="77" w:name="_Toc26166"/>
      <w:r>
        <w:rPr>
          <w:rFonts w:hint="eastAsia" w:ascii="宋体" w:hAnsi="宋体" w:cs="宋体"/>
          <w:b w:val="0"/>
          <w:highlight w:val="none"/>
        </w:rPr>
        <w:t>一、总则</w:t>
      </w:r>
      <w:bookmarkEnd w:id="75"/>
      <w:bookmarkEnd w:id="76"/>
      <w:bookmarkEnd w:id="77"/>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1.适用范围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2.定义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2.4“服务”是指除货物和工程以外的其他政府采购对象。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2.5“竞标”是指供应商按照本项目竞争性磋商公告规定的方式获取磋商文件、提交响应文件并希望获得标的的行为。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2.6“响应文件”</w:t>
      </w:r>
      <w:r>
        <w:rPr>
          <w:rFonts w:hint="eastAsia" w:ascii="宋体" w:hAnsi="宋体" w:cs="宋体"/>
          <w:spacing w:val="-6"/>
          <w:szCs w:val="21"/>
          <w:highlight w:val="none"/>
        </w:rPr>
        <w:t>是指：供应商根据本磋商文件要求，编制包含资格证明、</w:t>
      </w:r>
      <w:r>
        <w:rPr>
          <w:rFonts w:hint="eastAsia" w:ascii="宋体" w:hAnsi="宋体" w:cs="宋体"/>
          <w:szCs w:val="21"/>
          <w:highlight w:val="none"/>
        </w:rPr>
        <w:t>报价文件、商务和技术文件</w:t>
      </w:r>
      <w:r>
        <w:rPr>
          <w:rFonts w:hint="eastAsia" w:ascii="宋体" w:hAnsi="宋体" w:cs="宋体"/>
          <w:spacing w:val="-6"/>
          <w:szCs w:val="21"/>
          <w:highlight w:val="none"/>
        </w:rPr>
        <w:t>等所有内容的文件。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2.10“允许负偏离的条款”是指采购需求中的不属于“实质性要求”的条款。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2.12“首次报价”是指供应商提交的首次响应文件中的报价。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2.13“评审报价”是指供应商提交的最后报价并经修正（如有）和政策功能价格扣除（如有）后的价格。</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3.供应商的资格条件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4.磋商费用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5.联合体竞标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6.转包与分包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6.1本项目不允许转包。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6.2本项目是否允许分包详见“供应商须知前附表”，本项目不允许违法分包。</w:t>
      </w:r>
    </w:p>
    <w:p>
      <w:pPr>
        <w:spacing w:line="360" w:lineRule="auto"/>
        <w:ind w:firstLine="482" w:firstLineChars="200"/>
        <w:rPr>
          <w:rFonts w:ascii="宋体" w:hAnsi="宋体" w:cs="宋体"/>
          <w:b/>
          <w:bCs/>
          <w:sz w:val="24"/>
          <w:highlight w:val="none"/>
        </w:rPr>
      </w:pPr>
      <w:bookmarkStart w:id="78" w:name="_Toc254970532"/>
      <w:bookmarkStart w:id="79" w:name="_Toc254970673"/>
      <w:r>
        <w:rPr>
          <w:rFonts w:hint="eastAsia" w:ascii="宋体" w:hAnsi="宋体" w:cs="宋体"/>
          <w:b/>
          <w:bCs/>
          <w:sz w:val="24"/>
          <w:highlight w:val="none"/>
        </w:rPr>
        <w:t>7.特别说明</w:t>
      </w:r>
      <w:bookmarkEnd w:id="78"/>
      <w:bookmarkEnd w:id="79"/>
    </w:p>
    <w:p>
      <w:pPr>
        <w:spacing w:line="360" w:lineRule="auto"/>
        <w:ind w:firstLine="420" w:firstLineChars="200"/>
        <w:rPr>
          <w:rFonts w:ascii="宋体" w:hAnsi="宋体" w:cs="宋体"/>
          <w:szCs w:val="21"/>
          <w:highlight w:val="none"/>
        </w:rPr>
      </w:pPr>
      <w:bookmarkStart w:id="80" w:name="_8.1提供相同品牌产品且通过资格审查、符合性审查的不同投标人参加同一合"/>
      <w:bookmarkEnd w:id="80"/>
      <w:r>
        <w:rPr>
          <w:rFonts w:hint="eastAsia" w:ascii="宋体" w:hAnsi="宋体" w:cs="宋体"/>
          <w:szCs w:val="21"/>
          <w:highlight w:val="none"/>
        </w:rPr>
        <w:t>7.1</w:t>
      </w:r>
      <w:bookmarkStart w:id="81" w:name="_Hlk65832145"/>
      <w:r>
        <w:rPr>
          <w:rFonts w:hint="eastAsia" w:ascii="宋体" w:hAnsi="宋体" w:cs="宋体"/>
          <w:szCs w:val="21"/>
          <w:highlight w:val="none"/>
        </w:rPr>
        <w:t>如果本磋商文件要求提供供应商或制造商的资格、信誉、荣誉、业绩与企业认证等材料的，资格、信誉、荣誉、业绩与企业认证等必须为供应商或者制造商所拥有或自身获得 。</w:t>
      </w:r>
    </w:p>
    <w:bookmarkEnd w:id="81"/>
    <w:p>
      <w:pPr>
        <w:spacing w:line="360" w:lineRule="auto"/>
        <w:ind w:firstLine="420" w:firstLineChars="200"/>
        <w:rPr>
          <w:rFonts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7.4在政府采购活动中，采购人员及相关人员与供应商有下列利害关系之一的，应当回避：</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（1）参加采购活动前3年内与供应商存在劳动关系；</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（2）参加采购活动前3年内担任供应商的董事、监事；</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（3）参加采购活动前3年内是供应商的控股股东或者实际控制人；</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（4）与供应商的法定代表人或者负责人有夫妻、直系血亲、三代以内旁系血亲或者近姻亲关系；</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（5）与供应商有其他可能影响政府采购活动公平、公正进行的关系。</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7.5有下列情形之一的视为供应商相互串通竞标，响应文件将被视为无效：</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 xml:space="preserve">（1）不同供应商的响应文件由同一单位或者个人编制；或不同供应商报名的IP地址一致的； </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（2）不同供应商委托同一单位或者个人办理竞标事宜；</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（3）不同的供应商的响应文件载明的项目管理员为同一个人；</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（4）不同供应商的响应文件异常一致或者报价呈规律性差异；</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（5）不同供应商的响应文件相互混装；</w:t>
      </w:r>
    </w:p>
    <w:p>
      <w:pPr>
        <w:tabs>
          <w:tab w:val="left" w:pos="6931"/>
        </w:tabs>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（6）不同供应商的磋商保证金从同一单位或者个人账户转出。</w:t>
      </w:r>
      <w:r>
        <w:rPr>
          <w:rFonts w:hint="eastAsia" w:ascii="宋体" w:hAnsi="宋体" w:cs="宋体"/>
          <w:b/>
          <w:bCs/>
          <w:szCs w:val="21"/>
          <w:highlight w:val="none"/>
        </w:rPr>
        <w:tab/>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7.6供应商有下列情形之一的，属于恶意串通行为，将报同级监督管理部门：</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（1）供应商直接或者间接从采购人或者采购代理机构处获得其他供应商的相关信息并修改其响应文件；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（2）供应商按照采购人或者采购代理机构的授意撤换、修改响应文件；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（3）供应商之间协商报价、技术方案等响应文件的实质性内容；</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（4）属于同一集团、协会、商会等组织成员的供应商按照该组织要求协同参加政府采购活动；</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（6）供应商之间商定部分供应商放弃参加政府采购活动或者放弃成交；</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（7）供应商与采购人或者采购代理机构之间、供应商相互之间，为谋求特定供应商成交或者排斥其他供应商的其他串通行为。</w:t>
      </w:r>
    </w:p>
    <w:p>
      <w:pPr>
        <w:pStyle w:val="5"/>
        <w:spacing w:before="0" w:after="0" w:line="360" w:lineRule="auto"/>
        <w:ind w:firstLine="640" w:firstLineChars="200"/>
        <w:rPr>
          <w:rFonts w:ascii="宋体" w:hAnsi="宋体" w:cs="宋体"/>
          <w:b w:val="0"/>
          <w:bCs w:val="0"/>
          <w:highlight w:val="none"/>
        </w:rPr>
      </w:pPr>
      <w:bookmarkStart w:id="82" w:name="_Toc254970534"/>
      <w:bookmarkStart w:id="83" w:name="_Toc80886931"/>
      <w:bookmarkStart w:id="84" w:name="_Toc27583"/>
      <w:bookmarkStart w:id="85" w:name="_Toc254970675"/>
      <w:bookmarkStart w:id="86" w:name="_Toc12713"/>
      <w:r>
        <w:rPr>
          <w:rFonts w:hint="eastAsia" w:ascii="宋体" w:hAnsi="宋体" w:cs="宋体"/>
          <w:b w:val="0"/>
          <w:bCs w:val="0"/>
          <w:highlight w:val="none"/>
        </w:rPr>
        <w:t>二、磋商文件</w:t>
      </w:r>
      <w:bookmarkEnd w:id="82"/>
      <w:bookmarkEnd w:id="83"/>
      <w:bookmarkEnd w:id="84"/>
      <w:bookmarkEnd w:id="85"/>
      <w:bookmarkEnd w:id="86"/>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8.磋商文件的构成</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第一章 竞争性磋商公告；</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第二章 采购需求；</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第三章 供应商须知； </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第四章 评审程序、评审方法和评审标准；</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第五章 响应文件格式；</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第六章 合同文本；</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第七章 质疑、投诉材料格式。</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9.供应商的询问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10.磋商文件的澄清和修改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cs="宋体"/>
          <w:highlight w:val="none"/>
        </w:rPr>
      </w:pPr>
      <w:r>
        <w:rPr>
          <w:rFonts w:hint="eastAsia" w:ascii="宋体" w:hAnsi="宋体" w:cs="宋体"/>
          <w:highlight w:val="none"/>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pPr>
        <w:spacing w:line="360" w:lineRule="auto"/>
        <w:ind w:firstLine="400" w:firstLineChars="200"/>
        <w:rPr>
          <w:rFonts w:ascii="宋体" w:hAnsi="宋体" w:cs="宋体"/>
          <w:kern w:val="0"/>
          <w:sz w:val="20"/>
          <w:szCs w:val="21"/>
          <w:highlight w:val="none"/>
        </w:rPr>
      </w:pPr>
      <w:r>
        <w:rPr>
          <w:rFonts w:hint="eastAsia" w:ascii="宋体" w:hAnsi="宋体" w:cs="宋体"/>
          <w:kern w:val="0"/>
          <w:sz w:val="20"/>
          <w:szCs w:val="21"/>
          <w:highlight w:val="none"/>
        </w:rPr>
        <w:t>▲</w:t>
      </w:r>
      <w:r>
        <w:rPr>
          <w:rFonts w:hint="eastAsia" w:ascii="宋体" w:hAnsi="宋体" w:cs="宋体"/>
          <w:b/>
          <w:kern w:val="0"/>
          <w:sz w:val="20"/>
          <w:szCs w:val="21"/>
          <w:highlight w:val="none"/>
        </w:rPr>
        <w:t>响应文件未按磋商文件的澄清、修改的内容编制，又不符合实质性要求的，其响应文件按无效处理。</w:t>
      </w:r>
    </w:p>
    <w:p>
      <w:pPr>
        <w:pStyle w:val="5"/>
        <w:spacing w:before="0" w:after="0" w:line="360" w:lineRule="auto"/>
        <w:ind w:firstLine="320" w:firstLineChars="100"/>
        <w:rPr>
          <w:rFonts w:ascii="宋体" w:hAnsi="宋体" w:cs="宋体"/>
          <w:b w:val="0"/>
          <w:bCs w:val="0"/>
          <w:highlight w:val="none"/>
        </w:rPr>
      </w:pPr>
      <w:r>
        <w:rPr>
          <w:rFonts w:hint="eastAsia" w:ascii="宋体" w:hAnsi="宋体" w:cs="宋体"/>
          <w:b w:val="0"/>
          <w:bCs w:val="0"/>
          <w:highlight w:val="none"/>
        </w:rPr>
        <w:t xml:space="preserve"> </w:t>
      </w:r>
      <w:bookmarkStart w:id="87" w:name="_Toc80886932"/>
      <w:bookmarkStart w:id="88" w:name="_Toc21690"/>
      <w:bookmarkStart w:id="89" w:name="_Toc21480"/>
      <w:r>
        <w:rPr>
          <w:rFonts w:hint="eastAsia" w:ascii="宋体" w:hAnsi="宋体" w:cs="宋体"/>
          <w:b w:val="0"/>
          <w:bCs w:val="0"/>
          <w:highlight w:val="none"/>
        </w:rPr>
        <w:t>三、响应文件的编制</w:t>
      </w:r>
      <w:bookmarkEnd w:id="87"/>
      <w:bookmarkEnd w:id="88"/>
      <w:bookmarkEnd w:id="89"/>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11.响应文件的编制原则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12.响应文件的组成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12.1.1资格证明文件：详见供应商须知前附表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12.1.2商务技术文件：详见供应商须知前附表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12.1.3报价文件：详见供应商须知前附表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12.2响应文件电子版：详见供应商须知前附表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13.计量单位</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14.竞标的风险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15.响应报价要求和构成</w:t>
      </w:r>
    </w:p>
    <w:p>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15.2响应报价的价格构成见“供应商须知前附表”。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15.3响应报价要求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（1）供应商必须就“采购需求”中所竞标的项目/每个分标的全部内容分别作完整唯一总价报价，不得存在漏项报价；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（2）供应商必须就所竞标的项目/分标的单项内容作唯一报价。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15.3.2响应报价（包含首次报价、最后报价）超过所竞标项目/分标规定的采购预算金额或者最高限价的（如本项目公布了最高限价），其响应文件将按无效处理。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15.3.3</w:t>
      </w:r>
      <w:bookmarkStart w:id="90" w:name="_Hlk42592874"/>
      <w:r>
        <w:rPr>
          <w:rFonts w:hint="eastAsia" w:ascii="宋体" w:hAnsi="宋体" w:cs="宋体"/>
          <w:szCs w:val="21"/>
          <w:highlight w:val="none"/>
        </w:rPr>
        <w:t>响应报价（包含首次报价、最后报价）超过分项采购预算金额或者最高限价的（如本项目公布了最高限价），其响应文件将按无效处理。</w:t>
      </w:r>
    </w:p>
    <w:bookmarkEnd w:id="90"/>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16.竞标有效期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pPr>
        <w:spacing w:line="360" w:lineRule="auto"/>
        <w:ind w:firstLine="482" w:firstLineChars="200"/>
        <w:rPr>
          <w:rFonts w:ascii="宋体" w:hAnsi="宋体" w:cs="宋体"/>
          <w:b/>
          <w:bCs/>
          <w:i/>
          <w:iCs/>
          <w:sz w:val="24"/>
          <w:highlight w:val="none"/>
        </w:rPr>
      </w:pPr>
      <w:r>
        <w:rPr>
          <w:rFonts w:hint="eastAsia" w:ascii="宋体" w:hAnsi="宋体" w:cs="宋体"/>
          <w:b/>
          <w:bCs/>
          <w:sz w:val="24"/>
          <w:highlight w:val="none"/>
        </w:rPr>
        <w:t>17.磋商保证金</w:t>
      </w:r>
    </w:p>
    <w:p>
      <w:pPr>
        <w:spacing w:line="360" w:lineRule="auto"/>
        <w:ind w:left="420" w:leftChars="200"/>
        <w:rPr>
          <w:rFonts w:ascii="宋体" w:hAnsi="宋体" w:cs="宋体"/>
          <w:szCs w:val="21"/>
          <w:highlight w:val="none"/>
        </w:rPr>
      </w:pPr>
      <w:r>
        <w:rPr>
          <w:rFonts w:hint="eastAsia" w:ascii="宋体" w:hAnsi="宋体" w:cs="宋体"/>
          <w:szCs w:val="21"/>
          <w:highlight w:val="none"/>
        </w:rPr>
        <w:t>17.1供应商须按“供应商须知前附表”的规定提交磋商保证金。</w:t>
      </w:r>
    </w:p>
    <w:p>
      <w:pPr>
        <w:spacing w:line="360" w:lineRule="auto"/>
        <w:ind w:left="420" w:leftChars="200"/>
        <w:rPr>
          <w:rFonts w:ascii="宋体" w:hAnsi="宋体" w:cs="宋体"/>
          <w:szCs w:val="21"/>
          <w:highlight w:val="none"/>
        </w:rPr>
      </w:pPr>
      <w:r>
        <w:rPr>
          <w:rFonts w:hint="eastAsia" w:ascii="宋体" w:hAnsi="宋体" w:cs="宋体"/>
          <w:szCs w:val="21"/>
          <w:highlight w:val="none"/>
        </w:rPr>
        <w:t>17.2磋商保证金的退还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17.2.1未</w:t>
      </w:r>
      <w:r>
        <w:rPr>
          <w:rFonts w:hint="eastAsia" w:ascii="宋体" w:hAnsi="宋体" w:cs="宋体"/>
          <w:spacing w:val="-6"/>
          <w:szCs w:val="21"/>
          <w:highlight w:val="none"/>
        </w:rPr>
        <w:t>成交供应商的磋商保证金自成交通知书发出之日起4个工作日内退还，退还方式如下：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（1）采用银行转账方式的，以转账方式退回到供应商银行账户。</w:t>
      </w:r>
    </w:p>
    <w:p>
      <w:pPr>
        <w:pStyle w:val="8"/>
        <w:spacing w:line="360" w:lineRule="auto"/>
        <w:ind w:firstLine="315" w:firstLineChars="150"/>
        <w:rPr>
          <w:rFonts w:ascii="宋体" w:hAnsi="宋体" w:cs="宋体"/>
          <w:szCs w:val="21"/>
          <w:highlight w:val="none"/>
        </w:rPr>
      </w:pPr>
      <w:r>
        <w:rPr>
          <w:rFonts w:hint="eastAsia" w:ascii="宋体" w:hAnsi="宋体" w:cs="宋体"/>
          <w:szCs w:val="21"/>
          <w:highlight w:val="none"/>
        </w:rPr>
        <w:t>（2）采用支票、汇票、本票或者金融机构、担保机构出具的保函等方式的，由供应商代表持相关授权证明材料至采购代理机构办理支票、汇票、本票或者金融机构、担保机构出具的保函等原件退还手续。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17.2.2成交供应商的磋商保证金自签订合同之日起4个工作日内退还，退还方式同未成交供应商的磋商保证金的退还方式；或者转为成交供应商的履约保证金。 </w:t>
      </w:r>
    </w:p>
    <w:p>
      <w:pPr>
        <w:spacing w:line="360" w:lineRule="auto"/>
        <w:ind w:left="420" w:leftChars="200"/>
        <w:rPr>
          <w:rFonts w:ascii="宋体" w:hAnsi="宋体" w:cs="宋体"/>
          <w:szCs w:val="21"/>
          <w:highlight w:val="none"/>
        </w:rPr>
      </w:pPr>
      <w:r>
        <w:rPr>
          <w:rFonts w:hint="eastAsia" w:ascii="宋体" w:hAnsi="宋体" w:cs="宋体"/>
          <w:szCs w:val="21"/>
          <w:highlight w:val="none"/>
        </w:rPr>
        <w:t>17.3磋商保证金不计息。</w:t>
      </w:r>
    </w:p>
    <w:p>
      <w:pPr>
        <w:spacing w:line="360" w:lineRule="auto"/>
        <w:ind w:left="420" w:leftChars="200"/>
        <w:rPr>
          <w:rFonts w:ascii="宋体" w:hAnsi="宋体" w:cs="宋体"/>
          <w:szCs w:val="21"/>
          <w:highlight w:val="none"/>
        </w:rPr>
      </w:pPr>
      <w:r>
        <w:rPr>
          <w:rFonts w:hint="eastAsia" w:ascii="宋体" w:hAnsi="宋体" w:cs="宋体"/>
          <w:szCs w:val="21"/>
          <w:highlight w:val="none"/>
        </w:rPr>
        <w:t xml:space="preserve">17.4供应商有下列情形之一的，磋商保证金将不予退还： </w:t>
      </w:r>
    </w:p>
    <w:p>
      <w:pPr>
        <w:spacing w:line="360" w:lineRule="auto"/>
        <w:ind w:left="420" w:leftChars="200"/>
        <w:rPr>
          <w:rFonts w:ascii="宋体" w:hAnsi="宋体" w:cs="宋体"/>
          <w:szCs w:val="21"/>
          <w:highlight w:val="none"/>
        </w:rPr>
      </w:pPr>
      <w:r>
        <w:rPr>
          <w:rFonts w:hint="eastAsia" w:ascii="宋体" w:hAnsi="宋体" w:cs="宋体"/>
          <w:szCs w:val="21"/>
          <w:highlight w:val="none"/>
        </w:rPr>
        <w:t>（1）供应商在提交响应文件截止时间后撤回响应文件的；</w:t>
      </w:r>
    </w:p>
    <w:p>
      <w:pPr>
        <w:spacing w:line="360" w:lineRule="auto"/>
        <w:ind w:left="420" w:leftChars="200"/>
        <w:rPr>
          <w:rFonts w:ascii="宋体" w:hAnsi="宋体" w:cs="宋体"/>
          <w:szCs w:val="21"/>
          <w:highlight w:val="none"/>
        </w:rPr>
      </w:pPr>
      <w:r>
        <w:rPr>
          <w:rFonts w:hint="eastAsia" w:ascii="宋体" w:hAnsi="宋体" w:cs="宋体"/>
          <w:szCs w:val="21"/>
          <w:highlight w:val="none"/>
        </w:rPr>
        <w:t>（2）供应商在响应文件中提供虚假材料的；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（3）除因不可抗力或者磋商文件认可的情形以外，成交供应商不与采购人签订合同的；</w:t>
      </w:r>
    </w:p>
    <w:p>
      <w:pPr>
        <w:spacing w:line="360" w:lineRule="auto"/>
        <w:ind w:left="420" w:leftChars="200"/>
        <w:rPr>
          <w:rFonts w:ascii="宋体" w:hAnsi="宋体" w:cs="宋体"/>
          <w:szCs w:val="21"/>
          <w:highlight w:val="none"/>
        </w:rPr>
      </w:pPr>
      <w:r>
        <w:rPr>
          <w:rFonts w:hint="eastAsia" w:ascii="宋体" w:hAnsi="宋体" w:cs="宋体"/>
          <w:szCs w:val="21"/>
          <w:highlight w:val="none"/>
        </w:rPr>
        <w:t>（4）供应商与采购人、其他供应商或者采购代理机构恶意串通的；</w:t>
      </w:r>
    </w:p>
    <w:p>
      <w:pPr>
        <w:spacing w:line="360" w:lineRule="auto"/>
        <w:ind w:left="420" w:leftChars="200"/>
        <w:rPr>
          <w:rFonts w:ascii="宋体" w:hAnsi="宋体" w:cs="宋体"/>
          <w:szCs w:val="21"/>
          <w:highlight w:val="none"/>
        </w:rPr>
      </w:pPr>
      <w:r>
        <w:rPr>
          <w:rFonts w:hint="eastAsia" w:ascii="宋体" w:hAnsi="宋体" w:cs="宋体"/>
          <w:szCs w:val="21"/>
          <w:highlight w:val="none"/>
        </w:rPr>
        <w:t>（5）磋商文件规定的其他情形。</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18.响应文件编制的要求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18.2响应文件应按资格证明文件、报价文件分别编制，商务技术文件合并编制，本磋商只接受电子版响应文件，要求见本章“12.2响应文件电子版要求”。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w:t>
      </w:r>
      <w:bookmarkStart w:id="91" w:name="_Hlk65832699"/>
      <w:r>
        <w:rPr>
          <w:rFonts w:hint="eastAsia" w:ascii="宋体" w:hAnsi="宋体" w:cs="宋体"/>
          <w:szCs w:val="21"/>
          <w:highlight w:val="none"/>
        </w:rPr>
        <w:t>3响应文件须由供应商按</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要求进行签署、盖章</w:t>
      </w:r>
      <w:bookmarkEnd w:id="91"/>
      <w:r>
        <w:rPr>
          <w:rFonts w:hint="eastAsia" w:ascii="宋体" w:hAnsi="宋体" w:cs="宋体"/>
          <w:szCs w:val="21"/>
          <w:highlight w:val="none"/>
        </w:rPr>
        <w:t>，</w:t>
      </w:r>
      <w:r>
        <w:rPr>
          <w:rFonts w:hint="eastAsia" w:ascii="宋体" w:hAnsi="宋体" w:cs="宋体"/>
          <w:b/>
          <w:bCs/>
          <w:szCs w:val="21"/>
          <w:highlight w:val="none"/>
        </w:rPr>
        <w:t>否则其响应文件按无效响应处理</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18.4响应文件中标注的供应商名称应与营业执照（事业单位法人证书、执业许可证、自然人身份证）及供应商公章一致，</w:t>
      </w:r>
      <w:r>
        <w:rPr>
          <w:rFonts w:hint="eastAsia" w:ascii="宋体" w:hAnsi="宋体" w:cs="宋体"/>
          <w:b/>
          <w:bCs/>
          <w:szCs w:val="21"/>
          <w:highlight w:val="none"/>
        </w:rPr>
        <w:t>否则其响应文件按无效响应处理。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18.5响应文件应避免涂改、行间插字或者删除。</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19.响应文件的密封和标记</w:t>
      </w:r>
    </w:p>
    <w:p>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19.2使用广西政府采购云平台电子交易客户端需要提前申领CA数字证书。</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20.响应文件的提交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20.2 在响应文件提交截止时间以后，不能补充、修改响应文件。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20.3 在提交“最后报价”后，供应商不能退出磋商。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20.5 采购机构不可视情况延长提交响应文件的截止时间。</w:t>
      </w:r>
    </w:p>
    <w:p>
      <w:pPr>
        <w:spacing w:line="360" w:lineRule="auto"/>
        <w:ind w:firstLine="420" w:firstLineChars="200"/>
        <w:rPr>
          <w:rFonts w:ascii="宋体" w:hAnsi="宋体" w:cs="宋体"/>
          <w:sz w:val="24"/>
          <w:highlight w:val="none"/>
        </w:rPr>
      </w:pPr>
      <w:r>
        <w:rPr>
          <w:rFonts w:hint="eastAsia" w:ascii="宋体" w:hAnsi="宋体" w:cs="宋体"/>
          <w:szCs w:val="21"/>
          <w:highlight w:val="none"/>
        </w:rPr>
        <w:t>20.6备份响应文件。</w:t>
      </w:r>
      <w:r>
        <w:rPr>
          <w:rFonts w:hint="eastAsia" w:ascii="宋体" w:hAnsi="宋体" w:cs="宋体"/>
          <w:bCs/>
          <w:szCs w:val="21"/>
          <w:highlight w:val="none"/>
        </w:rPr>
        <w:t>详见“供应商须知前附表”。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21.首次响应文件的补充、修改与撤回</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ascii="宋体" w:hAnsi="宋体" w:cs="宋体"/>
          <w:b/>
          <w:bCs/>
          <w:sz w:val="24"/>
          <w:highlight w:val="none"/>
        </w:rPr>
      </w:pPr>
      <w:bookmarkStart w:id="92" w:name="_Hlk45702405"/>
      <w:r>
        <w:rPr>
          <w:rFonts w:hint="eastAsia" w:ascii="宋体" w:hAnsi="宋体" w:cs="宋体"/>
          <w:b/>
          <w:bCs/>
          <w:sz w:val="24"/>
          <w:highlight w:val="none"/>
        </w:rPr>
        <w:t>22. 首次响应文件的退回</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在首次响应文件提交截止时间止提交响应文件的供应商不足3家时，电子响应文件的退回由广西政府采购云平台自动操作。</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23. 截止时间后的撤回</w:t>
      </w:r>
    </w:p>
    <w:bookmarkEnd w:id="92"/>
    <w:p>
      <w:pPr>
        <w:pStyle w:val="16"/>
        <w:spacing w:line="360" w:lineRule="auto"/>
        <w:ind w:firstLine="420" w:firstLineChars="200"/>
        <w:rPr>
          <w:rFonts w:ascii="宋体" w:hAnsi="宋体" w:cs="宋体"/>
          <w:i/>
          <w:iCs/>
          <w:szCs w:val="21"/>
          <w:highlight w:val="none"/>
        </w:rPr>
      </w:pPr>
      <w:r>
        <w:rPr>
          <w:rFonts w:hint="eastAsia" w:ascii="宋体" w:hAnsi="宋体" w:cs="宋体"/>
          <w:highlight w:val="none"/>
        </w:rPr>
        <w:t>供应商在首次响应文件提交截止时间后向采购人、采购代理机构书面申请撤回电子响应文件的，将根据本须知正文17.4的规定不予退还其磋商保证金（如有）。</w:t>
      </w:r>
    </w:p>
    <w:p>
      <w:pPr>
        <w:pStyle w:val="5"/>
        <w:spacing w:before="0" w:after="0" w:line="360" w:lineRule="auto"/>
        <w:ind w:firstLine="640" w:firstLineChars="200"/>
        <w:rPr>
          <w:rFonts w:ascii="宋体" w:hAnsi="宋体" w:cs="宋体"/>
          <w:b w:val="0"/>
          <w:bCs w:val="0"/>
          <w:highlight w:val="none"/>
        </w:rPr>
      </w:pPr>
      <w:bookmarkStart w:id="93" w:name="_Toc17876"/>
      <w:bookmarkStart w:id="94" w:name="_Toc20044"/>
      <w:bookmarkStart w:id="95" w:name="_Toc80886933"/>
      <w:r>
        <w:rPr>
          <w:rFonts w:hint="eastAsia" w:ascii="宋体" w:hAnsi="宋体" w:cs="宋体"/>
          <w:b w:val="0"/>
          <w:bCs w:val="0"/>
          <w:highlight w:val="none"/>
        </w:rPr>
        <w:t>四、评审及磋商</w:t>
      </w:r>
      <w:bookmarkEnd w:id="93"/>
      <w:bookmarkEnd w:id="94"/>
      <w:bookmarkEnd w:id="95"/>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24.磋商小组成立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25.首次响应文件的开启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pPr>
        <w:spacing w:line="360" w:lineRule="auto"/>
        <w:ind w:firstLine="420" w:firstLineChars="200"/>
        <w:rPr>
          <w:rFonts w:ascii="宋体" w:hAnsi="宋体" w:cs="宋体"/>
          <w:bCs/>
          <w:kern w:val="0"/>
          <w:szCs w:val="21"/>
          <w:highlight w:val="none"/>
        </w:rPr>
      </w:pPr>
      <w:r>
        <w:rPr>
          <w:rFonts w:hint="eastAsia" w:ascii="宋体" w:hAnsi="宋体" w:cs="宋体"/>
          <w:kern w:val="0"/>
          <w:szCs w:val="21"/>
          <w:highlight w:val="none"/>
        </w:rPr>
        <w:t xml:space="preserve">25.2 </w:t>
      </w:r>
      <w:r>
        <w:rPr>
          <w:rFonts w:hint="eastAsia" w:ascii="宋体" w:hAnsi="宋体" w:cs="宋体"/>
          <w:bCs/>
          <w:kern w:val="0"/>
          <w:szCs w:val="21"/>
          <w:highlight w:val="none"/>
        </w:rPr>
        <w:t>响应文件解密</w:t>
      </w:r>
    </w:p>
    <w:p>
      <w:pPr>
        <w:snapToGrid w:val="0"/>
        <w:spacing w:line="360" w:lineRule="auto"/>
        <w:ind w:firstLine="420" w:firstLineChars="200"/>
        <w:rPr>
          <w:rFonts w:ascii="宋体" w:hAnsi="宋体" w:cs="宋体"/>
          <w:kern w:val="0"/>
          <w:szCs w:val="21"/>
          <w:highlight w:val="none"/>
        </w:rPr>
      </w:pPr>
      <w:r>
        <w:rPr>
          <w:rFonts w:hint="eastAsia" w:ascii="宋体" w:hAnsi="宋体" w:cs="宋体"/>
          <w:bCs/>
          <w:kern w:val="0"/>
          <w:szCs w:val="21"/>
          <w:highlight w:val="none"/>
        </w:rPr>
        <w:t>采购代理机构将在“供应商须知前附表”规定的时</w:t>
      </w:r>
      <w:r>
        <w:rPr>
          <w:rFonts w:hint="eastAsia" w:ascii="宋体" w:hAnsi="宋体" w:cs="宋体"/>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kern w:val="0"/>
          <w:szCs w:val="21"/>
          <w:highlight w:val="none"/>
        </w:rPr>
        <w:t>须携带加密时所用的CA锁按平台提示和采购文件的规定登录到广西政府采购云平台电子开标大厅签到并在规定的时间内完成对电子响应文件在线解密</w:t>
      </w:r>
      <w:r>
        <w:rPr>
          <w:rFonts w:hint="eastAsia" w:ascii="宋体" w:hAnsi="宋体" w:cs="宋体"/>
          <w:kern w:val="0"/>
          <w:szCs w:val="21"/>
          <w:highlight w:val="none"/>
        </w:rPr>
        <w:t>。</w:t>
      </w:r>
      <w:r>
        <w:rPr>
          <w:rFonts w:hint="eastAsia" w:ascii="宋体" w:hAnsi="宋体" w:cs="宋体"/>
          <w:kern w:val="1"/>
          <w:szCs w:val="21"/>
          <w:highlight w:val="none"/>
        </w:rPr>
        <w:t>响应文件未按时解密的</w:t>
      </w:r>
      <w:r>
        <w:rPr>
          <w:rFonts w:hint="eastAsia" w:ascii="宋体" w:hAnsi="宋体" w:cs="宋体"/>
          <w:kern w:val="0"/>
          <w:szCs w:val="21"/>
          <w:highlight w:val="none"/>
        </w:rPr>
        <w:t>，</w:t>
      </w:r>
      <w:r>
        <w:rPr>
          <w:rFonts w:hint="eastAsia" w:ascii="宋体" w:hAnsi="宋体" w:cs="宋体"/>
          <w:b/>
          <w:kern w:val="0"/>
          <w:szCs w:val="21"/>
          <w:highlight w:val="none"/>
        </w:rPr>
        <w:t>视为响应文件无效。</w:t>
      </w:r>
      <w:r>
        <w:rPr>
          <w:rFonts w:hint="eastAsia" w:ascii="宋体" w:hAnsi="宋体" w:cs="宋体"/>
          <w:kern w:val="0"/>
          <w:szCs w:val="21"/>
          <w:highlight w:val="none"/>
        </w:rPr>
        <w:t>（解密</w:t>
      </w:r>
      <w:r>
        <w:rPr>
          <w:rFonts w:hint="eastAsia" w:ascii="宋体" w:hAnsi="宋体" w:cs="宋体"/>
          <w:bCs/>
          <w:kern w:val="0"/>
          <w:szCs w:val="21"/>
          <w:highlight w:val="none"/>
        </w:rPr>
        <w:t>异常情况处理：详见本章</w:t>
      </w:r>
      <w:r>
        <w:rPr>
          <w:rFonts w:hint="eastAsia" w:ascii="宋体" w:hAnsi="宋体" w:cs="宋体"/>
          <w:kern w:val="0"/>
          <w:szCs w:val="21"/>
          <w:highlight w:val="none"/>
        </w:rPr>
        <w:t>26.4电子交易活动的中止。）</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如</w:t>
      </w:r>
      <w:r>
        <w:rPr>
          <w:rFonts w:hint="eastAsia" w:ascii="宋体" w:hAnsi="宋体" w:cs="宋体"/>
          <w:bCs/>
          <w:kern w:val="0"/>
          <w:szCs w:val="21"/>
          <w:highlight w:val="none"/>
        </w:rPr>
        <w:t>供应商成功解密响应文件，但未在广西政府采购云平台电子开标大厅参加磋商的，视同认可磋商过程和结果，</w:t>
      </w:r>
      <w:r>
        <w:rPr>
          <w:rFonts w:hint="eastAsia" w:ascii="宋体" w:hAnsi="宋体" w:cs="宋体"/>
          <w:kern w:val="0"/>
          <w:szCs w:val="21"/>
          <w:highlight w:val="none"/>
        </w:rPr>
        <w:t>由此产生的后果由供应商自行负责。 参与磋商的供应商不足3家的，不得磋商。</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26.评审程序、评审方法和评审标准</w:t>
      </w:r>
    </w:p>
    <w:p>
      <w:pPr>
        <w:spacing w:line="360" w:lineRule="auto"/>
        <w:ind w:firstLine="420" w:firstLineChars="200"/>
        <w:rPr>
          <w:rFonts w:ascii="宋体" w:hAnsi="宋体" w:cs="宋体"/>
          <w:highlight w:val="none"/>
        </w:rPr>
      </w:pPr>
      <w:r>
        <w:rPr>
          <w:rFonts w:hint="eastAsia" w:ascii="宋体" w:hAnsi="宋体" w:cs="宋体"/>
          <w:highlight w:val="none"/>
        </w:rPr>
        <w:t>26.1本项目的评审方法详见“供应商须知前附表”。磋商小组按照“第四章 评审程序、评审方法和评审标准”规定的方法、评审因素、标准和程序对响应文件进行评审。</w:t>
      </w:r>
    </w:p>
    <w:p>
      <w:pPr>
        <w:spacing w:line="360" w:lineRule="auto"/>
        <w:ind w:firstLine="420" w:firstLineChars="200"/>
        <w:rPr>
          <w:rFonts w:ascii="宋体" w:hAnsi="宋体" w:cs="宋体"/>
          <w:highlight w:val="none"/>
        </w:rPr>
      </w:pPr>
      <w:r>
        <w:rPr>
          <w:rFonts w:hint="eastAsia" w:ascii="宋体" w:hAnsi="宋体" w:cs="宋体"/>
          <w:highlight w:val="none"/>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cs="宋体"/>
          <w:szCs w:val="21"/>
          <w:highlight w:val="none"/>
        </w:rPr>
      </w:pPr>
      <w:r>
        <w:rPr>
          <w:rFonts w:hint="eastAsia" w:ascii="宋体" w:hAnsi="宋体" w:cs="宋体"/>
          <w:highlight w:val="none"/>
        </w:rPr>
        <w:t>26.3 采购需求负偏离要求及磋商顺序详见“供应商须知前附表</w:t>
      </w:r>
      <w:r>
        <w:rPr>
          <w:rFonts w:hint="eastAsia" w:ascii="宋体" w:hAnsi="宋体" w:cs="宋体"/>
          <w:szCs w:val="21"/>
          <w:highlight w:val="none"/>
        </w:rPr>
        <w:t>”。</w:t>
      </w:r>
    </w:p>
    <w:p>
      <w:pPr>
        <w:spacing w:line="360" w:lineRule="auto"/>
        <w:ind w:firstLine="420" w:firstLineChars="200"/>
        <w:rPr>
          <w:rFonts w:ascii="宋体" w:hAnsi="宋体" w:cs="宋体"/>
          <w:highlight w:val="none"/>
        </w:rPr>
      </w:pPr>
      <w:r>
        <w:rPr>
          <w:rFonts w:hint="eastAsia" w:ascii="宋体" w:hAnsi="宋体" w:cs="宋体"/>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highlight w:val="none"/>
        </w:rPr>
      </w:pPr>
      <w:r>
        <w:rPr>
          <w:rFonts w:hint="eastAsia" w:ascii="宋体" w:hAnsi="宋体" w:cs="宋体"/>
          <w:highlight w:val="none"/>
        </w:rPr>
        <w:t xml:space="preserve">（1）电子交易平台发生故障而无法登录访问的； </w:t>
      </w:r>
    </w:p>
    <w:p>
      <w:pPr>
        <w:spacing w:line="360" w:lineRule="auto"/>
        <w:ind w:firstLine="420" w:firstLineChars="200"/>
        <w:rPr>
          <w:rFonts w:ascii="宋体" w:hAnsi="宋体" w:cs="宋体"/>
          <w:highlight w:val="none"/>
        </w:rPr>
      </w:pPr>
      <w:r>
        <w:rPr>
          <w:rFonts w:hint="eastAsia" w:ascii="宋体" w:hAnsi="宋体" w:cs="宋体"/>
          <w:highlight w:val="none"/>
        </w:rPr>
        <w:t>（2）电子交易平台应用或数据库出现错误，不能进行正常操作的；</w:t>
      </w:r>
    </w:p>
    <w:p>
      <w:pPr>
        <w:spacing w:line="360" w:lineRule="auto"/>
        <w:ind w:firstLine="420" w:firstLineChars="200"/>
        <w:rPr>
          <w:rFonts w:ascii="宋体" w:hAnsi="宋体" w:cs="宋体"/>
          <w:highlight w:val="none"/>
        </w:rPr>
      </w:pPr>
      <w:r>
        <w:rPr>
          <w:rFonts w:hint="eastAsia" w:ascii="宋体" w:hAnsi="宋体" w:cs="宋体"/>
          <w:highlight w:val="none"/>
        </w:rPr>
        <w:t>（3）电子交易平台发现严重安全漏洞，有潜在泄密危险的；</w:t>
      </w:r>
    </w:p>
    <w:p>
      <w:pPr>
        <w:spacing w:line="360" w:lineRule="auto"/>
        <w:ind w:firstLine="420" w:firstLineChars="200"/>
        <w:rPr>
          <w:rFonts w:ascii="宋体" w:hAnsi="宋体" w:cs="宋体"/>
          <w:highlight w:val="none"/>
        </w:rPr>
      </w:pPr>
      <w:r>
        <w:rPr>
          <w:rFonts w:hint="eastAsia" w:ascii="宋体" w:hAnsi="宋体" w:cs="宋体"/>
          <w:highlight w:val="none"/>
        </w:rPr>
        <w:t xml:space="preserve">（4）病毒发作导致不能进行正常操作的； </w:t>
      </w:r>
    </w:p>
    <w:p>
      <w:pPr>
        <w:spacing w:line="360" w:lineRule="auto"/>
        <w:ind w:firstLine="420" w:firstLineChars="200"/>
        <w:rPr>
          <w:rFonts w:ascii="宋体" w:hAnsi="宋体" w:cs="宋体"/>
          <w:highlight w:val="none"/>
        </w:rPr>
      </w:pPr>
      <w:r>
        <w:rPr>
          <w:rFonts w:hint="eastAsia" w:ascii="宋体" w:hAnsi="宋体" w:cs="宋体"/>
          <w:highlight w:val="none"/>
        </w:rPr>
        <w:t>（5）其他无法保证电子交易的公平、公正和安全的情况。</w:t>
      </w:r>
    </w:p>
    <w:p>
      <w:pPr>
        <w:spacing w:line="360" w:lineRule="auto"/>
        <w:ind w:firstLine="420" w:firstLineChars="200"/>
        <w:rPr>
          <w:rFonts w:ascii="宋体" w:hAnsi="宋体" w:cs="宋体"/>
          <w:highlight w:val="none"/>
        </w:rPr>
      </w:pPr>
      <w:r>
        <w:rPr>
          <w:rFonts w:hint="eastAsia" w:ascii="宋体" w:hAnsi="宋体" w:cs="宋体"/>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480" w:firstLineChars="150"/>
        <w:rPr>
          <w:rFonts w:ascii="宋体" w:hAnsi="宋体" w:cs="宋体"/>
          <w:b w:val="0"/>
          <w:bCs w:val="0"/>
          <w:highlight w:val="none"/>
        </w:rPr>
      </w:pPr>
      <w:bookmarkStart w:id="96" w:name="_Toc12018"/>
      <w:bookmarkStart w:id="97" w:name="_Toc17745"/>
      <w:bookmarkStart w:id="98" w:name="_Toc80886934"/>
      <w:r>
        <w:rPr>
          <w:rFonts w:hint="eastAsia" w:ascii="宋体" w:hAnsi="宋体" w:cs="宋体"/>
          <w:b w:val="0"/>
          <w:bCs w:val="0"/>
          <w:highlight w:val="none"/>
        </w:rPr>
        <w:t>五、成交及合同</w:t>
      </w:r>
      <w:bookmarkEnd w:id="96"/>
      <w:bookmarkEnd w:id="97"/>
      <w:bookmarkEnd w:id="98"/>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27.确定成交供应商及结果公告</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27.2成交通知及成交结果公告。采购代理机构应当在</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szCs w:val="21"/>
          <w:highlight w:val="none"/>
        </w:rPr>
      </w:pPr>
      <w:r>
        <w:rPr>
          <w:rFonts w:hint="eastAsia" w:ascii="宋体" w:hAnsi="宋体" w:cs="宋体"/>
          <w:bCs/>
          <w:szCs w:val="21"/>
          <w:highlight w:val="none"/>
        </w:rPr>
        <w:t>27.5排名第一的成交候选人放弃成交，采购人可以按照评审报告推荐的成交候选人名单排序，依法确定下一候选人为成交</w:t>
      </w:r>
      <w:r>
        <w:rPr>
          <w:rFonts w:hint="eastAsia" w:ascii="宋体" w:hAnsi="宋体" w:cs="宋体"/>
          <w:szCs w:val="21"/>
          <w:highlight w:val="none"/>
        </w:rPr>
        <w:t>供应商</w:t>
      </w:r>
      <w:r>
        <w:rPr>
          <w:rFonts w:hint="eastAsia" w:ascii="宋体" w:hAnsi="宋体" w:cs="宋体"/>
          <w:bCs/>
          <w:szCs w:val="21"/>
          <w:highlight w:val="none"/>
        </w:rPr>
        <w:t>，也可以重新开展政府采购活动</w:t>
      </w:r>
      <w:r>
        <w:rPr>
          <w:rFonts w:hint="eastAsia" w:ascii="宋体" w:hAnsi="宋体" w:cs="宋体"/>
          <w:szCs w:val="21"/>
          <w:highlight w:val="none"/>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28.履约保证金</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28.1 履约保证金的金额、提交方式、退付的时间和条件详见 “供应商须知前附表”。成交供应商未按规定提交履约保证金的，视为拒绝</w:t>
      </w:r>
      <w:r>
        <w:rPr>
          <w:rFonts w:hint="eastAsia" w:ascii="宋体" w:hAnsi="宋体" w:cs="宋体"/>
          <w:highlight w:val="none"/>
        </w:rPr>
        <w:t>与采购人</w:t>
      </w:r>
      <w:r>
        <w:rPr>
          <w:rFonts w:hint="eastAsia" w:ascii="宋体" w:hAnsi="宋体" w:cs="宋体"/>
          <w:szCs w:val="21"/>
          <w:highlight w:val="none"/>
        </w:rPr>
        <w:t>签订合同，采购人可以按照评审报告推荐的成交候选人名单排序，依法确定下一候选人为成交供应商，也可以重新开展政府采购活动。</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28.2签订合同后，如成交供应商不按双方签订的合同规定履约，则没收其全部履约保证金，履约保证金不足以赔偿损失的，按实际损失赔偿。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28.3在履约保证金退还日期前，若成交供应商的开户名称、开户银行、账号有变动的，请以书面形式通知履约保证金收取单位，否则由此产生的后果由成交供应商自行承担。</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29.签订合同</w:t>
      </w:r>
    </w:p>
    <w:p>
      <w:pPr>
        <w:pStyle w:val="67"/>
        <w:snapToGrid w:val="0"/>
        <w:spacing w:before="0"/>
        <w:ind w:firstLine="420"/>
        <w:rPr>
          <w:rFonts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29.4如签订合同并生效后，供应商无故拒绝或延期，除按照合同条款处理外，列入不良行为记录，并给予通报。</w:t>
      </w:r>
    </w:p>
    <w:p>
      <w:pPr>
        <w:spacing w:line="360" w:lineRule="auto"/>
        <w:ind w:firstLine="420" w:firstLineChars="200"/>
        <w:rPr>
          <w:rFonts w:ascii="宋体" w:hAnsi="宋体" w:cs="宋体"/>
          <w:b/>
          <w:bCs/>
          <w:i/>
          <w:iCs/>
          <w:szCs w:val="21"/>
          <w:highlight w:val="none"/>
        </w:rPr>
      </w:pPr>
      <w:r>
        <w:rPr>
          <w:rFonts w:hint="eastAsia" w:ascii="宋体" w:hAnsi="宋体" w:cs="宋体"/>
          <w:szCs w:val="21"/>
          <w:highlight w:val="none"/>
        </w:rPr>
        <w:t>29.5采购合同由采购人与成交供应商根据磋商文件、响应文件等内容签订，成交供应商应当在签订合同时向采购人出示相关证明材料，具体内容详见 “供应商须知前附表”，经采购人核验合格后方可签订合同。</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30.政府采购合同公告</w:t>
      </w:r>
    </w:p>
    <w:p>
      <w:pPr>
        <w:spacing w:line="360" w:lineRule="auto"/>
        <w:ind w:firstLine="420" w:firstLineChars="200"/>
        <w:rPr>
          <w:rFonts w:ascii="宋体" w:hAnsi="宋体" w:cs="宋体"/>
          <w:highlight w:val="none"/>
        </w:rPr>
      </w:pPr>
      <w:r>
        <w:rPr>
          <w:rFonts w:hint="eastAsia" w:ascii="宋体" w:hAnsi="宋体" w:cs="宋体"/>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cs="宋体"/>
          <w:highlight w:val="none"/>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 询问、质疑和投诉</w:t>
      </w:r>
    </w:p>
    <w:p>
      <w:pPr>
        <w:spacing w:line="360" w:lineRule="auto"/>
        <w:ind w:firstLine="420" w:firstLineChars="200"/>
        <w:rPr>
          <w:rFonts w:ascii="宋体" w:hAnsi="宋体" w:cs="宋体"/>
          <w:highlight w:val="none"/>
        </w:rPr>
      </w:pPr>
      <w:r>
        <w:rPr>
          <w:rFonts w:hint="eastAsia" w:ascii="宋体" w:hAnsi="宋体" w:cs="宋体"/>
          <w:highlight w:val="none"/>
        </w:rPr>
        <w:t>31.1供应商对政府采购活动事项有疑问的，可以向采购人或者采购代理机构提出询问，采购人或者采购代理机构应当在3个工作日内对供应商依法提出的询问作出答复。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cs="宋体"/>
          <w:b/>
          <w:szCs w:val="21"/>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w:t>
      </w:r>
      <w:r>
        <w:rPr>
          <w:rFonts w:hint="eastAsia" w:ascii="宋体" w:hAnsi="宋体" w:cs="宋体"/>
          <w:b/>
          <w:szCs w:val="21"/>
          <w:highlight w:val="none"/>
        </w:rPr>
        <w:t xml:space="preserve">具体质疑起算时间及处理方式如下： </w:t>
      </w:r>
    </w:p>
    <w:p>
      <w:pPr>
        <w:spacing w:line="360" w:lineRule="auto"/>
        <w:ind w:firstLine="420" w:firstLineChars="200"/>
        <w:rPr>
          <w:rFonts w:ascii="宋体" w:hAnsi="宋体" w:cs="宋体"/>
          <w:bCs/>
          <w:highlight w:val="none"/>
        </w:rPr>
      </w:pPr>
      <w:r>
        <w:rPr>
          <w:rFonts w:hint="eastAsia" w:ascii="宋体" w:hAnsi="宋体" w:cs="宋体"/>
          <w:bCs/>
          <w:highlight w:val="none"/>
        </w:rPr>
        <w:t>（1）潜在供应商依法获取采购文件后，认为采购文件使自己的权益受到损害的，应当在竞争性磋商文件公告期限届满之日起7个工作日内提出质疑。</w:t>
      </w:r>
      <w:r>
        <w:rPr>
          <w:rFonts w:hint="eastAsia" w:ascii="宋体" w:hAnsi="宋体" w:cs="宋体"/>
          <w:highlight w:val="none"/>
        </w:rPr>
        <w:t>委托代理协议无特殊约定的，</w:t>
      </w:r>
      <w:r>
        <w:rPr>
          <w:rFonts w:hint="eastAsia" w:ascii="宋体" w:hAnsi="宋体" w:cs="宋体"/>
          <w:bCs/>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cs="宋体"/>
          <w:bCs/>
          <w:highlight w:val="none"/>
        </w:rPr>
      </w:pPr>
      <w:r>
        <w:rPr>
          <w:rFonts w:hint="eastAsia" w:ascii="宋体" w:hAnsi="宋体" w:cs="宋体"/>
          <w:bCs/>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ascii="宋体" w:hAnsi="宋体" w:cs="宋体"/>
          <w:highlight w:val="none"/>
        </w:rPr>
      </w:pPr>
      <w:r>
        <w:rPr>
          <w:rFonts w:hint="eastAsia" w:ascii="宋体" w:hAnsi="宋体" w:cs="宋体"/>
          <w:b/>
          <w:bCs/>
          <w:highlight w:val="none"/>
        </w:rPr>
        <w:t>31.4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pPr>
        <w:spacing w:line="360" w:lineRule="auto"/>
        <w:ind w:firstLine="420" w:firstLineChars="200"/>
        <w:rPr>
          <w:rFonts w:ascii="宋体" w:hAnsi="宋体" w:cs="宋体"/>
          <w:highlight w:val="none"/>
        </w:rPr>
      </w:pPr>
      <w:r>
        <w:rPr>
          <w:rFonts w:hint="eastAsia" w:ascii="宋体" w:hAnsi="宋体" w:cs="宋体"/>
          <w:highlight w:val="none"/>
        </w:rPr>
        <w:t>（2）质疑项目的名称、编号；</w:t>
      </w:r>
    </w:p>
    <w:p>
      <w:pPr>
        <w:spacing w:line="360" w:lineRule="auto"/>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pPr>
        <w:spacing w:line="360" w:lineRule="auto"/>
        <w:ind w:firstLine="420" w:firstLineChars="200"/>
        <w:rPr>
          <w:rFonts w:ascii="宋体" w:hAnsi="宋体" w:cs="宋体"/>
          <w:highlight w:val="none"/>
        </w:rPr>
      </w:pPr>
      <w:r>
        <w:rPr>
          <w:rFonts w:hint="eastAsia" w:ascii="宋体" w:hAnsi="宋体" w:cs="宋体"/>
          <w:highlight w:val="none"/>
        </w:rPr>
        <w:t>（4）事实依据；</w:t>
      </w:r>
    </w:p>
    <w:p>
      <w:pPr>
        <w:spacing w:line="360" w:lineRule="auto"/>
        <w:ind w:firstLine="420" w:firstLineChars="200"/>
        <w:rPr>
          <w:rFonts w:ascii="宋体" w:hAnsi="宋体" w:cs="宋体"/>
          <w:highlight w:val="none"/>
        </w:rPr>
      </w:pPr>
      <w:r>
        <w:rPr>
          <w:rFonts w:hint="eastAsia" w:ascii="宋体" w:hAnsi="宋体" w:cs="宋体"/>
          <w:highlight w:val="none"/>
        </w:rPr>
        <w:t>（5）必要的法律依据；</w:t>
      </w:r>
    </w:p>
    <w:p>
      <w:pPr>
        <w:spacing w:line="360" w:lineRule="auto"/>
        <w:ind w:firstLine="420" w:firstLineChars="200"/>
        <w:rPr>
          <w:rFonts w:ascii="宋体" w:hAnsi="宋体" w:cs="宋体"/>
          <w:highlight w:val="none"/>
        </w:rPr>
      </w:pPr>
      <w:r>
        <w:rPr>
          <w:rFonts w:hint="eastAsia" w:ascii="宋体" w:hAnsi="宋体" w:cs="宋体"/>
          <w:highlight w:val="none"/>
        </w:rPr>
        <w:t>（6）提出质疑的日期。</w:t>
      </w:r>
    </w:p>
    <w:p>
      <w:pPr>
        <w:spacing w:line="360" w:lineRule="auto"/>
        <w:ind w:firstLine="420" w:firstLineChars="200"/>
        <w:rPr>
          <w:rFonts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pPr>
        <w:spacing w:line="360" w:lineRule="auto"/>
        <w:ind w:firstLine="422" w:firstLineChars="200"/>
        <w:rPr>
          <w:rFonts w:ascii="宋体" w:hAnsi="宋体" w:cs="宋体"/>
          <w:highlight w:val="none"/>
        </w:rPr>
      </w:pPr>
      <w:r>
        <w:rPr>
          <w:rFonts w:hint="eastAsia" w:ascii="宋体" w:hAnsi="宋体" w:cs="宋体"/>
          <w:b/>
          <w:bCs/>
          <w:highlight w:val="none"/>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highlight w:val="none"/>
        </w:rPr>
        <w:t>。</w:t>
      </w:r>
      <w:bookmarkStart w:id="99" w:name="_Toc80205930"/>
    </w:p>
    <w:p>
      <w:pPr>
        <w:pStyle w:val="5"/>
        <w:spacing w:before="0" w:after="0" w:line="360" w:lineRule="auto"/>
        <w:ind w:firstLine="313" w:firstLineChars="98"/>
        <w:rPr>
          <w:rFonts w:ascii="宋体" w:hAnsi="宋体" w:cs="宋体"/>
          <w:b w:val="0"/>
          <w:highlight w:val="none"/>
        </w:rPr>
      </w:pPr>
      <w:bookmarkStart w:id="100" w:name="_Toc26989"/>
      <w:bookmarkStart w:id="101" w:name="_Toc9275"/>
      <w:bookmarkStart w:id="102" w:name="_Toc80886935"/>
      <w:r>
        <w:rPr>
          <w:rFonts w:hint="eastAsia" w:ascii="宋体" w:hAnsi="宋体" w:cs="宋体"/>
          <w:b w:val="0"/>
          <w:bCs w:val="0"/>
          <w:highlight w:val="none"/>
        </w:rPr>
        <w:t>六</w:t>
      </w:r>
      <w:r>
        <w:rPr>
          <w:rFonts w:hint="eastAsia" w:ascii="宋体" w:hAnsi="宋体" w:cs="宋体"/>
          <w:b w:val="0"/>
          <w:highlight w:val="none"/>
        </w:rPr>
        <w:t>、验收</w:t>
      </w:r>
      <w:bookmarkEnd w:id="99"/>
      <w:bookmarkEnd w:id="100"/>
      <w:bookmarkEnd w:id="101"/>
      <w:bookmarkEnd w:id="102"/>
    </w:p>
    <w:p>
      <w:pPr>
        <w:tabs>
          <w:tab w:val="left" w:pos="0"/>
        </w:tabs>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32.验收</w:t>
      </w:r>
    </w:p>
    <w:p>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highlight w:val="none"/>
        </w:rPr>
        <w:t>（如有）</w:t>
      </w:r>
      <w:r>
        <w:rPr>
          <w:rFonts w:hint="eastAsia" w:ascii="宋体" w:hAnsi="宋体" w:cs="宋体"/>
          <w:kern w:val="0"/>
          <w:szCs w:val="21"/>
          <w:highlight w:val="none"/>
        </w:rPr>
        <w:t>返还条件挂钩。履约验收的各项资料应当存档备查。</w:t>
      </w:r>
    </w:p>
    <w:p>
      <w:pPr>
        <w:tabs>
          <w:tab w:val="left" w:pos="0"/>
        </w:tabs>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320" w:firstLineChars="100"/>
        <w:rPr>
          <w:rFonts w:ascii="宋体" w:hAnsi="宋体" w:cs="宋体"/>
          <w:b w:val="0"/>
          <w:bCs w:val="0"/>
          <w:highlight w:val="none"/>
        </w:rPr>
      </w:pPr>
      <w:bookmarkStart w:id="103" w:name="_Toc10913"/>
      <w:bookmarkStart w:id="104" w:name="_Toc80886936"/>
      <w:bookmarkStart w:id="105" w:name="_Toc1170"/>
      <w:r>
        <w:rPr>
          <w:rFonts w:hint="eastAsia" w:ascii="宋体" w:hAnsi="宋体" w:cs="宋体"/>
          <w:b w:val="0"/>
          <w:bCs w:val="0"/>
          <w:highlight w:val="none"/>
        </w:rPr>
        <w:t>七、其他事项</w:t>
      </w:r>
      <w:bookmarkEnd w:id="103"/>
      <w:bookmarkEnd w:id="104"/>
      <w:bookmarkEnd w:id="105"/>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33.采购代理服务费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33.1 采购代理服务费收费标准及缴费账户详见“供应商须知前附表”。</w:t>
      </w:r>
    </w:p>
    <w:p>
      <w:pPr>
        <w:pStyle w:val="16"/>
        <w:ind w:firstLine="420" w:firstLineChars="200"/>
        <w:rPr>
          <w:rFonts w:ascii="宋体" w:hAnsi="宋体" w:cs="宋体"/>
          <w:highlight w:val="none"/>
        </w:rPr>
      </w:pPr>
      <w:r>
        <w:rPr>
          <w:rFonts w:hint="eastAsia" w:ascii="宋体" w:hAnsi="宋体" w:cs="宋体"/>
          <w:szCs w:val="21"/>
          <w:highlight w:val="none"/>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szCs w:val="21"/>
                <w:highlight w:val="none"/>
              </w:rPr>
            </w:pPr>
            <w:r>
              <w:rPr>
                <w:rFonts w:hint="eastAsia" w:ascii="宋体" w:hAnsi="宋体" w:cs="宋体"/>
                <w:szCs w:val="21"/>
                <w:highlight w:val="none"/>
              </w:rPr>
              <w:t xml:space="preserve">               费率</w:t>
            </w:r>
          </w:p>
          <w:p>
            <w:pPr>
              <w:spacing w:line="360" w:lineRule="auto"/>
              <w:rPr>
                <w:rFonts w:ascii="宋体" w:hAnsi="宋体" w:cs="宋体"/>
                <w:szCs w:val="21"/>
                <w:highlight w:val="none"/>
              </w:rPr>
            </w:pPr>
            <w:r>
              <w:rPr>
                <w:rFonts w:hint="eastAsia" w:ascii="宋体" w:hAnsi="宋体" w:cs="宋体"/>
                <w:szCs w:val="21"/>
                <w:highlight w:val="none"/>
              </w:rPr>
              <w:t>金额</w:t>
            </w:r>
          </w:p>
        </w:tc>
        <w:tc>
          <w:tcPr>
            <w:tcW w:w="1659" w:type="dxa"/>
            <w:vAlign w:val="center"/>
          </w:tcPr>
          <w:p>
            <w:pPr>
              <w:spacing w:line="360" w:lineRule="auto"/>
              <w:ind w:firstLine="105" w:firstLineChars="50"/>
              <w:jc w:val="center"/>
              <w:rPr>
                <w:rFonts w:ascii="宋体" w:hAnsi="宋体" w:cs="宋体"/>
                <w:szCs w:val="21"/>
                <w:highlight w:val="none"/>
              </w:rPr>
            </w:pPr>
            <w:r>
              <w:rPr>
                <w:rFonts w:hint="eastAsia" w:ascii="宋体" w:hAnsi="宋体" w:cs="宋体"/>
                <w:szCs w:val="21"/>
                <w:highlight w:val="none"/>
              </w:rPr>
              <w:t>货物类</w:t>
            </w:r>
          </w:p>
        </w:tc>
        <w:tc>
          <w:tcPr>
            <w:tcW w:w="1532"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服务类</w:t>
            </w:r>
          </w:p>
        </w:tc>
        <w:tc>
          <w:tcPr>
            <w:tcW w:w="1546"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100万元以下</w:t>
            </w:r>
          </w:p>
        </w:tc>
        <w:tc>
          <w:tcPr>
            <w:tcW w:w="1659" w:type="dxa"/>
          </w:tcPr>
          <w:p>
            <w:pPr>
              <w:spacing w:line="360" w:lineRule="auto"/>
              <w:rPr>
                <w:rFonts w:ascii="宋体" w:hAnsi="宋体" w:cs="宋体"/>
                <w:szCs w:val="21"/>
                <w:highlight w:val="none"/>
              </w:rPr>
            </w:pPr>
            <w:r>
              <w:rPr>
                <w:rFonts w:hint="eastAsia" w:ascii="宋体" w:hAnsi="宋体" w:cs="宋体"/>
                <w:kern w:val="0"/>
                <w:szCs w:val="21"/>
                <w:highlight w:val="none"/>
              </w:rPr>
              <w:t xml:space="preserve">  1.5%                </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1.5%</w:t>
            </w:r>
          </w:p>
        </w:tc>
        <w:tc>
          <w:tcPr>
            <w:tcW w:w="1546"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100～500万元</w:t>
            </w:r>
          </w:p>
        </w:tc>
        <w:tc>
          <w:tcPr>
            <w:tcW w:w="1659"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1.1%                 </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0.8%</w:t>
            </w:r>
          </w:p>
        </w:tc>
        <w:tc>
          <w:tcPr>
            <w:tcW w:w="1546"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500～1000万元</w:t>
            </w:r>
          </w:p>
        </w:tc>
        <w:tc>
          <w:tcPr>
            <w:tcW w:w="1659" w:type="dxa"/>
          </w:tcPr>
          <w:p>
            <w:pPr>
              <w:spacing w:line="360" w:lineRule="auto"/>
              <w:rPr>
                <w:rFonts w:ascii="宋体" w:hAnsi="宋体" w:cs="宋体"/>
                <w:szCs w:val="21"/>
                <w:highlight w:val="none"/>
              </w:rPr>
            </w:pPr>
            <w:r>
              <w:rPr>
                <w:rFonts w:hint="eastAsia" w:ascii="宋体" w:hAnsi="宋体" w:cs="宋体"/>
                <w:kern w:val="0"/>
                <w:szCs w:val="21"/>
                <w:highlight w:val="none"/>
              </w:rPr>
              <w:t xml:space="preserve">  0.8%                </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0.45%</w:t>
            </w:r>
          </w:p>
        </w:tc>
        <w:tc>
          <w:tcPr>
            <w:tcW w:w="1546"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1000～5000万元</w:t>
            </w:r>
          </w:p>
        </w:tc>
        <w:tc>
          <w:tcPr>
            <w:tcW w:w="1659"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0.5%                </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0.25%</w:t>
            </w:r>
          </w:p>
        </w:tc>
        <w:tc>
          <w:tcPr>
            <w:tcW w:w="1546"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5000万元～1亿元</w:t>
            </w:r>
          </w:p>
        </w:tc>
        <w:tc>
          <w:tcPr>
            <w:tcW w:w="1659"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0.25%                 </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0.1%</w:t>
            </w:r>
          </w:p>
        </w:tc>
        <w:tc>
          <w:tcPr>
            <w:tcW w:w="1546" w:type="dxa"/>
          </w:tcPr>
          <w:p>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1～5亿元</w:t>
            </w:r>
          </w:p>
        </w:tc>
        <w:tc>
          <w:tcPr>
            <w:tcW w:w="1659" w:type="dxa"/>
          </w:tcPr>
          <w:p>
            <w:pPr>
              <w:spacing w:line="360" w:lineRule="auto"/>
              <w:ind w:firstLine="210" w:firstLineChars="100"/>
              <w:rPr>
                <w:rFonts w:ascii="宋体" w:hAnsi="宋体" w:cs="宋体"/>
                <w:szCs w:val="21"/>
                <w:highlight w:val="none"/>
              </w:rPr>
            </w:pPr>
            <w:r>
              <w:rPr>
                <w:rFonts w:hint="eastAsia" w:ascii="宋体" w:hAnsi="宋体" w:cs="宋体"/>
                <w:szCs w:val="21"/>
                <w:highlight w:val="none"/>
              </w:rPr>
              <w:t>0.05%</w:t>
            </w:r>
          </w:p>
        </w:tc>
        <w:tc>
          <w:tcPr>
            <w:tcW w:w="1532" w:type="dxa"/>
          </w:tcPr>
          <w:p>
            <w:pPr>
              <w:spacing w:line="360" w:lineRule="auto"/>
              <w:rPr>
                <w:rFonts w:ascii="宋体" w:hAnsi="宋体" w:cs="宋体"/>
                <w:szCs w:val="21"/>
                <w:highlight w:val="none"/>
              </w:rPr>
            </w:pPr>
            <w:r>
              <w:rPr>
                <w:rFonts w:hint="eastAsia" w:ascii="宋体" w:hAnsi="宋体" w:cs="宋体"/>
                <w:szCs w:val="21"/>
                <w:highlight w:val="none"/>
              </w:rPr>
              <w:t xml:space="preserve">  0.05%</w:t>
            </w:r>
          </w:p>
        </w:tc>
        <w:tc>
          <w:tcPr>
            <w:tcW w:w="1546" w:type="dxa"/>
          </w:tcPr>
          <w:p>
            <w:pPr>
              <w:spacing w:line="360" w:lineRule="auto"/>
              <w:rPr>
                <w:rFonts w:ascii="宋体" w:hAnsi="宋体" w:cs="宋体"/>
                <w:szCs w:val="21"/>
                <w:highlight w:val="none"/>
              </w:rPr>
            </w:pPr>
            <w:r>
              <w:rPr>
                <w:rFonts w:hint="eastAsia" w:ascii="宋体" w:hAnsi="宋体" w:cs="宋体"/>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5～10亿元</w:t>
            </w:r>
          </w:p>
        </w:tc>
        <w:tc>
          <w:tcPr>
            <w:tcW w:w="1659" w:type="dxa"/>
          </w:tcPr>
          <w:p>
            <w:pPr>
              <w:spacing w:line="360" w:lineRule="auto"/>
              <w:ind w:firstLine="105" w:firstLineChars="50"/>
              <w:rPr>
                <w:rFonts w:ascii="宋体" w:hAnsi="宋体" w:cs="宋体"/>
                <w:szCs w:val="21"/>
                <w:highlight w:val="none"/>
              </w:rPr>
            </w:pPr>
            <w:r>
              <w:rPr>
                <w:rFonts w:hint="eastAsia" w:ascii="宋体" w:hAnsi="宋体" w:cs="宋体"/>
                <w:szCs w:val="21"/>
                <w:highlight w:val="none"/>
              </w:rPr>
              <w:t>0.035%</w:t>
            </w:r>
          </w:p>
        </w:tc>
        <w:tc>
          <w:tcPr>
            <w:tcW w:w="1532" w:type="dxa"/>
          </w:tcPr>
          <w:p>
            <w:pPr>
              <w:spacing w:line="360" w:lineRule="auto"/>
              <w:rPr>
                <w:rFonts w:ascii="宋体" w:hAnsi="宋体" w:cs="宋体"/>
                <w:szCs w:val="21"/>
                <w:highlight w:val="none"/>
              </w:rPr>
            </w:pPr>
            <w:r>
              <w:rPr>
                <w:rFonts w:hint="eastAsia" w:ascii="宋体" w:hAnsi="宋体" w:cs="宋体"/>
                <w:szCs w:val="21"/>
                <w:highlight w:val="none"/>
              </w:rPr>
              <w:t xml:space="preserve">  0.035%</w:t>
            </w:r>
          </w:p>
        </w:tc>
        <w:tc>
          <w:tcPr>
            <w:tcW w:w="1546" w:type="dxa"/>
          </w:tcPr>
          <w:p>
            <w:pPr>
              <w:spacing w:line="360" w:lineRule="auto"/>
              <w:ind w:firstLine="105" w:firstLineChars="50"/>
              <w:rPr>
                <w:rFonts w:ascii="宋体" w:hAnsi="宋体" w:cs="宋体"/>
                <w:szCs w:val="21"/>
                <w:highlight w:val="none"/>
              </w:rPr>
            </w:pPr>
            <w:r>
              <w:rPr>
                <w:rFonts w:hint="eastAsia" w:ascii="宋体" w:hAnsi="宋体" w:cs="宋体"/>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10～50亿元</w:t>
            </w:r>
          </w:p>
        </w:tc>
        <w:tc>
          <w:tcPr>
            <w:tcW w:w="1659" w:type="dxa"/>
          </w:tcPr>
          <w:p>
            <w:pPr>
              <w:spacing w:line="360" w:lineRule="auto"/>
              <w:ind w:firstLine="105" w:firstLineChars="50"/>
              <w:rPr>
                <w:rFonts w:ascii="宋体" w:hAnsi="宋体" w:cs="宋体"/>
                <w:szCs w:val="21"/>
                <w:highlight w:val="none"/>
              </w:rPr>
            </w:pPr>
            <w:r>
              <w:rPr>
                <w:rFonts w:hint="eastAsia" w:ascii="宋体" w:hAnsi="宋体" w:cs="宋体"/>
                <w:szCs w:val="21"/>
                <w:highlight w:val="none"/>
              </w:rPr>
              <w:t>0.008%</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szCs w:val="21"/>
                <w:highlight w:val="none"/>
              </w:rPr>
              <w:t>0.008%</w:t>
            </w:r>
          </w:p>
        </w:tc>
        <w:tc>
          <w:tcPr>
            <w:tcW w:w="1546" w:type="dxa"/>
          </w:tcPr>
          <w:p>
            <w:pPr>
              <w:spacing w:line="360" w:lineRule="auto"/>
              <w:ind w:firstLine="105" w:firstLineChars="50"/>
              <w:rPr>
                <w:rFonts w:ascii="宋体" w:hAnsi="宋体" w:cs="宋体"/>
                <w:szCs w:val="21"/>
                <w:highlight w:val="none"/>
              </w:rPr>
            </w:pPr>
            <w:r>
              <w:rPr>
                <w:rFonts w:hint="eastAsia" w:ascii="宋体" w:hAnsi="宋体" w:cs="宋体"/>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50～100亿元</w:t>
            </w:r>
          </w:p>
        </w:tc>
        <w:tc>
          <w:tcPr>
            <w:tcW w:w="1659" w:type="dxa"/>
          </w:tcPr>
          <w:p>
            <w:pPr>
              <w:spacing w:line="360" w:lineRule="auto"/>
              <w:rPr>
                <w:rFonts w:ascii="宋体" w:hAnsi="宋体" w:cs="宋体"/>
                <w:szCs w:val="21"/>
                <w:highlight w:val="none"/>
              </w:rPr>
            </w:pPr>
            <w:r>
              <w:rPr>
                <w:rFonts w:hint="eastAsia" w:ascii="宋体" w:hAnsi="宋体" w:cs="宋体"/>
                <w:szCs w:val="21"/>
                <w:highlight w:val="none"/>
              </w:rPr>
              <w:t xml:space="preserve"> 0.006%</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szCs w:val="21"/>
                <w:highlight w:val="none"/>
              </w:rPr>
              <w:t>0.006%</w:t>
            </w:r>
          </w:p>
        </w:tc>
        <w:tc>
          <w:tcPr>
            <w:tcW w:w="1546" w:type="dxa"/>
          </w:tcPr>
          <w:p>
            <w:pPr>
              <w:spacing w:line="360" w:lineRule="auto"/>
              <w:ind w:firstLine="105" w:firstLineChars="50"/>
              <w:rPr>
                <w:rFonts w:ascii="宋体" w:hAnsi="宋体" w:cs="宋体"/>
                <w:szCs w:val="21"/>
                <w:highlight w:val="none"/>
              </w:rPr>
            </w:pPr>
            <w:r>
              <w:rPr>
                <w:rFonts w:hint="eastAsia" w:ascii="宋体" w:hAnsi="宋体" w:cs="宋体"/>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szCs w:val="21"/>
                <w:highlight w:val="none"/>
              </w:rPr>
            </w:pPr>
            <w:r>
              <w:rPr>
                <w:rFonts w:hint="eastAsia" w:ascii="宋体" w:hAnsi="宋体" w:cs="宋体"/>
                <w:szCs w:val="21"/>
                <w:highlight w:val="none"/>
              </w:rPr>
              <w:t>100亿以上</w:t>
            </w:r>
          </w:p>
        </w:tc>
        <w:tc>
          <w:tcPr>
            <w:tcW w:w="1659" w:type="dxa"/>
          </w:tcPr>
          <w:p>
            <w:pPr>
              <w:spacing w:line="360" w:lineRule="auto"/>
              <w:rPr>
                <w:rFonts w:ascii="宋体" w:hAnsi="宋体" w:cs="宋体"/>
                <w:szCs w:val="21"/>
                <w:highlight w:val="none"/>
              </w:rPr>
            </w:pPr>
            <w:r>
              <w:rPr>
                <w:rFonts w:hint="eastAsia" w:ascii="宋体" w:hAnsi="宋体" w:cs="宋体"/>
                <w:szCs w:val="21"/>
                <w:highlight w:val="none"/>
              </w:rPr>
              <w:t xml:space="preserve"> 0.004%</w:t>
            </w:r>
          </w:p>
        </w:tc>
        <w:tc>
          <w:tcPr>
            <w:tcW w:w="1532" w:type="dxa"/>
          </w:tcPr>
          <w:p>
            <w:pPr>
              <w:spacing w:line="360" w:lineRule="auto"/>
              <w:ind w:firstLine="210" w:firstLineChars="100"/>
              <w:rPr>
                <w:rFonts w:ascii="宋体" w:hAnsi="宋体" w:cs="宋体"/>
                <w:szCs w:val="21"/>
                <w:highlight w:val="none"/>
              </w:rPr>
            </w:pPr>
            <w:r>
              <w:rPr>
                <w:rFonts w:hint="eastAsia" w:ascii="宋体" w:hAnsi="宋体" w:cs="宋体"/>
                <w:szCs w:val="21"/>
                <w:highlight w:val="none"/>
              </w:rPr>
              <w:t>0.004%</w:t>
            </w:r>
          </w:p>
        </w:tc>
        <w:tc>
          <w:tcPr>
            <w:tcW w:w="1546" w:type="dxa"/>
          </w:tcPr>
          <w:p>
            <w:pPr>
              <w:spacing w:line="360" w:lineRule="auto"/>
              <w:ind w:firstLine="105" w:firstLineChars="50"/>
              <w:rPr>
                <w:rFonts w:ascii="宋体" w:hAnsi="宋体" w:cs="宋体"/>
                <w:szCs w:val="21"/>
                <w:highlight w:val="none"/>
              </w:rPr>
            </w:pPr>
            <w:r>
              <w:rPr>
                <w:rFonts w:hint="eastAsia" w:ascii="宋体" w:hAnsi="宋体" w:cs="宋体"/>
                <w:szCs w:val="21"/>
                <w:highlight w:val="none"/>
              </w:rPr>
              <w:t>0.004%</w:t>
            </w:r>
          </w:p>
        </w:tc>
      </w:tr>
    </w:tbl>
    <w:p>
      <w:pPr>
        <w:spacing w:line="360" w:lineRule="auto"/>
        <w:ind w:firstLine="420" w:firstLineChars="200"/>
        <w:rPr>
          <w:rFonts w:ascii="宋体" w:hAnsi="宋体" w:cs="宋体"/>
          <w:highlight w:val="none"/>
        </w:rPr>
      </w:pPr>
      <w:r>
        <w:rPr>
          <w:rFonts w:hint="eastAsia" w:ascii="宋体" w:hAnsi="宋体" w:cs="宋体"/>
          <w:highlight w:val="none"/>
        </w:rPr>
        <w:t>注：</w:t>
      </w:r>
    </w:p>
    <w:p>
      <w:pPr>
        <w:spacing w:line="360" w:lineRule="auto"/>
        <w:ind w:firstLine="420" w:firstLineChars="200"/>
        <w:rPr>
          <w:rFonts w:ascii="宋体" w:hAnsi="宋体" w:cs="宋体"/>
          <w:highlight w:val="none"/>
        </w:rPr>
      </w:pPr>
      <w:r>
        <w:rPr>
          <w:rFonts w:hint="eastAsia" w:ascii="宋体" w:hAnsi="宋体" w:cs="宋体"/>
          <w:highlight w:val="none"/>
        </w:rPr>
        <w:t>（1）按本表费率计算的收费为采购代理的收费基准价格；</w:t>
      </w:r>
    </w:p>
    <w:p>
      <w:pPr>
        <w:spacing w:line="360" w:lineRule="auto"/>
        <w:ind w:firstLine="420" w:firstLineChars="200"/>
        <w:rPr>
          <w:rFonts w:ascii="宋体" w:hAnsi="宋体" w:cs="宋体"/>
          <w:highlight w:val="none"/>
        </w:rPr>
      </w:pPr>
      <w:r>
        <w:rPr>
          <w:rFonts w:hint="eastAsia" w:ascii="宋体" w:hAnsi="宋体" w:cs="宋体"/>
          <w:highlight w:val="none"/>
        </w:rPr>
        <w:t>（2）采购代理收费按差额定率累进法计算。</w:t>
      </w:r>
    </w:p>
    <w:p>
      <w:pPr>
        <w:spacing w:line="360" w:lineRule="auto"/>
        <w:ind w:firstLine="420" w:firstLineChars="200"/>
        <w:rPr>
          <w:rFonts w:ascii="宋体" w:hAnsi="宋体" w:cs="宋体"/>
          <w:highlight w:val="none"/>
        </w:rPr>
      </w:pPr>
      <w:r>
        <w:rPr>
          <w:rFonts w:hint="eastAsia" w:ascii="宋体" w:hAnsi="宋体" w:cs="宋体"/>
          <w:highlight w:val="none"/>
        </w:rPr>
        <w:t>例如：本项目预算金额为198万元，计算采购代理收费额如下：</w:t>
      </w:r>
    </w:p>
    <w:p>
      <w:pPr>
        <w:spacing w:line="360" w:lineRule="auto"/>
        <w:ind w:firstLine="420" w:firstLineChars="200"/>
        <w:rPr>
          <w:rFonts w:ascii="宋体" w:hAnsi="宋体" w:cs="宋体"/>
          <w:highlight w:val="none"/>
        </w:rPr>
      </w:pPr>
      <w:r>
        <w:rPr>
          <w:rFonts w:hint="eastAsia" w:ascii="宋体" w:hAnsi="宋体" w:cs="宋体"/>
          <w:highlight w:val="none"/>
        </w:rPr>
        <w:t>100 万元 ×l.5 ％＝ 1.5 万元</w:t>
      </w:r>
    </w:p>
    <w:p>
      <w:pPr>
        <w:spacing w:line="360" w:lineRule="auto"/>
        <w:ind w:firstLine="420" w:firstLineChars="200"/>
        <w:rPr>
          <w:rFonts w:ascii="宋体" w:hAnsi="宋体" w:cs="宋体"/>
          <w:highlight w:val="none"/>
        </w:rPr>
      </w:pPr>
      <w:r>
        <w:rPr>
          <w:rFonts w:hint="eastAsia" w:ascii="宋体" w:hAnsi="宋体" w:cs="宋体"/>
          <w:highlight w:val="none"/>
        </w:rPr>
        <w:t>（ 198 － 100 ）万元 ×0.8％＝ 0.784万元</w:t>
      </w:r>
    </w:p>
    <w:p>
      <w:pPr>
        <w:spacing w:line="360" w:lineRule="auto"/>
        <w:ind w:firstLine="420" w:firstLineChars="200"/>
        <w:rPr>
          <w:rFonts w:ascii="宋体" w:hAnsi="宋体" w:cs="宋体"/>
          <w:highlight w:val="none"/>
        </w:rPr>
      </w:pPr>
      <w:r>
        <w:rPr>
          <w:rFonts w:hint="eastAsia" w:ascii="宋体" w:hAnsi="宋体" w:cs="宋体"/>
          <w:highlight w:val="none"/>
        </w:rPr>
        <w:t>合计收费＝ 1.5 ＋ 0.784＝ 2.284 万元</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34.需要补充的其他内容</w:t>
      </w:r>
    </w:p>
    <w:p>
      <w:pPr>
        <w:spacing w:line="360" w:lineRule="auto"/>
        <w:ind w:firstLine="420" w:firstLineChars="200"/>
        <w:textAlignment w:val="center"/>
        <w:rPr>
          <w:rFonts w:ascii="宋体" w:hAnsi="宋体" w:cs="宋体"/>
          <w:szCs w:val="21"/>
          <w:highlight w:val="none"/>
        </w:rPr>
      </w:pPr>
      <w:r>
        <w:rPr>
          <w:rFonts w:hint="eastAsia" w:ascii="宋体" w:hAnsi="宋体" w:cs="宋体"/>
          <w:szCs w:val="21"/>
          <w:highlight w:val="none"/>
        </w:rPr>
        <w:t>34.1本磋商文件解释规则详见“供应商须知前附表”。</w:t>
      </w:r>
    </w:p>
    <w:p>
      <w:pPr>
        <w:spacing w:line="360" w:lineRule="auto"/>
        <w:ind w:firstLine="420" w:firstLineChars="200"/>
        <w:textAlignment w:val="center"/>
        <w:rPr>
          <w:rFonts w:ascii="宋体" w:hAnsi="宋体" w:cs="宋体"/>
          <w:szCs w:val="21"/>
          <w:highlight w:val="none"/>
        </w:rPr>
      </w:pPr>
      <w:r>
        <w:rPr>
          <w:rFonts w:hint="eastAsia" w:ascii="宋体" w:hAnsi="宋体" w:cs="宋体"/>
          <w:szCs w:val="21"/>
          <w:highlight w:val="none"/>
        </w:rPr>
        <w:t>34.2 其他事项详见“供应商须知前附表”。</w:t>
      </w:r>
    </w:p>
    <w:p>
      <w:pPr>
        <w:spacing w:line="360" w:lineRule="auto"/>
        <w:ind w:firstLine="420" w:firstLineChars="200"/>
        <w:textAlignment w:val="center"/>
        <w:rPr>
          <w:rFonts w:ascii="宋体" w:hAnsi="宋体" w:cs="宋体"/>
          <w:szCs w:val="21"/>
          <w:highlight w:val="none"/>
        </w:rPr>
      </w:pPr>
      <w:r>
        <w:rPr>
          <w:rFonts w:hint="eastAsia" w:ascii="宋体" w:hAnsi="宋体" w:cs="宋体"/>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szCs w:val="21"/>
          <w:highlight w:val="none"/>
        </w:rPr>
        <w:t>，享受本文件规定的中小企业扶持政策。</w:t>
      </w:r>
    </w:p>
    <w:p>
      <w:pPr>
        <w:spacing w:line="360" w:lineRule="auto"/>
        <w:ind w:firstLine="420" w:firstLineChars="200"/>
        <w:textAlignment w:val="center"/>
        <w:rPr>
          <w:rFonts w:ascii="宋体" w:hAnsi="宋体" w:cs="宋体"/>
          <w:szCs w:val="21"/>
          <w:highlight w:val="none"/>
        </w:rPr>
      </w:pPr>
      <w:r>
        <w:rPr>
          <w:rFonts w:hint="eastAsia" w:ascii="宋体" w:hAnsi="宋体" w:cs="宋体"/>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cs="宋体"/>
          <w:szCs w:val="21"/>
          <w:highlight w:val="none"/>
        </w:rPr>
      </w:pPr>
      <w:r>
        <w:rPr>
          <w:rFonts w:hint="eastAsia" w:ascii="宋体" w:hAnsi="宋体" w:cs="宋体"/>
          <w:szCs w:val="21"/>
          <w:highlight w:val="none"/>
        </w:rPr>
        <w:t>依据本文件规定享受扶持政策获得政府采购合同的，小微企业不得将合同分包给大中型企业，中型企业不得将合同分包给大型企业。</w:t>
      </w:r>
    </w:p>
    <w:p>
      <w:pPr>
        <w:pStyle w:val="2"/>
        <w:rPr>
          <w:rFonts w:ascii="宋体" w:hAnsi="宋体" w:cs="宋体"/>
          <w:szCs w:val="21"/>
          <w:highlight w:val="none"/>
        </w:rPr>
      </w:pPr>
      <w:r>
        <w:rPr>
          <w:rFonts w:hint="eastAsia" w:ascii="宋体" w:hAnsi="宋体" w:cs="宋体"/>
          <w:szCs w:val="21"/>
          <w:highlight w:val="none"/>
        </w:rPr>
        <w:br w:type="page"/>
      </w:r>
    </w:p>
    <w:p>
      <w:pPr>
        <w:pStyle w:val="3"/>
        <w:spacing w:line="240" w:lineRule="auto"/>
        <w:jc w:val="center"/>
        <w:rPr>
          <w:rFonts w:ascii="宋体" w:hAnsi="宋体" w:cs="宋体"/>
          <w:highlight w:val="none"/>
        </w:rPr>
      </w:pPr>
      <w:bookmarkStart w:id="106" w:name="_Toc8412"/>
      <w:bookmarkStart w:id="107" w:name="_Toc28979"/>
      <w:bookmarkStart w:id="108" w:name="_Toc1088"/>
      <w:bookmarkStart w:id="109" w:name="_Toc3879"/>
      <w:bookmarkStart w:id="110" w:name="_Toc3976"/>
      <w:bookmarkStart w:id="111" w:name="_Toc80886937"/>
      <w:bookmarkStart w:id="112" w:name="_Toc8593"/>
      <w:bookmarkStart w:id="113" w:name="_Toc17511"/>
      <w:r>
        <w:rPr>
          <w:rFonts w:hint="eastAsia" w:ascii="宋体" w:hAnsi="宋体" w:cs="宋体"/>
          <w:highlight w:val="none"/>
        </w:rPr>
        <w:t>第四章  评审程序、评审方法和评审标准</w:t>
      </w:r>
      <w:bookmarkEnd w:id="106"/>
      <w:bookmarkEnd w:id="107"/>
      <w:bookmarkEnd w:id="108"/>
      <w:bookmarkEnd w:id="109"/>
      <w:bookmarkEnd w:id="110"/>
      <w:bookmarkEnd w:id="111"/>
      <w:bookmarkEnd w:id="112"/>
      <w:bookmarkEnd w:id="113"/>
    </w:p>
    <w:p>
      <w:pPr>
        <w:pStyle w:val="4"/>
        <w:jc w:val="center"/>
        <w:rPr>
          <w:rFonts w:ascii="宋体" w:hAnsi="宋体" w:cs="宋体"/>
          <w:b w:val="0"/>
          <w:highlight w:val="none"/>
        </w:rPr>
      </w:pPr>
      <w:bookmarkStart w:id="114" w:name="_Toc17424"/>
      <w:bookmarkStart w:id="115" w:name="_Toc11607"/>
      <w:bookmarkStart w:id="116" w:name="_Toc80886938"/>
      <w:r>
        <w:rPr>
          <w:rFonts w:hint="eastAsia" w:ascii="宋体" w:hAnsi="宋体" w:cs="宋体"/>
          <w:b w:val="0"/>
          <w:highlight w:val="none"/>
        </w:rPr>
        <w:t>第一节 评审程序和评审方法</w:t>
      </w:r>
      <w:bookmarkEnd w:id="114"/>
      <w:bookmarkEnd w:id="115"/>
      <w:bookmarkEnd w:id="116"/>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1.确认磋商文件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由磋商小组确认磋商文件。</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2.资格审查</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2.1响应文件开启后，磋商小组依法对供应商的资格证明文件进行审查。</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（1）查询渠道：广西政府采购云平台“信用中国”网站(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38"/>
          <w:rFonts w:hint="eastAsia" w:ascii="宋体" w:hAnsi="宋体" w:cs="宋体"/>
          <w:color w:val="auto"/>
          <w:highlight w:val="none"/>
          <w:u w:val="none"/>
        </w:rPr>
        <w:t>www.creditchina.gov.cn</w:t>
      </w:r>
      <w:r>
        <w:rPr>
          <w:rStyle w:val="38"/>
          <w:rFonts w:hint="eastAsia" w:ascii="宋体" w:hAnsi="宋体" w:cs="宋体"/>
          <w:color w:val="auto"/>
          <w:highlight w:val="none"/>
          <w:u w:val="none"/>
        </w:rPr>
        <w:fldChar w:fldCharType="end"/>
      </w:r>
      <w:r>
        <w:rPr>
          <w:rFonts w:hint="eastAsia" w:ascii="宋体" w:hAnsi="宋体" w:cs="宋体"/>
          <w:szCs w:val="21"/>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Style w:val="38"/>
          <w:rFonts w:hint="eastAsia" w:ascii="宋体" w:hAnsi="宋体" w:cs="宋体"/>
          <w:color w:val="auto"/>
          <w:highlight w:val="none"/>
          <w:u w:val="none"/>
        </w:rPr>
        <w:t>www.ccgp.gov.cn</w:t>
      </w:r>
      <w:r>
        <w:rPr>
          <w:rStyle w:val="38"/>
          <w:rFonts w:hint="eastAsia" w:ascii="宋体" w:hAnsi="宋体" w:cs="宋体"/>
          <w:color w:val="auto"/>
          <w:highlight w:val="none"/>
          <w:u w:val="none"/>
        </w:rPr>
        <w:fldChar w:fldCharType="end"/>
      </w:r>
      <w:r>
        <w:rPr>
          <w:rFonts w:hint="eastAsia" w:ascii="宋体" w:hAnsi="宋体" w:cs="宋体"/>
          <w:szCs w:val="21"/>
          <w:highlight w:val="none"/>
        </w:rPr>
        <w:t>)链接入口。</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（2）信用查询截止时点：资格审查结束前。</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2.3供应商有下列情形之一的，资格审查不通过，其响应文件按无效响应处理：</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（1）不具备磋商文件中规定的资格要求的；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szCs w:val="21"/>
          <w:highlight w:val="none"/>
        </w:rPr>
      </w:pPr>
      <w:bookmarkStart w:id="117"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w:t>
      </w:r>
      <w:bookmarkEnd w:id="11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3.符合性审查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spacing w:val="-6"/>
          <w:szCs w:val="21"/>
          <w:highlight w:val="none"/>
        </w:rPr>
        <w:t>。供应商为自然人的，必须由本人签字并附身份证明。</w:t>
      </w:r>
    </w:p>
    <w:p>
      <w:pPr>
        <w:spacing w:line="360" w:lineRule="auto"/>
        <w:ind w:firstLine="396" w:firstLineChars="200"/>
        <w:rPr>
          <w:rFonts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（1）响应文件中响应报价表内容与响应文件中相应内容不一致的，以响应报价表为准；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（3）单价金额小数点或者百分比有明显错位的，以响应报价表的总价为准，并修改单价；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3.5商务技术、报价评审</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在评审时，如发现下列情形之一的，将被视为响应文件无效处理：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8）响应文件含有采购人不能接受的附加条件；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9）属于“供应商须知正文”第7.5条情形；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10）技术需求允许负偏离的条款数超过“供应商须知前附表”规定项数；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11）虚假竞标，或者出现其他情形而导致被磋商小组认定无效；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12）竞标技术方案不明确，磋商文件未允许但响应文件中存在一个或者一个以上备选（替代）竞标方案；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14）未响应磋商文件实质性要求；</w:t>
      </w:r>
    </w:p>
    <w:p>
      <w:pPr>
        <w:pStyle w:val="16"/>
        <w:ind w:firstLine="420" w:firstLineChars="200"/>
        <w:rPr>
          <w:rFonts w:ascii="宋体" w:hAnsi="宋体" w:cs="宋体"/>
          <w:highlight w:val="none"/>
        </w:rPr>
      </w:pPr>
      <w:r>
        <w:rPr>
          <w:rFonts w:hint="eastAsia" w:ascii="宋体" w:hAnsi="宋体" w:cs="宋体"/>
          <w:szCs w:val="21"/>
          <w:highlight w:val="none"/>
        </w:rPr>
        <w:t>15）提交的磋商保证金无效的或者未按照磋商文件的规定提交磋商保证金；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16）法律、法规和磋商文件规定的其他无效情形。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（2）报价评审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6）响应文件响应的标的数量及单位与竞争性磋商文件要求实质性不一致的。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2" w:firstLineChars="200"/>
        <w:rPr>
          <w:rFonts w:ascii="宋体" w:hAnsi="宋体" w:cs="宋体"/>
          <w:b/>
          <w:bCs/>
          <w:sz w:val="24"/>
          <w:highlight w:val="none"/>
        </w:rPr>
      </w:pPr>
      <w:r>
        <w:rPr>
          <w:rFonts w:hint="eastAsia" w:ascii="宋体" w:hAnsi="宋体" w:cs="宋体"/>
          <w:b/>
          <w:bCs/>
          <w:sz w:val="24"/>
          <w:highlight w:val="none"/>
        </w:rPr>
        <w:t>4.磋商程序</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b/>
          <w:highlight w:val="none"/>
        </w:rPr>
      </w:pPr>
      <w:r>
        <w:rPr>
          <w:rFonts w:hint="eastAsia" w:ascii="宋体" w:hAnsi="宋体" w:cs="宋体"/>
          <w:szCs w:val="21"/>
          <w:highlight w:val="none"/>
        </w:rPr>
        <w:t>4.6磋商小组应对磋商过程和重要磋商内容进行记录，作为评审报告一部分，磋商小组在记录上签字确认。</w:t>
      </w:r>
      <w:r>
        <w:rPr>
          <w:rFonts w:hint="eastAsia" w:ascii="宋体" w:hAnsi="宋体" w:cs="宋体"/>
          <w:b/>
          <w:highlight w:val="none"/>
        </w:rPr>
        <w:t>主要内容包括：</w:t>
      </w:r>
    </w:p>
    <w:p>
      <w:pPr>
        <w:pStyle w:val="67"/>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pPr>
        <w:pStyle w:val="67"/>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pPr>
        <w:pStyle w:val="67"/>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pPr>
        <w:ind w:firstLine="200"/>
        <w:rPr>
          <w:rFonts w:ascii="宋体" w:hAnsi="宋体" w:cs="宋体"/>
          <w:szCs w:val="21"/>
          <w:highlight w:val="none"/>
        </w:rPr>
      </w:pPr>
      <w:r>
        <w:rPr>
          <w:rFonts w:hint="eastAsia" w:ascii="宋体" w:hAnsi="宋体" w:cs="宋体"/>
          <w:b/>
          <w:bCs/>
          <w:sz w:val="24"/>
          <w:highlight w:val="none"/>
        </w:rPr>
        <w:t>5. 最后报价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5.5供应商未在规定时间内提交最后报价的，视同退出磋商，其响应文件按无效处理。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5.6磋商小组收齐本项目/某一分标最后报价后统一开启，磋商小组对最后报价进行有效性、完整性和响应程度的审查。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5.7最终响应文件的报价出现前后不一致的，按照本章第3.4条的规定修正。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5.8修正后的最后报价出现下列情形的，按无效响应处理：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（1）供应商不确认的（全流程电子化评标采取在线确认）；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（2）经供应商确认修正后的响应报价（包含首次报价、最后报价）超过所竞标项目/分标规定的采购预算金额或者最高限价的（如本项目公布了最高限价）；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5.9经供应商确认修正后的最后报价作为评审及签订合同的依据。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5.10供应商出现最后报价按无效响应处理或者响应文件按无效处理时</w:t>
      </w:r>
      <w:r>
        <w:rPr>
          <w:rFonts w:hint="eastAsia" w:ascii="宋体" w:hAnsi="宋体" w:cs="宋体"/>
          <w:sz w:val="22"/>
          <w:szCs w:val="22"/>
          <w:highlight w:val="none"/>
        </w:rPr>
        <w:t>，磋商小组应当告知有关供应商</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5.11最后报价结束后，磋商小组不得再与供应商进行任何形式的商谈。</w:t>
      </w:r>
    </w:p>
    <w:p>
      <w:pPr>
        <w:pStyle w:val="2"/>
        <w:spacing w:line="360" w:lineRule="auto"/>
        <w:ind w:firstLine="422" w:firstLineChars="200"/>
        <w:rPr>
          <w:rFonts w:ascii="宋体" w:hAnsi="宋体" w:cs="宋体"/>
          <w:highlight w:val="none"/>
        </w:rPr>
      </w:pPr>
      <w:r>
        <w:rPr>
          <w:rFonts w:hint="eastAsia" w:ascii="宋体" w:hAnsi="宋体" w:cs="宋体"/>
          <w:b/>
          <w:bCs/>
          <w:sz w:val="21"/>
          <w:szCs w:val="21"/>
          <w:highlight w:val="none"/>
        </w:rPr>
        <w:t>注：如磋商小组要求提供最后报价附件的，需按规定的时间提供。最后报价有时间限制，供应商可参照竞争性磋商文件“第五章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sz w:val="21"/>
          <w:szCs w:val="21"/>
          <w:highlight w:val="none"/>
          <w:lang w:val="zh-CN"/>
        </w:rPr>
        <w:t>。</w:t>
      </w:r>
    </w:p>
    <w:p>
      <w:pPr>
        <w:ind w:firstLine="200"/>
        <w:rPr>
          <w:rFonts w:ascii="宋体" w:hAnsi="宋体" w:cs="宋体"/>
          <w:b/>
          <w:bCs/>
          <w:sz w:val="24"/>
          <w:highlight w:val="none"/>
        </w:rPr>
      </w:pPr>
      <w:r>
        <w:rPr>
          <w:rFonts w:hint="eastAsia" w:ascii="宋体" w:hAnsi="宋体" w:cs="宋体"/>
          <w:b/>
          <w:bCs/>
          <w:sz w:val="24"/>
          <w:highlight w:val="none"/>
        </w:rPr>
        <w:t>6.比较与评价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6.1评审方法：综合评分法。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6.3评审时，磋商小组各成员应当独立对每个有效响应的文件进行评价、打分，然后汇总每个供应商每项评分因素的得分。</w:t>
      </w:r>
    </w:p>
    <w:p>
      <w:pPr>
        <w:pStyle w:val="16"/>
        <w:spacing w:line="360" w:lineRule="auto"/>
        <w:ind w:firstLine="420" w:firstLineChars="200"/>
        <w:rPr>
          <w:rFonts w:ascii="宋体" w:hAnsi="宋体" w:cs="宋体"/>
          <w:highlight w:val="none"/>
        </w:rPr>
      </w:pPr>
      <w:r>
        <w:rPr>
          <w:rFonts w:hint="eastAsia" w:ascii="宋体" w:hAnsi="宋体" w:cs="宋体"/>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highlight w:val="none"/>
        </w:rPr>
      </w:pPr>
      <w:r>
        <w:rPr>
          <w:rFonts w:hint="eastAsia" w:ascii="宋体" w:hAnsi="宋体" w:cs="宋体"/>
          <w:szCs w:val="21"/>
          <w:highlight w:val="none"/>
        </w:rPr>
        <w:t>（3）各供应商的得分为磋商小组所有成员的有效评分的算术平均数。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6.4评审</w:t>
      </w:r>
      <w:r>
        <w:rPr>
          <w:rFonts w:hint="eastAsia" w:ascii="宋体" w:hAnsi="宋体" w:cs="宋体"/>
          <w:highlight w:val="none"/>
        </w:rPr>
        <w:t>报价</w:t>
      </w:r>
      <w:r>
        <w:rPr>
          <w:rFonts w:hint="eastAsia" w:ascii="宋体" w:hAnsi="宋体" w:cs="宋体"/>
          <w:szCs w:val="21"/>
          <w:highlight w:val="none"/>
        </w:rPr>
        <w:t>为供应商的最后报价进行政策性扣除后的价格，评审</w:t>
      </w:r>
      <w:r>
        <w:rPr>
          <w:rFonts w:hint="eastAsia" w:ascii="宋体" w:hAnsi="宋体" w:cs="宋体"/>
          <w:highlight w:val="none"/>
        </w:rPr>
        <w:t>报价</w:t>
      </w:r>
      <w:r>
        <w:rPr>
          <w:rFonts w:hint="eastAsia" w:ascii="宋体" w:hAnsi="宋体" w:cs="宋体"/>
          <w:szCs w:val="21"/>
          <w:highlight w:val="none"/>
        </w:rPr>
        <w:t>只是作为评审时使用。最终成交供应商的成交金额等于最后报价（如有修正，以确认修正后的最后报价为准）。</w:t>
      </w:r>
    </w:p>
    <w:p>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6.5由磋商小组根据综合评分情况，按照评审得分由高到低顺序推荐3名以上成交候选供应商，并编写评</w:t>
      </w:r>
      <w:r>
        <w:rPr>
          <w:rFonts w:hint="eastAsia" w:ascii="宋体" w:hAnsi="宋体" w:cs="宋体"/>
          <w:kern w:val="0"/>
          <w:szCs w:val="21"/>
          <w:highlight w:val="none"/>
        </w:rPr>
        <w:t>审报告。符合本章第5.3条情形的，可以推荐2家成交候选供应商。评审得分相同的，</w:t>
      </w:r>
      <w:r>
        <w:rPr>
          <w:rFonts w:hint="eastAsia" w:ascii="宋体" w:hAnsi="宋体" w:cs="宋体"/>
          <w:bCs/>
          <w:szCs w:val="21"/>
          <w:highlight w:val="none"/>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200"/>
        <w:rPr>
          <w:rFonts w:ascii="宋体" w:hAnsi="宋体" w:cs="宋体"/>
          <w:b/>
          <w:bCs/>
          <w:sz w:val="24"/>
          <w:highlight w:val="none"/>
        </w:rPr>
      </w:pPr>
      <w:r>
        <w:rPr>
          <w:rFonts w:hint="eastAsia" w:ascii="宋体" w:hAnsi="宋体" w:cs="宋体"/>
          <w:b/>
          <w:bCs/>
          <w:sz w:val="24"/>
          <w:highlight w:val="none"/>
        </w:rPr>
        <w:t>7.评审标准</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7.1评审依据：磋商小组将以响应文件为评审依据，对供应商的报价、技术、商务等方面内容按百分制打分，总得分=报价分+技术分+商务分。（计分方法按四舍五入取至百分位）</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18"/>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00"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序号</w:t>
            </w:r>
          </w:p>
        </w:tc>
        <w:tc>
          <w:tcPr>
            <w:tcW w:w="1418"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评审因素</w:t>
            </w:r>
          </w:p>
        </w:tc>
        <w:tc>
          <w:tcPr>
            <w:tcW w:w="6288"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评审因素具体内容</w:t>
            </w:r>
          </w:p>
        </w:tc>
        <w:tc>
          <w:tcPr>
            <w:tcW w:w="851"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600"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1</w:t>
            </w:r>
          </w:p>
        </w:tc>
        <w:tc>
          <w:tcPr>
            <w:tcW w:w="1418"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价格分</w:t>
            </w:r>
            <w:r>
              <w:rPr>
                <w:rFonts w:hint="eastAsia" w:ascii="宋体" w:hAnsi="宋体" w:cs="微软雅黑"/>
                <w:b/>
                <w:bCs/>
                <w:color w:val="000000"/>
                <w:szCs w:val="21"/>
                <w:highlight w:val="none"/>
              </w:rPr>
              <w:t>（满分15分）</w:t>
            </w:r>
          </w:p>
        </w:tc>
        <w:tc>
          <w:tcPr>
            <w:tcW w:w="6288" w:type="dxa"/>
          </w:tcPr>
          <w:p>
            <w:pPr>
              <w:spacing w:line="360" w:lineRule="auto"/>
              <w:ind w:firstLine="420" w:firstLineChars="200"/>
              <w:rPr>
                <w:rFonts w:ascii="宋体" w:hAnsi="宋体" w:cs="Courier New"/>
                <w:bCs/>
                <w:szCs w:val="21"/>
                <w:highlight w:val="none"/>
              </w:rPr>
            </w:pPr>
            <w:r>
              <w:rPr>
                <w:rFonts w:hint="eastAsia" w:ascii="宋体" w:hAnsi="宋体"/>
                <w:bCs/>
                <w:szCs w:val="21"/>
                <w:highlight w:val="none"/>
              </w:rPr>
              <w:t>1.本项目为专门面向中小企业采购项目，按照《政府采购促进中小企业发展管理办法》（财库〔2020〕46号）的规定，对供应商最后报价不再执行价格评审优惠的扶持政策。</w:t>
            </w:r>
          </w:p>
          <w:p>
            <w:pPr>
              <w:spacing w:line="360" w:lineRule="auto"/>
              <w:ind w:firstLine="420" w:firstLineChars="200"/>
              <w:rPr>
                <w:rFonts w:ascii="宋体" w:hAnsi="宋体"/>
                <w:szCs w:val="21"/>
                <w:highlight w:val="none"/>
              </w:rPr>
            </w:pPr>
            <w:r>
              <w:rPr>
                <w:rFonts w:hint="eastAsia" w:ascii="宋体" w:hAnsi="宋体" w:cs="Courier New"/>
                <w:bCs/>
                <w:szCs w:val="21"/>
                <w:highlight w:val="none"/>
              </w:rPr>
              <w:t>（1）</w:t>
            </w:r>
            <w:r>
              <w:rPr>
                <w:rFonts w:hint="eastAsia" w:ascii="宋体" w:hAnsi="宋体"/>
                <w:szCs w:val="21"/>
                <w:highlight w:val="none"/>
              </w:rPr>
              <w:t>评审价为供应商的最后报价进行政策性扣除后的价格，评审价只是作为评审时使用。最终成交供应商的成交金额等于最后报价（如有修正，以确认修正后的最后报价为准）。</w:t>
            </w:r>
          </w:p>
          <w:p>
            <w:pPr>
              <w:pStyle w:val="21"/>
              <w:spacing w:line="360" w:lineRule="auto"/>
              <w:ind w:firstLine="420" w:firstLineChars="200"/>
              <w:rPr>
                <w:rFonts w:hAnsi="宋体" w:cs="Courier New"/>
                <w:bCs/>
                <w:kern w:val="2"/>
                <w:sz w:val="21"/>
                <w:highlight w:val="none"/>
              </w:rPr>
            </w:pPr>
            <w:r>
              <w:rPr>
                <w:rFonts w:hint="eastAsia" w:hAnsi="宋体" w:cs="Courier New"/>
                <w:bCs/>
                <w:kern w:val="2"/>
                <w:sz w:val="21"/>
                <w:highlight w:val="none"/>
              </w:rPr>
              <w:t>（2）以进入比较与评价环节的最低的评审价为基准价，基准价得分为</w:t>
            </w:r>
            <w:r>
              <w:rPr>
                <w:rFonts w:hint="eastAsia" w:hAnsi="宋体" w:cs="Courier New"/>
                <w:bCs/>
                <w:kern w:val="2"/>
                <w:sz w:val="21"/>
                <w:highlight w:val="none"/>
                <w:u w:val="single"/>
              </w:rPr>
              <w:t>15分</w:t>
            </w:r>
            <w:r>
              <w:rPr>
                <w:rFonts w:hint="eastAsia" w:hAnsi="宋体" w:cs="Courier New"/>
                <w:bCs/>
                <w:kern w:val="2"/>
                <w:sz w:val="21"/>
                <w:highlight w:val="none"/>
              </w:rPr>
              <w:t>。</w:t>
            </w:r>
          </w:p>
          <w:p>
            <w:pPr>
              <w:pStyle w:val="21"/>
              <w:spacing w:line="360" w:lineRule="auto"/>
              <w:ind w:firstLine="420" w:firstLineChars="200"/>
              <w:rPr>
                <w:rFonts w:hAnsi="宋体" w:cs="Courier New"/>
                <w:bCs/>
                <w:kern w:val="2"/>
                <w:sz w:val="21"/>
                <w:highlight w:val="none"/>
              </w:rPr>
            </w:pPr>
            <w:r>
              <w:rPr>
                <w:rFonts w:hint="eastAsia" w:hAnsi="宋体" w:cs="Courier New"/>
                <w:bCs/>
                <w:kern w:val="2"/>
                <w:sz w:val="21"/>
                <w:highlight w:val="none"/>
              </w:rPr>
              <w:t>（3）价格分计算公式：</w:t>
            </w:r>
          </w:p>
          <w:p>
            <w:pPr>
              <w:pStyle w:val="21"/>
              <w:spacing w:line="360" w:lineRule="auto"/>
              <w:ind w:firstLine="420" w:firstLineChars="200"/>
              <w:rPr>
                <w:rFonts w:hAnsi="宋体" w:cs="Courier New"/>
                <w:bCs/>
                <w:kern w:val="2"/>
                <w:sz w:val="21"/>
                <w:highlight w:val="none"/>
              </w:rPr>
            </w:pPr>
            <w:r>
              <w:rPr>
                <w:rFonts w:hint="eastAsia" w:hAnsi="宋体" w:cs="Courier New"/>
                <w:bCs/>
                <w:kern w:val="2"/>
                <w:sz w:val="21"/>
                <w:highlight w:val="none"/>
              </w:rPr>
              <w:t>报价得分=（基准价/最后报价）×</w:t>
            </w:r>
            <w:r>
              <w:rPr>
                <w:rFonts w:hint="eastAsia" w:hAnsi="宋体" w:cs="Courier New"/>
                <w:bCs/>
                <w:kern w:val="2"/>
                <w:sz w:val="21"/>
                <w:highlight w:val="none"/>
                <w:u w:val="single"/>
              </w:rPr>
              <w:t>15分</w:t>
            </w:r>
          </w:p>
        </w:tc>
        <w:tc>
          <w:tcPr>
            <w:tcW w:w="851" w:type="dxa"/>
            <w:vAlign w:val="center"/>
          </w:tcPr>
          <w:p>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00" w:type="dxa"/>
            <w:vAlign w:val="center"/>
          </w:tcPr>
          <w:p>
            <w:pPr>
              <w:widowControl/>
              <w:spacing w:line="360" w:lineRule="auto"/>
              <w:jc w:val="center"/>
              <w:rPr>
                <w:rFonts w:ascii="宋体" w:hAnsi="宋体" w:cs="Tahoma"/>
                <w:b/>
                <w:bCs/>
                <w:kern w:val="0"/>
                <w:szCs w:val="21"/>
                <w:highlight w:val="none"/>
              </w:rPr>
            </w:pPr>
            <w:r>
              <w:rPr>
                <w:rFonts w:hint="eastAsia" w:ascii="宋体" w:hAnsi="宋体"/>
                <w:b/>
                <w:bCs/>
                <w:kern w:val="0"/>
                <w:szCs w:val="21"/>
                <w:highlight w:val="none"/>
              </w:rPr>
              <w:t>2</w:t>
            </w:r>
          </w:p>
        </w:tc>
        <w:tc>
          <w:tcPr>
            <w:tcW w:w="1418" w:type="dxa"/>
            <w:vAlign w:val="center"/>
          </w:tcPr>
          <w:p>
            <w:pPr>
              <w:widowControl/>
              <w:spacing w:line="360" w:lineRule="auto"/>
              <w:jc w:val="center"/>
              <w:rPr>
                <w:rFonts w:ascii="宋体" w:hAnsi="宋体" w:cs="Tahoma"/>
                <w:b/>
                <w:kern w:val="0"/>
                <w:szCs w:val="21"/>
                <w:highlight w:val="none"/>
              </w:rPr>
            </w:pPr>
            <w:r>
              <w:rPr>
                <w:rFonts w:hint="eastAsia" w:ascii="宋体" w:hAnsi="宋体"/>
                <w:b/>
                <w:kern w:val="0"/>
                <w:szCs w:val="21"/>
                <w:highlight w:val="none"/>
              </w:rPr>
              <w:t>技术分</w:t>
            </w:r>
          </w:p>
        </w:tc>
        <w:tc>
          <w:tcPr>
            <w:tcW w:w="7139" w:type="dxa"/>
            <w:gridSpan w:val="2"/>
          </w:tcPr>
          <w:p>
            <w:pPr>
              <w:widowControl/>
              <w:spacing w:line="360" w:lineRule="auto"/>
              <w:jc w:val="center"/>
              <w:rPr>
                <w:rFonts w:ascii="宋体" w:hAnsi="宋体" w:cs="Tahoma"/>
                <w:b/>
                <w:kern w:val="0"/>
                <w:szCs w:val="21"/>
                <w:highlight w:val="none"/>
              </w:rPr>
            </w:pPr>
            <w:r>
              <w:rPr>
                <w:rFonts w:hint="eastAsia" w:ascii="宋体" w:hAnsi="宋体" w:cs="Tahoma"/>
                <w:b/>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600" w:type="dxa"/>
            <w:vAlign w:val="center"/>
          </w:tcPr>
          <w:p>
            <w:pPr>
              <w:adjustRightInd w:val="0"/>
              <w:spacing w:line="360" w:lineRule="auto"/>
              <w:ind w:left="-105" w:leftChars="-50" w:right="-105" w:rightChars="-50"/>
              <w:jc w:val="center"/>
              <w:textAlignment w:val="baseline"/>
              <w:rPr>
                <w:rFonts w:ascii="宋体" w:hAnsi="宋体"/>
                <w:b/>
                <w:bCs/>
                <w:kern w:val="0"/>
                <w:szCs w:val="21"/>
                <w:highlight w:val="none"/>
              </w:rPr>
            </w:pPr>
            <w:r>
              <w:rPr>
                <w:rFonts w:hint="eastAsia" w:ascii="宋体" w:hAnsi="宋体"/>
                <w:b/>
                <w:bCs/>
                <w:kern w:val="0"/>
                <w:szCs w:val="21"/>
                <w:highlight w:val="none"/>
              </w:rPr>
              <w:t>2</w:t>
            </w:r>
            <w:r>
              <w:rPr>
                <w:rFonts w:ascii="宋体" w:hAnsi="宋体"/>
                <w:b/>
                <w:bCs/>
                <w:kern w:val="0"/>
                <w:szCs w:val="21"/>
                <w:highlight w:val="none"/>
              </w:rPr>
              <w:t>.1</w:t>
            </w:r>
          </w:p>
        </w:tc>
        <w:tc>
          <w:tcPr>
            <w:tcW w:w="1418" w:type="dxa"/>
            <w:vAlign w:val="center"/>
          </w:tcPr>
          <w:p>
            <w:pPr>
              <w:adjustRightInd w:val="0"/>
              <w:spacing w:line="360" w:lineRule="auto"/>
              <w:jc w:val="center"/>
              <w:textAlignment w:val="baseline"/>
              <w:rPr>
                <w:rFonts w:hAnsi="宋体" w:cs="宋体"/>
                <w:b/>
                <w:bCs/>
                <w:szCs w:val="21"/>
                <w:highlight w:val="none"/>
              </w:rPr>
            </w:pPr>
            <w:r>
              <w:rPr>
                <w:rFonts w:hint="eastAsia" w:hAnsi="宋体" w:cs="宋体"/>
                <w:b/>
                <w:bCs/>
                <w:szCs w:val="21"/>
                <w:highlight w:val="none"/>
              </w:rPr>
              <w:t>项目需求</w:t>
            </w:r>
          </w:p>
          <w:p>
            <w:pPr>
              <w:adjustRightInd w:val="0"/>
              <w:spacing w:line="360" w:lineRule="auto"/>
              <w:jc w:val="center"/>
              <w:textAlignment w:val="baseline"/>
              <w:rPr>
                <w:rFonts w:ascii="宋体" w:hAnsi="宋体"/>
                <w:bCs/>
                <w:kern w:val="0"/>
                <w:szCs w:val="21"/>
                <w:highlight w:val="none"/>
              </w:rPr>
            </w:pPr>
            <w:r>
              <w:rPr>
                <w:rFonts w:hint="eastAsia" w:hAnsi="宋体" w:cs="宋体"/>
                <w:b/>
                <w:bCs/>
                <w:szCs w:val="21"/>
                <w:highlight w:val="none"/>
              </w:rPr>
              <w:t>理解</w:t>
            </w:r>
            <w:r>
              <w:rPr>
                <w:rFonts w:hint="eastAsia" w:ascii="宋体" w:hAnsi="宋体" w:cs="微软雅黑"/>
                <w:b/>
                <w:color w:val="000000"/>
                <w:szCs w:val="21"/>
                <w:highlight w:val="none"/>
              </w:rPr>
              <w:t>（满分</w:t>
            </w:r>
            <w:r>
              <w:rPr>
                <w:rFonts w:ascii="宋体" w:hAnsi="宋体" w:cs="微软雅黑"/>
                <w:b/>
                <w:color w:val="000000"/>
                <w:szCs w:val="21"/>
                <w:highlight w:val="none"/>
              </w:rPr>
              <w:t>10</w:t>
            </w:r>
            <w:r>
              <w:rPr>
                <w:rFonts w:hint="eastAsia" w:ascii="宋体" w:hAnsi="宋体" w:cs="微软雅黑"/>
                <w:b/>
                <w:color w:val="000000"/>
                <w:szCs w:val="21"/>
                <w:highlight w:val="none"/>
              </w:rPr>
              <w:t>分）</w:t>
            </w:r>
          </w:p>
        </w:tc>
        <w:tc>
          <w:tcPr>
            <w:tcW w:w="6288" w:type="dxa"/>
            <w:vAlign w:val="center"/>
          </w:tcPr>
          <w:p>
            <w:pPr>
              <w:widowControl/>
              <w:snapToGrid w:val="0"/>
              <w:spacing w:line="360" w:lineRule="auto"/>
              <w:rPr>
                <w:rFonts w:hAnsi="宋体"/>
                <w:bCs/>
                <w:szCs w:val="21"/>
                <w:highlight w:val="none"/>
              </w:rPr>
            </w:pPr>
            <w:r>
              <w:rPr>
                <w:rFonts w:hint="eastAsia" w:hAnsi="宋体"/>
                <w:bCs/>
                <w:szCs w:val="21"/>
                <w:highlight w:val="none"/>
              </w:rPr>
              <w:t>一档（0分）：竞标人未提供项目需求理解得0分。</w:t>
            </w:r>
          </w:p>
          <w:p>
            <w:pPr>
              <w:widowControl/>
              <w:snapToGrid w:val="0"/>
              <w:spacing w:line="360" w:lineRule="auto"/>
              <w:rPr>
                <w:rFonts w:hAnsi="宋体"/>
                <w:bCs/>
                <w:szCs w:val="21"/>
                <w:highlight w:val="none"/>
              </w:rPr>
            </w:pPr>
            <w:r>
              <w:rPr>
                <w:rFonts w:hint="eastAsia" w:hAnsi="宋体"/>
                <w:bCs/>
                <w:szCs w:val="21"/>
                <w:highlight w:val="none"/>
              </w:rPr>
              <w:t>二档（</w:t>
            </w:r>
            <w:r>
              <w:rPr>
                <w:rFonts w:hAnsi="宋体"/>
                <w:bCs/>
                <w:szCs w:val="21"/>
                <w:highlight w:val="none"/>
              </w:rPr>
              <w:t>2</w:t>
            </w:r>
            <w:r>
              <w:rPr>
                <w:rFonts w:hint="eastAsia" w:hAnsi="宋体"/>
                <w:bCs/>
                <w:szCs w:val="21"/>
                <w:highlight w:val="none"/>
              </w:rPr>
              <w:t>分）：竞标人对本项目的理解和综合情况内容描述不清晰的；</w:t>
            </w:r>
          </w:p>
          <w:p>
            <w:pPr>
              <w:widowControl/>
              <w:snapToGrid w:val="0"/>
              <w:spacing w:line="360" w:lineRule="auto"/>
              <w:rPr>
                <w:rFonts w:hAnsi="宋体"/>
                <w:bCs/>
                <w:szCs w:val="21"/>
                <w:highlight w:val="none"/>
              </w:rPr>
            </w:pPr>
            <w:r>
              <w:rPr>
                <w:rFonts w:hint="eastAsia" w:hAnsi="宋体"/>
                <w:bCs/>
                <w:szCs w:val="21"/>
                <w:highlight w:val="none"/>
              </w:rPr>
              <w:t>三档（</w:t>
            </w:r>
            <w:r>
              <w:rPr>
                <w:rFonts w:hAnsi="宋体"/>
                <w:bCs/>
                <w:szCs w:val="21"/>
                <w:highlight w:val="none"/>
              </w:rPr>
              <w:t>5</w:t>
            </w:r>
            <w:r>
              <w:rPr>
                <w:rFonts w:hint="eastAsia" w:hAnsi="宋体"/>
                <w:bCs/>
                <w:szCs w:val="21"/>
                <w:highlight w:val="none"/>
              </w:rPr>
              <w:t>分）：竞标人对本项目的理解和综合情况基本合理、清晰的；</w:t>
            </w:r>
          </w:p>
          <w:p>
            <w:pPr>
              <w:widowControl/>
              <w:snapToGrid w:val="0"/>
              <w:spacing w:line="360" w:lineRule="auto"/>
              <w:rPr>
                <w:rFonts w:hAnsi="宋体"/>
                <w:bCs/>
                <w:szCs w:val="21"/>
                <w:highlight w:val="none"/>
              </w:rPr>
            </w:pPr>
            <w:r>
              <w:rPr>
                <w:rFonts w:hint="eastAsia" w:hAnsi="宋体"/>
                <w:bCs/>
                <w:szCs w:val="21"/>
                <w:highlight w:val="none"/>
              </w:rPr>
              <w:t>四档（1</w:t>
            </w:r>
            <w:r>
              <w:rPr>
                <w:rFonts w:hAnsi="宋体"/>
                <w:bCs/>
                <w:szCs w:val="21"/>
                <w:highlight w:val="none"/>
              </w:rPr>
              <w:t>0</w:t>
            </w:r>
            <w:r>
              <w:rPr>
                <w:rFonts w:hint="eastAsia" w:hAnsi="宋体"/>
                <w:bCs/>
                <w:szCs w:val="21"/>
                <w:highlight w:val="none"/>
              </w:rPr>
              <w:t>分）：竞标人对本项目的现状、服务需求、服务内容等的理解和综合情况分析合理、清晰明了的。</w:t>
            </w:r>
          </w:p>
        </w:tc>
        <w:tc>
          <w:tcPr>
            <w:tcW w:w="851" w:type="dxa"/>
            <w:vAlign w:val="center"/>
          </w:tcPr>
          <w:p>
            <w:pPr>
              <w:spacing w:line="360" w:lineRule="auto"/>
              <w:jc w:val="center"/>
              <w:rPr>
                <w:rFonts w:ascii="宋体" w:hAnsi="宋体" w:cs="Tahoma"/>
                <w:kern w:val="0"/>
                <w:szCs w:val="21"/>
                <w:highlight w:val="none"/>
              </w:rPr>
            </w:pPr>
            <w:r>
              <w:rPr>
                <w:rFonts w:ascii="宋体" w:hAnsi="宋体" w:cs="Tahoma"/>
                <w:kern w:val="0"/>
                <w:szCs w:val="21"/>
                <w:highlight w:val="none"/>
              </w:rPr>
              <w:t>10</w:t>
            </w:r>
            <w:r>
              <w:rPr>
                <w:rFonts w:hint="eastAsia" w:ascii="宋体" w:hAnsi="宋体" w:cs="Tahoma"/>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4" w:hRule="atLeast"/>
          <w:jc w:val="center"/>
        </w:trPr>
        <w:tc>
          <w:tcPr>
            <w:tcW w:w="600" w:type="dxa"/>
            <w:vAlign w:val="center"/>
          </w:tcPr>
          <w:p>
            <w:pPr>
              <w:adjustRightInd w:val="0"/>
              <w:spacing w:line="360" w:lineRule="auto"/>
              <w:ind w:left="-105" w:leftChars="-50" w:right="-105" w:rightChars="-50"/>
              <w:jc w:val="center"/>
              <w:textAlignment w:val="baseline"/>
              <w:rPr>
                <w:rFonts w:ascii="宋体" w:hAnsi="宋体"/>
                <w:b/>
                <w:bCs/>
                <w:kern w:val="0"/>
                <w:szCs w:val="21"/>
                <w:highlight w:val="none"/>
              </w:rPr>
            </w:pPr>
            <w:r>
              <w:rPr>
                <w:rFonts w:hint="eastAsia" w:ascii="宋体" w:hAnsi="宋体"/>
                <w:b/>
                <w:bCs/>
                <w:kern w:val="0"/>
                <w:szCs w:val="21"/>
                <w:highlight w:val="none"/>
              </w:rPr>
              <w:t>2</w:t>
            </w:r>
            <w:r>
              <w:rPr>
                <w:rFonts w:ascii="宋体" w:hAnsi="宋体"/>
                <w:b/>
                <w:bCs/>
                <w:kern w:val="0"/>
                <w:szCs w:val="21"/>
                <w:highlight w:val="none"/>
              </w:rPr>
              <w:t>.2</w:t>
            </w:r>
          </w:p>
        </w:tc>
        <w:tc>
          <w:tcPr>
            <w:tcW w:w="1418" w:type="dxa"/>
            <w:vAlign w:val="center"/>
          </w:tcPr>
          <w:p>
            <w:pPr>
              <w:adjustRightInd w:val="0"/>
              <w:spacing w:line="360" w:lineRule="auto"/>
              <w:jc w:val="center"/>
              <w:textAlignment w:val="baseline"/>
              <w:rPr>
                <w:rFonts w:ascii="宋体" w:hAnsi="宋体"/>
                <w:bCs/>
                <w:kern w:val="0"/>
                <w:szCs w:val="21"/>
                <w:highlight w:val="none"/>
              </w:rPr>
            </w:pPr>
            <w:r>
              <w:rPr>
                <w:rFonts w:hint="eastAsia" w:hAnsi="宋体" w:cs="宋体"/>
                <w:b/>
                <w:bCs/>
                <w:szCs w:val="21"/>
                <w:highlight w:val="none"/>
              </w:rPr>
              <w:t>技术服务方案分</w:t>
            </w:r>
            <w:r>
              <w:rPr>
                <w:rFonts w:hint="eastAsia" w:ascii="宋体" w:hAnsi="宋体" w:cs="微软雅黑"/>
                <w:b/>
                <w:color w:val="000000"/>
                <w:szCs w:val="21"/>
                <w:highlight w:val="none"/>
              </w:rPr>
              <w:t>（满分30分）</w:t>
            </w:r>
          </w:p>
        </w:tc>
        <w:tc>
          <w:tcPr>
            <w:tcW w:w="6288" w:type="dxa"/>
            <w:vAlign w:val="center"/>
          </w:tcPr>
          <w:p>
            <w:pPr>
              <w:widowControl/>
              <w:snapToGrid w:val="0"/>
              <w:spacing w:line="360" w:lineRule="auto"/>
              <w:rPr>
                <w:rFonts w:hAnsi="宋体"/>
                <w:bCs/>
                <w:szCs w:val="21"/>
                <w:highlight w:val="none"/>
              </w:rPr>
            </w:pPr>
            <w:r>
              <w:rPr>
                <w:rFonts w:hint="eastAsia" w:hAnsi="宋体"/>
                <w:bCs/>
                <w:szCs w:val="21"/>
                <w:highlight w:val="none"/>
              </w:rPr>
              <w:t>一档（0分）：竞标人未提供技术服务方案得0分。</w:t>
            </w:r>
          </w:p>
          <w:p>
            <w:pPr>
              <w:widowControl/>
              <w:snapToGrid w:val="0"/>
              <w:spacing w:line="360" w:lineRule="auto"/>
              <w:rPr>
                <w:rFonts w:hAnsi="宋体"/>
                <w:bCs/>
                <w:szCs w:val="21"/>
                <w:highlight w:val="none"/>
              </w:rPr>
            </w:pPr>
            <w:r>
              <w:rPr>
                <w:rFonts w:hint="eastAsia" w:hAnsi="宋体"/>
                <w:bCs/>
                <w:szCs w:val="21"/>
                <w:highlight w:val="none"/>
              </w:rPr>
              <w:t>二档（10分）：竞标人提供了技术服务方案，方案描述了项目组织实施安排、技术服务方案的；</w:t>
            </w:r>
          </w:p>
          <w:p>
            <w:pPr>
              <w:widowControl/>
              <w:snapToGrid w:val="0"/>
              <w:spacing w:line="360" w:lineRule="auto"/>
              <w:rPr>
                <w:rFonts w:hAnsi="宋体"/>
                <w:bCs/>
                <w:szCs w:val="21"/>
                <w:highlight w:val="none"/>
              </w:rPr>
            </w:pPr>
            <w:r>
              <w:rPr>
                <w:rFonts w:hint="eastAsia" w:hAnsi="宋体"/>
                <w:bCs/>
                <w:szCs w:val="21"/>
                <w:highlight w:val="none"/>
              </w:rPr>
              <w:t>三档（20分）：竞标人提供了详细的技术服务方案，方案详细描述了项目组织实施安排、人员安排以及技术服务方案，且各种服务文档规范齐全；</w:t>
            </w:r>
          </w:p>
          <w:p>
            <w:pPr>
              <w:widowControl/>
              <w:snapToGrid w:val="0"/>
              <w:spacing w:line="360" w:lineRule="auto"/>
              <w:rPr>
                <w:rFonts w:hAnsi="宋体"/>
                <w:bCs/>
                <w:szCs w:val="21"/>
                <w:highlight w:val="none"/>
              </w:rPr>
            </w:pPr>
            <w:r>
              <w:rPr>
                <w:rFonts w:hint="eastAsia" w:hAnsi="宋体"/>
                <w:bCs/>
                <w:szCs w:val="21"/>
                <w:highlight w:val="none"/>
              </w:rPr>
              <w:t>四档（30分）：竞标人提供了可行的服务方案，方案详细描述了可行的项目组织实施安排、人员安排以及针对本项目提供的技术服务方案，具有针对本项目定制</w:t>
            </w:r>
            <w:r>
              <w:rPr>
                <w:rFonts w:hint="eastAsia" w:hAnsi="宋体"/>
                <w:b w:val="0"/>
                <w:bCs/>
                <w:szCs w:val="21"/>
                <w:highlight w:val="none"/>
              </w:rPr>
              <w:t>的相关业务系统匹配服务方</w:t>
            </w:r>
            <w:r>
              <w:rPr>
                <w:rFonts w:hint="eastAsia" w:hAnsi="宋体"/>
                <w:bCs/>
                <w:szCs w:val="21"/>
                <w:highlight w:val="none"/>
              </w:rPr>
              <w:t>案，以及人员培训方案，且各种服务文档规范齐全。</w:t>
            </w:r>
          </w:p>
        </w:tc>
        <w:tc>
          <w:tcPr>
            <w:tcW w:w="851" w:type="dxa"/>
            <w:vAlign w:val="center"/>
          </w:tcPr>
          <w:p>
            <w:pPr>
              <w:spacing w:line="360" w:lineRule="auto"/>
              <w:jc w:val="center"/>
              <w:rPr>
                <w:rFonts w:ascii="宋体" w:hAnsi="宋体" w:cs="Tahoma"/>
                <w:kern w:val="0"/>
                <w:szCs w:val="21"/>
                <w:highlight w:val="none"/>
              </w:rPr>
            </w:pPr>
            <w:r>
              <w:rPr>
                <w:rFonts w:hint="eastAsia" w:ascii="宋体" w:hAnsi="宋体" w:cs="Tahoma"/>
                <w:kern w:val="0"/>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00" w:type="dxa"/>
            <w:vAlign w:val="center"/>
          </w:tcPr>
          <w:p>
            <w:pPr>
              <w:adjustRightInd w:val="0"/>
              <w:spacing w:line="360" w:lineRule="auto"/>
              <w:ind w:left="-105" w:leftChars="-50" w:right="-105" w:rightChars="-50"/>
              <w:jc w:val="center"/>
              <w:textAlignment w:val="baseline"/>
              <w:rPr>
                <w:rFonts w:hint="eastAsia" w:ascii="宋体" w:hAnsi="宋体" w:eastAsia="宋体"/>
                <w:b/>
                <w:bCs/>
                <w:kern w:val="0"/>
                <w:szCs w:val="21"/>
                <w:highlight w:val="none"/>
                <w:lang w:eastAsia="zh-CN"/>
              </w:rPr>
            </w:pPr>
            <w:r>
              <w:rPr>
                <w:rFonts w:hint="eastAsia" w:ascii="宋体" w:hAnsi="宋体"/>
                <w:b/>
                <w:bCs/>
                <w:kern w:val="0"/>
                <w:szCs w:val="21"/>
                <w:highlight w:val="none"/>
              </w:rPr>
              <w:t>2.</w:t>
            </w:r>
            <w:r>
              <w:rPr>
                <w:rFonts w:hint="eastAsia" w:ascii="宋体" w:hAnsi="宋体"/>
                <w:b/>
                <w:bCs/>
                <w:kern w:val="0"/>
                <w:szCs w:val="21"/>
                <w:highlight w:val="none"/>
                <w:lang w:val="en-US" w:eastAsia="zh-CN"/>
              </w:rPr>
              <w:t>3</w:t>
            </w:r>
          </w:p>
        </w:tc>
        <w:tc>
          <w:tcPr>
            <w:tcW w:w="1418" w:type="dxa"/>
            <w:vAlign w:val="center"/>
          </w:tcPr>
          <w:p>
            <w:pPr>
              <w:adjustRightInd w:val="0"/>
              <w:spacing w:line="360" w:lineRule="auto"/>
              <w:jc w:val="center"/>
              <w:textAlignment w:val="baseline"/>
              <w:rPr>
                <w:rFonts w:hAnsi="宋体" w:cs="宋体"/>
                <w:b/>
                <w:bCs/>
                <w:szCs w:val="21"/>
                <w:highlight w:val="none"/>
              </w:rPr>
            </w:pPr>
            <w:r>
              <w:rPr>
                <w:rFonts w:hint="eastAsia" w:hAnsi="宋体" w:cs="宋体"/>
                <w:b/>
                <w:bCs/>
                <w:szCs w:val="21"/>
                <w:highlight w:val="none"/>
              </w:rPr>
              <w:t>运维售后服务方案分</w:t>
            </w:r>
            <w:r>
              <w:rPr>
                <w:rFonts w:hint="eastAsia" w:ascii="宋体" w:hAnsi="宋体" w:cs="微软雅黑"/>
                <w:b/>
                <w:color w:val="000000"/>
                <w:szCs w:val="21"/>
                <w:highlight w:val="none"/>
              </w:rPr>
              <w:t>（满分2</w:t>
            </w:r>
            <w:r>
              <w:rPr>
                <w:rFonts w:ascii="宋体" w:hAnsi="宋体" w:cs="微软雅黑"/>
                <w:b/>
                <w:color w:val="000000"/>
                <w:szCs w:val="21"/>
                <w:highlight w:val="none"/>
              </w:rPr>
              <w:t>0</w:t>
            </w:r>
            <w:r>
              <w:rPr>
                <w:rFonts w:hint="eastAsia" w:ascii="宋体" w:hAnsi="宋体" w:cs="微软雅黑"/>
                <w:b/>
                <w:color w:val="000000"/>
                <w:szCs w:val="21"/>
                <w:highlight w:val="none"/>
              </w:rPr>
              <w:t>分）</w:t>
            </w:r>
          </w:p>
        </w:tc>
        <w:tc>
          <w:tcPr>
            <w:tcW w:w="6288" w:type="dxa"/>
            <w:vAlign w:val="center"/>
          </w:tcPr>
          <w:p>
            <w:pPr>
              <w:pStyle w:val="21"/>
              <w:spacing w:line="360" w:lineRule="auto"/>
              <w:rPr>
                <w:rFonts w:ascii="Calibri" w:hAnsi="Calibri"/>
                <w:bCs/>
                <w:kern w:val="2"/>
                <w:sz w:val="21"/>
                <w:szCs w:val="24"/>
                <w:highlight w:val="none"/>
                <w:shd w:val="clear" w:color="auto" w:fill="FFFFFF"/>
              </w:rPr>
            </w:pPr>
            <w:r>
              <w:rPr>
                <w:rFonts w:hint="eastAsia" w:ascii="Calibri" w:hAnsi="Calibri"/>
                <w:bCs/>
                <w:kern w:val="2"/>
                <w:sz w:val="21"/>
                <w:szCs w:val="24"/>
                <w:highlight w:val="none"/>
                <w:shd w:val="clear" w:color="auto" w:fill="FFFFFF"/>
              </w:rPr>
              <w:t>一档（0分）：竞标人未提供运维售后服务方案得0分。</w:t>
            </w:r>
          </w:p>
          <w:p>
            <w:pPr>
              <w:widowControl/>
              <w:snapToGrid w:val="0"/>
              <w:spacing w:line="360" w:lineRule="auto"/>
              <w:rPr>
                <w:rFonts w:hAnsi="宋体"/>
                <w:bCs/>
                <w:szCs w:val="21"/>
                <w:highlight w:val="none"/>
              </w:rPr>
            </w:pPr>
            <w:r>
              <w:rPr>
                <w:rFonts w:hint="eastAsia" w:hAnsi="宋体"/>
                <w:bCs/>
                <w:szCs w:val="21"/>
                <w:highlight w:val="none"/>
              </w:rPr>
              <w:t>一档（7分）：质量保证措施和售后服务承诺较简单；售后响应时间不及时或较慢，无具体承诺或不适用，服务内容、保障措施简单。</w:t>
            </w:r>
          </w:p>
          <w:p>
            <w:pPr>
              <w:widowControl/>
              <w:snapToGrid w:val="0"/>
              <w:spacing w:line="360" w:lineRule="auto"/>
              <w:rPr>
                <w:rFonts w:hAnsi="宋体"/>
                <w:bCs/>
                <w:szCs w:val="21"/>
                <w:highlight w:val="none"/>
              </w:rPr>
            </w:pPr>
            <w:r>
              <w:rPr>
                <w:rFonts w:hint="eastAsia" w:hAnsi="宋体"/>
                <w:bCs/>
                <w:szCs w:val="21"/>
                <w:highlight w:val="none"/>
              </w:rPr>
              <w:t>二档（14分）：质量保证措施和售后服务承诺基本满足采购文件要求，安排较具体，内容较完整、可行，售后响应时间满足招标文件要求，有具体承诺，服务内容、保障措施较为详细。</w:t>
            </w:r>
          </w:p>
          <w:p>
            <w:pPr>
              <w:widowControl/>
              <w:snapToGrid w:val="0"/>
              <w:spacing w:line="360" w:lineRule="auto"/>
              <w:rPr>
                <w:rFonts w:hAnsi="宋体"/>
                <w:bCs/>
                <w:szCs w:val="21"/>
                <w:highlight w:val="none"/>
              </w:rPr>
            </w:pPr>
            <w:r>
              <w:rPr>
                <w:rFonts w:hint="eastAsia" w:hAnsi="宋体"/>
                <w:bCs/>
                <w:szCs w:val="21"/>
                <w:highlight w:val="none"/>
              </w:rPr>
              <w:t>三档（2</w:t>
            </w:r>
            <w:r>
              <w:rPr>
                <w:rFonts w:hAnsi="宋体"/>
                <w:bCs/>
                <w:szCs w:val="21"/>
                <w:highlight w:val="none"/>
              </w:rPr>
              <w:t>0</w:t>
            </w:r>
            <w:r>
              <w:rPr>
                <w:rFonts w:hint="eastAsia" w:hAnsi="宋体"/>
                <w:bCs/>
                <w:szCs w:val="21"/>
                <w:highlight w:val="none"/>
              </w:rPr>
              <w:t>分）：质量保证措施和售后服务承诺充分满足采购文件要求，安排详细具体，提供具体技术支持服务、服务质量保障、服务管理规范、应急处置方案等内容，内容完整、齐全、可行，有针对性。</w:t>
            </w:r>
          </w:p>
        </w:tc>
        <w:tc>
          <w:tcPr>
            <w:tcW w:w="851" w:type="dxa"/>
            <w:vAlign w:val="center"/>
          </w:tcPr>
          <w:p>
            <w:pPr>
              <w:spacing w:line="360" w:lineRule="auto"/>
              <w:jc w:val="center"/>
              <w:rPr>
                <w:rFonts w:ascii="宋体" w:hAnsi="宋体" w:cs="Tahoma"/>
                <w:kern w:val="0"/>
                <w:szCs w:val="21"/>
                <w:highlight w:val="none"/>
              </w:rPr>
            </w:pPr>
            <w:r>
              <w:rPr>
                <w:rFonts w:ascii="宋体" w:hAnsi="宋体" w:cs="Tahoma"/>
                <w:kern w:val="0"/>
                <w:szCs w:val="21"/>
                <w:highlight w:val="none"/>
              </w:rPr>
              <w:t>20</w:t>
            </w:r>
            <w:r>
              <w:rPr>
                <w:rFonts w:hint="eastAsia" w:ascii="宋体" w:hAnsi="宋体" w:cs="Tahoma"/>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3</w:t>
            </w:r>
          </w:p>
        </w:tc>
        <w:tc>
          <w:tcPr>
            <w:tcW w:w="1418" w:type="dxa"/>
            <w:vAlign w:val="center"/>
          </w:tcPr>
          <w:p>
            <w:pPr>
              <w:widowControl/>
              <w:spacing w:line="360" w:lineRule="auto"/>
              <w:jc w:val="center"/>
              <w:rPr>
                <w:rFonts w:ascii="宋体" w:hAnsi="宋体" w:cs="Courier New"/>
                <w:b/>
                <w:bCs/>
                <w:szCs w:val="21"/>
                <w:highlight w:val="none"/>
              </w:rPr>
            </w:pPr>
            <w:r>
              <w:rPr>
                <w:rFonts w:hint="eastAsia" w:ascii="宋体" w:hAnsi="宋体" w:cs="Courier New"/>
                <w:b/>
                <w:bCs/>
                <w:szCs w:val="21"/>
                <w:highlight w:val="none"/>
              </w:rPr>
              <w:t>商务分</w:t>
            </w:r>
          </w:p>
        </w:tc>
        <w:tc>
          <w:tcPr>
            <w:tcW w:w="7139" w:type="dxa"/>
            <w:gridSpan w:val="2"/>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600"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3.1</w:t>
            </w:r>
          </w:p>
        </w:tc>
        <w:tc>
          <w:tcPr>
            <w:tcW w:w="1418" w:type="dxa"/>
            <w:vAlign w:val="center"/>
          </w:tcPr>
          <w:p>
            <w:pPr>
              <w:widowControl/>
              <w:spacing w:line="360" w:lineRule="auto"/>
              <w:jc w:val="center"/>
              <w:rPr>
                <w:rFonts w:ascii="宋体" w:hAnsi="宋体" w:cs="Courier New"/>
                <w:bCs/>
                <w:szCs w:val="21"/>
                <w:highlight w:val="none"/>
              </w:rPr>
            </w:pPr>
            <w:r>
              <w:rPr>
                <w:rFonts w:hint="eastAsia" w:ascii="宋体" w:hAnsi="宋体" w:cs="Courier New"/>
                <w:b/>
                <w:szCs w:val="21"/>
                <w:highlight w:val="none"/>
              </w:rPr>
              <w:t>项目人员配备分（满分9分）</w:t>
            </w:r>
          </w:p>
        </w:tc>
        <w:tc>
          <w:tcPr>
            <w:tcW w:w="6288" w:type="dxa"/>
          </w:tcPr>
          <w:p>
            <w:pPr>
              <w:pStyle w:val="21"/>
              <w:spacing w:line="360" w:lineRule="auto"/>
              <w:rPr>
                <w:rFonts w:hAnsi="宋体" w:cs="Courier New"/>
                <w:bCs/>
                <w:kern w:val="2"/>
                <w:sz w:val="21"/>
                <w:highlight w:val="none"/>
              </w:rPr>
            </w:pPr>
            <w:r>
              <w:rPr>
                <w:rFonts w:hint="eastAsia" w:hAnsi="宋体" w:cs="Courier New"/>
                <w:bCs/>
                <w:kern w:val="2"/>
                <w:sz w:val="21"/>
                <w:highlight w:val="none"/>
              </w:rPr>
              <w:t>1、竞标人提供拟投入人员分配方案中对各组织的职责（任务）、人员构成包括主要人员的专业水平及经验方面的情况进行了详细阐述的，得5分。</w:t>
            </w:r>
          </w:p>
          <w:p>
            <w:pPr>
              <w:pStyle w:val="21"/>
              <w:spacing w:line="360" w:lineRule="auto"/>
              <w:rPr>
                <w:rFonts w:cs="Courier New"/>
                <w:sz w:val="21"/>
                <w:highlight w:val="none"/>
              </w:rPr>
            </w:pPr>
            <w:r>
              <w:rPr>
                <w:rFonts w:hint="eastAsia" w:hAnsi="宋体" w:cs="Courier New"/>
                <w:bCs/>
                <w:kern w:val="2"/>
                <w:sz w:val="21"/>
                <w:highlight w:val="none"/>
              </w:rPr>
              <w:t>2、项目实施人员配置具高级工程师职称或具有中华人民共和国工业和信息化部颁发的软考高级资格证书不少于</w:t>
            </w:r>
            <w:r>
              <w:rPr>
                <w:rFonts w:hAnsi="宋体" w:cs="Courier New"/>
                <w:bCs/>
                <w:kern w:val="2"/>
                <w:sz w:val="21"/>
                <w:highlight w:val="none"/>
              </w:rPr>
              <w:t>4</w:t>
            </w:r>
            <w:r>
              <w:rPr>
                <w:rFonts w:hint="eastAsia" w:hAnsi="宋体" w:cs="Courier New"/>
                <w:bCs/>
                <w:kern w:val="2"/>
                <w:sz w:val="21"/>
                <w:highlight w:val="none"/>
              </w:rPr>
              <w:t>人，每人得1分，满分</w:t>
            </w:r>
            <w:r>
              <w:rPr>
                <w:rFonts w:hAnsi="宋体" w:cs="Courier New"/>
                <w:bCs/>
                <w:kern w:val="2"/>
                <w:sz w:val="21"/>
                <w:highlight w:val="none"/>
              </w:rPr>
              <w:t>4</w:t>
            </w:r>
            <w:r>
              <w:rPr>
                <w:rFonts w:hint="eastAsia" w:hAnsi="宋体" w:cs="Courier New"/>
                <w:bCs/>
                <w:kern w:val="2"/>
                <w:sz w:val="21"/>
                <w:highlight w:val="none"/>
              </w:rPr>
              <w:t>分。（须提供拟投入本项目的相关专业技术人员截标前（半年内）连续3个月加盖社保部门公章的社保缴纳明细复印件及相关证明材料（如：职称证书等），评审时以提供的证明材料为准。）</w:t>
            </w:r>
          </w:p>
        </w:tc>
        <w:tc>
          <w:tcPr>
            <w:tcW w:w="851" w:type="dxa"/>
            <w:vAlign w:val="center"/>
          </w:tcPr>
          <w:p>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vAlign w:val="center"/>
          </w:tcPr>
          <w:p>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3</w:t>
            </w:r>
            <w:r>
              <w:rPr>
                <w:rFonts w:ascii="宋体" w:hAnsi="宋体" w:cs="Tahoma"/>
                <w:b/>
                <w:bCs/>
                <w:kern w:val="0"/>
                <w:szCs w:val="21"/>
                <w:highlight w:val="none"/>
              </w:rPr>
              <w:t>.2</w:t>
            </w:r>
          </w:p>
        </w:tc>
        <w:tc>
          <w:tcPr>
            <w:tcW w:w="1418" w:type="dxa"/>
            <w:vAlign w:val="center"/>
          </w:tcPr>
          <w:p>
            <w:pPr>
              <w:widowControl/>
              <w:spacing w:line="360" w:lineRule="auto"/>
              <w:jc w:val="center"/>
              <w:rPr>
                <w:rFonts w:ascii="宋体" w:hAnsi="宋体" w:cs="微软雅黑"/>
                <w:b/>
                <w:bCs/>
                <w:color w:val="000000"/>
                <w:szCs w:val="21"/>
                <w:highlight w:val="none"/>
              </w:rPr>
            </w:pPr>
            <w:r>
              <w:rPr>
                <w:rFonts w:hint="eastAsia" w:ascii="宋体" w:hAnsi="宋体" w:cs="微软雅黑"/>
                <w:b/>
                <w:bCs/>
                <w:color w:val="000000"/>
                <w:szCs w:val="21"/>
                <w:highlight w:val="none"/>
              </w:rPr>
              <w:t>业绩分（满分</w:t>
            </w:r>
            <w:r>
              <w:rPr>
                <w:rFonts w:ascii="宋体" w:hAnsi="宋体" w:cs="微软雅黑"/>
                <w:b/>
                <w:bCs/>
                <w:color w:val="000000"/>
                <w:szCs w:val="21"/>
                <w:highlight w:val="none"/>
              </w:rPr>
              <w:t>10</w:t>
            </w:r>
            <w:r>
              <w:rPr>
                <w:rFonts w:hint="eastAsia" w:ascii="宋体" w:hAnsi="宋体" w:cs="微软雅黑"/>
                <w:b/>
                <w:bCs/>
                <w:color w:val="000000"/>
                <w:szCs w:val="21"/>
                <w:highlight w:val="none"/>
              </w:rPr>
              <w:t>分）</w:t>
            </w:r>
          </w:p>
        </w:tc>
        <w:tc>
          <w:tcPr>
            <w:tcW w:w="6288" w:type="dxa"/>
          </w:tcPr>
          <w:p>
            <w:pPr>
              <w:pStyle w:val="21"/>
              <w:spacing w:line="360" w:lineRule="auto"/>
              <w:rPr>
                <w:rFonts w:hAnsi="宋体" w:cs="Courier New"/>
                <w:bCs/>
                <w:kern w:val="2"/>
                <w:sz w:val="21"/>
                <w:highlight w:val="none"/>
              </w:rPr>
            </w:pPr>
            <w:r>
              <w:rPr>
                <w:rFonts w:hint="eastAsia" w:hAnsi="宋体" w:cs="Courier New"/>
                <w:bCs/>
                <w:kern w:val="2"/>
                <w:sz w:val="21"/>
                <w:highlight w:val="none"/>
              </w:rPr>
              <w:t>竞标人自2020年07月01日以来</w:t>
            </w:r>
            <w:r>
              <w:rPr>
                <w:rFonts w:hint="eastAsia" w:hAnsi="宋体" w:cs="Courier New"/>
                <w:bCs/>
                <w:kern w:val="2"/>
                <w:sz w:val="21"/>
                <w:highlight w:val="none"/>
                <w:lang w:eastAsia="zh-CN"/>
              </w:rPr>
              <w:t>完成过</w:t>
            </w:r>
            <w:r>
              <w:rPr>
                <w:rFonts w:hint="eastAsia" w:hAnsi="宋体" w:cs="Courier New"/>
                <w:bCs/>
                <w:kern w:val="2"/>
                <w:sz w:val="21"/>
                <w:highlight w:val="none"/>
              </w:rPr>
              <w:t>类似</w:t>
            </w:r>
            <w:r>
              <w:rPr>
                <w:rFonts w:hint="eastAsia" w:hAnsi="宋体" w:cs="Courier New"/>
                <w:bCs/>
                <w:kern w:val="2"/>
                <w:sz w:val="21"/>
                <w:highlight w:val="none"/>
                <w:lang w:eastAsia="zh-CN"/>
              </w:rPr>
              <w:t>项目</w:t>
            </w:r>
            <w:r>
              <w:rPr>
                <w:rFonts w:hint="eastAsia" w:hAnsi="宋体" w:cs="Courier New"/>
                <w:bCs/>
                <w:kern w:val="2"/>
                <w:sz w:val="21"/>
                <w:highlight w:val="none"/>
              </w:rPr>
              <w:t>业绩的，每提供1项得2分,满分</w:t>
            </w:r>
            <w:r>
              <w:rPr>
                <w:rFonts w:hAnsi="宋体" w:cs="Courier New"/>
                <w:bCs/>
                <w:kern w:val="2"/>
                <w:sz w:val="21"/>
                <w:highlight w:val="none"/>
              </w:rPr>
              <w:t>10</w:t>
            </w:r>
            <w:r>
              <w:rPr>
                <w:rFonts w:hint="eastAsia" w:hAnsi="宋体" w:cs="Courier New"/>
                <w:bCs/>
                <w:kern w:val="2"/>
                <w:sz w:val="21"/>
                <w:highlight w:val="none"/>
              </w:rPr>
              <w:t>分；不提供不得分。（须提供项目合同以及中标（成交）通知书复印件并加盖竞标人公章）</w:t>
            </w:r>
          </w:p>
        </w:tc>
        <w:tc>
          <w:tcPr>
            <w:tcW w:w="851" w:type="dxa"/>
            <w:vAlign w:val="center"/>
          </w:tcPr>
          <w:p>
            <w:pPr>
              <w:widowControl/>
              <w:spacing w:line="360" w:lineRule="auto"/>
              <w:jc w:val="center"/>
              <w:rPr>
                <w:rFonts w:ascii="宋体" w:hAnsi="宋体" w:cs="Tahoma"/>
                <w:kern w:val="0"/>
                <w:szCs w:val="21"/>
                <w:highlight w:val="none"/>
              </w:rPr>
            </w:pPr>
            <w:r>
              <w:rPr>
                <w:rFonts w:ascii="宋体" w:hAnsi="宋体" w:cs="Tahoma"/>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0" w:type="dxa"/>
            <w:vAlign w:val="center"/>
          </w:tcPr>
          <w:p>
            <w:pPr>
              <w:widowControl/>
              <w:spacing w:line="360" w:lineRule="auto"/>
              <w:jc w:val="center"/>
              <w:rPr>
                <w:rFonts w:ascii="宋体" w:hAnsi="宋体" w:cs="Tahoma"/>
                <w:b/>
                <w:bCs/>
                <w:kern w:val="0"/>
                <w:szCs w:val="21"/>
                <w:highlight w:val="none"/>
              </w:rPr>
            </w:pPr>
            <w:r>
              <w:rPr>
                <w:rFonts w:ascii="宋体" w:hAnsi="宋体" w:cs="Tahoma"/>
                <w:b/>
                <w:bCs/>
                <w:kern w:val="0"/>
                <w:szCs w:val="21"/>
                <w:highlight w:val="none"/>
              </w:rPr>
              <w:t>3.3</w:t>
            </w:r>
          </w:p>
        </w:tc>
        <w:tc>
          <w:tcPr>
            <w:tcW w:w="1418" w:type="dxa"/>
            <w:vAlign w:val="center"/>
          </w:tcPr>
          <w:p>
            <w:pPr>
              <w:widowControl/>
              <w:spacing w:line="360" w:lineRule="auto"/>
              <w:jc w:val="center"/>
              <w:rPr>
                <w:rFonts w:ascii="宋体" w:hAnsi="宋体" w:cs="Tahoma"/>
                <w:kern w:val="0"/>
                <w:szCs w:val="21"/>
                <w:highlight w:val="none"/>
              </w:rPr>
            </w:pPr>
            <w:r>
              <w:rPr>
                <w:rFonts w:hint="eastAsia" w:ascii="宋体" w:hAnsi="宋体" w:cs="微软雅黑"/>
                <w:b/>
                <w:bCs/>
                <w:color w:val="000000"/>
                <w:szCs w:val="21"/>
                <w:highlight w:val="none"/>
              </w:rPr>
              <w:t>服务能力（满分6分）</w:t>
            </w:r>
          </w:p>
        </w:tc>
        <w:tc>
          <w:tcPr>
            <w:tcW w:w="6288" w:type="dxa"/>
          </w:tcPr>
          <w:p>
            <w:pPr>
              <w:pStyle w:val="21"/>
              <w:spacing w:line="360" w:lineRule="auto"/>
              <w:rPr>
                <w:rFonts w:hAnsi="宋体" w:cs="Courier New"/>
                <w:bCs/>
                <w:kern w:val="2"/>
                <w:sz w:val="21"/>
                <w:highlight w:val="none"/>
              </w:rPr>
            </w:pPr>
            <w:bookmarkStart w:id="166" w:name="_GoBack"/>
            <w:r>
              <w:rPr>
                <w:rFonts w:hint="eastAsia" w:hAnsi="宋体" w:cs="Courier New"/>
                <w:bCs/>
                <w:kern w:val="2"/>
                <w:sz w:val="21"/>
                <w:highlight w:val="none"/>
              </w:rPr>
              <w:t>1、竞标人具有ISO9001质量管理体系认证证书得2分（须提供已通过认证机构年审合格有效的认证证书复印件并加盖竞标人公章）；</w:t>
            </w:r>
          </w:p>
          <w:p>
            <w:pPr>
              <w:pStyle w:val="21"/>
              <w:spacing w:line="360" w:lineRule="auto"/>
              <w:rPr>
                <w:rFonts w:hAnsi="宋体" w:cs="Courier New"/>
                <w:bCs/>
                <w:kern w:val="2"/>
                <w:sz w:val="21"/>
                <w:highlight w:val="none"/>
              </w:rPr>
            </w:pPr>
            <w:r>
              <w:rPr>
                <w:rFonts w:hint="eastAsia" w:hAnsi="宋体" w:cs="Courier New"/>
                <w:bCs/>
                <w:kern w:val="2"/>
                <w:sz w:val="21"/>
                <w:highlight w:val="none"/>
              </w:rPr>
              <w:t>2、竞标人具有ISO20000信息技术服务管理体系认证证书得2分（须提供已通过认证机构年审合格有效的认证证书复印件并加盖竞标人公章）；</w:t>
            </w:r>
          </w:p>
          <w:p>
            <w:pPr>
              <w:pStyle w:val="21"/>
              <w:spacing w:line="360" w:lineRule="auto"/>
              <w:rPr>
                <w:rFonts w:hAnsi="宋体" w:cs="Courier New"/>
                <w:bCs/>
                <w:kern w:val="2"/>
                <w:sz w:val="21"/>
                <w:highlight w:val="none"/>
              </w:rPr>
            </w:pPr>
            <w:r>
              <w:rPr>
                <w:rFonts w:hint="eastAsia" w:hAnsi="宋体" w:cs="Courier New"/>
                <w:bCs/>
                <w:kern w:val="2"/>
                <w:sz w:val="21"/>
                <w:highlight w:val="none"/>
              </w:rPr>
              <w:t>3、竞标人具有ISO27001信息安全管理体系认证证书得2分（须提供已通过认证机构年审合格有效的认证证书复印件并加盖竞标人公章）；</w:t>
            </w:r>
          </w:p>
          <w:p>
            <w:pPr>
              <w:pStyle w:val="21"/>
              <w:spacing w:line="360" w:lineRule="auto"/>
              <w:rPr>
                <w:rFonts w:hAnsi="宋体" w:cs="Courier New"/>
                <w:bCs/>
                <w:kern w:val="2"/>
                <w:sz w:val="21"/>
                <w:highlight w:val="none"/>
              </w:rPr>
            </w:pPr>
            <w:r>
              <w:rPr>
                <w:rFonts w:hint="eastAsia" w:hAnsi="宋体" w:cs="Courier New"/>
                <w:bCs/>
                <w:kern w:val="2"/>
                <w:sz w:val="21"/>
                <w:highlight w:val="none"/>
              </w:rPr>
              <w:t>注：不提供不得分。</w:t>
            </w:r>
            <w:bookmarkEnd w:id="166"/>
          </w:p>
        </w:tc>
        <w:tc>
          <w:tcPr>
            <w:tcW w:w="851" w:type="dxa"/>
            <w:vAlign w:val="center"/>
          </w:tcPr>
          <w:p>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06" w:type="dxa"/>
            <w:gridSpan w:val="3"/>
          </w:tcPr>
          <w:p>
            <w:pPr>
              <w:pStyle w:val="21"/>
              <w:spacing w:line="360" w:lineRule="auto"/>
              <w:ind w:firstLine="422" w:firstLineChars="200"/>
              <w:rPr>
                <w:rFonts w:hAnsi="宋体" w:cs="Courier New"/>
                <w:b/>
                <w:bCs/>
                <w:kern w:val="2"/>
                <w:sz w:val="21"/>
                <w:highlight w:val="none"/>
              </w:rPr>
            </w:pPr>
            <w:r>
              <w:rPr>
                <w:rFonts w:hint="eastAsia" w:hAnsi="宋体" w:cs="Courier New"/>
                <w:b/>
                <w:bCs/>
                <w:kern w:val="2"/>
                <w:sz w:val="21"/>
                <w:highlight w:val="none"/>
              </w:rPr>
              <w:t>总得分＝1＋2＋3</w:t>
            </w:r>
          </w:p>
        </w:tc>
        <w:tc>
          <w:tcPr>
            <w:tcW w:w="851" w:type="dxa"/>
            <w:vAlign w:val="center"/>
          </w:tcPr>
          <w:p>
            <w:pPr>
              <w:widowControl/>
              <w:spacing w:line="360" w:lineRule="auto"/>
              <w:jc w:val="center"/>
              <w:rPr>
                <w:rFonts w:ascii="宋体" w:hAnsi="宋体" w:cs="Tahoma"/>
                <w:kern w:val="0"/>
                <w:szCs w:val="21"/>
                <w:highlight w:val="none"/>
              </w:rPr>
            </w:pPr>
          </w:p>
        </w:tc>
      </w:tr>
    </w:tbl>
    <w:p>
      <w:pPr>
        <w:pStyle w:val="2"/>
        <w:rPr>
          <w:rFonts w:ascii="宋体" w:hAnsi="宋体" w:cs="宋体"/>
          <w:szCs w:val="21"/>
          <w:highlight w:val="none"/>
        </w:rPr>
      </w:pPr>
    </w:p>
    <w:p>
      <w:pPr>
        <w:spacing w:line="360" w:lineRule="auto"/>
        <w:ind w:firstLine="420" w:firstLineChars="200"/>
        <w:rPr>
          <w:rFonts w:ascii="宋体" w:hAnsi="宋体" w:cs="宋体"/>
          <w:highlight w:val="none"/>
        </w:rPr>
      </w:pPr>
      <w:bookmarkStart w:id="118" w:name="_Toc80205935"/>
      <w:r>
        <w:rPr>
          <w:rFonts w:hint="eastAsia" w:ascii="宋体" w:hAnsi="宋体" w:cs="宋体"/>
          <w:highlight w:val="none"/>
        </w:rPr>
        <w:t>7.2终止竞争性磋商采购活动</w:t>
      </w:r>
    </w:p>
    <w:p>
      <w:pPr>
        <w:spacing w:line="360" w:lineRule="auto"/>
        <w:ind w:firstLine="420" w:firstLineChars="200"/>
        <w:rPr>
          <w:rFonts w:ascii="宋体" w:hAnsi="宋体" w:cs="宋体"/>
          <w:b/>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4"/>
        <w:spacing w:before="0" w:after="0" w:line="360" w:lineRule="auto"/>
        <w:ind w:firstLine="640" w:firstLineChars="200"/>
        <w:jc w:val="center"/>
        <w:rPr>
          <w:rFonts w:ascii="宋体" w:hAnsi="宋体" w:cs="宋体"/>
          <w:b w:val="0"/>
          <w:highlight w:val="none"/>
        </w:rPr>
      </w:pPr>
      <w:bookmarkStart w:id="119" w:name="_Toc80886939"/>
      <w:bookmarkStart w:id="120" w:name="_Toc22545"/>
      <w:bookmarkStart w:id="121" w:name="_Toc11595"/>
      <w:r>
        <w:rPr>
          <w:rFonts w:hint="eastAsia" w:ascii="宋体" w:hAnsi="宋体" w:cs="宋体"/>
          <w:b w:val="0"/>
          <w:highlight w:val="none"/>
        </w:rPr>
        <w:t>第二节 评审报告</w:t>
      </w:r>
      <w:bookmarkEnd w:id="118"/>
      <w:bookmarkEnd w:id="119"/>
      <w:bookmarkEnd w:id="120"/>
      <w:bookmarkEnd w:id="121"/>
    </w:p>
    <w:p>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1.成交标准</w:t>
      </w:r>
    </w:p>
    <w:p>
      <w:pPr>
        <w:spacing w:line="360" w:lineRule="auto"/>
        <w:ind w:firstLine="420" w:firstLineChars="200"/>
        <w:rPr>
          <w:rFonts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2.评标争议事项处理</w:t>
      </w:r>
    </w:p>
    <w:p>
      <w:pPr>
        <w:pStyle w:val="67"/>
        <w:spacing w:before="0"/>
        <w:ind w:firstLine="420"/>
        <w:rPr>
          <w:rFonts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pPr>
        <w:pStyle w:val="67"/>
        <w:spacing w:before="0"/>
        <w:ind w:firstLine="420"/>
        <w:rPr>
          <w:rFonts w:ascii="宋体" w:hAnsi="宋体" w:cs="宋体"/>
          <w:kern w:val="2"/>
          <w:sz w:val="21"/>
          <w:szCs w:val="24"/>
          <w:highlight w:val="none"/>
        </w:rPr>
      </w:pPr>
    </w:p>
    <w:p>
      <w:pPr>
        <w:pStyle w:val="4"/>
        <w:spacing w:before="0" w:after="0" w:line="360" w:lineRule="auto"/>
        <w:ind w:firstLine="640" w:firstLineChars="200"/>
        <w:jc w:val="center"/>
        <w:rPr>
          <w:rFonts w:ascii="宋体" w:hAnsi="宋体" w:cs="宋体"/>
          <w:b w:val="0"/>
          <w:highlight w:val="none"/>
        </w:rPr>
      </w:pPr>
      <w:bookmarkStart w:id="122" w:name="_Toc80205936"/>
      <w:bookmarkStart w:id="123" w:name="_Toc20045"/>
      <w:bookmarkStart w:id="124" w:name="_Toc80886940"/>
      <w:bookmarkStart w:id="125" w:name="_Toc2025"/>
      <w:r>
        <w:rPr>
          <w:rFonts w:hint="eastAsia" w:ascii="宋体" w:hAnsi="宋体" w:cs="宋体"/>
          <w:b w:val="0"/>
          <w:highlight w:val="none"/>
        </w:rPr>
        <w:t>第三节 评审过程的保密与录像</w:t>
      </w:r>
      <w:bookmarkEnd w:id="122"/>
      <w:bookmarkEnd w:id="123"/>
      <w:bookmarkEnd w:id="124"/>
      <w:bookmarkEnd w:id="125"/>
    </w:p>
    <w:p>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1.保密。</w:t>
      </w:r>
    </w:p>
    <w:p>
      <w:pPr>
        <w:widowControl/>
        <w:spacing w:line="360" w:lineRule="auto"/>
        <w:ind w:firstLine="420" w:firstLineChars="200"/>
        <w:rPr>
          <w:rFonts w:ascii="宋体" w:hAnsi="宋体" w:cs="宋体"/>
          <w:highlight w:val="none"/>
        </w:rPr>
      </w:pPr>
      <w:r>
        <w:rPr>
          <w:rFonts w:hint="eastAsia" w:ascii="宋体" w:hAnsi="宋体" w:cs="宋体"/>
          <w:highlight w:val="none"/>
        </w:rPr>
        <w:t>评审活动在严格保密的情况下进行。评审过程中凡是与响应文件评审和比较、中标成交供应商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2.录音录像。</w:t>
      </w:r>
    </w:p>
    <w:p>
      <w:pPr>
        <w:spacing w:line="360" w:lineRule="auto"/>
        <w:ind w:firstLine="420" w:firstLineChars="200"/>
        <w:rPr>
          <w:rFonts w:ascii="宋体" w:hAnsi="宋体" w:cs="宋体"/>
          <w:highlight w:val="none"/>
        </w:rPr>
      </w:pPr>
      <w:r>
        <w:rPr>
          <w:rFonts w:hint="eastAsia" w:ascii="宋体" w:hAnsi="宋体" w:cs="宋体"/>
          <w:highlight w:val="none"/>
        </w:rPr>
        <w:t>采购代理机构对评审工作现场及操作屏幕进行全过程录音录像，录音录像资料作为采购项目文件随其他文件一并存档。</w:t>
      </w:r>
    </w:p>
    <w:p>
      <w:pPr>
        <w:pStyle w:val="4"/>
        <w:jc w:val="center"/>
        <w:rPr>
          <w:rFonts w:ascii="宋体" w:hAnsi="宋体" w:cs="宋体"/>
          <w:highlight w:val="none"/>
        </w:rPr>
      </w:pPr>
      <w:r>
        <w:rPr>
          <w:rFonts w:hint="eastAsia" w:ascii="宋体" w:hAnsi="宋体" w:cs="宋体"/>
          <w:highlight w:val="none"/>
        </w:rPr>
        <w:br w:type="page"/>
      </w:r>
    </w:p>
    <w:p>
      <w:pPr>
        <w:pStyle w:val="4"/>
        <w:jc w:val="center"/>
        <w:rPr>
          <w:rFonts w:ascii="宋体" w:hAnsi="宋体" w:cs="宋体"/>
          <w:highlight w:val="none"/>
        </w:rPr>
      </w:pPr>
    </w:p>
    <w:p>
      <w:pPr>
        <w:pStyle w:val="4"/>
        <w:jc w:val="center"/>
        <w:rPr>
          <w:rFonts w:ascii="宋体" w:hAnsi="宋体" w:cs="宋体"/>
          <w:highlight w:val="none"/>
        </w:rPr>
      </w:pPr>
    </w:p>
    <w:p>
      <w:pPr>
        <w:pStyle w:val="4"/>
        <w:jc w:val="center"/>
        <w:rPr>
          <w:rFonts w:ascii="宋体" w:hAnsi="宋体" w:cs="宋体"/>
          <w:highlight w:val="none"/>
        </w:rPr>
      </w:pPr>
    </w:p>
    <w:p>
      <w:pPr>
        <w:rPr>
          <w:rFonts w:ascii="宋体" w:hAnsi="宋体" w:cs="宋体"/>
          <w:highlight w:val="none"/>
        </w:rPr>
      </w:pPr>
    </w:p>
    <w:p>
      <w:pPr>
        <w:pStyle w:val="3"/>
        <w:rPr>
          <w:rFonts w:ascii="宋体" w:hAnsi="宋体" w:cs="宋体"/>
          <w:highlight w:val="none"/>
        </w:rPr>
      </w:pPr>
    </w:p>
    <w:p>
      <w:pPr>
        <w:rPr>
          <w:rFonts w:ascii="宋体" w:hAnsi="宋体" w:cs="宋体"/>
          <w:highlight w:val="none"/>
        </w:rPr>
      </w:pPr>
    </w:p>
    <w:p>
      <w:pPr>
        <w:pStyle w:val="3"/>
        <w:jc w:val="center"/>
        <w:rPr>
          <w:rFonts w:ascii="宋体" w:hAnsi="宋体" w:cs="宋体"/>
          <w:highlight w:val="none"/>
        </w:rPr>
        <w:sectPr>
          <w:headerReference r:id="rId11" w:type="default"/>
          <w:footerReference r:id="rId12" w:type="default"/>
          <w:pgSz w:w="11911" w:h="16838"/>
          <w:pgMar w:top="1134" w:right="1134" w:bottom="1134" w:left="1134" w:header="720" w:footer="720" w:gutter="0"/>
          <w:cols w:space="720" w:num="1"/>
        </w:sectPr>
      </w:pPr>
      <w:bookmarkStart w:id="126" w:name="_Toc17404"/>
      <w:bookmarkStart w:id="127" w:name="_Toc5005"/>
      <w:bookmarkStart w:id="128" w:name="_Toc80886941"/>
      <w:bookmarkStart w:id="129" w:name="_Toc12890"/>
      <w:bookmarkStart w:id="130" w:name="_Toc27282"/>
      <w:bookmarkStart w:id="131" w:name="_Toc7776"/>
      <w:bookmarkStart w:id="132" w:name="_Toc22302"/>
      <w:bookmarkStart w:id="133" w:name="_Toc26272"/>
      <w:r>
        <w:rPr>
          <w:rFonts w:hint="eastAsia" w:ascii="宋体" w:hAnsi="宋体" w:cs="宋体"/>
          <w:highlight w:val="none"/>
        </w:rPr>
        <w:t>第五章 响应文件格式</w:t>
      </w:r>
      <w:bookmarkEnd w:id="126"/>
      <w:bookmarkEnd w:id="127"/>
      <w:bookmarkEnd w:id="128"/>
      <w:bookmarkEnd w:id="129"/>
      <w:bookmarkEnd w:id="130"/>
      <w:bookmarkEnd w:id="131"/>
      <w:bookmarkEnd w:id="132"/>
      <w:bookmarkEnd w:id="133"/>
    </w:p>
    <w:p>
      <w:pPr>
        <w:pStyle w:val="4"/>
        <w:jc w:val="center"/>
        <w:rPr>
          <w:rFonts w:ascii="宋体" w:hAnsi="宋体" w:cs="宋体"/>
          <w:bCs w:val="0"/>
          <w:highlight w:val="none"/>
        </w:rPr>
      </w:pPr>
      <w:bookmarkStart w:id="134" w:name="_Toc12994"/>
      <w:bookmarkStart w:id="135" w:name="_Toc80886943"/>
      <w:bookmarkStart w:id="136" w:name="_Toc22245"/>
      <w:bookmarkStart w:id="137" w:name="_Toc80205939"/>
      <w:r>
        <w:rPr>
          <w:rFonts w:hint="eastAsia" w:ascii="宋体" w:hAnsi="宋体" w:cs="宋体"/>
          <w:bCs w:val="0"/>
          <w:highlight w:val="none"/>
        </w:rPr>
        <w:t>第一节 资格证明文件格式</w:t>
      </w:r>
      <w:bookmarkEnd w:id="134"/>
      <w:bookmarkEnd w:id="135"/>
      <w:bookmarkEnd w:id="136"/>
      <w:bookmarkEnd w:id="137"/>
    </w:p>
    <w:p>
      <w:pPr>
        <w:snapToGrid w:val="0"/>
        <w:spacing w:before="120" w:beforeLines="50" w:after="50"/>
        <w:jc w:val="left"/>
        <w:rPr>
          <w:rFonts w:ascii="宋体" w:hAnsi="宋体" w:cs="宋体"/>
          <w:sz w:val="24"/>
          <w:highlight w:val="none"/>
        </w:rPr>
      </w:pPr>
      <w:r>
        <w:rPr>
          <w:rFonts w:hint="eastAsia" w:ascii="宋体" w:hAnsi="宋体" w:cs="宋体"/>
          <w:b/>
          <w:bCs/>
          <w:sz w:val="28"/>
          <w:szCs w:val="28"/>
          <w:highlight w:val="none"/>
        </w:rPr>
        <w:t>1.资格证明文件封面的格式</w:t>
      </w:r>
      <w:r>
        <w:rPr>
          <w:rFonts w:hint="eastAsia" w:ascii="宋体" w:hAnsi="宋体" w:cs="宋体"/>
          <w:b/>
          <w:sz w:val="28"/>
          <w:szCs w:val="28"/>
          <w:highlight w:val="none"/>
        </w:rPr>
        <w:t>（参照此格式自拟）</w:t>
      </w:r>
      <w:r>
        <w:rPr>
          <w:rFonts w:hint="eastAsia" w:ascii="宋体" w:hAnsi="宋体" w:cs="宋体"/>
          <w:b/>
          <w:bCs/>
          <w:sz w:val="28"/>
          <w:szCs w:val="28"/>
          <w:highlight w:val="none"/>
        </w:rPr>
        <w:t>：</w:t>
      </w:r>
      <w:r>
        <w:rPr>
          <w:rFonts w:hint="eastAsia" w:ascii="宋体" w:hAnsi="宋体" w:cs="宋体"/>
          <w:sz w:val="24"/>
          <w:highlight w:val="none"/>
        </w:rPr>
        <w:t xml:space="preserve">                                      </w:t>
      </w:r>
    </w:p>
    <w:p>
      <w:pPr>
        <w:snapToGrid w:val="0"/>
        <w:spacing w:before="120" w:beforeLines="50" w:after="50"/>
        <w:ind w:firstLine="6930" w:firstLineChars="3300"/>
        <w:rPr>
          <w:rFonts w:ascii="宋体" w:hAnsi="宋体" w:cs="宋体"/>
          <w:bCs/>
          <w:sz w:val="32"/>
          <w:szCs w:val="20"/>
          <w:highlight w:val="none"/>
        </w:rPr>
      </w:pPr>
      <w:r>
        <w:rPr>
          <w:rFonts w:hint="eastAsia" w:ascii="宋体" w:hAnsi="宋体" w:cs="宋体"/>
          <w:bCs/>
          <w:highlight w:val="none"/>
        </w:rPr>
        <w:t>全流程电子文件</w:t>
      </w:r>
    </w:p>
    <w:p>
      <w:pPr>
        <w:snapToGrid w:val="0"/>
        <w:spacing w:before="120" w:beforeLines="50" w:after="50"/>
        <w:rPr>
          <w:rFonts w:ascii="宋体" w:hAnsi="宋体" w:cs="宋体"/>
          <w:sz w:val="24"/>
          <w:szCs w:val="20"/>
          <w:highlight w:val="none"/>
        </w:rPr>
      </w:pPr>
    </w:p>
    <w:p>
      <w:pPr>
        <w:snapToGrid w:val="0"/>
        <w:spacing w:before="120" w:beforeLines="50" w:after="50"/>
        <w:rPr>
          <w:rFonts w:ascii="宋体" w:hAnsi="宋体" w:cs="宋体"/>
          <w:sz w:val="24"/>
          <w:szCs w:val="20"/>
          <w:highlight w:val="none"/>
        </w:rPr>
      </w:pPr>
    </w:p>
    <w:p>
      <w:pPr>
        <w:snapToGrid w:val="0"/>
        <w:spacing w:before="120" w:beforeLines="50" w:after="50"/>
        <w:jc w:val="center"/>
        <w:rPr>
          <w:rFonts w:ascii="宋体" w:hAnsi="宋体" w:cs="宋体"/>
          <w:bCs/>
          <w:sz w:val="44"/>
          <w:szCs w:val="44"/>
          <w:highlight w:val="none"/>
        </w:rPr>
      </w:pPr>
      <w:r>
        <w:rPr>
          <w:rFonts w:hint="eastAsia" w:ascii="宋体" w:hAnsi="宋体" w:cs="宋体"/>
          <w:bCs/>
          <w:sz w:val="44"/>
          <w:szCs w:val="44"/>
          <w:highlight w:val="none"/>
        </w:rPr>
        <w:t>资  格  证  明  文  件</w:t>
      </w: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pPr>
        <w:snapToGrid w:val="0"/>
        <w:spacing w:before="120" w:beforeLines="50" w:after="50"/>
        <w:ind w:firstLine="720" w:firstLineChars="225"/>
        <w:rPr>
          <w:rFonts w:ascii="宋体" w:hAnsi="宋体" w:cs="宋体"/>
          <w:bCs/>
          <w:sz w:val="32"/>
          <w:szCs w:val="32"/>
          <w:highlight w:val="none"/>
        </w:rPr>
      </w:pPr>
    </w:p>
    <w:p>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项目编号：</w:t>
      </w:r>
    </w:p>
    <w:p>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pPr>
        <w:snapToGrid w:val="0"/>
        <w:spacing w:before="120" w:beforeLines="50" w:after="50"/>
        <w:ind w:firstLine="720" w:firstLineChars="225"/>
        <w:rPr>
          <w:rFonts w:ascii="宋体" w:hAnsi="宋体" w:cs="宋体"/>
          <w:bCs/>
          <w:sz w:val="32"/>
          <w:szCs w:val="32"/>
          <w:highlight w:val="none"/>
        </w:rPr>
      </w:pPr>
    </w:p>
    <w:p>
      <w:pPr>
        <w:pStyle w:val="8"/>
        <w:snapToGrid w:val="0"/>
        <w:spacing w:before="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供应商名称：</w:t>
      </w:r>
    </w:p>
    <w:p>
      <w:pPr>
        <w:pStyle w:val="8"/>
        <w:snapToGrid w:val="0"/>
        <w:spacing w:before="50" w:after="50"/>
        <w:ind w:firstLine="720" w:firstLineChars="225"/>
        <w:rPr>
          <w:rFonts w:ascii="宋体" w:hAnsi="宋体" w:cs="宋体"/>
          <w:bCs/>
          <w:sz w:val="32"/>
          <w:szCs w:val="32"/>
          <w:highlight w:val="none"/>
        </w:rPr>
      </w:pPr>
    </w:p>
    <w:p>
      <w:pPr>
        <w:pStyle w:val="8"/>
        <w:snapToGrid w:val="0"/>
        <w:spacing w:before="50" w:after="50"/>
        <w:ind w:firstLine="720" w:firstLineChars="225"/>
        <w:rPr>
          <w:rFonts w:ascii="宋体" w:hAnsi="宋体" w:cs="宋体"/>
          <w:bCs/>
          <w:sz w:val="32"/>
          <w:szCs w:val="32"/>
          <w:highlight w:val="none"/>
        </w:rPr>
      </w:pPr>
    </w:p>
    <w:p>
      <w:pPr>
        <w:pStyle w:val="8"/>
        <w:snapToGrid w:val="0"/>
        <w:spacing w:before="50" w:after="50"/>
        <w:ind w:firstLine="720" w:firstLineChars="225"/>
        <w:rPr>
          <w:rFonts w:ascii="宋体" w:hAnsi="宋体" w:cs="宋体"/>
          <w:bCs/>
          <w:sz w:val="32"/>
          <w:szCs w:val="32"/>
          <w:highlight w:val="none"/>
        </w:rPr>
      </w:pPr>
    </w:p>
    <w:p>
      <w:pPr>
        <w:pStyle w:val="8"/>
        <w:snapToGrid w:val="0"/>
        <w:spacing w:before="50" w:after="50"/>
        <w:ind w:firstLine="1280" w:firstLineChars="400"/>
        <w:rPr>
          <w:rFonts w:ascii="宋体" w:hAnsi="宋体" w:cs="宋体"/>
          <w:bCs/>
          <w:sz w:val="32"/>
          <w:szCs w:val="32"/>
          <w:highlight w:val="none"/>
        </w:rPr>
      </w:pPr>
    </w:p>
    <w:p>
      <w:pPr>
        <w:snapToGrid w:val="0"/>
        <w:spacing w:before="120"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pPr>
        <w:snapToGrid w:val="0"/>
        <w:spacing w:before="120" w:beforeLines="50" w:after="50" w:line="360" w:lineRule="auto"/>
        <w:jc w:val="left"/>
        <w:rPr>
          <w:rFonts w:ascii="宋体" w:hAnsi="宋体" w:cs="宋体"/>
          <w:b/>
          <w:bCs/>
          <w:sz w:val="28"/>
          <w:szCs w:val="28"/>
          <w:highlight w:val="none"/>
        </w:rPr>
      </w:pPr>
      <w:r>
        <w:rPr>
          <w:rFonts w:hint="eastAsia" w:ascii="宋体" w:hAnsi="宋体" w:cs="宋体"/>
          <w:sz w:val="24"/>
          <w:highlight w:val="none"/>
        </w:rPr>
        <w:br w:type="page"/>
      </w:r>
      <w:r>
        <w:rPr>
          <w:rFonts w:hint="eastAsia" w:ascii="宋体" w:hAnsi="宋体" w:cs="宋体"/>
          <w:b/>
          <w:bCs/>
          <w:sz w:val="28"/>
          <w:szCs w:val="28"/>
          <w:highlight w:val="none"/>
        </w:rPr>
        <w:t>2.资格证明文件目录</w:t>
      </w:r>
    </w:p>
    <w:p>
      <w:pPr>
        <w:spacing w:line="360" w:lineRule="auto"/>
        <w:rPr>
          <w:rFonts w:ascii="宋体" w:hAnsi="宋体" w:cs="宋体"/>
          <w:b/>
          <w:bCs/>
          <w:sz w:val="28"/>
          <w:szCs w:val="28"/>
          <w:highlight w:val="none"/>
        </w:rPr>
      </w:pPr>
      <w:r>
        <w:rPr>
          <w:rFonts w:hint="eastAsia" w:ascii="宋体" w:hAnsi="宋体" w:cs="宋体"/>
          <w:sz w:val="28"/>
          <w:szCs w:val="28"/>
          <w:highlight w:val="none"/>
        </w:rPr>
        <w:t xml:space="preserve">    根据竞争性磋商文件规定及供应商提供的材料自行编写目录（部分格式后附）。</w:t>
      </w:r>
    </w:p>
    <w:p>
      <w:pPr>
        <w:spacing w:line="320" w:lineRule="exact"/>
        <w:jc w:val="left"/>
        <w:rPr>
          <w:rFonts w:ascii="宋体" w:hAnsi="宋体" w:cs="宋体"/>
          <w:b/>
          <w:bCs/>
          <w:sz w:val="28"/>
          <w:szCs w:val="28"/>
          <w:highlight w:val="none"/>
        </w:rPr>
      </w:pPr>
      <w:r>
        <w:rPr>
          <w:rFonts w:hint="eastAsia" w:ascii="宋体" w:hAnsi="宋体" w:cs="宋体"/>
          <w:szCs w:val="21"/>
          <w:highlight w:val="none"/>
        </w:rPr>
        <w:br w:type="page"/>
      </w:r>
      <w:r>
        <w:rPr>
          <w:rFonts w:hint="eastAsia" w:ascii="宋体" w:hAnsi="宋体" w:cs="宋体"/>
          <w:b/>
          <w:bCs/>
          <w:kern w:val="0"/>
          <w:sz w:val="28"/>
          <w:szCs w:val="28"/>
          <w:highlight w:val="none"/>
        </w:rPr>
        <w:t>3.竞标声明函的格式：</w:t>
      </w:r>
    </w:p>
    <w:p>
      <w:pPr>
        <w:spacing w:line="320" w:lineRule="exact"/>
        <w:jc w:val="center"/>
        <w:rPr>
          <w:rFonts w:ascii="宋体" w:hAnsi="宋体" w:cs="宋体"/>
          <w:b/>
          <w:sz w:val="32"/>
          <w:szCs w:val="32"/>
          <w:highlight w:val="none"/>
        </w:rPr>
      </w:pPr>
    </w:p>
    <w:p>
      <w:pPr>
        <w:spacing w:line="320" w:lineRule="exact"/>
        <w:jc w:val="center"/>
        <w:rPr>
          <w:rFonts w:ascii="宋体" w:hAnsi="宋体" w:cs="宋体"/>
          <w:b/>
          <w:sz w:val="32"/>
          <w:szCs w:val="32"/>
          <w:highlight w:val="none"/>
        </w:rPr>
      </w:pPr>
      <w:r>
        <w:rPr>
          <w:rFonts w:hint="eastAsia" w:ascii="宋体" w:hAnsi="宋体" w:cs="宋体"/>
          <w:b/>
          <w:sz w:val="32"/>
          <w:szCs w:val="32"/>
          <w:highlight w:val="none"/>
        </w:rPr>
        <w:t>竞标声明函</w:t>
      </w:r>
    </w:p>
    <w:p>
      <w:pPr>
        <w:spacing w:line="320" w:lineRule="exact"/>
        <w:jc w:val="center"/>
        <w:rPr>
          <w:rFonts w:ascii="宋体" w:hAnsi="宋体" w:cs="宋体"/>
          <w:sz w:val="24"/>
          <w:szCs w:val="20"/>
          <w:highlight w:val="none"/>
        </w:rPr>
      </w:pPr>
    </w:p>
    <w:p>
      <w:pPr>
        <w:spacing w:line="440" w:lineRule="exact"/>
        <w:contextualSpacing/>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（采购代理机构名称）</w:t>
      </w:r>
      <w:r>
        <w:rPr>
          <w:rFonts w:hint="eastAsia" w:ascii="宋体" w:hAnsi="宋体" w:cs="宋体"/>
          <w:sz w:val="24"/>
          <w:highlight w:val="none"/>
        </w:rPr>
        <w:t>：</w:t>
      </w:r>
    </w:p>
    <w:p>
      <w:pPr>
        <w:spacing w:line="440" w:lineRule="exact"/>
        <w:ind w:firstLine="480" w:firstLineChars="200"/>
        <w:contextualSpacing/>
        <w:rPr>
          <w:rFonts w:ascii="宋体" w:hAnsi="宋体" w:cs="宋体"/>
          <w:sz w:val="24"/>
          <w:highlight w:val="none"/>
        </w:rPr>
      </w:pPr>
      <w:r>
        <w:rPr>
          <w:rFonts w:hint="eastAsia" w:ascii="宋体" w:hAnsi="宋体" w:cs="宋体"/>
          <w:i/>
          <w:iCs/>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i/>
          <w:iCs/>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1.我方向贵方提交的所有响应文件、资料都是准确的和真实的。</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3.在此，我方宣布同意如下：</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（1）将按磋商文件的约定履行合同责任和义务；</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（2）已详细审查磋商文件的全部内容，包括澄清或者更正公告（如有）；</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（3）同意提供按照贵方可能要求的与磋商有关的一切数据或者资料。</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pPr>
        <w:spacing w:line="440" w:lineRule="exact"/>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19"/>
        <w:tabs>
          <w:tab w:val="left" w:pos="939"/>
        </w:tabs>
        <w:spacing w:line="440" w:lineRule="exact"/>
        <w:ind w:left="0" w:leftChars="0" w:firstLine="480" w:firstLineChars="200"/>
        <w:rPr>
          <w:rFonts w:ascii="宋体" w:hAnsi="宋体" w:cs="宋体"/>
          <w:sz w:val="24"/>
          <w:highlight w:val="none"/>
        </w:rPr>
      </w:pPr>
      <w:r>
        <w:rPr>
          <w:rFonts w:hint="eastAsia" w:ascii="宋体" w:hAnsi="宋体" w:cs="宋体"/>
          <w:kern w:val="0"/>
          <w:sz w:val="24"/>
          <w:highlight w:val="none"/>
        </w:rPr>
        <w:t>6.</w:t>
      </w:r>
      <w:r>
        <w:rPr>
          <w:rFonts w:hint="eastAsia" w:ascii="宋体" w:hAnsi="宋体" w:cs="宋体"/>
          <w:sz w:val="24"/>
          <w:highlight w:val="none"/>
        </w:rPr>
        <w:t>以上事项如有虚假或者隐瞒，我方愿意承担一切后果，并不再寻求任何旨在减轻或者免除法律责任的辩解。</w:t>
      </w:r>
    </w:p>
    <w:p>
      <w:pPr>
        <w:pStyle w:val="19"/>
        <w:tabs>
          <w:tab w:val="left" w:pos="939"/>
        </w:tabs>
        <w:spacing w:line="440" w:lineRule="exact"/>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pPr>
        <w:pStyle w:val="19"/>
        <w:tabs>
          <w:tab w:val="left" w:pos="939"/>
        </w:tabs>
        <w:spacing w:line="440" w:lineRule="exact"/>
        <w:ind w:left="0" w:leftChars="0" w:firstLine="480" w:firstLineChars="200"/>
        <w:rPr>
          <w:rFonts w:ascii="宋体" w:hAnsi="宋体" w:cs="宋体"/>
          <w:sz w:val="24"/>
          <w:highlight w:val="none"/>
        </w:rPr>
      </w:pPr>
      <w:r>
        <w:rPr>
          <w:rFonts w:hint="eastAsia" w:ascii="宋体" w:hAnsi="宋体" w:cs="宋体"/>
          <w:sz w:val="24"/>
          <w:highlight w:val="none"/>
        </w:rPr>
        <w:t>注：如为联合体竞标，盖章处须加盖联合体各方公章，否则其响应文件按无效响应处理。</w:t>
      </w:r>
    </w:p>
    <w:p>
      <w:pPr>
        <w:autoSpaceDE w:val="0"/>
        <w:autoSpaceDN w:val="0"/>
        <w:spacing w:line="360" w:lineRule="auto"/>
        <w:ind w:left="4365" w:leftChars="1850" w:hanging="480" w:hangingChars="200"/>
        <w:rPr>
          <w:rFonts w:ascii="宋体" w:hAnsi="宋体" w:cs="宋体"/>
          <w:kern w:val="0"/>
          <w:sz w:val="24"/>
          <w:highlight w:val="none"/>
        </w:rPr>
      </w:pPr>
    </w:p>
    <w:p>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供应商名称（盖公章）：</w:t>
      </w:r>
    </w:p>
    <w:p>
      <w:pPr>
        <w:autoSpaceDE w:val="0"/>
        <w:autoSpaceDN w:val="0"/>
        <w:spacing w:line="360" w:lineRule="auto"/>
        <w:ind w:firstLine="6120" w:firstLineChars="255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rPr>
          <w:rFonts w:ascii="宋体" w:hAnsi="宋体" w:cs="宋体"/>
          <w:kern w:val="0"/>
          <w:sz w:val="24"/>
          <w:highlight w:val="none"/>
          <w:lang w:val="zh-CN"/>
        </w:rPr>
      </w:pPr>
    </w:p>
    <w:p>
      <w:pPr>
        <w:snapToGrid w:val="0"/>
        <w:spacing w:line="360" w:lineRule="auto"/>
        <w:ind w:right="480"/>
        <w:rPr>
          <w:rFonts w:ascii="宋体" w:hAnsi="宋体" w:cs="宋体"/>
          <w:b/>
          <w:kern w:val="0"/>
          <w:sz w:val="32"/>
          <w:szCs w:val="32"/>
          <w:highlight w:val="none"/>
        </w:rPr>
      </w:pPr>
      <w:r>
        <w:rPr>
          <w:rFonts w:hint="eastAsia" w:ascii="宋体" w:hAnsi="宋体" w:cs="宋体"/>
          <w:b/>
          <w:kern w:val="0"/>
          <w:sz w:val="32"/>
          <w:szCs w:val="32"/>
          <w:highlight w:val="none"/>
        </w:rPr>
        <w:t>4.</w:t>
      </w:r>
      <w:r>
        <w:rPr>
          <w:rFonts w:hint="eastAsia" w:ascii="宋体" w:hAnsi="宋体" w:cs="宋体"/>
          <w:b/>
          <w:sz w:val="28"/>
          <w:szCs w:val="28"/>
          <w:highlight w:val="none"/>
        </w:rPr>
        <w:t>供应商直接控股股东信息表的格式</w:t>
      </w:r>
      <w:r>
        <w:rPr>
          <w:rFonts w:hint="eastAsia" w:ascii="宋体" w:hAnsi="宋体" w:cs="宋体"/>
          <w:sz w:val="28"/>
          <w:szCs w:val="28"/>
          <w:highlight w:val="none"/>
        </w:rPr>
        <w:t>：</w:t>
      </w:r>
    </w:p>
    <w:p>
      <w:pPr>
        <w:snapToGrid w:val="0"/>
        <w:jc w:val="left"/>
        <w:rPr>
          <w:rFonts w:ascii="宋体" w:hAnsi="宋体" w:cs="宋体"/>
          <w:sz w:val="18"/>
          <w:szCs w:val="18"/>
          <w:highlight w:val="none"/>
        </w:rPr>
      </w:pPr>
    </w:p>
    <w:p>
      <w:pPr>
        <w:snapToGrid w:val="0"/>
        <w:spacing w:before="50" w:after="120" w:afterLines="50"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bl>
    <w:p>
      <w:pPr>
        <w:snapToGrid w:val="0"/>
        <w:spacing w:line="360" w:lineRule="auto"/>
        <w:jc w:val="left"/>
        <w:rPr>
          <w:rFonts w:ascii="宋体" w:hAnsi="宋体" w:cs="宋体"/>
          <w:sz w:val="24"/>
          <w:highlight w:val="none"/>
        </w:rPr>
      </w:pPr>
      <w:r>
        <w:rPr>
          <w:rFonts w:hint="eastAsia" w:ascii="宋体" w:hAnsi="宋体" w:cs="宋体"/>
          <w:sz w:val="24"/>
          <w:highlight w:val="none"/>
        </w:rPr>
        <w:t>注：</w:t>
      </w:r>
    </w:p>
    <w:p>
      <w:pPr>
        <w:snapToGrid w:val="0"/>
        <w:spacing w:line="360" w:lineRule="auto"/>
        <w:jc w:val="left"/>
        <w:rPr>
          <w:rFonts w:ascii="宋体" w:hAnsi="宋体" w:cs="宋体"/>
          <w:sz w:val="24"/>
          <w:highlight w:val="none"/>
        </w:rPr>
      </w:pPr>
      <w:r>
        <w:rPr>
          <w:rFonts w:hint="eastAsia" w:ascii="宋体" w:hAnsi="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s="宋体"/>
          <w:sz w:val="24"/>
          <w:highlight w:val="none"/>
        </w:rPr>
      </w:pPr>
      <w:r>
        <w:rPr>
          <w:rFonts w:hint="eastAsia" w:ascii="宋体" w:hAnsi="宋体" w:cs="宋体"/>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s="宋体"/>
          <w:sz w:val="24"/>
          <w:highlight w:val="none"/>
        </w:rPr>
      </w:pPr>
      <w:r>
        <w:rPr>
          <w:rFonts w:hint="eastAsia" w:ascii="宋体" w:hAnsi="宋体" w:cs="宋体"/>
          <w:sz w:val="24"/>
          <w:highlight w:val="none"/>
        </w:rPr>
        <w:t>3.供应商不存在直接控股股东的，则填“无”。</w:t>
      </w:r>
    </w:p>
    <w:p>
      <w:pPr>
        <w:snapToGrid w:val="0"/>
        <w:spacing w:before="50" w:after="120" w:afterLines="50"/>
        <w:ind w:firstLine="180" w:firstLineChars="100"/>
        <w:jc w:val="left"/>
        <w:rPr>
          <w:rFonts w:ascii="宋体" w:hAnsi="宋体" w:cs="宋体"/>
          <w:sz w:val="18"/>
          <w:szCs w:val="18"/>
          <w:highlight w:val="none"/>
        </w:rPr>
      </w:pPr>
    </w:p>
    <w:p>
      <w:pPr>
        <w:snapToGrid w:val="0"/>
        <w:spacing w:before="50" w:after="240" w:afterLines="100" w:line="360" w:lineRule="auto"/>
        <w:jc w:val="left"/>
        <w:rPr>
          <w:rFonts w:ascii="宋体" w:hAnsi="宋体" w:cs="宋体"/>
          <w:sz w:val="24"/>
          <w:highlight w:val="none"/>
        </w:rPr>
      </w:pPr>
      <w:r>
        <w:rPr>
          <w:rFonts w:hint="eastAsia" w:ascii="宋体" w:hAnsi="宋体" w:cs="宋体"/>
          <w:sz w:val="24"/>
          <w:highlight w:val="none"/>
        </w:rPr>
        <w:t xml:space="preserve">                                     </w:t>
      </w:r>
    </w:p>
    <w:p>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sz w:val="30"/>
          <w:szCs w:val="30"/>
          <w:highlight w:val="none"/>
        </w:rPr>
      </w:pPr>
      <w:r>
        <w:rPr>
          <w:rFonts w:hint="eastAsia" w:ascii="宋体" w:hAnsi="宋体" w:cs="宋体"/>
          <w:kern w:val="0"/>
          <w:sz w:val="24"/>
          <w:highlight w:val="none"/>
          <w:lang w:val="zh-CN"/>
        </w:rPr>
        <w:t>日期：  年  月   日</w:t>
      </w:r>
    </w:p>
    <w:p>
      <w:pPr>
        <w:rPr>
          <w:rFonts w:ascii="宋体" w:hAnsi="宋体" w:cs="宋体"/>
          <w:b/>
          <w:bCs/>
          <w:sz w:val="28"/>
          <w:szCs w:val="28"/>
          <w:highlight w:val="none"/>
        </w:rPr>
      </w:pPr>
      <w:r>
        <w:rPr>
          <w:rFonts w:hint="eastAsia" w:ascii="宋体" w:hAnsi="宋体" w:cs="宋体"/>
          <w:b/>
          <w:bCs/>
          <w:sz w:val="28"/>
          <w:szCs w:val="28"/>
          <w:highlight w:val="none"/>
        </w:rPr>
        <w:br w:type="page"/>
      </w:r>
    </w:p>
    <w:p>
      <w:pPr>
        <w:snapToGrid w:val="0"/>
        <w:spacing w:line="360" w:lineRule="auto"/>
        <w:ind w:right="480"/>
        <w:rPr>
          <w:rFonts w:ascii="宋体" w:hAnsi="宋体" w:cs="宋体"/>
          <w:b/>
          <w:kern w:val="0"/>
          <w:sz w:val="32"/>
          <w:szCs w:val="32"/>
          <w:highlight w:val="none"/>
        </w:rPr>
      </w:pPr>
      <w:r>
        <w:rPr>
          <w:rFonts w:hint="eastAsia" w:ascii="宋体" w:hAnsi="宋体" w:cs="宋体"/>
          <w:b/>
          <w:kern w:val="0"/>
          <w:sz w:val="32"/>
          <w:szCs w:val="32"/>
          <w:highlight w:val="none"/>
        </w:rPr>
        <w:t>5.</w:t>
      </w:r>
      <w:r>
        <w:rPr>
          <w:rFonts w:hint="eastAsia" w:ascii="宋体" w:hAnsi="宋体" w:cs="宋体"/>
          <w:b/>
          <w:sz w:val="28"/>
          <w:szCs w:val="28"/>
          <w:highlight w:val="none"/>
        </w:rPr>
        <w:t>供应商直接管理关系信息表的格式</w:t>
      </w:r>
      <w:r>
        <w:rPr>
          <w:rFonts w:hint="eastAsia" w:ascii="宋体" w:hAnsi="宋体" w:cs="宋体"/>
          <w:sz w:val="28"/>
          <w:szCs w:val="28"/>
          <w:highlight w:val="none"/>
        </w:rPr>
        <w:t>：</w:t>
      </w:r>
    </w:p>
    <w:p>
      <w:pPr>
        <w:snapToGrid w:val="0"/>
        <w:jc w:val="left"/>
        <w:rPr>
          <w:rFonts w:ascii="宋体" w:hAnsi="宋体" w:cs="宋体"/>
          <w:sz w:val="18"/>
          <w:szCs w:val="18"/>
          <w:highlight w:val="none"/>
        </w:rPr>
      </w:pPr>
    </w:p>
    <w:p>
      <w:pPr>
        <w:snapToGrid w:val="0"/>
        <w:spacing w:line="360" w:lineRule="auto"/>
        <w:jc w:val="center"/>
        <w:rPr>
          <w:rFonts w:ascii="宋体" w:hAnsi="宋体" w:cs="宋体"/>
          <w:sz w:val="32"/>
          <w:szCs w:val="32"/>
          <w:highlight w:val="none"/>
        </w:rPr>
      </w:pPr>
      <w:r>
        <w:rPr>
          <w:rFonts w:hint="eastAsia" w:ascii="宋体" w:hAnsi="宋体" w:cs="宋体"/>
          <w:b/>
          <w:sz w:val="32"/>
          <w:szCs w:val="32"/>
          <w:highlight w:val="none"/>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 w:val="24"/>
                <w:highlight w:val="none"/>
              </w:rPr>
            </w:pPr>
          </w:p>
        </w:tc>
      </w:tr>
    </w:tbl>
    <w:p>
      <w:pPr>
        <w:snapToGrid w:val="0"/>
        <w:spacing w:line="360" w:lineRule="auto"/>
        <w:jc w:val="left"/>
        <w:rPr>
          <w:rFonts w:ascii="宋体" w:hAnsi="宋体" w:cs="宋体"/>
          <w:sz w:val="24"/>
          <w:highlight w:val="none"/>
        </w:rPr>
      </w:pPr>
      <w:r>
        <w:rPr>
          <w:rFonts w:hint="eastAsia" w:ascii="宋体" w:hAnsi="宋体" w:cs="宋体"/>
          <w:sz w:val="24"/>
          <w:highlight w:val="none"/>
        </w:rPr>
        <w:t>注：</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w:t>
      </w:r>
      <w:r>
        <w:rPr>
          <w:rFonts w:hint="eastAsia" w:ascii="宋体" w:hAnsi="宋体" w:cs="宋体"/>
          <w:spacing w:val="-6"/>
          <w:sz w:val="24"/>
          <w:highlight w:val="none"/>
        </w:rPr>
        <w:t>本表所指的管理关系仅限于直接管理关系，不包括间接的管理关系。</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3.供应商不存在直接管理关系的，则填“无”。</w:t>
      </w:r>
    </w:p>
    <w:p>
      <w:pPr>
        <w:snapToGrid w:val="0"/>
        <w:spacing w:before="50" w:after="120" w:afterLines="50"/>
        <w:ind w:firstLine="180" w:firstLineChars="100"/>
        <w:jc w:val="left"/>
        <w:rPr>
          <w:rFonts w:ascii="宋体" w:hAnsi="宋体" w:cs="宋体"/>
          <w:sz w:val="18"/>
          <w:szCs w:val="18"/>
          <w:highlight w:val="none"/>
        </w:rPr>
      </w:pPr>
    </w:p>
    <w:p>
      <w:pPr>
        <w:snapToGrid w:val="0"/>
        <w:spacing w:before="50" w:after="240" w:afterLines="100" w:line="360" w:lineRule="auto"/>
        <w:jc w:val="left"/>
        <w:rPr>
          <w:rFonts w:ascii="宋体" w:hAnsi="宋体" w:cs="宋体"/>
          <w:sz w:val="24"/>
          <w:highlight w:val="none"/>
        </w:rPr>
      </w:pPr>
      <w:r>
        <w:rPr>
          <w:rFonts w:hint="eastAsia" w:ascii="宋体" w:hAnsi="宋体" w:cs="宋体"/>
          <w:sz w:val="24"/>
          <w:highlight w:val="none"/>
        </w:rPr>
        <w:t xml:space="preserve">                                     </w:t>
      </w:r>
    </w:p>
    <w:p>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sz w:val="30"/>
          <w:szCs w:val="30"/>
          <w:highlight w:val="none"/>
        </w:rPr>
      </w:pPr>
      <w:r>
        <w:rPr>
          <w:rFonts w:hint="eastAsia" w:ascii="宋体" w:hAnsi="宋体" w:cs="宋体"/>
          <w:kern w:val="0"/>
          <w:sz w:val="24"/>
          <w:highlight w:val="none"/>
          <w:lang w:val="zh-CN"/>
        </w:rPr>
        <w:t>日期：  年  月   日</w:t>
      </w:r>
    </w:p>
    <w:p>
      <w:pPr>
        <w:rPr>
          <w:rFonts w:ascii="宋体" w:hAnsi="宋体" w:cs="宋体"/>
          <w:b/>
          <w:kern w:val="0"/>
          <w:sz w:val="28"/>
          <w:szCs w:val="28"/>
          <w:highlight w:val="none"/>
        </w:rPr>
      </w:pPr>
      <w:r>
        <w:rPr>
          <w:rFonts w:hint="eastAsia" w:ascii="宋体" w:hAnsi="宋体" w:cs="宋体"/>
          <w:b/>
          <w:kern w:val="0"/>
          <w:sz w:val="28"/>
          <w:szCs w:val="28"/>
          <w:highlight w:val="none"/>
        </w:rPr>
        <w:br w:type="page"/>
      </w:r>
    </w:p>
    <w:p>
      <w:pPr>
        <w:pStyle w:val="4"/>
        <w:jc w:val="center"/>
        <w:rPr>
          <w:rFonts w:ascii="宋体" w:hAnsi="宋体" w:cs="宋体"/>
          <w:b w:val="0"/>
          <w:highlight w:val="none"/>
        </w:rPr>
      </w:pPr>
      <w:bookmarkStart w:id="138" w:name="_Toc80205940"/>
      <w:bookmarkStart w:id="139" w:name="_Toc20562"/>
      <w:bookmarkStart w:id="140" w:name="_Toc15951"/>
      <w:bookmarkStart w:id="141" w:name="_Toc80886944"/>
      <w:r>
        <w:rPr>
          <w:rFonts w:hint="eastAsia" w:ascii="宋体" w:hAnsi="宋体" w:cs="宋体"/>
          <w:b w:val="0"/>
          <w:bCs w:val="0"/>
          <w:highlight w:val="none"/>
        </w:rPr>
        <w:t xml:space="preserve">第二节 </w:t>
      </w:r>
      <w:r>
        <w:rPr>
          <w:rFonts w:hint="eastAsia" w:ascii="宋体" w:hAnsi="宋体" w:cs="宋体"/>
          <w:b w:val="0"/>
          <w:highlight w:val="none"/>
        </w:rPr>
        <w:t>商务技术文件格式</w:t>
      </w:r>
      <w:bookmarkEnd w:id="138"/>
      <w:bookmarkEnd w:id="139"/>
      <w:bookmarkEnd w:id="140"/>
      <w:bookmarkEnd w:id="141"/>
    </w:p>
    <w:p>
      <w:pPr>
        <w:snapToGrid w:val="0"/>
        <w:spacing w:before="120" w:beforeLines="50" w:after="50" w:line="360" w:lineRule="auto"/>
        <w:jc w:val="left"/>
        <w:rPr>
          <w:rFonts w:ascii="宋体" w:hAnsi="宋体" w:cs="宋体"/>
          <w:b/>
          <w:sz w:val="32"/>
          <w:szCs w:val="32"/>
          <w:highlight w:val="none"/>
        </w:rPr>
      </w:pPr>
      <w:r>
        <w:rPr>
          <w:rFonts w:hint="eastAsia" w:ascii="宋体" w:hAnsi="宋体" w:cs="宋体"/>
          <w:b/>
          <w:sz w:val="28"/>
          <w:szCs w:val="28"/>
          <w:highlight w:val="none"/>
        </w:rPr>
        <w:t>1.商务技术文件封面的格式（参照此格式自拟）：</w:t>
      </w:r>
    </w:p>
    <w:p>
      <w:pPr>
        <w:snapToGrid w:val="0"/>
        <w:spacing w:before="120" w:beforeLines="50" w:after="50"/>
        <w:rPr>
          <w:rFonts w:ascii="宋体" w:hAnsi="宋体" w:cs="宋体"/>
          <w:sz w:val="24"/>
          <w:highlight w:val="none"/>
        </w:rPr>
      </w:pPr>
      <w:r>
        <w:rPr>
          <w:rFonts w:hint="eastAsia" w:ascii="宋体" w:hAnsi="宋体" w:cs="宋体"/>
          <w:sz w:val="24"/>
          <w:highlight w:val="none"/>
        </w:rPr>
        <w:t xml:space="preserve">                                             </w:t>
      </w:r>
    </w:p>
    <w:p>
      <w:pPr>
        <w:snapToGrid w:val="0"/>
        <w:spacing w:before="120" w:beforeLines="50" w:after="50"/>
        <w:ind w:firstLine="6720" w:firstLineChars="3200"/>
        <w:rPr>
          <w:rFonts w:ascii="宋体" w:hAnsi="宋体" w:cs="宋体"/>
          <w:bCs/>
          <w:sz w:val="32"/>
          <w:szCs w:val="20"/>
          <w:highlight w:val="none"/>
        </w:rPr>
      </w:pPr>
      <w:r>
        <w:rPr>
          <w:rFonts w:hint="eastAsia" w:ascii="宋体" w:hAnsi="宋体" w:cs="宋体"/>
          <w:bCs/>
          <w:highlight w:val="none"/>
        </w:rPr>
        <w:t>全流程电子文件</w:t>
      </w:r>
    </w:p>
    <w:p>
      <w:pPr>
        <w:snapToGrid w:val="0"/>
        <w:spacing w:before="120" w:beforeLines="50" w:after="50"/>
        <w:rPr>
          <w:rFonts w:ascii="宋体" w:hAnsi="宋体" w:cs="宋体"/>
          <w:sz w:val="24"/>
          <w:szCs w:val="20"/>
          <w:highlight w:val="none"/>
        </w:rPr>
      </w:pPr>
    </w:p>
    <w:p>
      <w:pPr>
        <w:snapToGrid w:val="0"/>
        <w:spacing w:before="120" w:beforeLines="50" w:after="50"/>
        <w:rPr>
          <w:rFonts w:ascii="宋体" w:hAnsi="宋体" w:cs="宋体"/>
          <w:sz w:val="24"/>
          <w:szCs w:val="20"/>
          <w:highlight w:val="none"/>
        </w:rPr>
      </w:pPr>
    </w:p>
    <w:p>
      <w:pPr>
        <w:snapToGrid w:val="0"/>
        <w:spacing w:before="120" w:beforeLines="50" w:after="50"/>
        <w:rPr>
          <w:rFonts w:ascii="宋体" w:hAnsi="宋体" w:cs="宋体"/>
          <w:sz w:val="24"/>
          <w:szCs w:val="20"/>
          <w:highlight w:val="none"/>
        </w:rPr>
      </w:pPr>
    </w:p>
    <w:p>
      <w:pPr>
        <w:snapToGrid w:val="0"/>
        <w:spacing w:before="120" w:beforeLines="50" w:after="50"/>
        <w:jc w:val="center"/>
        <w:rPr>
          <w:rFonts w:ascii="宋体" w:hAnsi="宋体" w:cs="宋体"/>
          <w:bCs/>
          <w:sz w:val="44"/>
          <w:szCs w:val="44"/>
          <w:highlight w:val="none"/>
        </w:rPr>
      </w:pPr>
      <w:r>
        <w:rPr>
          <w:rFonts w:hint="eastAsia" w:ascii="宋体" w:hAnsi="宋体" w:cs="宋体"/>
          <w:bCs/>
          <w:sz w:val="44"/>
          <w:szCs w:val="44"/>
          <w:highlight w:val="none"/>
        </w:rPr>
        <w:t>商  务  技  术  文  件</w:t>
      </w: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pPr>
        <w:snapToGrid w:val="0"/>
        <w:spacing w:before="120" w:beforeLines="50" w:after="50"/>
        <w:ind w:firstLine="720" w:firstLineChars="225"/>
        <w:rPr>
          <w:rFonts w:ascii="宋体" w:hAnsi="宋体" w:cs="宋体"/>
          <w:bCs/>
          <w:sz w:val="32"/>
          <w:szCs w:val="32"/>
          <w:highlight w:val="none"/>
        </w:rPr>
      </w:pPr>
    </w:p>
    <w:p>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pPr>
        <w:snapToGrid w:val="0"/>
        <w:spacing w:before="120" w:beforeLines="50" w:after="50"/>
        <w:ind w:firstLine="720" w:firstLineChars="225"/>
        <w:rPr>
          <w:rFonts w:ascii="宋体" w:hAnsi="宋体" w:cs="宋体"/>
          <w:bCs/>
          <w:sz w:val="32"/>
          <w:szCs w:val="32"/>
          <w:highlight w:val="none"/>
        </w:rPr>
      </w:pPr>
    </w:p>
    <w:p>
      <w:pPr>
        <w:pStyle w:val="8"/>
        <w:snapToGrid w:val="0"/>
        <w:spacing w:before="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pPr>
        <w:pStyle w:val="8"/>
        <w:snapToGrid w:val="0"/>
        <w:spacing w:before="50" w:after="50"/>
        <w:ind w:firstLine="720" w:firstLineChars="225"/>
        <w:rPr>
          <w:rFonts w:ascii="宋体" w:hAnsi="宋体" w:cs="宋体"/>
          <w:bCs/>
          <w:sz w:val="32"/>
          <w:szCs w:val="32"/>
          <w:highlight w:val="none"/>
        </w:rPr>
      </w:pPr>
    </w:p>
    <w:p>
      <w:pPr>
        <w:pStyle w:val="8"/>
        <w:snapToGrid w:val="0"/>
        <w:spacing w:before="50" w:after="50"/>
        <w:ind w:firstLine="720" w:firstLineChars="225"/>
        <w:rPr>
          <w:rFonts w:ascii="宋体" w:hAnsi="宋体" w:cs="宋体"/>
          <w:bCs/>
          <w:sz w:val="32"/>
          <w:szCs w:val="32"/>
          <w:highlight w:val="none"/>
        </w:rPr>
      </w:pPr>
    </w:p>
    <w:p>
      <w:pPr>
        <w:pStyle w:val="8"/>
        <w:snapToGrid w:val="0"/>
        <w:spacing w:before="50" w:after="50"/>
        <w:ind w:firstLine="1280" w:firstLineChars="400"/>
        <w:rPr>
          <w:rFonts w:ascii="宋体" w:hAnsi="宋体" w:cs="宋体"/>
          <w:bCs/>
          <w:sz w:val="32"/>
          <w:szCs w:val="32"/>
          <w:highlight w:val="none"/>
        </w:rPr>
      </w:pPr>
    </w:p>
    <w:p>
      <w:pPr>
        <w:snapToGrid w:val="0"/>
        <w:spacing w:before="120"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pPr>
        <w:snapToGrid w:val="0"/>
        <w:spacing w:before="120" w:beforeLines="50" w:after="50" w:line="360" w:lineRule="auto"/>
        <w:ind w:left="142" w:firstLine="643" w:firstLineChars="200"/>
        <w:jc w:val="left"/>
        <w:rPr>
          <w:rFonts w:ascii="宋体" w:hAnsi="宋体" w:cs="宋体"/>
          <w:b/>
          <w:bCs/>
          <w:sz w:val="32"/>
          <w:szCs w:val="32"/>
          <w:highlight w:val="none"/>
        </w:rPr>
        <w:sectPr>
          <w:pgSz w:w="11911" w:h="16838"/>
          <w:pgMar w:top="1134" w:right="1134" w:bottom="1134" w:left="1134" w:header="720" w:footer="720" w:gutter="0"/>
          <w:cols w:space="720" w:num="1"/>
        </w:sectPr>
      </w:pPr>
    </w:p>
    <w:p>
      <w:pPr>
        <w:spacing w:line="360" w:lineRule="auto"/>
        <w:ind w:right="420"/>
        <w:rPr>
          <w:rFonts w:ascii="宋体" w:hAnsi="宋体" w:cs="宋体"/>
          <w:sz w:val="24"/>
          <w:szCs w:val="20"/>
          <w:highlight w:val="none"/>
        </w:rPr>
      </w:pPr>
      <w:r>
        <w:rPr>
          <w:rFonts w:hint="eastAsia" w:ascii="宋体" w:hAnsi="宋体" w:cs="宋体"/>
          <w:b/>
          <w:bCs/>
          <w:sz w:val="28"/>
          <w:szCs w:val="28"/>
          <w:highlight w:val="none"/>
        </w:rPr>
        <w:t>2.商务技术文件目录</w:t>
      </w:r>
    </w:p>
    <w:p>
      <w:pPr>
        <w:spacing w:line="400" w:lineRule="exact"/>
        <w:rPr>
          <w:rFonts w:ascii="宋体" w:hAnsi="宋体" w:cs="宋体"/>
          <w:sz w:val="32"/>
          <w:szCs w:val="32"/>
          <w:highlight w:val="none"/>
        </w:rPr>
      </w:pPr>
      <w:r>
        <w:rPr>
          <w:rFonts w:hint="eastAsia" w:ascii="宋体" w:hAnsi="宋体" w:cs="宋体"/>
          <w:kern w:val="0"/>
          <w:sz w:val="24"/>
          <w:highlight w:val="none"/>
        </w:rPr>
        <w:t xml:space="preserve">  根据竞争性磋商文件规定及供应商提供的材料自行编写目录（部分格式后附）。</w:t>
      </w:r>
    </w:p>
    <w:p>
      <w:pPr>
        <w:spacing w:line="520" w:lineRule="exact"/>
        <w:jc w:val="left"/>
        <w:rPr>
          <w:rFonts w:ascii="宋体" w:hAnsi="宋体" w:cs="宋体"/>
          <w:sz w:val="28"/>
          <w:szCs w:val="28"/>
          <w:highlight w:val="none"/>
        </w:rPr>
      </w:pPr>
      <w:r>
        <w:rPr>
          <w:rFonts w:hint="eastAsia" w:ascii="宋体" w:hAnsi="宋体" w:cs="宋体"/>
          <w:sz w:val="44"/>
          <w:szCs w:val="44"/>
          <w:highlight w:val="none"/>
        </w:rPr>
        <w:br w:type="page"/>
      </w:r>
      <w:r>
        <w:rPr>
          <w:rFonts w:hint="eastAsia" w:ascii="宋体" w:hAnsi="宋体" w:cs="宋体"/>
          <w:b/>
          <w:sz w:val="28"/>
          <w:szCs w:val="28"/>
          <w:highlight w:val="none"/>
        </w:rPr>
        <w:t>3.无串通竞标行为的承诺函的格式：</w:t>
      </w:r>
    </w:p>
    <w:p>
      <w:pPr>
        <w:spacing w:line="520" w:lineRule="exact"/>
        <w:jc w:val="center"/>
        <w:rPr>
          <w:rFonts w:ascii="宋体" w:hAnsi="宋体" w:cs="宋体"/>
          <w:sz w:val="44"/>
          <w:szCs w:val="44"/>
          <w:highlight w:val="none"/>
        </w:rPr>
      </w:pPr>
    </w:p>
    <w:p>
      <w:pPr>
        <w:spacing w:line="520" w:lineRule="exact"/>
        <w:jc w:val="center"/>
        <w:rPr>
          <w:rFonts w:ascii="宋体" w:hAnsi="宋体" w:cs="宋体"/>
          <w:b/>
          <w:bCs/>
          <w:sz w:val="32"/>
          <w:szCs w:val="32"/>
          <w:highlight w:val="none"/>
        </w:rPr>
      </w:pPr>
      <w:r>
        <w:rPr>
          <w:rFonts w:hint="eastAsia" w:ascii="宋体" w:hAnsi="宋体" w:cs="宋体"/>
          <w:b/>
          <w:bCs/>
          <w:sz w:val="32"/>
          <w:szCs w:val="32"/>
          <w:highlight w:val="none"/>
        </w:rPr>
        <w:t>无串通竞标行为的承诺函</w:t>
      </w:r>
    </w:p>
    <w:p>
      <w:pPr>
        <w:spacing w:line="520" w:lineRule="exact"/>
        <w:ind w:firstLine="640" w:firstLineChars="200"/>
        <w:rPr>
          <w:rFonts w:ascii="宋体" w:hAnsi="宋体" w:cs="宋体"/>
          <w:sz w:val="32"/>
          <w:szCs w:val="32"/>
          <w:highlight w:val="none"/>
        </w:rPr>
      </w:pPr>
    </w:p>
    <w:p>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一、我方承诺无下列相互串通竞标的情形：</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1.不同供应商的响应文件由同一单位或者个人编制；或不同供应商报名的IP地址一致的； </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2.不同供应商委托同一单位或者个人办理竞标事宜；</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3.不同供应商的响应文件载明的项目管理员为同一个人；</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同供应商的响应文件异常一致或者响应报价呈规律性差异；</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5.不同供应商的响应文件相互混装；</w:t>
      </w:r>
    </w:p>
    <w:p>
      <w:pPr>
        <w:pStyle w:val="16"/>
        <w:ind w:firstLine="480" w:firstLineChars="200"/>
        <w:rPr>
          <w:rFonts w:ascii="宋体" w:hAnsi="宋体" w:cs="宋体"/>
          <w:highlight w:val="none"/>
        </w:rPr>
      </w:pPr>
      <w:r>
        <w:rPr>
          <w:rFonts w:hint="eastAsia" w:ascii="宋体" w:hAnsi="宋体" w:cs="宋体"/>
          <w:sz w:val="24"/>
          <w:highlight w:val="none"/>
        </w:rPr>
        <w:t>6.不同供应商的磋商保证金从同一单位或者个人账户转出。</w:t>
      </w:r>
    </w:p>
    <w:p>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二、我方承诺无下列恶意串通的情形：</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2.供应商按照采购人或者采购代理机构的授意撤换、修改响应文件；</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pPr>
        <w:spacing w:line="360" w:lineRule="auto"/>
        <w:ind w:firstLine="480" w:firstLineChars="200"/>
        <w:contextualSpacing/>
        <w:rPr>
          <w:rFonts w:ascii="宋体" w:hAnsi="宋体" w:cs="宋体"/>
          <w:sz w:val="24"/>
          <w:highlight w:val="none"/>
        </w:rPr>
      </w:pPr>
    </w:p>
    <w:p>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以上情形一经核查属实，接受政府采购监管部门对我方认定存在围标串标行为，我方愿意承担一切后果，并不再寻求任何旨在减轻或者免除法律责任的辩解。</w:t>
      </w:r>
    </w:p>
    <w:p>
      <w:pPr>
        <w:pStyle w:val="2"/>
        <w:rPr>
          <w:rFonts w:ascii="宋体" w:hAnsi="宋体" w:cs="宋体"/>
          <w:b/>
          <w:bCs/>
          <w:sz w:val="24"/>
          <w:highlight w:val="none"/>
        </w:rPr>
      </w:pPr>
    </w:p>
    <w:p>
      <w:pPr>
        <w:pStyle w:val="2"/>
        <w:rPr>
          <w:rFonts w:ascii="宋体" w:hAnsi="宋体" w:cs="宋体"/>
          <w:b/>
          <w:bCs/>
          <w:sz w:val="24"/>
          <w:highlight w:val="none"/>
        </w:rPr>
      </w:pPr>
    </w:p>
    <w:p>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供应商名称（盖公章）：</w:t>
      </w:r>
    </w:p>
    <w:p>
      <w:pPr>
        <w:spacing w:line="480" w:lineRule="auto"/>
        <w:ind w:firstLine="5040" w:firstLineChars="2100"/>
        <w:jc w:val="left"/>
        <w:rPr>
          <w:rFonts w:ascii="宋体" w:hAnsi="宋体" w:cs="宋体"/>
          <w:b/>
          <w:bCs/>
          <w:sz w:val="28"/>
          <w:szCs w:val="28"/>
          <w:highlight w:val="none"/>
        </w:rPr>
      </w:pPr>
      <w:r>
        <w:rPr>
          <w:rFonts w:hint="eastAsia" w:ascii="宋体" w:hAnsi="宋体" w:cs="宋体"/>
          <w:kern w:val="0"/>
          <w:sz w:val="24"/>
          <w:highlight w:val="none"/>
          <w:lang w:val="zh-CN"/>
        </w:rPr>
        <w:t xml:space="preserve">日期：  年  月   日   </w:t>
      </w:r>
      <w:r>
        <w:rPr>
          <w:rFonts w:hint="eastAsia" w:ascii="宋体" w:hAnsi="宋体" w:cs="宋体"/>
          <w:b/>
          <w:bCs/>
          <w:sz w:val="32"/>
          <w:szCs w:val="32"/>
          <w:highlight w:val="none"/>
        </w:rPr>
        <w:br w:type="page"/>
      </w:r>
      <w:r>
        <w:rPr>
          <w:rFonts w:hint="eastAsia" w:ascii="宋体" w:hAnsi="宋体" w:cs="宋体"/>
          <w:b/>
          <w:bCs/>
          <w:sz w:val="28"/>
          <w:szCs w:val="28"/>
          <w:highlight w:val="none"/>
        </w:rPr>
        <w:t>4.法定代表人身份证明的格式：</w:t>
      </w:r>
    </w:p>
    <w:p>
      <w:pPr>
        <w:spacing w:line="520" w:lineRule="exact"/>
        <w:jc w:val="center"/>
        <w:rPr>
          <w:rFonts w:ascii="宋体" w:hAnsi="宋体" w:cs="宋体"/>
          <w:sz w:val="32"/>
          <w:szCs w:val="32"/>
          <w:highlight w:val="none"/>
        </w:rPr>
      </w:pPr>
      <w:r>
        <w:rPr>
          <w:rFonts w:hint="eastAsia" w:ascii="宋体" w:hAnsi="宋体" w:cs="宋体"/>
          <w:bCs/>
          <w:sz w:val="32"/>
          <w:szCs w:val="32"/>
          <w:highlight w:val="none"/>
        </w:rPr>
        <w:t>法定代表人身份证明</w:t>
      </w:r>
    </w:p>
    <w:p>
      <w:pPr>
        <w:spacing w:line="360" w:lineRule="auto"/>
        <w:ind w:left="540"/>
        <w:contextualSpacing/>
        <w:rPr>
          <w:rFonts w:ascii="宋体" w:hAnsi="宋体" w:cs="宋体"/>
          <w:sz w:val="32"/>
          <w:szCs w:val="32"/>
          <w:highlight w:val="none"/>
        </w:rPr>
      </w:pPr>
    </w:p>
    <w:p>
      <w:pPr>
        <w:spacing w:line="360" w:lineRule="auto"/>
        <w:ind w:left="540"/>
        <w:contextualSpacing/>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pPr>
        <w:spacing w:line="360" w:lineRule="auto"/>
        <w:ind w:left="540"/>
        <w:contextualSpacing/>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pPr>
        <w:spacing w:line="360" w:lineRule="auto"/>
        <w:ind w:left="540"/>
        <w:contextualSpacing/>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pPr>
        <w:spacing w:line="360" w:lineRule="auto"/>
        <w:ind w:left="540"/>
        <w:contextualSpacing/>
        <w:rPr>
          <w:rFonts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pPr>
        <w:spacing w:line="360" w:lineRule="auto"/>
        <w:ind w:left="540"/>
        <w:contextualSpacing/>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pPr>
        <w:spacing w:line="360" w:lineRule="auto"/>
        <w:ind w:left="540"/>
        <w:contextualSpacing/>
        <w:rPr>
          <w:rFonts w:ascii="宋体" w:hAnsi="宋体" w:cs="宋体"/>
          <w:sz w:val="24"/>
          <w:highlight w:val="none"/>
        </w:rPr>
      </w:pPr>
      <w:r>
        <w:rPr>
          <w:rFonts w:hint="eastAsia" w:ascii="宋体" w:hAnsi="宋体" w:cs="宋体"/>
          <w:sz w:val="24"/>
          <w:highlight w:val="none"/>
        </w:rPr>
        <w:t>特此证明。</w:t>
      </w:r>
    </w:p>
    <w:p>
      <w:pPr>
        <w:spacing w:line="360" w:lineRule="auto"/>
        <w:ind w:left="540"/>
        <w:contextualSpacing/>
        <w:rPr>
          <w:rFonts w:ascii="宋体" w:hAnsi="宋体" w:cs="宋体"/>
          <w:sz w:val="24"/>
          <w:highlight w:val="none"/>
        </w:rPr>
      </w:pPr>
    </w:p>
    <w:p>
      <w:pPr>
        <w:spacing w:line="360" w:lineRule="auto"/>
        <w:ind w:left="540"/>
        <w:contextualSpacing/>
        <w:rPr>
          <w:rFonts w:ascii="宋体" w:hAnsi="宋体" w:cs="宋体"/>
          <w:sz w:val="24"/>
          <w:highlight w:val="none"/>
        </w:rPr>
      </w:pPr>
    </w:p>
    <w:p>
      <w:pPr>
        <w:spacing w:line="360" w:lineRule="auto"/>
        <w:ind w:left="540"/>
        <w:contextualSpacing/>
        <w:rPr>
          <w:rFonts w:ascii="宋体" w:hAnsi="宋体" w:cs="宋体"/>
          <w:sz w:val="24"/>
          <w:highlight w:val="none"/>
        </w:rPr>
      </w:pPr>
    </w:p>
    <w:p>
      <w:pPr>
        <w:spacing w:line="360" w:lineRule="auto"/>
        <w:ind w:left="540"/>
        <w:contextualSpacing/>
        <w:rPr>
          <w:rFonts w:ascii="宋体" w:hAnsi="宋体" w:cs="宋体"/>
          <w:sz w:val="24"/>
          <w:highlight w:val="none"/>
        </w:rPr>
      </w:pPr>
      <w:r>
        <w:rPr>
          <w:rFonts w:hint="eastAsia" w:ascii="宋体" w:hAnsi="宋体" w:cs="宋体"/>
          <w:sz w:val="24"/>
          <w:highlight w:val="none"/>
        </w:rPr>
        <w:t>附件：法定代表人有效身份证正反面复印件</w:t>
      </w:r>
    </w:p>
    <w:p>
      <w:pPr>
        <w:spacing w:line="360" w:lineRule="auto"/>
        <w:ind w:left="540"/>
        <w:contextualSpacing/>
        <w:rPr>
          <w:rFonts w:ascii="宋体" w:hAnsi="宋体" w:cs="宋体"/>
          <w:sz w:val="24"/>
          <w:highlight w:val="none"/>
        </w:rPr>
      </w:pPr>
    </w:p>
    <w:p>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供应商名称（盖公章）：</w:t>
      </w:r>
    </w:p>
    <w:p>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pPr>
        <w:spacing w:line="360" w:lineRule="auto"/>
        <w:contextualSpacing/>
        <w:jc w:val="left"/>
        <w:rPr>
          <w:rFonts w:ascii="宋体" w:hAnsi="宋体" w:cs="宋体"/>
          <w:sz w:val="24"/>
          <w:highlight w:val="none"/>
        </w:rPr>
      </w:pPr>
    </w:p>
    <w:p>
      <w:pPr>
        <w:spacing w:line="360" w:lineRule="auto"/>
        <w:contextualSpacing/>
        <w:jc w:val="left"/>
        <w:rPr>
          <w:rFonts w:ascii="宋体" w:hAnsi="宋体" w:cs="宋体"/>
          <w:sz w:val="24"/>
          <w:highlight w:val="none"/>
        </w:rPr>
      </w:pPr>
    </w:p>
    <w:p>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注：</w:t>
      </w:r>
    </w:p>
    <w:p>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1.自然人竞标的无需提供，联合体竞标的只需牵头人出具。</w:t>
      </w:r>
    </w:p>
    <w:p>
      <w:pPr>
        <w:spacing w:line="360" w:lineRule="auto"/>
        <w:ind w:firstLine="420" w:firstLineChars="200"/>
        <w:contextualSpacing/>
        <w:jc w:val="left"/>
        <w:rPr>
          <w:rFonts w:ascii="宋体" w:hAnsi="宋体" w:cs="宋体"/>
          <w:szCs w:val="21"/>
          <w:highlight w:val="none"/>
        </w:rPr>
        <w:sectPr>
          <w:pgSz w:w="11911" w:h="16838"/>
          <w:pgMar w:top="1134" w:right="1134" w:bottom="1134" w:left="1134" w:header="720" w:footer="720" w:gutter="0"/>
          <w:cols w:space="720" w:num="1"/>
        </w:sectPr>
      </w:pPr>
      <w:r>
        <w:rPr>
          <w:rFonts w:hint="eastAsia" w:ascii="宋体" w:hAnsi="宋体" w:cs="宋体"/>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2" w:firstLineChars="200"/>
        <w:contextualSpacing/>
        <w:jc w:val="left"/>
        <w:rPr>
          <w:rFonts w:ascii="宋体" w:hAnsi="宋体" w:cs="宋体"/>
          <w:b/>
          <w:sz w:val="32"/>
          <w:szCs w:val="32"/>
          <w:highlight w:val="none"/>
        </w:rPr>
      </w:pPr>
      <w:r>
        <w:rPr>
          <w:rFonts w:hint="eastAsia" w:ascii="宋体" w:hAnsi="宋体" w:cs="宋体"/>
          <w:b/>
          <w:sz w:val="24"/>
          <w:highlight w:val="none"/>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法定代表人身份证复印件粘帖处（正、反面）</w:t>
            </w:r>
          </w:p>
        </w:tc>
      </w:tr>
    </w:tbl>
    <w:p>
      <w:pPr>
        <w:adjustRightInd w:val="0"/>
        <w:snapToGrid w:val="0"/>
        <w:spacing w:line="300" w:lineRule="auto"/>
        <w:jc w:val="left"/>
        <w:rPr>
          <w:rFonts w:ascii="宋体" w:hAnsi="宋体" w:cs="宋体"/>
          <w:b/>
          <w:szCs w:val="21"/>
          <w:highlight w:val="none"/>
        </w:rPr>
      </w:pPr>
    </w:p>
    <w:p>
      <w:pPr>
        <w:spacing w:line="520" w:lineRule="exact"/>
        <w:ind w:firstLine="880"/>
        <w:jc w:val="left"/>
        <w:rPr>
          <w:rFonts w:ascii="宋体" w:hAnsi="宋体" w:cs="宋体"/>
          <w:szCs w:val="21"/>
          <w:highlight w:val="none"/>
        </w:rPr>
      </w:pPr>
    </w:p>
    <w:p>
      <w:pPr>
        <w:spacing w:line="520" w:lineRule="exact"/>
        <w:jc w:val="left"/>
        <w:rPr>
          <w:rFonts w:ascii="宋体" w:hAnsi="宋体" w:cs="宋体"/>
          <w:bCs/>
          <w:sz w:val="44"/>
          <w:szCs w:val="44"/>
          <w:highlight w:val="none"/>
        </w:rPr>
      </w:pPr>
      <w:r>
        <w:rPr>
          <w:rFonts w:hint="eastAsia" w:ascii="宋体" w:hAnsi="宋体" w:cs="宋体"/>
          <w:sz w:val="44"/>
          <w:szCs w:val="44"/>
          <w:highlight w:val="none"/>
        </w:rPr>
        <w:br w:type="page"/>
      </w:r>
      <w:r>
        <w:rPr>
          <w:rFonts w:hint="eastAsia" w:ascii="宋体" w:hAnsi="宋体" w:cs="宋体"/>
          <w:b/>
          <w:bCs/>
          <w:sz w:val="28"/>
          <w:szCs w:val="28"/>
          <w:highlight w:val="none"/>
        </w:rPr>
        <w:t>5.法定代表人授权委托书的格式：</w:t>
      </w:r>
    </w:p>
    <w:p>
      <w:pPr>
        <w:spacing w:line="500" w:lineRule="exact"/>
        <w:jc w:val="center"/>
        <w:rPr>
          <w:rFonts w:ascii="宋体" w:hAnsi="宋体" w:cs="宋体"/>
          <w:sz w:val="44"/>
          <w:szCs w:val="44"/>
          <w:highlight w:val="none"/>
        </w:rPr>
      </w:pPr>
    </w:p>
    <w:p>
      <w:pPr>
        <w:spacing w:line="520" w:lineRule="exact"/>
        <w:jc w:val="center"/>
        <w:rPr>
          <w:rFonts w:ascii="宋体" w:hAnsi="宋体" w:cs="宋体"/>
          <w:sz w:val="32"/>
          <w:szCs w:val="32"/>
          <w:highlight w:val="none"/>
        </w:rPr>
      </w:pPr>
      <w:r>
        <w:rPr>
          <w:rFonts w:hint="eastAsia" w:ascii="宋体" w:hAnsi="宋体" w:cs="宋体"/>
          <w:sz w:val="32"/>
          <w:szCs w:val="32"/>
          <w:highlight w:val="none"/>
        </w:rPr>
        <w:t>授权委托书</w:t>
      </w:r>
    </w:p>
    <w:p>
      <w:pPr>
        <w:spacing w:line="520" w:lineRule="exact"/>
        <w:jc w:val="center"/>
        <w:rPr>
          <w:rFonts w:ascii="宋体" w:hAnsi="宋体" w:cs="宋体"/>
          <w:sz w:val="32"/>
          <w:szCs w:val="32"/>
          <w:highlight w:val="none"/>
        </w:rPr>
      </w:pPr>
      <w:r>
        <w:rPr>
          <w:rFonts w:hint="eastAsia" w:ascii="宋体" w:hAnsi="宋体" w:cs="宋体"/>
          <w:sz w:val="32"/>
          <w:szCs w:val="32"/>
          <w:highlight w:val="none"/>
        </w:rPr>
        <w:t>（如有委托时）</w:t>
      </w:r>
    </w:p>
    <w:p>
      <w:pPr>
        <w:spacing w:line="520" w:lineRule="exact"/>
        <w:rPr>
          <w:rFonts w:ascii="宋体" w:hAnsi="宋体" w:cs="宋体"/>
          <w:sz w:val="32"/>
          <w:szCs w:val="32"/>
          <w:highlight w:val="none"/>
        </w:rPr>
      </w:pP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w:t>
      </w:r>
      <w:r>
        <w:rPr>
          <w:rFonts w:hint="eastAsia" w:ascii="宋体" w:hAnsi="宋体" w:cs="宋体"/>
          <w:i/>
          <w:iCs/>
          <w:sz w:val="24"/>
          <w:highlight w:val="none"/>
          <w:u w:val="single"/>
        </w:rPr>
        <w:t>（姓名）</w:t>
      </w:r>
      <w:r>
        <w:rPr>
          <w:rFonts w:hint="eastAsia" w:ascii="宋体" w:hAnsi="宋体" w:cs="宋体"/>
          <w:sz w:val="24"/>
          <w:highlight w:val="none"/>
          <w:u w:val="single"/>
        </w:rPr>
        <w:t xml:space="preserve">  </w:t>
      </w: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i/>
          <w:iCs/>
          <w:sz w:val="24"/>
          <w:highlight w:val="none"/>
          <w:u w:val="single"/>
        </w:rPr>
        <w:t>（供应商名称）</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w:t>
      </w:r>
      <w:r>
        <w:rPr>
          <w:rFonts w:hint="eastAsia" w:ascii="宋体" w:hAnsi="宋体" w:cs="宋体"/>
          <w:i/>
          <w:iCs/>
          <w:sz w:val="24"/>
          <w:highlight w:val="none"/>
          <w:u w:val="single"/>
        </w:rPr>
        <w:t>（姓名）</w:t>
      </w:r>
      <w:r>
        <w:rPr>
          <w:rFonts w:hint="eastAsia" w:ascii="宋体" w:hAnsi="宋体" w:cs="宋体"/>
          <w:sz w:val="24"/>
          <w:highlight w:val="none"/>
          <w:u w:val="single"/>
        </w:rPr>
        <w:t xml:space="preserve">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i/>
          <w:iCs/>
          <w:sz w:val="24"/>
          <w:highlight w:val="none"/>
          <w:u w:val="single"/>
        </w:rPr>
        <w:t>（项目名称）</w:t>
      </w:r>
      <w:r>
        <w:rPr>
          <w:rFonts w:hint="eastAsia" w:ascii="宋体" w:hAnsi="宋体" w:cs="宋体"/>
          <w:sz w:val="24"/>
          <w:highlight w:val="none"/>
          <w:u w:val="single"/>
        </w:rPr>
        <w:t xml:space="preserve">        </w:t>
      </w:r>
      <w:r>
        <w:rPr>
          <w:rFonts w:hint="eastAsia" w:ascii="宋体" w:hAnsi="宋体" w:cs="宋体"/>
          <w:sz w:val="24"/>
          <w:highlight w:val="none"/>
        </w:rPr>
        <w:t>项目的竞标活动，并代表我方全权办理针对上述项目的所有采购程序和环节的具体事务和签署相关文件。</w:t>
      </w:r>
    </w:p>
    <w:p>
      <w:pPr>
        <w:spacing w:line="360" w:lineRule="auto"/>
        <w:rPr>
          <w:rFonts w:ascii="宋体" w:hAnsi="宋体" w:cs="宋体"/>
          <w:sz w:val="24"/>
          <w:highlight w:val="none"/>
        </w:rPr>
      </w:pPr>
      <w:r>
        <w:rPr>
          <w:rFonts w:hint="eastAsia" w:ascii="宋体" w:hAnsi="宋体" w:cs="宋体"/>
          <w:sz w:val="24"/>
          <w:highlight w:val="none"/>
        </w:rPr>
        <w:t xml:space="preserve">    我方对委托代理人的签字事项负全部责任。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附：委托代理人有效身份证正反面复印件</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 xml:space="preserve">委托代理人（签字）：         法定代表人（签字）：                    </w:t>
      </w:r>
    </w:p>
    <w:p>
      <w:pPr>
        <w:spacing w:line="360" w:lineRule="auto"/>
        <w:rPr>
          <w:rFonts w:ascii="宋体" w:hAnsi="宋体" w:cs="宋体"/>
          <w:sz w:val="24"/>
          <w:highlight w:val="none"/>
        </w:rPr>
      </w:pPr>
      <w:r>
        <w:rPr>
          <w:rFonts w:hint="eastAsia" w:ascii="宋体" w:hAnsi="宋体" w:cs="宋体"/>
          <w:sz w:val="24"/>
          <w:highlight w:val="none"/>
        </w:rPr>
        <w:t xml:space="preserve">委托代理人身份证号码：                              </w:t>
      </w:r>
    </w:p>
    <w:p>
      <w:pPr>
        <w:spacing w:line="360" w:lineRule="auto"/>
        <w:rPr>
          <w:rFonts w:ascii="宋体" w:hAnsi="宋体" w:cs="宋体"/>
          <w:sz w:val="24"/>
          <w:highlight w:val="non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供应商名称（盖公章）：</w:t>
      </w:r>
    </w:p>
    <w:p>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pPr>
        <w:spacing w:line="360" w:lineRule="auto"/>
        <w:rPr>
          <w:rFonts w:ascii="宋体" w:hAnsi="宋体" w:cs="宋体"/>
          <w:sz w:val="24"/>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 法定代表人和委托代理人必须在授权委托书上签字，</w:t>
      </w:r>
      <w:r>
        <w:rPr>
          <w:rFonts w:hint="eastAsia" w:ascii="宋体" w:hAnsi="宋体" w:cs="宋体"/>
          <w:b/>
          <w:szCs w:val="21"/>
          <w:highlight w:val="none"/>
        </w:rPr>
        <w:t>否则其响应文件按无效响应处理。</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 法人、其他组织竞标时“我方”是指“我单位”，自然人竞标时“我方”是指“本人”。</w:t>
      </w:r>
    </w:p>
    <w:p>
      <w:pPr>
        <w:widowControl/>
        <w:shd w:val="clear" w:color="auto" w:fill="FFFFFF"/>
        <w:spacing w:line="480" w:lineRule="atLeast"/>
        <w:rPr>
          <w:rFonts w:ascii="宋体" w:hAnsi="宋体" w:cs="宋体"/>
          <w:sz w:val="24"/>
          <w:highlight w:val="none"/>
        </w:rPr>
      </w:pPr>
      <w:r>
        <w:rPr>
          <w:rFonts w:hint="eastAsia" w:ascii="宋体" w:hAnsi="宋体" w:cs="宋体"/>
          <w:szCs w:val="21"/>
          <w:highlight w:val="none"/>
        </w:rPr>
        <w:br w:type="page"/>
      </w:r>
      <w:r>
        <w:rPr>
          <w:rFonts w:hint="eastAsia" w:ascii="宋体" w:hAnsi="宋体" w:cs="宋体"/>
          <w:b/>
          <w:sz w:val="28"/>
          <w:szCs w:val="28"/>
          <w:highlight w:val="none"/>
        </w:rPr>
        <w:t xml:space="preserve">6、供应商认为有必要提供的其他文件 </w:t>
      </w:r>
    </w:p>
    <w:p>
      <w:pPr>
        <w:shd w:val="clear" w:color="auto" w:fill="FFFFFF"/>
        <w:spacing w:line="520" w:lineRule="exact"/>
        <w:jc w:val="center"/>
        <w:rPr>
          <w:rFonts w:ascii="宋体" w:hAnsi="宋体" w:cs="宋体"/>
          <w:sz w:val="24"/>
          <w:highlight w:val="none"/>
        </w:rPr>
      </w:pPr>
    </w:p>
    <w:p>
      <w:pPr>
        <w:spacing w:line="520" w:lineRule="exact"/>
        <w:jc w:val="center"/>
        <w:rPr>
          <w:rFonts w:ascii="宋体" w:hAnsi="宋体" w:cs="宋体"/>
          <w:sz w:val="24"/>
          <w:highlight w:val="none"/>
        </w:rPr>
      </w:pPr>
    </w:p>
    <w:p>
      <w:pPr>
        <w:spacing w:line="520" w:lineRule="exact"/>
        <w:jc w:val="left"/>
        <w:rPr>
          <w:rFonts w:ascii="宋体" w:hAnsi="宋体" w:cs="宋体"/>
          <w:sz w:val="32"/>
          <w:szCs w:val="32"/>
          <w:highlight w:val="none"/>
        </w:rPr>
      </w:pPr>
    </w:p>
    <w:p>
      <w:pPr>
        <w:spacing w:line="520" w:lineRule="exact"/>
        <w:jc w:val="left"/>
        <w:rPr>
          <w:rFonts w:ascii="宋体" w:hAnsi="宋体" w:cs="宋体"/>
          <w:b/>
          <w:sz w:val="30"/>
          <w:szCs w:val="30"/>
          <w:highlight w:val="none"/>
        </w:rPr>
      </w:pPr>
      <w:r>
        <w:rPr>
          <w:rFonts w:hint="eastAsia" w:ascii="宋体" w:hAnsi="宋体" w:cs="宋体"/>
          <w:sz w:val="32"/>
          <w:szCs w:val="32"/>
          <w:highlight w:val="none"/>
        </w:rPr>
        <w:br w:type="page"/>
      </w:r>
      <w:r>
        <w:rPr>
          <w:rFonts w:hint="eastAsia" w:ascii="宋体" w:hAnsi="宋体" w:cs="宋体"/>
          <w:b/>
          <w:sz w:val="28"/>
          <w:szCs w:val="28"/>
          <w:highlight w:val="none"/>
        </w:rPr>
        <w:t>7.商务条款偏离表的格式：</w:t>
      </w:r>
    </w:p>
    <w:p>
      <w:pPr>
        <w:pStyle w:val="2"/>
        <w:rPr>
          <w:rFonts w:ascii="宋体" w:hAnsi="宋体" w:cs="宋体"/>
          <w:highlight w:val="none"/>
        </w:rPr>
      </w:pPr>
    </w:p>
    <w:p>
      <w:pPr>
        <w:spacing w:line="500" w:lineRule="exact"/>
        <w:jc w:val="center"/>
        <w:rPr>
          <w:rFonts w:ascii="宋体" w:hAnsi="宋体" w:cs="宋体"/>
          <w:bCs/>
          <w:sz w:val="44"/>
          <w:szCs w:val="44"/>
          <w:highlight w:val="none"/>
        </w:rPr>
      </w:pPr>
      <w:r>
        <w:rPr>
          <w:rFonts w:hint="eastAsia" w:ascii="宋体" w:hAnsi="宋体" w:cs="宋体"/>
          <w:bCs/>
          <w:sz w:val="44"/>
          <w:szCs w:val="44"/>
          <w:highlight w:val="none"/>
        </w:rPr>
        <w:t>商务条款偏离表</w:t>
      </w:r>
    </w:p>
    <w:p>
      <w:pPr>
        <w:spacing w:line="520" w:lineRule="exact"/>
        <w:rPr>
          <w:rFonts w:ascii="宋体" w:hAnsi="宋体" w:cs="宋体"/>
          <w:sz w:val="32"/>
          <w:szCs w:val="32"/>
          <w:highlight w:val="none"/>
        </w:rPr>
      </w:pPr>
    </w:p>
    <w:p>
      <w:pPr>
        <w:spacing w:line="360" w:lineRule="auto"/>
        <w:contextualSpacing/>
        <w:rPr>
          <w:rFonts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spacing w:line="360" w:lineRule="auto"/>
        <w:contextualSpacing/>
        <w:rPr>
          <w:rFonts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pPr>
        <w:spacing w:line="360" w:lineRule="auto"/>
        <w:contextualSpacing/>
        <w:rPr>
          <w:rFonts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highlight w:val="none"/>
              </w:rPr>
            </w:pPr>
            <w:r>
              <w:rPr>
                <w:rFonts w:hint="eastAsia" w:ascii="宋体" w:hAnsi="宋体" w:cs="宋体"/>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highlight w:val="none"/>
              </w:rPr>
            </w:pPr>
            <w:r>
              <w:rPr>
                <w:rFonts w:hint="eastAsia" w:ascii="宋体" w:hAnsi="宋体" w:cs="宋体"/>
                <w:szCs w:val="21"/>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highlight w:val="none"/>
              </w:rPr>
            </w:pPr>
            <w:r>
              <w:rPr>
                <w:rFonts w:hint="eastAsia" w:ascii="宋体" w:hAnsi="宋体" w:cs="宋体"/>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highlight w:val="none"/>
              </w:rPr>
            </w:pPr>
            <w:r>
              <w:rPr>
                <w:rFonts w:hint="eastAsia" w:ascii="宋体" w:hAnsi="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r>
              <w:rPr>
                <w:rFonts w:hint="eastAsia" w:ascii="宋体" w:hAnsi="宋体" w:cs="宋体"/>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r>
              <w:rPr>
                <w:rFonts w:hint="eastAsia" w:ascii="宋体" w:hAnsi="宋体" w:cs="宋体"/>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r>
              <w:rPr>
                <w:rFonts w:hint="eastAsia" w:ascii="宋体" w:hAnsi="宋体" w:cs="宋体"/>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highlight w:val="none"/>
              </w:rPr>
            </w:pPr>
          </w:p>
        </w:tc>
      </w:tr>
    </w:tbl>
    <w:p>
      <w:pPr>
        <w:pStyle w:val="17"/>
        <w:spacing w:line="400" w:lineRule="exact"/>
        <w:ind w:firstLine="0" w:firstLineChars="0"/>
        <w:contextualSpacing/>
        <w:rPr>
          <w:rFonts w:ascii="宋体" w:hAnsi="宋体" w:eastAsia="宋体" w:cs="宋体"/>
          <w:sz w:val="24"/>
          <w:szCs w:val="24"/>
          <w:highlight w:val="none"/>
        </w:rPr>
      </w:pPr>
      <w:r>
        <w:rPr>
          <w:rFonts w:hint="eastAsia" w:ascii="宋体" w:hAnsi="宋体" w:eastAsia="宋体" w:cs="宋体"/>
          <w:sz w:val="24"/>
          <w:szCs w:val="24"/>
          <w:highlight w:val="none"/>
        </w:rPr>
        <w:t>注：</w:t>
      </w:r>
    </w:p>
    <w:p>
      <w:pPr>
        <w:pStyle w:val="17"/>
        <w:spacing w:line="4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1.应对照磋商文件“第二章 采购需求”中的商务条款逐条作出明确响应，并作出偏离说明。</w:t>
      </w:r>
    </w:p>
    <w:p>
      <w:pPr>
        <w:pStyle w:val="17"/>
        <w:spacing w:line="4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3.表格内容均需按要求填写，不得留空，</w:t>
      </w:r>
      <w:r>
        <w:rPr>
          <w:rFonts w:hint="eastAsia" w:ascii="宋体" w:hAnsi="宋体" w:cs="宋体"/>
          <w:b/>
          <w:bCs/>
          <w:kern w:val="0"/>
          <w:sz w:val="24"/>
          <w:highlight w:val="none"/>
        </w:rPr>
        <w:t>否则按竞标无效处理。</w:t>
      </w:r>
    </w:p>
    <w:p>
      <w:pPr>
        <w:spacing w:line="400" w:lineRule="exact"/>
        <w:ind w:firstLine="480" w:firstLineChars="200"/>
        <w:contextualSpacing/>
        <w:rPr>
          <w:rFonts w:ascii="宋体" w:hAnsi="宋体" w:cs="宋体"/>
          <w:kern w:val="0"/>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kern w:val="0"/>
          <w:sz w:val="24"/>
          <w:highlight w:val="none"/>
        </w:rPr>
        <w:t>供应商名称（盖公章）：</w:t>
      </w:r>
    </w:p>
    <w:p>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pPr>
        <w:snapToGrid w:val="0"/>
        <w:spacing w:line="360" w:lineRule="auto"/>
        <w:ind w:firstLine="602" w:firstLineChars="200"/>
        <w:rPr>
          <w:rFonts w:ascii="宋体" w:hAnsi="宋体" w:cs="宋体"/>
          <w:b/>
          <w:sz w:val="30"/>
          <w:szCs w:val="30"/>
          <w:highlight w:val="none"/>
        </w:rPr>
      </w:pPr>
    </w:p>
    <w:p>
      <w:pPr>
        <w:snapToGrid w:val="0"/>
        <w:spacing w:line="360" w:lineRule="auto"/>
        <w:ind w:firstLine="602" w:firstLineChars="200"/>
        <w:rPr>
          <w:rFonts w:ascii="宋体" w:hAnsi="宋体" w:cs="宋体"/>
          <w:b/>
          <w:sz w:val="30"/>
          <w:szCs w:val="30"/>
          <w:highlight w:val="none"/>
        </w:rPr>
      </w:pPr>
    </w:p>
    <w:p>
      <w:pPr>
        <w:pStyle w:val="2"/>
        <w:rPr>
          <w:rFonts w:ascii="宋体" w:hAnsi="宋体" w:cs="宋体"/>
          <w:highlight w:val="none"/>
        </w:rPr>
      </w:pPr>
    </w:p>
    <w:p>
      <w:pPr>
        <w:snapToGrid w:val="0"/>
        <w:spacing w:line="360" w:lineRule="auto"/>
        <w:ind w:firstLine="602" w:firstLineChars="200"/>
        <w:rPr>
          <w:rFonts w:ascii="宋体" w:hAnsi="宋体" w:cs="宋体"/>
          <w:b/>
          <w:sz w:val="30"/>
          <w:szCs w:val="30"/>
          <w:highlight w:val="none"/>
        </w:rPr>
      </w:pPr>
    </w:p>
    <w:p>
      <w:pPr>
        <w:pStyle w:val="26"/>
        <w:snapToGrid w:val="0"/>
        <w:ind w:left="562" w:hanging="562"/>
        <w:rPr>
          <w:rFonts w:ascii="宋体" w:hAnsi="宋体" w:cs="宋体"/>
          <w:i/>
          <w:iCs/>
          <w:sz w:val="24"/>
          <w:highlight w:val="none"/>
        </w:rPr>
      </w:pPr>
      <w:r>
        <w:rPr>
          <w:rFonts w:hint="eastAsia" w:ascii="宋体" w:hAnsi="宋体" w:cs="宋体"/>
          <w:b/>
          <w:sz w:val="28"/>
          <w:szCs w:val="28"/>
          <w:highlight w:val="none"/>
        </w:rPr>
        <w:t>8.供应商类似的业绩证明文件</w:t>
      </w:r>
      <w:r>
        <w:rPr>
          <w:rFonts w:hint="eastAsia" w:ascii="宋体" w:hAnsi="宋体" w:cs="宋体"/>
          <w:b/>
          <w:bCs/>
          <w:sz w:val="30"/>
          <w:szCs w:val="30"/>
          <w:highlight w:val="none"/>
        </w:rPr>
        <w:t>（如有要求）：</w:t>
      </w:r>
    </w:p>
    <w:p>
      <w:pPr>
        <w:spacing w:line="360" w:lineRule="auto"/>
        <w:ind w:firstLine="2880" w:firstLineChars="900"/>
        <w:contextualSpacing/>
        <w:rPr>
          <w:rFonts w:ascii="宋体" w:hAnsi="宋体" w:cs="宋体"/>
          <w:sz w:val="32"/>
          <w:szCs w:val="32"/>
          <w:highlight w:val="none"/>
        </w:rPr>
      </w:pPr>
    </w:p>
    <w:p>
      <w:pPr>
        <w:spacing w:line="360" w:lineRule="auto"/>
        <w:ind w:firstLine="2880" w:firstLineChars="900"/>
        <w:contextualSpacing/>
        <w:rPr>
          <w:rFonts w:ascii="宋体" w:hAnsi="宋体" w:cs="宋体"/>
          <w:sz w:val="32"/>
          <w:szCs w:val="32"/>
          <w:highlight w:val="none"/>
        </w:rPr>
      </w:pPr>
      <w:r>
        <w:rPr>
          <w:rFonts w:hint="eastAsia" w:ascii="宋体" w:hAnsi="宋体" w:cs="宋体"/>
          <w:sz w:val="32"/>
          <w:szCs w:val="32"/>
          <w:highlight w:val="none"/>
        </w:rPr>
        <w:t>类似项目的业绩一览表</w:t>
      </w:r>
    </w:p>
    <w:p>
      <w:pPr>
        <w:spacing w:line="360" w:lineRule="auto"/>
        <w:contextualSpacing/>
        <w:rPr>
          <w:rFonts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合同</w:t>
            </w:r>
          </w:p>
          <w:p>
            <w:pPr>
              <w:snapToGrid w:val="0"/>
              <w:spacing w:line="240" w:lineRule="exact"/>
              <w:jc w:val="center"/>
              <w:rPr>
                <w:rFonts w:ascii="宋体" w:hAnsi="宋体" w:cs="宋体"/>
                <w:sz w:val="24"/>
                <w:highlight w:val="none"/>
              </w:rPr>
            </w:pPr>
            <w:r>
              <w:rPr>
                <w:rFonts w:hint="eastAsia" w:ascii="宋体" w:hAnsi="宋体" w:cs="宋体"/>
                <w:sz w:val="24"/>
                <w:highlight w:val="none"/>
              </w:rPr>
              <w:t>金额</w:t>
            </w:r>
          </w:p>
          <w:p>
            <w:pPr>
              <w:snapToGrid w:val="0"/>
              <w:spacing w:line="240" w:lineRule="exact"/>
              <w:jc w:val="center"/>
              <w:rPr>
                <w:rFonts w:ascii="宋体" w:hAnsi="宋体" w:cs="宋体"/>
                <w:sz w:val="24"/>
                <w:highlight w:val="none"/>
              </w:rPr>
            </w:pPr>
            <w:r>
              <w:rPr>
                <w:rFonts w:hint="eastAsia" w:ascii="宋体" w:hAnsi="宋体" w:cs="宋体"/>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合同或</w:t>
            </w:r>
            <w:r>
              <w:rPr>
                <w:rFonts w:hint="eastAsia" w:ascii="宋体" w:hAnsi="宋体" w:cs="宋体"/>
                <w:highlight w:val="none"/>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 w:val="24"/>
                <w:highlight w:val="none"/>
              </w:rPr>
            </w:pPr>
            <w:r>
              <w:rPr>
                <w:rFonts w:hint="eastAsia" w:ascii="宋体" w:hAnsi="宋体" w:cs="宋体"/>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sz w:val="24"/>
                <w:highlight w:val="none"/>
              </w:rPr>
            </w:pPr>
          </w:p>
        </w:tc>
      </w:tr>
    </w:tbl>
    <w:p>
      <w:pPr>
        <w:snapToGrid w:val="0"/>
        <w:spacing w:line="360" w:lineRule="auto"/>
        <w:ind w:firstLine="4935" w:firstLineChars="2350"/>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 w:val="24"/>
          <w:szCs w:val="20"/>
          <w:highlight w:val="none"/>
        </w:rPr>
        <w:t>注：在填写时，如本表格不适合供应商的实际情况，可参照本表格式自行制表填写，并附上相关证明材料</w:t>
      </w:r>
      <w:r>
        <w:rPr>
          <w:rFonts w:hint="eastAsia" w:ascii="宋体" w:hAnsi="宋体" w:cs="宋体"/>
          <w:highlight w:val="none"/>
        </w:rPr>
        <w:t>。</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供应商名称(盖公章)：</w:t>
      </w:r>
    </w:p>
    <w:p>
      <w:pPr>
        <w:spacing w:line="500" w:lineRule="exact"/>
        <w:jc w:val="center"/>
        <w:rPr>
          <w:rFonts w:ascii="宋体" w:hAnsi="宋体" w:cs="宋体"/>
          <w:sz w:val="32"/>
          <w:szCs w:val="32"/>
          <w:highlight w:val="none"/>
        </w:rPr>
        <w:sectPr>
          <w:pgSz w:w="11911" w:h="16838"/>
          <w:pgMar w:top="1134" w:right="1134" w:bottom="1134" w:left="1134" w:header="720" w:footer="720" w:gutter="0"/>
          <w:cols w:space="720" w:num="1"/>
        </w:sect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rPr>
          <w:rFonts w:ascii="宋体" w:hAnsi="宋体" w:cs="宋体"/>
          <w:sz w:val="28"/>
          <w:szCs w:val="28"/>
          <w:highlight w:val="none"/>
        </w:rPr>
      </w:pPr>
      <w:r>
        <w:rPr>
          <w:rFonts w:hint="eastAsia" w:ascii="宋体" w:hAnsi="宋体" w:cs="宋体"/>
          <w:b/>
          <w:sz w:val="28"/>
          <w:szCs w:val="28"/>
          <w:highlight w:val="none"/>
        </w:rPr>
        <w:t>9.服务需求偏离表的格式：</w:t>
      </w:r>
    </w:p>
    <w:p>
      <w:pPr>
        <w:spacing w:line="500" w:lineRule="exact"/>
        <w:jc w:val="center"/>
        <w:rPr>
          <w:rFonts w:ascii="宋体" w:hAnsi="宋体" w:cs="宋体"/>
          <w:bCs/>
          <w:sz w:val="44"/>
          <w:szCs w:val="44"/>
          <w:highlight w:val="none"/>
        </w:rPr>
      </w:pPr>
      <w:r>
        <w:rPr>
          <w:rFonts w:hint="eastAsia" w:ascii="宋体" w:hAnsi="宋体" w:cs="宋体"/>
          <w:b/>
          <w:sz w:val="44"/>
          <w:szCs w:val="44"/>
          <w:highlight w:val="none"/>
        </w:rPr>
        <w:t>服务需求偏离表</w:t>
      </w:r>
    </w:p>
    <w:p>
      <w:pPr>
        <w:spacing w:line="360" w:lineRule="auto"/>
        <w:contextualSpacing/>
        <w:jc w:val="left"/>
        <w:rPr>
          <w:rFonts w:ascii="宋体" w:hAnsi="宋体" w:cs="宋体"/>
          <w:sz w:val="24"/>
          <w:highlight w:val="none"/>
        </w:rPr>
      </w:pPr>
    </w:p>
    <w:p>
      <w:pPr>
        <w:spacing w:line="360" w:lineRule="auto"/>
        <w:ind w:firstLine="720" w:firstLineChars="300"/>
        <w:contextualSpacing/>
        <w:rPr>
          <w:rFonts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spacing w:line="360" w:lineRule="auto"/>
        <w:ind w:firstLine="720" w:firstLineChars="300"/>
        <w:contextualSpacing/>
        <w:rPr>
          <w:rFonts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pPr>
        <w:spacing w:line="360" w:lineRule="auto"/>
        <w:ind w:firstLine="720" w:firstLineChars="300"/>
        <w:contextualSpacing/>
        <w:rPr>
          <w:rFonts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竞争性磋商文件采购需求中的技术要求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响应文件响应的技术要求</w:t>
            </w: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r>
              <w:rPr>
                <w:rFonts w:hint="eastAsia" w:ascii="宋体" w:hAnsi="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highlight w:val="none"/>
              </w:rPr>
            </w:pPr>
          </w:p>
        </w:tc>
      </w:tr>
    </w:tbl>
    <w:p>
      <w:pPr>
        <w:pStyle w:val="17"/>
        <w:ind w:firstLine="845"/>
        <w:rPr>
          <w:rFonts w:ascii="宋体" w:hAnsi="宋体" w:eastAsia="宋体" w:cs="宋体"/>
          <w:sz w:val="24"/>
          <w:highlight w:val="none"/>
          <w:u w:val="single"/>
        </w:rPr>
      </w:pPr>
    </w:p>
    <w:p>
      <w:pPr>
        <w:pStyle w:val="15"/>
        <w:spacing w:after="0" w:line="360" w:lineRule="auto"/>
        <w:contextualSpacing/>
        <w:rPr>
          <w:rFonts w:ascii="宋体" w:hAnsi="宋体" w:cs="宋体"/>
          <w:kern w:val="0"/>
          <w:sz w:val="24"/>
          <w:szCs w:val="24"/>
          <w:highlight w:val="none"/>
        </w:rPr>
      </w:pPr>
    </w:p>
    <w:p>
      <w:pPr>
        <w:pStyle w:val="15"/>
        <w:spacing w:after="0" w:line="480" w:lineRule="auto"/>
        <w:ind w:firstLine="420" w:firstLineChars="200"/>
        <w:contextualSpacing/>
        <w:rPr>
          <w:rFonts w:ascii="宋体" w:hAnsi="宋体" w:cs="宋体"/>
          <w:kern w:val="0"/>
          <w:sz w:val="21"/>
          <w:szCs w:val="21"/>
          <w:highlight w:val="none"/>
        </w:rPr>
      </w:pPr>
      <w:r>
        <w:rPr>
          <w:rFonts w:hint="eastAsia" w:ascii="宋体" w:hAnsi="宋体" w:cs="宋体"/>
          <w:kern w:val="0"/>
          <w:sz w:val="21"/>
          <w:szCs w:val="21"/>
          <w:highlight w:val="none"/>
        </w:rPr>
        <w:t>注：</w:t>
      </w:r>
    </w:p>
    <w:p>
      <w:pPr>
        <w:pStyle w:val="15"/>
        <w:spacing w:after="0" w:line="480" w:lineRule="auto"/>
        <w:ind w:firstLine="420" w:firstLineChars="200"/>
        <w:contextualSpacing/>
        <w:rPr>
          <w:rFonts w:ascii="宋体" w:hAnsi="宋体" w:cs="宋体"/>
          <w:kern w:val="0"/>
          <w:sz w:val="21"/>
          <w:szCs w:val="21"/>
          <w:highlight w:val="none"/>
        </w:rPr>
      </w:pPr>
      <w:r>
        <w:rPr>
          <w:rFonts w:hint="eastAsia" w:ascii="宋体" w:hAnsi="宋体" w:cs="宋体"/>
          <w:kern w:val="0"/>
          <w:sz w:val="21"/>
          <w:szCs w:val="21"/>
          <w:highlight w:val="none"/>
        </w:rPr>
        <w:t xml:space="preserve">1.说明：应对照磋商文件“第二章  </w:t>
      </w:r>
      <w:r>
        <w:rPr>
          <w:rFonts w:hint="eastAsia" w:ascii="宋体" w:hAnsi="宋体" w:cs="宋体"/>
          <w:bCs/>
          <w:sz w:val="21"/>
          <w:szCs w:val="21"/>
          <w:highlight w:val="none"/>
        </w:rPr>
        <w:t>采购需求</w:t>
      </w:r>
      <w:r>
        <w:rPr>
          <w:rFonts w:hint="eastAsia" w:ascii="宋体" w:hAnsi="宋体" w:cs="宋体"/>
          <w:kern w:val="0"/>
          <w:sz w:val="21"/>
          <w:szCs w:val="21"/>
          <w:highlight w:val="none"/>
        </w:rPr>
        <w:t>”中“需求一览表”的技术要求条款逐条作出明确响应，并作出偏离说明。</w:t>
      </w:r>
    </w:p>
    <w:p>
      <w:pPr>
        <w:pStyle w:val="17"/>
        <w:spacing w:line="480" w:lineRule="auto"/>
        <w:ind w:firstLine="420" w:firstLineChars="200"/>
        <w:contextualSpacing/>
        <w:rPr>
          <w:rFonts w:ascii="宋体" w:hAnsi="宋体" w:eastAsia="宋体" w:cs="宋体"/>
          <w:sz w:val="21"/>
          <w:szCs w:val="21"/>
          <w:highlight w:val="none"/>
        </w:rPr>
      </w:pPr>
      <w:r>
        <w:rPr>
          <w:rFonts w:hint="eastAsia" w:ascii="宋体" w:hAnsi="宋体" w:eastAsia="宋体" w:cs="宋体"/>
          <w:sz w:val="21"/>
          <w:szCs w:val="21"/>
          <w:highlight w:val="none"/>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pPr>
        <w:spacing w:line="480" w:lineRule="auto"/>
        <w:ind w:firstLine="420" w:firstLineChars="200"/>
        <w:rPr>
          <w:rFonts w:ascii="宋体" w:hAnsi="宋体" w:cs="宋体"/>
          <w:kern w:val="0"/>
          <w:szCs w:val="21"/>
          <w:highlight w:val="none"/>
        </w:rPr>
      </w:pPr>
      <w:r>
        <w:rPr>
          <w:rFonts w:hint="eastAsia" w:ascii="宋体" w:hAnsi="宋体" w:cs="宋体"/>
          <w:kern w:val="0"/>
          <w:szCs w:val="21"/>
          <w:highlight w:val="none"/>
        </w:rPr>
        <w:t>3.表格内容均需按要求填写并盖公章，不得留空，</w:t>
      </w:r>
      <w:r>
        <w:rPr>
          <w:rFonts w:hint="eastAsia" w:ascii="宋体" w:hAnsi="宋体" w:cs="宋体"/>
          <w:b/>
          <w:bCs/>
          <w:kern w:val="0"/>
          <w:szCs w:val="21"/>
          <w:highlight w:val="none"/>
        </w:rPr>
        <w:t>否则按竞标无效处理。</w:t>
      </w:r>
    </w:p>
    <w:p>
      <w:pPr>
        <w:pStyle w:val="17"/>
        <w:spacing w:line="480" w:lineRule="auto"/>
        <w:ind w:firstLine="420" w:firstLineChars="200"/>
        <w:contextualSpacing/>
        <w:rPr>
          <w:rFonts w:ascii="宋体" w:hAnsi="宋体" w:eastAsia="宋体" w:cs="宋体"/>
          <w:sz w:val="21"/>
          <w:szCs w:val="21"/>
          <w:highlight w:val="none"/>
        </w:rPr>
      </w:pPr>
    </w:p>
    <w:p>
      <w:pPr>
        <w:snapToGrid w:val="0"/>
        <w:spacing w:line="360" w:lineRule="auto"/>
        <w:rPr>
          <w:rFonts w:ascii="宋体" w:hAnsi="宋体" w:cs="宋体"/>
          <w:b/>
          <w:sz w:val="30"/>
          <w:szCs w:val="30"/>
          <w:highlight w:val="none"/>
        </w:rPr>
      </w:pPr>
    </w:p>
    <w:p>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供应商名称（盖公章）：</w:t>
      </w:r>
    </w:p>
    <w:p>
      <w:pPr>
        <w:autoSpaceDE w:val="0"/>
        <w:autoSpaceDN w:val="0"/>
        <w:spacing w:line="360" w:lineRule="auto"/>
        <w:ind w:firstLine="6480" w:firstLineChars="270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snapToGrid w:val="0"/>
        <w:spacing w:line="360" w:lineRule="auto"/>
        <w:rPr>
          <w:rFonts w:ascii="宋体" w:hAnsi="宋体" w:cs="宋体"/>
          <w:b/>
          <w:sz w:val="28"/>
          <w:szCs w:val="28"/>
          <w:highlight w:val="none"/>
        </w:rPr>
      </w:pPr>
    </w:p>
    <w:p>
      <w:pPr>
        <w:snapToGrid w:val="0"/>
        <w:spacing w:line="360" w:lineRule="auto"/>
        <w:rPr>
          <w:rFonts w:ascii="宋体" w:hAnsi="宋体" w:cs="宋体"/>
          <w:b/>
          <w:sz w:val="28"/>
          <w:szCs w:val="28"/>
          <w:highlight w:val="none"/>
        </w:rPr>
      </w:pPr>
    </w:p>
    <w:p>
      <w:pPr>
        <w:snapToGrid w:val="0"/>
        <w:spacing w:line="360" w:lineRule="auto"/>
        <w:rPr>
          <w:rFonts w:ascii="宋体" w:hAnsi="宋体" w:cs="宋体"/>
          <w:b/>
          <w:sz w:val="28"/>
          <w:szCs w:val="28"/>
          <w:highlight w:val="none"/>
        </w:rPr>
      </w:pPr>
      <w:r>
        <w:rPr>
          <w:rFonts w:hint="eastAsia" w:ascii="宋体" w:hAnsi="宋体" w:cs="宋体"/>
          <w:b/>
          <w:sz w:val="28"/>
          <w:szCs w:val="28"/>
          <w:highlight w:val="none"/>
        </w:rPr>
        <w:t>10.服务方案</w:t>
      </w:r>
    </w:p>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（由供应商根据采购需求及采购文件要求编制）</w:t>
      </w:r>
    </w:p>
    <w:p>
      <w:pPr>
        <w:pStyle w:val="3"/>
        <w:rPr>
          <w:rFonts w:ascii="宋体" w:hAnsi="宋体" w:cs="宋体"/>
          <w:kern w:val="0"/>
          <w:sz w:val="24"/>
          <w:highlight w:val="none"/>
          <w:lang w:val="zh-CN"/>
        </w:rPr>
      </w:pPr>
    </w:p>
    <w:p>
      <w:pPr>
        <w:rPr>
          <w:rFonts w:ascii="宋体" w:hAnsi="宋体" w:cs="宋体"/>
          <w:kern w:val="0"/>
          <w:sz w:val="24"/>
          <w:highlight w:val="none"/>
          <w:lang w:val="zh-CN"/>
        </w:rPr>
      </w:pPr>
    </w:p>
    <w:p>
      <w:pPr>
        <w:pStyle w:val="3"/>
        <w:rPr>
          <w:rFonts w:ascii="宋体" w:hAnsi="宋体" w:cs="宋体"/>
          <w:kern w:val="0"/>
          <w:sz w:val="24"/>
          <w:highlight w:val="none"/>
          <w:lang w:val="zh-CN"/>
        </w:rPr>
      </w:pPr>
    </w:p>
    <w:p>
      <w:pPr>
        <w:rPr>
          <w:rFonts w:ascii="宋体" w:hAnsi="宋体" w:cs="宋体"/>
          <w:highlight w:val="none"/>
          <w:lang w:val="zh-CN"/>
        </w:rPr>
      </w:pPr>
    </w:p>
    <w:p>
      <w:pPr>
        <w:rPr>
          <w:rFonts w:ascii="宋体" w:hAnsi="宋体" w:cs="宋体"/>
          <w:highlight w:val="none"/>
          <w:lang w:val="zh-CN"/>
        </w:rPr>
      </w:pPr>
    </w:p>
    <w:p>
      <w:pPr>
        <w:pStyle w:val="3"/>
        <w:jc w:val="center"/>
        <w:rPr>
          <w:rFonts w:ascii="宋体" w:hAnsi="宋体" w:cs="宋体"/>
          <w:kern w:val="0"/>
          <w:sz w:val="24"/>
          <w:highlight w:val="none"/>
        </w:rPr>
      </w:pPr>
      <w:r>
        <w:rPr>
          <w:rFonts w:hint="eastAsia" w:ascii="宋体" w:hAnsi="宋体" w:cs="宋体"/>
          <w:kern w:val="0"/>
          <w:sz w:val="24"/>
          <w:highlight w:val="none"/>
        </w:rPr>
        <w:t>（格式自拟）</w:t>
      </w:r>
    </w:p>
    <w:p>
      <w:pPr>
        <w:rPr>
          <w:rFonts w:ascii="宋体" w:hAnsi="宋体" w:cs="宋体"/>
          <w:kern w:val="0"/>
          <w:sz w:val="24"/>
          <w:highlight w:val="none"/>
          <w:lang w:val="zh-CN"/>
        </w:rPr>
      </w:pPr>
    </w:p>
    <w:p>
      <w:pPr>
        <w:pStyle w:val="3"/>
        <w:rPr>
          <w:rFonts w:ascii="宋体" w:hAnsi="宋体" w:cs="宋体"/>
          <w:kern w:val="0"/>
          <w:sz w:val="24"/>
          <w:highlight w:val="none"/>
          <w:lang w:val="zh-CN"/>
        </w:rPr>
      </w:pPr>
    </w:p>
    <w:p>
      <w:pPr>
        <w:rPr>
          <w:rFonts w:ascii="宋体" w:hAnsi="宋体" w:cs="宋体"/>
          <w:kern w:val="0"/>
          <w:sz w:val="24"/>
          <w:highlight w:val="none"/>
          <w:lang w:val="zh-CN"/>
        </w:rPr>
      </w:pPr>
    </w:p>
    <w:p>
      <w:pPr>
        <w:pStyle w:val="3"/>
        <w:rPr>
          <w:rFonts w:ascii="宋体" w:hAnsi="宋体" w:cs="宋体"/>
          <w:highlight w:val="none"/>
          <w:lang w:val="zh-CN"/>
        </w:rPr>
      </w:pPr>
    </w:p>
    <w:p>
      <w:pPr>
        <w:rPr>
          <w:rFonts w:ascii="宋体" w:hAnsi="宋体" w:cs="宋体"/>
          <w:highlight w:val="none"/>
          <w:lang w:val="zh-CN"/>
        </w:rPr>
      </w:pPr>
    </w:p>
    <w:p>
      <w:pPr>
        <w:pStyle w:val="3"/>
        <w:ind w:firstLine="3840" w:firstLineChars="1600"/>
        <w:rPr>
          <w:rFonts w:ascii="宋体" w:hAnsi="宋体" w:cs="宋体"/>
          <w:b w:val="0"/>
          <w:bCs w:val="0"/>
          <w:kern w:val="0"/>
          <w:sz w:val="24"/>
          <w:highlight w:val="none"/>
          <w:lang w:val="zh-CN"/>
        </w:rPr>
      </w:pPr>
      <w:r>
        <w:rPr>
          <w:rFonts w:hint="eastAsia" w:ascii="宋体" w:hAnsi="宋体" w:cs="宋体"/>
          <w:b w:val="0"/>
          <w:bCs w:val="0"/>
          <w:kern w:val="0"/>
          <w:sz w:val="24"/>
          <w:highlight w:val="none"/>
          <w:lang w:val="zh-CN"/>
        </w:rPr>
        <w:t>供应商名称（盖公章）：</w:t>
      </w:r>
    </w:p>
    <w:p>
      <w:pPr>
        <w:pStyle w:val="3"/>
        <w:ind w:firstLine="6000" w:firstLineChars="2500"/>
        <w:rPr>
          <w:rFonts w:ascii="宋体" w:hAnsi="宋体" w:cs="宋体"/>
          <w:b w:val="0"/>
          <w:bCs w:val="0"/>
          <w:kern w:val="0"/>
          <w:sz w:val="24"/>
          <w:highlight w:val="none"/>
          <w:lang w:val="zh-CN"/>
        </w:rPr>
      </w:pPr>
      <w:r>
        <w:rPr>
          <w:rFonts w:hint="eastAsia" w:ascii="宋体" w:hAnsi="宋体" w:cs="宋体"/>
          <w:b w:val="0"/>
          <w:bCs w:val="0"/>
          <w:kern w:val="0"/>
          <w:sz w:val="24"/>
          <w:highlight w:val="none"/>
          <w:lang w:val="zh-CN"/>
        </w:rPr>
        <w:t>日期：  年  月   日</w:t>
      </w:r>
    </w:p>
    <w:p>
      <w:pPr>
        <w:rPr>
          <w:rFonts w:ascii="宋体" w:hAnsi="宋体" w:cs="宋体"/>
          <w:kern w:val="0"/>
          <w:sz w:val="24"/>
          <w:highlight w:val="none"/>
          <w:lang w:val="zh-CN"/>
        </w:rPr>
      </w:pPr>
    </w:p>
    <w:p>
      <w:pPr>
        <w:snapToGrid w:val="0"/>
        <w:spacing w:line="360" w:lineRule="auto"/>
        <w:rPr>
          <w:rFonts w:ascii="宋体" w:hAnsi="宋体" w:cs="宋体"/>
          <w:b/>
          <w:sz w:val="28"/>
          <w:szCs w:val="28"/>
          <w:highlight w:val="none"/>
        </w:rPr>
      </w:pPr>
    </w:p>
    <w:p>
      <w:pPr>
        <w:snapToGrid w:val="0"/>
        <w:spacing w:line="360" w:lineRule="auto"/>
        <w:rPr>
          <w:rFonts w:ascii="宋体" w:hAnsi="宋体" w:cs="宋体"/>
          <w:b/>
          <w:sz w:val="28"/>
          <w:szCs w:val="28"/>
          <w:highlight w:val="none"/>
        </w:rPr>
      </w:pPr>
    </w:p>
    <w:p>
      <w:pPr>
        <w:snapToGrid w:val="0"/>
        <w:spacing w:line="360" w:lineRule="auto"/>
        <w:rPr>
          <w:rFonts w:ascii="宋体" w:hAnsi="宋体" w:cs="宋体"/>
          <w:b/>
          <w:sz w:val="28"/>
          <w:szCs w:val="28"/>
          <w:highlight w:val="none"/>
        </w:rPr>
      </w:pPr>
    </w:p>
    <w:p>
      <w:pPr>
        <w:snapToGrid w:val="0"/>
        <w:spacing w:line="360" w:lineRule="auto"/>
        <w:rPr>
          <w:rFonts w:ascii="宋体" w:hAnsi="宋体" w:cs="宋体"/>
          <w:b/>
          <w:sz w:val="28"/>
          <w:szCs w:val="28"/>
          <w:highlight w:val="none"/>
        </w:rPr>
      </w:pPr>
      <w:r>
        <w:rPr>
          <w:rFonts w:hint="eastAsia" w:ascii="宋体" w:hAnsi="宋体" w:cs="宋体"/>
          <w:b/>
          <w:sz w:val="28"/>
          <w:szCs w:val="28"/>
          <w:highlight w:val="none"/>
        </w:rPr>
        <w:t>11.项目质量保障措施</w:t>
      </w:r>
    </w:p>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（由供应商根据采购需求及采购文件要求编制）</w:t>
      </w:r>
    </w:p>
    <w:p>
      <w:pPr>
        <w:pStyle w:val="3"/>
        <w:rPr>
          <w:rFonts w:ascii="宋体" w:hAnsi="宋体" w:cs="宋体"/>
          <w:kern w:val="0"/>
          <w:sz w:val="24"/>
          <w:highlight w:val="none"/>
          <w:lang w:val="zh-CN"/>
        </w:rPr>
      </w:pPr>
    </w:p>
    <w:p>
      <w:pPr>
        <w:rPr>
          <w:rFonts w:ascii="宋体" w:hAnsi="宋体" w:cs="宋体"/>
          <w:kern w:val="0"/>
          <w:sz w:val="24"/>
          <w:highlight w:val="none"/>
          <w:lang w:val="zh-CN"/>
        </w:rPr>
      </w:pPr>
    </w:p>
    <w:p>
      <w:pPr>
        <w:pStyle w:val="3"/>
        <w:rPr>
          <w:rFonts w:ascii="宋体" w:hAnsi="宋体" w:cs="宋体"/>
          <w:kern w:val="0"/>
          <w:sz w:val="24"/>
          <w:highlight w:val="none"/>
          <w:lang w:val="zh-CN"/>
        </w:rPr>
      </w:pPr>
    </w:p>
    <w:p>
      <w:pPr>
        <w:rPr>
          <w:rFonts w:ascii="宋体" w:hAnsi="宋体" w:cs="宋体"/>
          <w:highlight w:val="none"/>
          <w:lang w:val="zh-CN"/>
        </w:rPr>
      </w:pPr>
    </w:p>
    <w:p>
      <w:pPr>
        <w:rPr>
          <w:rFonts w:ascii="宋体" w:hAnsi="宋体" w:cs="宋体"/>
          <w:highlight w:val="none"/>
          <w:lang w:val="zh-CN"/>
        </w:rPr>
      </w:pPr>
    </w:p>
    <w:p>
      <w:pPr>
        <w:pStyle w:val="3"/>
        <w:jc w:val="center"/>
        <w:rPr>
          <w:rFonts w:ascii="宋体" w:hAnsi="宋体" w:cs="宋体"/>
          <w:kern w:val="0"/>
          <w:sz w:val="24"/>
          <w:highlight w:val="none"/>
        </w:rPr>
      </w:pPr>
      <w:r>
        <w:rPr>
          <w:rFonts w:hint="eastAsia" w:ascii="宋体" w:hAnsi="宋体" w:cs="宋体"/>
          <w:kern w:val="0"/>
          <w:sz w:val="24"/>
          <w:highlight w:val="none"/>
        </w:rPr>
        <w:t>（格式自拟）</w:t>
      </w:r>
    </w:p>
    <w:p>
      <w:pPr>
        <w:rPr>
          <w:rFonts w:ascii="宋体" w:hAnsi="宋体" w:cs="宋体"/>
          <w:kern w:val="0"/>
          <w:sz w:val="24"/>
          <w:highlight w:val="none"/>
          <w:lang w:val="zh-CN"/>
        </w:rPr>
      </w:pPr>
    </w:p>
    <w:p>
      <w:pPr>
        <w:pStyle w:val="3"/>
        <w:rPr>
          <w:rFonts w:ascii="宋体" w:hAnsi="宋体" w:cs="宋体"/>
          <w:kern w:val="0"/>
          <w:sz w:val="24"/>
          <w:highlight w:val="none"/>
          <w:lang w:val="zh-CN"/>
        </w:rPr>
      </w:pPr>
    </w:p>
    <w:p>
      <w:pPr>
        <w:rPr>
          <w:rFonts w:ascii="宋体" w:hAnsi="宋体" w:cs="宋体"/>
          <w:kern w:val="0"/>
          <w:sz w:val="24"/>
          <w:highlight w:val="none"/>
          <w:lang w:val="zh-CN"/>
        </w:rPr>
      </w:pPr>
    </w:p>
    <w:p>
      <w:pPr>
        <w:pStyle w:val="3"/>
        <w:ind w:firstLine="3840" w:firstLineChars="1600"/>
        <w:rPr>
          <w:rFonts w:ascii="宋体" w:hAnsi="宋体" w:cs="宋体"/>
          <w:b w:val="0"/>
          <w:bCs w:val="0"/>
          <w:kern w:val="0"/>
          <w:sz w:val="24"/>
          <w:highlight w:val="none"/>
          <w:lang w:val="zh-CN"/>
        </w:rPr>
      </w:pPr>
      <w:r>
        <w:rPr>
          <w:rFonts w:hint="eastAsia" w:ascii="宋体" w:hAnsi="宋体" w:cs="宋体"/>
          <w:b w:val="0"/>
          <w:bCs w:val="0"/>
          <w:kern w:val="0"/>
          <w:sz w:val="24"/>
          <w:highlight w:val="none"/>
          <w:lang w:val="zh-CN"/>
        </w:rPr>
        <w:t>供应商名称（盖公章）：</w:t>
      </w:r>
    </w:p>
    <w:p>
      <w:pPr>
        <w:pStyle w:val="3"/>
        <w:ind w:firstLine="6000" w:firstLineChars="2500"/>
        <w:rPr>
          <w:rFonts w:ascii="宋体" w:hAnsi="宋体" w:cs="宋体"/>
          <w:b w:val="0"/>
          <w:bCs w:val="0"/>
          <w:kern w:val="0"/>
          <w:sz w:val="24"/>
          <w:highlight w:val="none"/>
          <w:lang w:val="zh-CN"/>
        </w:rPr>
      </w:pPr>
      <w:r>
        <w:rPr>
          <w:rFonts w:hint="eastAsia" w:ascii="宋体" w:hAnsi="宋体" w:cs="宋体"/>
          <w:b w:val="0"/>
          <w:bCs w:val="0"/>
          <w:kern w:val="0"/>
          <w:sz w:val="24"/>
          <w:highlight w:val="none"/>
          <w:lang w:val="zh-CN"/>
        </w:rPr>
        <w:t>日期：  年  月   日</w:t>
      </w:r>
    </w:p>
    <w:p>
      <w:pPr>
        <w:pStyle w:val="3"/>
        <w:rPr>
          <w:rFonts w:ascii="宋体" w:hAnsi="宋体" w:cs="宋体"/>
          <w:sz w:val="28"/>
          <w:szCs w:val="28"/>
          <w:highlight w:val="none"/>
        </w:rPr>
      </w:pPr>
    </w:p>
    <w:p>
      <w:pPr>
        <w:snapToGrid w:val="0"/>
        <w:spacing w:line="360" w:lineRule="auto"/>
        <w:rPr>
          <w:rFonts w:ascii="宋体" w:hAnsi="宋体" w:cs="宋体"/>
          <w:b/>
          <w:sz w:val="28"/>
          <w:szCs w:val="28"/>
          <w:highlight w:val="none"/>
        </w:rPr>
      </w:pPr>
    </w:p>
    <w:p>
      <w:pPr>
        <w:pStyle w:val="2"/>
        <w:rPr>
          <w:rFonts w:ascii="宋体" w:hAnsi="宋体" w:cs="宋体"/>
          <w:b/>
          <w:sz w:val="28"/>
          <w:szCs w:val="28"/>
          <w:highlight w:val="none"/>
        </w:rPr>
      </w:pPr>
    </w:p>
    <w:p>
      <w:pPr>
        <w:pStyle w:val="2"/>
        <w:rPr>
          <w:rFonts w:ascii="宋体" w:hAnsi="宋体" w:cs="宋体"/>
          <w:b/>
          <w:sz w:val="28"/>
          <w:szCs w:val="28"/>
          <w:highlight w:val="none"/>
        </w:rPr>
      </w:pPr>
    </w:p>
    <w:p>
      <w:pPr>
        <w:pStyle w:val="2"/>
        <w:rPr>
          <w:rFonts w:ascii="宋体" w:hAnsi="宋体" w:cs="宋体"/>
          <w:b/>
          <w:sz w:val="28"/>
          <w:szCs w:val="28"/>
          <w:highlight w:val="none"/>
        </w:rPr>
      </w:pPr>
    </w:p>
    <w:p>
      <w:pPr>
        <w:pStyle w:val="2"/>
        <w:rPr>
          <w:rFonts w:ascii="宋体" w:hAnsi="宋体" w:cs="宋体"/>
          <w:b/>
          <w:sz w:val="28"/>
          <w:szCs w:val="28"/>
          <w:highlight w:val="none"/>
        </w:rPr>
      </w:pPr>
    </w:p>
    <w:p>
      <w:pPr>
        <w:snapToGrid w:val="0"/>
        <w:spacing w:line="360" w:lineRule="auto"/>
        <w:rPr>
          <w:rFonts w:ascii="宋体" w:hAnsi="宋体" w:cs="宋体"/>
          <w:b/>
          <w:sz w:val="28"/>
          <w:szCs w:val="28"/>
          <w:highlight w:val="none"/>
        </w:rPr>
      </w:pPr>
      <w:r>
        <w:rPr>
          <w:rFonts w:hint="eastAsia" w:ascii="宋体" w:hAnsi="宋体" w:cs="宋体"/>
          <w:b/>
          <w:sz w:val="28"/>
          <w:szCs w:val="28"/>
          <w:highlight w:val="none"/>
        </w:rPr>
        <w:t>12.项目实施人员一览表（如有要求）</w:t>
      </w:r>
    </w:p>
    <w:p>
      <w:pPr>
        <w:spacing w:line="360" w:lineRule="auto"/>
        <w:jc w:val="center"/>
        <w:rPr>
          <w:rFonts w:ascii="宋体" w:hAnsi="宋体" w:cs="宋体"/>
          <w:sz w:val="24"/>
          <w:highlight w:val="none"/>
        </w:rPr>
      </w:pPr>
      <w:r>
        <w:rPr>
          <w:rFonts w:hint="eastAsia" w:ascii="宋体" w:hAnsi="宋体" w:cs="宋体"/>
          <w:sz w:val="24"/>
          <w:highlight w:val="none"/>
        </w:rPr>
        <w:t>（由供应商根据采购需求及采购文件要求编制）</w:t>
      </w:r>
    </w:p>
    <w:p>
      <w:pPr>
        <w:pStyle w:val="2"/>
        <w:rPr>
          <w:rFonts w:ascii="宋体" w:hAnsi="宋体" w:cs="宋体"/>
          <w:highlight w:val="none"/>
        </w:rPr>
      </w:pPr>
    </w:p>
    <w:p>
      <w:pPr>
        <w:spacing w:line="360" w:lineRule="auto"/>
        <w:rPr>
          <w:rFonts w:ascii="宋体" w:hAnsi="宋体" w:cs="宋体"/>
          <w:kern w:val="0"/>
          <w:sz w:val="24"/>
          <w:highlight w:val="non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p>
      <w:pPr>
        <w:keepNext/>
        <w:autoSpaceDE w:val="0"/>
        <w:autoSpaceDN w:val="0"/>
        <w:spacing w:line="360" w:lineRule="auto"/>
        <w:rPr>
          <w:rFonts w:ascii="宋体" w:hAnsi="宋体" w:cs="宋体"/>
          <w:b/>
          <w:sz w:val="24"/>
          <w:highlight w:val="none"/>
        </w:rPr>
      </w:pPr>
      <w:r>
        <w:rPr>
          <w:rFonts w:hint="eastAsia" w:ascii="宋体" w:hAnsi="宋体" w:cs="宋体"/>
          <w:b/>
          <w:sz w:val="24"/>
          <w:highlight w:val="none"/>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宋体" w:hAnsi="宋体" w:cs="宋体"/>
                <w:sz w:val="24"/>
                <w:highlight w:val="none"/>
              </w:rPr>
            </w:pPr>
            <w:r>
              <w:rPr>
                <w:rFonts w:hint="eastAsia" w:ascii="宋体" w:hAnsi="宋体" w:cs="宋体"/>
                <w:sz w:val="24"/>
                <w:highlight w:val="none"/>
              </w:rPr>
              <w:t>响应截止时间前三年业绩及承担的主要工作情况，曾担任项目负责人的项目应列明细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r>
    </w:tbl>
    <w:p>
      <w:pPr>
        <w:autoSpaceDE w:val="0"/>
        <w:autoSpaceDN w:val="0"/>
        <w:spacing w:line="360" w:lineRule="auto"/>
        <w:rPr>
          <w:rFonts w:ascii="宋体" w:hAnsi="宋体" w:cs="宋体"/>
          <w:b/>
          <w:sz w:val="24"/>
          <w:highlight w:val="none"/>
        </w:rPr>
      </w:pPr>
      <w:r>
        <w:rPr>
          <w:rFonts w:hint="eastAsia" w:ascii="宋体" w:hAnsi="宋体" w:cs="宋体"/>
          <w:b/>
          <w:sz w:val="24"/>
          <w:highlight w:val="none"/>
        </w:rPr>
        <w:t>注：供应商可参照上述的格式自行编制，并注明所在响应技术文件页码。</w:t>
      </w:r>
    </w:p>
    <w:p>
      <w:pPr>
        <w:autoSpaceDE w:val="0"/>
        <w:autoSpaceDN w:val="0"/>
        <w:spacing w:line="360" w:lineRule="auto"/>
        <w:rPr>
          <w:rFonts w:ascii="宋体" w:hAnsi="宋体" w:cs="宋体"/>
          <w:b/>
          <w:sz w:val="24"/>
          <w:highlight w:val="none"/>
        </w:rPr>
      </w:pPr>
    </w:p>
    <w:p>
      <w:pPr>
        <w:autoSpaceDE w:val="0"/>
        <w:autoSpaceDN w:val="0"/>
        <w:spacing w:line="360" w:lineRule="auto"/>
        <w:rPr>
          <w:rFonts w:ascii="宋体" w:hAnsi="宋体" w:cs="宋体"/>
          <w:b/>
          <w:sz w:val="24"/>
          <w:highlight w:val="none"/>
        </w:rPr>
      </w:pPr>
      <w:r>
        <w:rPr>
          <w:rFonts w:hint="eastAsia" w:ascii="宋体" w:hAnsi="宋体" w:cs="宋体"/>
          <w:b/>
          <w:sz w:val="24"/>
          <w:highlight w:val="none"/>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专业</w:t>
            </w:r>
          </w:p>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职称</w:t>
            </w:r>
          </w:p>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sz w:val="24"/>
                <w:highlight w:val="none"/>
              </w:rPr>
            </w:pPr>
            <w:r>
              <w:rPr>
                <w:rFonts w:hint="eastAsia" w:ascii="宋体" w:hAnsi="宋体" w:cs="宋体"/>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sz w:val="24"/>
                <w:highlight w:val="none"/>
              </w:rPr>
            </w:pPr>
          </w:p>
        </w:tc>
      </w:tr>
    </w:tbl>
    <w:p>
      <w:pPr>
        <w:spacing w:line="360" w:lineRule="auto"/>
        <w:rPr>
          <w:rFonts w:ascii="宋体" w:hAnsi="宋体" w:cs="宋体"/>
          <w:b/>
          <w:bCs/>
          <w:sz w:val="24"/>
          <w:highlight w:val="none"/>
        </w:rPr>
      </w:pPr>
      <w:r>
        <w:rPr>
          <w:rFonts w:hint="eastAsia" w:ascii="宋体" w:hAnsi="宋体" w:cs="宋体"/>
          <w:b/>
          <w:sz w:val="24"/>
          <w:highlight w:val="none"/>
        </w:rPr>
        <w:t>注：供应商可参照上述的格式自行编制，并注明所在响应技术文件页码。</w:t>
      </w:r>
    </w:p>
    <w:p>
      <w:pPr>
        <w:snapToGrid w:val="0"/>
        <w:spacing w:line="360" w:lineRule="auto"/>
        <w:ind w:firstLine="602" w:firstLineChars="200"/>
        <w:rPr>
          <w:rFonts w:ascii="宋体" w:hAnsi="宋体" w:cs="宋体"/>
          <w:b/>
          <w:sz w:val="30"/>
          <w:szCs w:val="30"/>
          <w:highlight w:val="none"/>
        </w:rPr>
      </w:pPr>
    </w:p>
    <w:p>
      <w:pPr>
        <w:autoSpaceDE w:val="0"/>
        <w:autoSpaceDN w:val="0"/>
        <w:spacing w:line="360" w:lineRule="auto"/>
        <w:ind w:firstLine="6505" w:firstLineChars="2700"/>
        <w:rPr>
          <w:rFonts w:ascii="宋体" w:hAnsi="宋体" w:cs="宋体"/>
          <w:b/>
          <w:bCs/>
          <w:sz w:val="24"/>
          <w:highlight w:val="none"/>
        </w:rPr>
      </w:pPr>
    </w:p>
    <w:p>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供应商名称（盖公章）：</w:t>
      </w:r>
    </w:p>
    <w:p>
      <w:pPr>
        <w:autoSpaceDE w:val="0"/>
        <w:autoSpaceDN w:val="0"/>
        <w:spacing w:line="360" w:lineRule="auto"/>
        <w:ind w:firstLine="6480" w:firstLineChars="270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autoSpaceDE w:val="0"/>
        <w:autoSpaceDN w:val="0"/>
        <w:spacing w:line="360" w:lineRule="auto"/>
        <w:ind w:firstLine="6480" w:firstLineChars="2700"/>
        <w:rPr>
          <w:rFonts w:ascii="宋体" w:hAnsi="宋体" w:cs="宋体"/>
          <w:kern w:val="0"/>
          <w:sz w:val="24"/>
          <w:highlight w:val="none"/>
          <w:lang w:val="zh-CN"/>
        </w:rPr>
      </w:pPr>
    </w:p>
    <w:p>
      <w:pPr>
        <w:autoSpaceDE w:val="0"/>
        <w:autoSpaceDN w:val="0"/>
        <w:spacing w:line="360" w:lineRule="auto"/>
        <w:ind w:firstLine="8132" w:firstLineChars="2700"/>
        <w:rPr>
          <w:rFonts w:ascii="宋体" w:hAnsi="宋体" w:cs="宋体"/>
          <w:b/>
          <w:bCs/>
          <w:sz w:val="24"/>
          <w:highlight w:val="none"/>
        </w:rPr>
      </w:pPr>
      <w:r>
        <w:rPr>
          <w:rFonts w:hint="eastAsia" w:ascii="宋体" w:hAnsi="宋体" w:cs="宋体"/>
          <w:b/>
          <w:sz w:val="30"/>
          <w:szCs w:val="30"/>
          <w:highlight w:val="none"/>
        </w:rPr>
        <w:br w:type="page"/>
      </w:r>
    </w:p>
    <w:p>
      <w:pPr>
        <w:pStyle w:val="4"/>
        <w:jc w:val="center"/>
        <w:rPr>
          <w:rFonts w:ascii="宋体" w:hAnsi="宋体" w:cs="宋体"/>
          <w:highlight w:val="none"/>
        </w:rPr>
      </w:pPr>
      <w:bookmarkStart w:id="142" w:name="_Toc80886945"/>
      <w:bookmarkStart w:id="143" w:name="_Toc31035"/>
      <w:bookmarkStart w:id="144" w:name="_Toc12611"/>
      <w:bookmarkStart w:id="145" w:name="_Toc80205941"/>
      <w:r>
        <w:rPr>
          <w:rFonts w:hint="eastAsia" w:ascii="宋体" w:hAnsi="宋体" w:cs="宋体"/>
          <w:highlight w:val="none"/>
        </w:rPr>
        <w:t>第三节 报价文件格式</w:t>
      </w:r>
      <w:bookmarkEnd w:id="142"/>
      <w:bookmarkEnd w:id="143"/>
      <w:bookmarkEnd w:id="144"/>
      <w:bookmarkEnd w:id="145"/>
    </w:p>
    <w:p>
      <w:pPr>
        <w:pStyle w:val="2"/>
        <w:rPr>
          <w:rFonts w:ascii="宋体" w:hAnsi="宋体" w:cs="宋体"/>
          <w:highlight w:val="none"/>
          <w:lang w:val="zh-CN"/>
        </w:rPr>
      </w:pPr>
      <w:r>
        <w:rPr>
          <w:rFonts w:hint="eastAsia" w:ascii="宋体" w:hAnsi="宋体" w:cs="宋体"/>
          <w:sz w:val="24"/>
          <w:highlight w:val="none"/>
        </w:rPr>
        <w:t xml:space="preserve">  </w:t>
      </w:r>
      <w:r>
        <w:rPr>
          <w:rFonts w:hint="eastAsia" w:ascii="宋体" w:hAnsi="宋体" w:cs="宋体"/>
          <w:b/>
          <w:bCs/>
          <w:sz w:val="28"/>
          <w:szCs w:val="28"/>
          <w:highlight w:val="none"/>
        </w:rPr>
        <w:t>1.报价文件封面的格式</w:t>
      </w:r>
      <w:r>
        <w:rPr>
          <w:rFonts w:hint="eastAsia" w:ascii="宋体" w:hAnsi="宋体" w:cs="宋体"/>
          <w:b/>
          <w:sz w:val="28"/>
          <w:szCs w:val="28"/>
          <w:highlight w:val="none"/>
        </w:rPr>
        <w:t>（参照此格式自拟）</w:t>
      </w:r>
      <w:r>
        <w:rPr>
          <w:rFonts w:hint="eastAsia" w:ascii="宋体" w:hAnsi="宋体" w:cs="宋体"/>
          <w:b/>
          <w:bCs/>
          <w:sz w:val="28"/>
          <w:szCs w:val="28"/>
          <w:highlight w:val="none"/>
        </w:rPr>
        <w:t>：</w:t>
      </w:r>
    </w:p>
    <w:p>
      <w:pPr>
        <w:snapToGrid w:val="0"/>
        <w:spacing w:before="120" w:beforeLines="50" w:after="50"/>
        <w:rPr>
          <w:rFonts w:ascii="宋体" w:hAnsi="宋体" w:cs="宋体"/>
          <w:sz w:val="24"/>
          <w:highlight w:val="none"/>
        </w:rPr>
      </w:pPr>
      <w:r>
        <w:rPr>
          <w:rFonts w:hint="eastAsia" w:ascii="宋体" w:hAnsi="宋体" w:cs="宋体"/>
          <w:sz w:val="24"/>
          <w:highlight w:val="none"/>
        </w:rPr>
        <w:t xml:space="preserve">                                             </w:t>
      </w:r>
    </w:p>
    <w:p>
      <w:pPr>
        <w:snapToGrid w:val="0"/>
        <w:spacing w:before="120" w:beforeLines="50" w:after="50"/>
        <w:ind w:firstLine="6720" w:firstLineChars="3200"/>
        <w:rPr>
          <w:rFonts w:ascii="宋体" w:hAnsi="宋体" w:cs="宋体"/>
          <w:bCs/>
          <w:sz w:val="32"/>
          <w:szCs w:val="20"/>
          <w:highlight w:val="none"/>
        </w:rPr>
      </w:pPr>
      <w:r>
        <w:rPr>
          <w:rFonts w:hint="eastAsia" w:ascii="宋体" w:hAnsi="宋体" w:cs="宋体"/>
          <w:bCs/>
          <w:highlight w:val="none"/>
        </w:rPr>
        <w:t>全流程电子文件</w:t>
      </w:r>
    </w:p>
    <w:p>
      <w:pPr>
        <w:snapToGrid w:val="0"/>
        <w:spacing w:before="120" w:beforeLines="50" w:after="50"/>
        <w:rPr>
          <w:rFonts w:ascii="宋体" w:hAnsi="宋体" w:cs="宋体"/>
          <w:sz w:val="24"/>
          <w:szCs w:val="20"/>
          <w:highlight w:val="none"/>
        </w:rPr>
      </w:pPr>
    </w:p>
    <w:p>
      <w:pPr>
        <w:snapToGrid w:val="0"/>
        <w:spacing w:before="120" w:beforeLines="50" w:after="50"/>
        <w:rPr>
          <w:rFonts w:ascii="宋体" w:hAnsi="宋体" w:cs="宋体"/>
          <w:sz w:val="24"/>
          <w:szCs w:val="20"/>
          <w:highlight w:val="none"/>
        </w:rPr>
      </w:pPr>
    </w:p>
    <w:p>
      <w:pPr>
        <w:snapToGrid w:val="0"/>
        <w:spacing w:before="120" w:beforeLines="50" w:after="50"/>
        <w:rPr>
          <w:rFonts w:ascii="宋体" w:hAnsi="宋体" w:cs="宋体"/>
          <w:sz w:val="24"/>
          <w:szCs w:val="20"/>
          <w:highlight w:val="none"/>
        </w:rPr>
      </w:pPr>
    </w:p>
    <w:p>
      <w:pPr>
        <w:snapToGrid w:val="0"/>
        <w:spacing w:before="120" w:beforeLines="50" w:after="50"/>
        <w:jc w:val="center"/>
        <w:rPr>
          <w:rFonts w:ascii="宋体" w:hAnsi="宋体" w:cs="宋体"/>
          <w:bCs/>
          <w:sz w:val="44"/>
          <w:szCs w:val="44"/>
          <w:highlight w:val="none"/>
        </w:rPr>
      </w:pPr>
      <w:r>
        <w:rPr>
          <w:rFonts w:hint="eastAsia" w:ascii="宋体" w:hAnsi="宋体" w:cs="宋体"/>
          <w:bCs/>
          <w:sz w:val="44"/>
          <w:szCs w:val="44"/>
          <w:highlight w:val="none"/>
        </w:rPr>
        <w:t>报  价  文  件</w:t>
      </w: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rPr>
          <w:rFonts w:ascii="宋体" w:hAnsi="宋体" w:cs="宋体"/>
          <w:bCs/>
          <w:sz w:val="24"/>
          <w:szCs w:val="20"/>
          <w:highlight w:val="none"/>
        </w:rPr>
      </w:pPr>
    </w:p>
    <w:p>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pPr>
        <w:snapToGrid w:val="0"/>
        <w:spacing w:before="120" w:beforeLines="50" w:after="50"/>
        <w:ind w:firstLine="720" w:firstLineChars="225"/>
        <w:rPr>
          <w:rFonts w:ascii="宋体" w:hAnsi="宋体" w:cs="宋体"/>
          <w:bCs/>
          <w:sz w:val="32"/>
          <w:szCs w:val="32"/>
          <w:highlight w:val="none"/>
        </w:rPr>
      </w:pPr>
    </w:p>
    <w:p>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pPr>
        <w:snapToGrid w:val="0"/>
        <w:spacing w:before="120"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pPr>
        <w:snapToGrid w:val="0"/>
        <w:spacing w:before="120"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pPr>
        <w:snapToGrid w:val="0"/>
        <w:spacing w:before="120" w:beforeLines="50" w:after="50"/>
        <w:ind w:firstLine="720" w:firstLineChars="225"/>
        <w:rPr>
          <w:rFonts w:ascii="宋体" w:hAnsi="宋体" w:cs="宋体"/>
          <w:bCs/>
          <w:sz w:val="32"/>
          <w:szCs w:val="32"/>
          <w:highlight w:val="none"/>
        </w:rPr>
      </w:pPr>
    </w:p>
    <w:p>
      <w:pPr>
        <w:pStyle w:val="8"/>
        <w:snapToGrid w:val="0"/>
        <w:spacing w:before="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pPr>
        <w:pStyle w:val="8"/>
        <w:snapToGrid w:val="0"/>
        <w:spacing w:before="50" w:after="50"/>
        <w:ind w:firstLine="720" w:firstLineChars="225"/>
        <w:rPr>
          <w:rFonts w:ascii="宋体" w:hAnsi="宋体" w:cs="宋体"/>
          <w:bCs/>
          <w:sz w:val="32"/>
          <w:szCs w:val="32"/>
          <w:highlight w:val="none"/>
        </w:rPr>
      </w:pPr>
    </w:p>
    <w:p>
      <w:pPr>
        <w:pStyle w:val="8"/>
        <w:snapToGrid w:val="0"/>
        <w:spacing w:before="50" w:after="50"/>
        <w:ind w:firstLine="720" w:firstLineChars="225"/>
        <w:rPr>
          <w:rFonts w:ascii="宋体" w:hAnsi="宋体" w:cs="宋体"/>
          <w:bCs/>
          <w:sz w:val="32"/>
          <w:szCs w:val="32"/>
          <w:highlight w:val="none"/>
        </w:rPr>
      </w:pPr>
    </w:p>
    <w:p>
      <w:pPr>
        <w:pStyle w:val="8"/>
        <w:snapToGrid w:val="0"/>
        <w:spacing w:before="50" w:after="50"/>
        <w:ind w:firstLine="1280" w:firstLineChars="400"/>
        <w:rPr>
          <w:rFonts w:ascii="宋体" w:hAnsi="宋体" w:cs="宋体"/>
          <w:bCs/>
          <w:sz w:val="32"/>
          <w:szCs w:val="32"/>
          <w:highlight w:val="none"/>
        </w:rPr>
      </w:pPr>
    </w:p>
    <w:p>
      <w:pPr>
        <w:snapToGrid w:val="0"/>
        <w:spacing w:before="120"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pPr>
        <w:snapToGrid w:val="0"/>
        <w:spacing w:before="120" w:beforeLines="50" w:after="50" w:line="360" w:lineRule="auto"/>
        <w:jc w:val="left"/>
        <w:rPr>
          <w:rFonts w:ascii="宋体" w:hAnsi="宋体" w:cs="宋体"/>
          <w:sz w:val="28"/>
          <w:szCs w:val="28"/>
          <w:highlight w:val="none"/>
        </w:rPr>
      </w:pPr>
      <w:r>
        <w:rPr>
          <w:rFonts w:hint="eastAsia" w:ascii="宋体" w:hAnsi="宋体" w:cs="宋体"/>
          <w:sz w:val="24"/>
          <w:highlight w:val="none"/>
        </w:rPr>
        <w:br w:type="page"/>
      </w:r>
      <w:r>
        <w:rPr>
          <w:rFonts w:hint="eastAsia" w:ascii="宋体" w:hAnsi="宋体" w:cs="宋体"/>
          <w:b/>
          <w:sz w:val="28"/>
          <w:szCs w:val="28"/>
          <w:highlight w:val="none"/>
        </w:rPr>
        <w:t>2.</w:t>
      </w:r>
      <w:r>
        <w:rPr>
          <w:rFonts w:hint="eastAsia" w:ascii="宋体" w:hAnsi="宋体" w:cs="宋体"/>
          <w:b/>
          <w:bCs/>
          <w:sz w:val="28"/>
          <w:szCs w:val="28"/>
          <w:highlight w:val="none"/>
        </w:rPr>
        <w:t>报价文件目录</w:t>
      </w:r>
    </w:p>
    <w:p>
      <w:pPr>
        <w:snapToGrid w:val="0"/>
        <w:spacing w:before="50" w:after="120" w:afterLines="50" w:line="360" w:lineRule="auto"/>
        <w:jc w:val="left"/>
        <w:rPr>
          <w:rFonts w:ascii="宋体" w:hAnsi="宋体" w:cs="宋体"/>
          <w:b/>
          <w:sz w:val="28"/>
          <w:szCs w:val="28"/>
          <w:highlight w:val="none"/>
        </w:rPr>
      </w:pPr>
      <w:r>
        <w:rPr>
          <w:rFonts w:hint="eastAsia" w:ascii="宋体" w:hAnsi="宋体" w:cs="宋体"/>
          <w:sz w:val="28"/>
          <w:szCs w:val="28"/>
          <w:highlight w:val="none"/>
        </w:rPr>
        <w:t>根据竞争性磋商文件规定及供应商提供的材料自行编写目录</w:t>
      </w:r>
      <w:r>
        <w:rPr>
          <w:rFonts w:hint="eastAsia" w:ascii="宋体" w:hAnsi="宋体" w:cs="宋体"/>
          <w:kern w:val="0"/>
          <w:sz w:val="28"/>
          <w:szCs w:val="28"/>
          <w:highlight w:val="none"/>
        </w:rPr>
        <w:t>（部分格式后附）</w:t>
      </w:r>
      <w:r>
        <w:rPr>
          <w:rFonts w:hint="eastAsia" w:ascii="宋体" w:hAnsi="宋体" w:cs="宋体"/>
          <w:sz w:val="28"/>
          <w:szCs w:val="28"/>
          <w:highlight w:val="none"/>
        </w:rPr>
        <w:t>。</w:t>
      </w:r>
    </w:p>
    <w:p>
      <w:pPr>
        <w:spacing w:line="360" w:lineRule="auto"/>
        <w:rPr>
          <w:rFonts w:ascii="宋体" w:hAnsi="宋体" w:cs="宋体"/>
          <w:sz w:val="24"/>
          <w:highlight w:val="none"/>
        </w:rPr>
      </w:pPr>
    </w:p>
    <w:p>
      <w:pPr>
        <w:snapToGrid w:val="0"/>
        <w:spacing w:before="120" w:beforeLines="50" w:after="50" w:line="360" w:lineRule="auto"/>
        <w:ind w:left="142" w:firstLine="640" w:firstLineChars="200"/>
        <w:jc w:val="left"/>
        <w:rPr>
          <w:rFonts w:ascii="宋体" w:hAnsi="宋体" w:cs="宋体"/>
          <w:sz w:val="32"/>
          <w:szCs w:val="32"/>
          <w:highlight w:val="none"/>
        </w:rPr>
      </w:pPr>
    </w:p>
    <w:p>
      <w:pPr>
        <w:snapToGrid w:val="0"/>
        <w:spacing w:before="120" w:beforeLines="50" w:after="50"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sz w:val="28"/>
          <w:szCs w:val="28"/>
          <w:highlight w:val="none"/>
        </w:rPr>
        <w:t>3.</w:t>
      </w:r>
      <w:r>
        <w:rPr>
          <w:rFonts w:hint="eastAsia" w:ascii="宋体" w:hAnsi="宋体" w:cs="宋体"/>
          <w:b/>
          <w:sz w:val="28"/>
          <w:szCs w:val="28"/>
          <w:highlight w:val="none"/>
          <w:lang w:val="zh-CN"/>
        </w:rPr>
        <w:t>响应函的格式：</w:t>
      </w:r>
    </w:p>
    <w:p>
      <w:pPr>
        <w:spacing w:line="500" w:lineRule="exact"/>
        <w:jc w:val="center"/>
        <w:rPr>
          <w:rFonts w:ascii="宋体" w:hAnsi="宋体" w:cs="宋体"/>
          <w:b/>
          <w:bCs/>
          <w:kern w:val="0"/>
          <w:sz w:val="30"/>
          <w:szCs w:val="30"/>
          <w:highlight w:val="none"/>
        </w:rPr>
      </w:pPr>
      <w:r>
        <w:rPr>
          <w:rFonts w:hint="eastAsia" w:ascii="宋体" w:hAnsi="宋体" w:cs="宋体"/>
          <w:b/>
          <w:bCs/>
          <w:kern w:val="0"/>
          <w:sz w:val="30"/>
          <w:szCs w:val="30"/>
          <w:highlight w:val="none"/>
        </w:rPr>
        <w:t>响应函</w:t>
      </w:r>
    </w:p>
    <w:p>
      <w:pPr>
        <w:spacing w:line="460" w:lineRule="exact"/>
        <w:rPr>
          <w:rFonts w:ascii="宋体" w:hAnsi="宋体" w:cs="宋体"/>
          <w:kern w:val="0"/>
          <w:sz w:val="24"/>
          <w:highlight w:val="none"/>
        </w:rPr>
      </w:pPr>
    </w:p>
    <w:p>
      <w:pPr>
        <w:spacing w:line="460" w:lineRule="exact"/>
        <w:rPr>
          <w:rFonts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w:t>
      </w:r>
      <w:r>
        <w:rPr>
          <w:rFonts w:hint="eastAsia" w:ascii="宋体" w:hAnsi="宋体" w:cs="宋体"/>
          <w:kern w:val="0"/>
          <w:sz w:val="24"/>
          <w:highlight w:val="none"/>
        </w:rPr>
        <w:t>（采购代理机构名称）</w:t>
      </w:r>
    </w:p>
    <w:p>
      <w:pPr>
        <w:spacing w:line="460" w:lineRule="exact"/>
        <w:ind w:firstLine="480" w:firstLineChars="200"/>
        <w:rPr>
          <w:rFonts w:ascii="宋体" w:hAnsi="宋体" w:cs="宋体"/>
          <w:kern w:val="0"/>
          <w:sz w:val="24"/>
          <w:highlight w:val="none"/>
        </w:rPr>
      </w:pPr>
    </w:p>
    <w:p>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我方已仔细阅读了贵方组织的</w:t>
      </w:r>
      <w:r>
        <w:rPr>
          <w:rFonts w:hint="eastAsia" w:ascii="宋体" w:hAnsi="宋体" w:cs="宋体"/>
          <w:kern w:val="0"/>
          <w:sz w:val="24"/>
          <w:highlight w:val="none"/>
          <w:u w:val="single"/>
        </w:rPr>
        <w:t xml:space="preserve">                </w:t>
      </w:r>
      <w:r>
        <w:rPr>
          <w:rFonts w:hint="eastAsia" w:ascii="宋体" w:hAnsi="宋体" w:cs="宋体"/>
          <w:kern w:val="0"/>
          <w:sz w:val="24"/>
          <w:highlight w:val="none"/>
        </w:rPr>
        <w:t>项目（项目编号：</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）的竞争性磋商文件的全部内容，现正式递交下述文件参加贵方组织的本次政府采购活动： </w:t>
      </w:r>
    </w:p>
    <w:p>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一、首次报价文件电子版（包含按“第三章 供应商须知”提交的全部文件）；</w:t>
      </w:r>
    </w:p>
    <w:p>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二、技术文件电子版（包含按“第三章 供应商须知”提交的全部文件）；商务文件电子版（包含按“第三章 供应商须知”提交的全部文件）；</w:t>
      </w:r>
    </w:p>
    <w:p>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三、资格证明文件电子版（包含按“第三章供应商须知”提交的全部文件）。</w:t>
      </w:r>
    </w:p>
    <w:p>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据此函，我方兹宣布：</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1、我方愿意以磋商时</w:t>
      </w:r>
      <w:r>
        <w:rPr>
          <w:rFonts w:hint="eastAsia" w:ascii="宋体" w:hAnsi="宋体" w:cs="宋体"/>
          <w:sz w:val="24"/>
          <w:highlight w:val="none"/>
        </w:rPr>
        <w:t>提交的最后报价表中的竞标总报价，在承诺的</w:t>
      </w:r>
      <w:r>
        <w:rPr>
          <w:rFonts w:hint="eastAsia" w:ascii="宋体" w:hAnsi="宋体" w:cs="宋体"/>
          <w:kern w:val="0"/>
          <w:sz w:val="24"/>
          <w:highlight w:val="none"/>
        </w:rPr>
        <w:t>服务期限</w:t>
      </w:r>
      <w:r>
        <w:rPr>
          <w:rFonts w:hint="eastAsia" w:ascii="宋体" w:hAnsi="宋体" w:cs="宋体"/>
          <w:sz w:val="24"/>
          <w:highlight w:val="none"/>
        </w:rPr>
        <w:t>内</w:t>
      </w:r>
      <w:r>
        <w:rPr>
          <w:rFonts w:hint="eastAsia" w:ascii="宋体" w:hAnsi="宋体" w:cs="宋体"/>
          <w:kern w:val="0"/>
          <w:sz w:val="24"/>
          <w:highlight w:val="none"/>
        </w:rPr>
        <w:t>提供本项目竞争性磋商文件第二章“采购需求”中相应的采购内容</w:t>
      </w:r>
      <w:r>
        <w:rPr>
          <w:rFonts w:hint="eastAsia" w:ascii="宋体" w:hAnsi="宋体" w:cs="宋体"/>
          <w:sz w:val="24"/>
          <w:highlight w:val="none"/>
        </w:rPr>
        <w:t>，具体详见最后报价表</w:t>
      </w:r>
      <w:r>
        <w:rPr>
          <w:rFonts w:hint="eastAsia" w:ascii="宋体" w:hAnsi="宋体" w:cs="宋体"/>
          <w:kern w:val="0"/>
          <w:sz w:val="24"/>
          <w:highlight w:val="none"/>
        </w:rPr>
        <w:t>。</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2、我方同意自本项目竞争性磋商文件采购公告规定的提交响应文件截止时间起遵循本响应函，并承诺在“第三章 供应商须知”规定的竞标有效期内不修改、撤销响应文件。</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3、我方在此声明，所递交的响应文件及有关资料内容完整、真实和准确。</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4、如本项目采购内容涉及须符合国家强制规定的，我方承诺我方本次竞标均符合国家有关强制规定。</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6、我方已详细审核竞争性磋商文件，我方知道必须放弃提出含糊不清或误解问题的权利。</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7、我方承诺满足竞争性磋商文件第六章“合同文本”的条款，承担完成合同的责任和义务。</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8、我方同意应贵方要求提供与本竞标有关的任何数据或资料。若贵方需要，我方愿意提供我方作出的一切承诺的证明材料。</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9、我方完全理解贵方不一定接受响应报价最低的供应商为成交供应商的行为。</w:t>
      </w:r>
    </w:p>
    <w:p>
      <w:pPr>
        <w:spacing w:line="460" w:lineRule="exact"/>
        <w:ind w:firstLine="482"/>
        <w:rPr>
          <w:rFonts w:ascii="宋体" w:hAnsi="宋体" w:cs="宋体"/>
          <w:kern w:val="0"/>
          <w:sz w:val="24"/>
          <w:highlight w:val="none"/>
        </w:rPr>
      </w:pPr>
      <w:r>
        <w:rPr>
          <w:rFonts w:hint="eastAsia" w:ascii="宋体" w:hAnsi="宋体" w:cs="宋体"/>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tabs>
          <w:tab w:val="left" w:pos="945"/>
        </w:tabs>
        <w:spacing w:line="460" w:lineRule="exact"/>
        <w:rPr>
          <w:rFonts w:ascii="宋体" w:hAnsi="宋体" w:cs="宋体"/>
          <w:kern w:val="0"/>
          <w:sz w:val="24"/>
          <w:highlight w:val="none"/>
        </w:rPr>
      </w:pPr>
      <w:r>
        <w:rPr>
          <w:rFonts w:hint="eastAsia" w:ascii="宋体" w:hAnsi="宋体" w:cs="宋体"/>
          <w:kern w:val="0"/>
          <w:sz w:val="24"/>
          <w:highlight w:val="none"/>
        </w:rPr>
        <w:t>提供虚假材料谋取中标、成交的；</w:t>
      </w:r>
    </w:p>
    <w:p>
      <w:pPr>
        <w:numPr>
          <w:ilvl w:val="0"/>
          <w:numId w:val="3"/>
        </w:numPr>
        <w:tabs>
          <w:tab w:val="left" w:pos="945"/>
        </w:tabs>
        <w:spacing w:line="460" w:lineRule="exact"/>
        <w:rPr>
          <w:rFonts w:ascii="宋体" w:hAnsi="宋体" w:cs="宋体"/>
          <w:kern w:val="0"/>
          <w:sz w:val="24"/>
          <w:highlight w:val="none"/>
        </w:rPr>
      </w:pPr>
      <w:r>
        <w:rPr>
          <w:rFonts w:hint="eastAsia" w:ascii="宋体" w:hAnsi="宋体" w:cs="宋体"/>
          <w:kern w:val="0"/>
          <w:sz w:val="24"/>
          <w:highlight w:val="none"/>
        </w:rPr>
        <w:t>采取不正当手段诋毁、排挤其他供应商的；</w:t>
      </w:r>
    </w:p>
    <w:p>
      <w:pPr>
        <w:numPr>
          <w:ilvl w:val="0"/>
          <w:numId w:val="3"/>
        </w:numPr>
        <w:tabs>
          <w:tab w:val="left" w:pos="945"/>
        </w:tabs>
        <w:spacing w:line="460" w:lineRule="exact"/>
        <w:rPr>
          <w:rFonts w:ascii="宋体" w:hAnsi="宋体" w:cs="宋体"/>
          <w:kern w:val="0"/>
          <w:sz w:val="24"/>
          <w:highlight w:val="none"/>
        </w:rPr>
      </w:pPr>
      <w:r>
        <w:rPr>
          <w:rFonts w:hint="eastAsia" w:ascii="宋体" w:hAnsi="宋体" w:cs="宋体"/>
          <w:kern w:val="0"/>
          <w:sz w:val="24"/>
          <w:highlight w:val="none"/>
        </w:rPr>
        <w:t>与采购人、其他供应商或者采购代理机构恶意串通的；</w:t>
      </w:r>
    </w:p>
    <w:p>
      <w:pPr>
        <w:numPr>
          <w:ilvl w:val="0"/>
          <w:numId w:val="3"/>
        </w:numPr>
        <w:tabs>
          <w:tab w:val="left" w:pos="945"/>
        </w:tabs>
        <w:spacing w:line="460" w:lineRule="exact"/>
        <w:rPr>
          <w:rFonts w:ascii="宋体" w:hAnsi="宋体" w:cs="宋体"/>
          <w:kern w:val="0"/>
          <w:sz w:val="24"/>
          <w:highlight w:val="none"/>
        </w:rPr>
      </w:pPr>
      <w:r>
        <w:rPr>
          <w:rFonts w:hint="eastAsia" w:ascii="宋体" w:hAnsi="宋体" w:cs="宋体"/>
          <w:kern w:val="0"/>
          <w:sz w:val="24"/>
          <w:highlight w:val="none"/>
        </w:rPr>
        <w:t>向采购人、采购代理机构行贿或者提供其他不正当利益的；</w:t>
      </w:r>
    </w:p>
    <w:p>
      <w:pPr>
        <w:numPr>
          <w:ilvl w:val="0"/>
          <w:numId w:val="3"/>
        </w:numPr>
        <w:tabs>
          <w:tab w:val="left" w:pos="945"/>
        </w:tabs>
        <w:spacing w:line="460" w:lineRule="exact"/>
        <w:rPr>
          <w:rFonts w:ascii="宋体" w:hAnsi="宋体" w:cs="宋体"/>
          <w:kern w:val="0"/>
          <w:sz w:val="24"/>
          <w:highlight w:val="none"/>
        </w:rPr>
      </w:pPr>
      <w:r>
        <w:rPr>
          <w:rFonts w:hint="eastAsia" w:ascii="宋体" w:hAnsi="宋体" w:cs="宋体"/>
          <w:kern w:val="0"/>
          <w:sz w:val="24"/>
          <w:highlight w:val="none"/>
        </w:rPr>
        <w:t>在采购过程中与采购人进行协商磋商的；</w:t>
      </w:r>
    </w:p>
    <w:p>
      <w:pPr>
        <w:numPr>
          <w:ilvl w:val="0"/>
          <w:numId w:val="3"/>
        </w:numPr>
        <w:tabs>
          <w:tab w:val="left" w:pos="945"/>
        </w:tabs>
        <w:spacing w:line="460" w:lineRule="exact"/>
        <w:rPr>
          <w:rFonts w:ascii="宋体" w:hAnsi="宋体" w:cs="宋体"/>
          <w:kern w:val="0"/>
          <w:sz w:val="24"/>
          <w:highlight w:val="none"/>
        </w:rPr>
      </w:pPr>
      <w:r>
        <w:rPr>
          <w:rFonts w:hint="eastAsia" w:ascii="宋体" w:hAnsi="宋体" w:cs="宋体"/>
          <w:kern w:val="0"/>
          <w:sz w:val="24"/>
          <w:highlight w:val="none"/>
        </w:rPr>
        <w:t>拒绝有关部门监督检查或提供虚假情况的。</w:t>
      </w:r>
    </w:p>
    <w:p>
      <w:pPr>
        <w:spacing w:line="460" w:lineRule="exact"/>
        <w:ind w:firstLine="420"/>
        <w:rPr>
          <w:rFonts w:ascii="宋体" w:hAnsi="宋体" w:cs="宋体"/>
          <w:b/>
          <w:bCs/>
          <w:kern w:val="0"/>
          <w:sz w:val="24"/>
          <w:highlight w:val="none"/>
        </w:rPr>
      </w:pPr>
      <w:r>
        <w:rPr>
          <w:rFonts w:hint="eastAsia" w:ascii="宋体" w:hAnsi="宋体" w:cs="宋体"/>
          <w:b/>
          <w:bCs/>
          <w:kern w:val="0"/>
          <w:sz w:val="24"/>
          <w:highlight w:val="none"/>
        </w:rPr>
        <w:t>11、以上事项如有虚假或者隐瞒，我方愿意承担一切后果，并不再寻求任何旨在减轻或者免除法律责任的辩解。</w:t>
      </w:r>
    </w:p>
    <w:p>
      <w:pPr>
        <w:spacing w:line="460" w:lineRule="exact"/>
        <w:ind w:firstLine="420"/>
        <w:rPr>
          <w:rFonts w:ascii="宋体" w:hAnsi="宋体" w:cs="宋体"/>
          <w:b/>
          <w:bCs/>
          <w:kern w:val="0"/>
          <w:sz w:val="24"/>
          <w:highlight w:val="none"/>
        </w:rPr>
      </w:pPr>
      <w:r>
        <w:rPr>
          <w:rFonts w:hint="eastAsia" w:ascii="宋体" w:hAnsi="宋体" w:cs="宋体"/>
          <w:b/>
          <w:bCs/>
          <w:kern w:val="0"/>
          <w:sz w:val="24"/>
          <w:highlight w:val="none"/>
        </w:rPr>
        <w:t xml:space="preserve">12、与本磋商有关的一切正式往来信函请寄： </w:t>
      </w:r>
    </w:p>
    <w:p>
      <w:pPr>
        <w:spacing w:line="460" w:lineRule="exact"/>
        <w:ind w:firstLine="420"/>
        <w:rPr>
          <w:rFonts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pPr>
        <w:spacing w:line="460" w:lineRule="exact"/>
        <w:ind w:firstLine="420"/>
        <w:rPr>
          <w:rFonts w:ascii="宋体" w:hAnsi="宋体" w:cs="宋体"/>
          <w:kern w:val="0"/>
          <w:sz w:val="24"/>
          <w:highlight w:val="none"/>
          <w:u w:val="single"/>
        </w:rPr>
      </w:pPr>
      <w:r>
        <w:rPr>
          <w:rFonts w:hint="eastAsia" w:ascii="宋体" w:hAnsi="宋体" w:cs="宋体"/>
          <w:kern w:val="0"/>
          <w:sz w:val="24"/>
          <w:highlight w:val="none"/>
        </w:rPr>
        <w:t>电话：</w:t>
      </w:r>
      <w:r>
        <w:rPr>
          <w:rFonts w:hint="eastAsia" w:ascii="宋体" w:hAnsi="宋体" w:cs="宋体"/>
          <w:kern w:val="0"/>
          <w:sz w:val="24"/>
          <w:highlight w:val="none"/>
          <w:u w:val="single"/>
        </w:rPr>
        <w:t xml:space="preserve">                                      　　　　　　　　　</w:t>
      </w:r>
    </w:p>
    <w:p>
      <w:pPr>
        <w:spacing w:line="460" w:lineRule="exact"/>
        <w:ind w:firstLine="420"/>
        <w:rPr>
          <w:rFonts w:ascii="宋体" w:hAnsi="宋体" w:cs="宋体"/>
          <w:kern w:val="0"/>
          <w:sz w:val="24"/>
          <w:highlight w:val="none"/>
          <w:u w:val="single"/>
        </w:rPr>
      </w:pPr>
      <w:r>
        <w:rPr>
          <w:rFonts w:hint="eastAsia" w:ascii="宋体" w:hAnsi="宋体" w:cs="宋体"/>
          <w:kern w:val="0"/>
          <w:sz w:val="24"/>
          <w:highlight w:val="none"/>
        </w:rPr>
        <w:t>传真：</w:t>
      </w:r>
      <w:r>
        <w:rPr>
          <w:rFonts w:hint="eastAsia" w:ascii="宋体" w:hAnsi="宋体" w:cs="宋体"/>
          <w:kern w:val="0"/>
          <w:sz w:val="24"/>
          <w:highlight w:val="none"/>
          <w:u w:val="single"/>
        </w:rPr>
        <w:t>　　　　　　　　　　　　　　　　　　　　　　　　　　　　</w:t>
      </w:r>
    </w:p>
    <w:p>
      <w:pPr>
        <w:spacing w:line="460" w:lineRule="exact"/>
        <w:ind w:firstLine="420"/>
        <w:rPr>
          <w:rFonts w:ascii="宋体" w:hAnsi="宋体" w:cs="宋体"/>
          <w:sz w:val="24"/>
          <w:highlight w:val="none"/>
        </w:rPr>
      </w:pPr>
      <w:r>
        <w:rPr>
          <w:rFonts w:hint="eastAsia" w:ascii="宋体" w:hAnsi="宋体" w:cs="宋体"/>
          <w:kern w:val="0"/>
          <w:sz w:val="24"/>
          <w:highlight w:val="none"/>
        </w:rPr>
        <w:t>电子邮箱：</w:t>
      </w:r>
      <w:r>
        <w:rPr>
          <w:rFonts w:hint="eastAsia" w:ascii="宋体" w:hAnsi="宋体" w:cs="宋体"/>
          <w:kern w:val="0"/>
          <w:sz w:val="24"/>
          <w:highlight w:val="none"/>
          <w:u w:val="single"/>
        </w:rPr>
        <w:t>　　　　　　　　　　　　　　　　　　　　　　　　　　</w:t>
      </w:r>
    </w:p>
    <w:p>
      <w:pPr>
        <w:spacing w:line="460" w:lineRule="exact"/>
        <w:ind w:firstLine="420"/>
        <w:rPr>
          <w:rFonts w:ascii="宋体" w:hAnsi="宋体" w:cs="宋体"/>
          <w:kern w:val="0"/>
          <w:sz w:val="24"/>
          <w:highlight w:val="none"/>
          <w:u w:val="single"/>
        </w:rPr>
      </w:pPr>
      <w:r>
        <w:rPr>
          <w:rFonts w:hint="eastAsia" w:ascii="宋体" w:hAnsi="宋体" w:cs="宋体"/>
          <w:kern w:val="0"/>
          <w:sz w:val="24"/>
          <w:highlight w:val="none"/>
        </w:rPr>
        <w:t>邮政编码：</w:t>
      </w:r>
      <w:r>
        <w:rPr>
          <w:rFonts w:hint="eastAsia" w:ascii="宋体" w:hAnsi="宋体" w:cs="宋体"/>
          <w:kern w:val="0"/>
          <w:sz w:val="24"/>
          <w:highlight w:val="none"/>
          <w:u w:val="single"/>
        </w:rPr>
        <w:t xml:space="preserve">                                                    </w:t>
      </w:r>
    </w:p>
    <w:p>
      <w:pPr>
        <w:spacing w:line="460" w:lineRule="exact"/>
        <w:ind w:firstLine="420"/>
        <w:rPr>
          <w:rFonts w:ascii="宋体" w:hAnsi="宋体" w:cs="宋体"/>
          <w:kern w:val="0"/>
          <w:sz w:val="24"/>
          <w:highlight w:val="none"/>
        </w:rPr>
      </w:pPr>
      <w:r>
        <w:rPr>
          <w:rFonts w:hint="eastAsia" w:ascii="宋体" w:hAnsi="宋体" w:cs="宋体"/>
          <w:kern w:val="0"/>
          <w:sz w:val="24"/>
          <w:highlight w:val="none"/>
        </w:rPr>
        <w:t>纳税人识别号或统一社会信用代码：</w:t>
      </w:r>
      <w:r>
        <w:rPr>
          <w:rFonts w:hint="eastAsia" w:ascii="宋体" w:hAnsi="宋体" w:cs="宋体"/>
          <w:kern w:val="0"/>
          <w:sz w:val="24"/>
          <w:highlight w:val="none"/>
          <w:u w:val="single"/>
        </w:rPr>
        <w:t>　　　　　　　　　　　　　　　</w:t>
      </w:r>
    </w:p>
    <w:p>
      <w:pPr>
        <w:spacing w:line="460" w:lineRule="exact"/>
        <w:ind w:firstLine="420"/>
        <w:rPr>
          <w:rFonts w:ascii="宋体" w:hAnsi="宋体" w:cs="宋体"/>
          <w:kern w:val="0"/>
          <w:sz w:val="24"/>
          <w:highlight w:val="none"/>
          <w:u w:val="single"/>
        </w:rPr>
      </w:pPr>
      <w:r>
        <w:rPr>
          <w:rFonts w:hint="eastAsia" w:ascii="宋体" w:hAnsi="宋体" w:cs="宋体"/>
          <w:kern w:val="0"/>
          <w:sz w:val="24"/>
          <w:highlight w:val="none"/>
        </w:rPr>
        <w:t>开户名称：</w:t>
      </w:r>
      <w:r>
        <w:rPr>
          <w:rFonts w:hint="eastAsia" w:ascii="宋体" w:hAnsi="宋体" w:cs="宋体"/>
          <w:kern w:val="0"/>
          <w:sz w:val="24"/>
          <w:highlight w:val="none"/>
          <w:u w:val="single"/>
        </w:rPr>
        <w:t xml:space="preserve">                                                    </w:t>
      </w:r>
    </w:p>
    <w:p>
      <w:pPr>
        <w:spacing w:line="460" w:lineRule="exact"/>
        <w:ind w:firstLine="420"/>
        <w:rPr>
          <w:rFonts w:ascii="宋体" w:hAnsi="宋体" w:cs="宋体"/>
          <w:kern w:val="0"/>
          <w:sz w:val="24"/>
          <w:highlight w:val="none"/>
          <w:u w:val="single"/>
        </w:rPr>
      </w:pPr>
      <w:r>
        <w:rPr>
          <w:rFonts w:hint="eastAsia" w:ascii="宋体" w:hAnsi="宋体" w:cs="宋体"/>
          <w:kern w:val="0"/>
          <w:sz w:val="24"/>
          <w:highlight w:val="none"/>
        </w:rPr>
        <w:t>开户银行：</w:t>
      </w:r>
      <w:r>
        <w:rPr>
          <w:rFonts w:hint="eastAsia" w:ascii="宋体" w:hAnsi="宋体" w:cs="宋体"/>
          <w:kern w:val="0"/>
          <w:sz w:val="24"/>
          <w:highlight w:val="none"/>
          <w:u w:val="single"/>
        </w:rPr>
        <w:t xml:space="preserve">                                                    </w:t>
      </w:r>
    </w:p>
    <w:p>
      <w:pPr>
        <w:spacing w:line="460" w:lineRule="exact"/>
        <w:ind w:firstLine="420"/>
        <w:rPr>
          <w:rFonts w:ascii="宋体" w:hAnsi="宋体" w:cs="宋体"/>
          <w:kern w:val="0"/>
          <w:sz w:val="24"/>
          <w:highlight w:val="none"/>
          <w:u w:val="single"/>
        </w:rPr>
      </w:pPr>
      <w:r>
        <w:rPr>
          <w:rFonts w:hint="eastAsia" w:ascii="宋体" w:hAnsi="宋体" w:cs="宋体"/>
          <w:kern w:val="0"/>
          <w:sz w:val="24"/>
          <w:highlight w:val="none"/>
        </w:rPr>
        <w:t>银行账号：</w:t>
      </w:r>
      <w:r>
        <w:rPr>
          <w:rFonts w:hint="eastAsia" w:ascii="宋体" w:hAnsi="宋体" w:cs="宋体"/>
          <w:kern w:val="0"/>
          <w:sz w:val="24"/>
          <w:highlight w:val="none"/>
          <w:u w:val="single"/>
        </w:rPr>
        <w:t xml:space="preserve">                                                    </w:t>
      </w:r>
    </w:p>
    <w:p>
      <w:pPr>
        <w:pStyle w:val="19"/>
        <w:tabs>
          <w:tab w:val="left" w:pos="939"/>
        </w:tabs>
        <w:spacing w:line="460" w:lineRule="exact"/>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pPr>
        <w:spacing w:line="360" w:lineRule="auto"/>
        <w:contextualSpacing/>
        <w:jc w:val="left"/>
        <w:rPr>
          <w:rFonts w:ascii="宋体" w:hAnsi="宋体" w:cs="宋体"/>
          <w:szCs w:val="21"/>
          <w:highlight w:val="none"/>
        </w:rPr>
      </w:pPr>
    </w:p>
    <w:p>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供应商名称（盖公章）：</w:t>
      </w:r>
    </w:p>
    <w:p>
      <w:pPr>
        <w:autoSpaceDE w:val="0"/>
        <w:autoSpaceDN w:val="0"/>
        <w:spacing w:line="360" w:lineRule="auto"/>
        <w:ind w:firstLine="6480" w:firstLineChars="270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spacing w:line="500" w:lineRule="exact"/>
        <w:rPr>
          <w:rFonts w:ascii="宋体" w:hAnsi="宋体" w:cs="宋体"/>
          <w:b/>
          <w:sz w:val="28"/>
          <w:szCs w:val="28"/>
          <w:highlight w:val="none"/>
        </w:rPr>
      </w:pPr>
    </w:p>
    <w:p>
      <w:pPr>
        <w:spacing w:line="500" w:lineRule="exact"/>
        <w:rPr>
          <w:rFonts w:ascii="宋体" w:hAnsi="宋体" w:cs="宋体"/>
          <w:b/>
          <w:sz w:val="30"/>
          <w:szCs w:val="30"/>
          <w:highlight w:val="none"/>
          <w:lang w:val="zh-CN"/>
        </w:rPr>
      </w:pPr>
      <w:r>
        <w:rPr>
          <w:rFonts w:hint="eastAsia" w:ascii="宋体" w:hAnsi="宋体" w:cs="宋体"/>
          <w:b/>
          <w:sz w:val="28"/>
          <w:szCs w:val="28"/>
          <w:highlight w:val="none"/>
        </w:rPr>
        <w:br w:type="page"/>
      </w:r>
      <w:r>
        <w:rPr>
          <w:rFonts w:hint="eastAsia" w:ascii="宋体" w:hAnsi="宋体" w:cs="宋体"/>
          <w:b/>
          <w:sz w:val="28"/>
          <w:szCs w:val="28"/>
          <w:highlight w:val="none"/>
        </w:rPr>
        <w:t>4.</w:t>
      </w:r>
      <w:r>
        <w:rPr>
          <w:rFonts w:hint="eastAsia" w:ascii="宋体" w:hAnsi="宋体" w:cs="宋体"/>
          <w:b/>
          <w:sz w:val="28"/>
          <w:szCs w:val="28"/>
          <w:highlight w:val="none"/>
          <w:lang w:val="zh-CN"/>
        </w:rPr>
        <w:t>响应报价表的格式：</w:t>
      </w:r>
      <w:r>
        <w:rPr>
          <w:rFonts w:hint="eastAsia" w:ascii="宋体" w:hAnsi="宋体" w:cs="宋体"/>
          <w:b/>
          <w:sz w:val="30"/>
          <w:szCs w:val="30"/>
          <w:highlight w:val="none"/>
          <w:lang w:val="zh-CN"/>
        </w:rPr>
        <w:t xml:space="preserve"> </w:t>
      </w:r>
    </w:p>
    <w:p>
      <w:pPr>
        <w:spacing w:line="520" w:lineRule="exact"/>
        <w:jc w:val="center"/>
        <w:rPr>
          <w:rFonts w:ascii="宋体" w:hAnsi="宋体" w:cs="宋体"/>
          <w:b/>
          <w:bCs/>
          <w:sz w:val="32"/>
          <w:szCs w:val="32"/>
          <w:highlight w:val="none"/>
        </w:rPr>
      </w:pPr>
      <w:r>
        <w:rPr>
          <w:rFonts w:hint="eastAsia" w:ascii="宋体" w:hAnsi="宋体" w:cs="宋体"/>
          <w:b/>
          <w:bCs/>
          <w:sz w:val="32"/>
          <w:szCs w:val="32"/>
          <w:highlight w:val="none"/>
        </w:rPr>
        <w:t>响应报价表</w:t>
      </w:r>
    </w:p>
    <w:p>
      <w:pPr>
        <w:snapToGrid w:val="0"/>
        <w:spacing w:before="50" w:after="50" w:line="360" w:lineRule="auto"/>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snapToGrid w:val="0"/>
        <w:spacing w:before="50" w:after="50" w:line="360" w:lineRule="auto"/>
        <w:rPr>
          <w:rFonts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pPr>
        <w:spacing w:line="360" w:lineRule="auto"/>
        <w:contextualSpacing/>
        <w:rPr>
          <w:rFonts w:ascii="宋体" w:hAnsi="宋体" w:cs="宋体"/>
          <w:sz w:val="24"/>
          <w:highlight w:val="non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31"/>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682"/>
        <w:gridCol w:w="2580"/>
        <w:gridCol w:w="1009"/>
        <w:gridCol w:w="1660"/>
        <w:gridCol w:w="1364"/>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168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服务名称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具体服务内容（含具体服务范围、服务时间、服务标准等内容）</w:t>
            </w:r>
          </w:p>
        </w:tc>
        <w:tc>
          <w:tcPr>
            <w:tcW w:w="100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数量及单位①</w:t>
            </w:r>
          </w:p>
        </w:tc>
        <w:tc>
          <w:tcPr>
            <w:tcW w:w="16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单价(元)②</w:t>
            </w:r>
          </w:p>
        </w:tc>
        <w:tc>
          <w:tcPr>
            <w:tcW w:w="136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单项合价（元）</w:t>
            </w:r>
          </w:p>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③＝①×②</w:t>
            </w:r>
          </w:p>
        </w:tc>
        <w:tc>
          <w:tcPr>
            <w:tcW w:w="10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1</w:t>
            </w:r>
          </w:p>
        </w:tc>
        <w:tc>
          <w:tcPr>
            <w:tcW w:w="168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2"/>
                <w:szCs w:val="22"/>
                <w:highlight w:val="none"/>
              </w:rPr>
            </w:pPr>
            <w:r>
              <w:rPr>
                <w:rFonts w:hint="eastAsia" w:ascii="宋体" w:hAnsi="宋体" w:cs="宋体"/>
                <w:sz w:val="22"/>
                <w:szCs w:val="22"/>
                <w:highlight w:val="none"/>
              </w:rPr>
              <w:t>广西道路运输大数据预警研判技术服务项目</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2"/>
                <w:szCs w:val="22"/>
                <w:highlight w:val="none"/>
              </w:rPr>
            </w:pPr>
            <w:r>
              <w:rPr>
                <w:rFonts w:hint="eastAsia" w:ascii="宋体" w:hAnsi="宋体" w:cs="宋体"/>
                <w:sz w:val="22"/>
                <w:szCs w:val="22"/>
                <w:highlight w:val="none"/>
              </w:rPr>
              <w:t>按服务需求偏离表中响应文件响应的技术要求提供服务，具体详见服务需求偏离表</w:t>
            </w:r>
          </w:p>
        </w:tc>
        <w:tc>
          <w:tcPr>
            <w:tcW w:w="100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2"/>
                <w:szCs w:val="22"/>
                <w:highlight w:val="none"/>
              </w:rPr>
            </w:pPr>
            <w:r>
              <w:rPr>
                <w:rFonts w:hint="eastAsia" w:ascii="宋体" w:hAnsi="宋体" w:cs="宋体"/>
                <w:sz w:val="22"/>
                <w:szCs w:val="22"/>
                <w:highlight w:val="none"/>
              </w:rPr>
              <w:t>1项</w:t>
            </w:r>
          </w:p>
        </w:tc>
        <w:tc>
          <w:tcPr>
            <w:tcW w:w="1660"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宋体"/>
                <w:sz w:val="22"/>
                <w:szCs w:val="22"/>
                <w:highlight w:val="none"/>
              </w:rPr>
            </w:pPr>
          </w:p>
        </w:tc>
        <w:tc>
          <w:tcPr>
            <w:tcW w:w="136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宋体"/>
                <w:sz w:val="22"/>
                <w:szCs w:val="22"/>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79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24"/>
                <w:highlight w:val="none"/>
              </w:rPr>
            </w:pPr>
            <w:r>
              <w:rPr>
                <w:rFonts w:hint="eastAsia" w:ascii="宋体" w:hAnsi="宋体" w:cs="宋体"/>
                <w:sz w:val="24"/>
                <w:highlight w:val="none"/>
              </w:rPr>
              <w:t>合计金额大写：人民币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79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24"/>
                <w:highlight w:val="none"/>
              </w:rPr>
            </w:pPr>
            <w:r>
              <w:rPr>
                <w:rFonts w:hint="eastAsia" w:ascii="宋体" w:hAnsi="宋体" w:cs="宋体"/>
                <w:sz w:val="24"/>
                <w:highlight w:val="none"/>
              </w:rPr>
              <w:t>交付及维护保证期（服务期）：</w:t>
            </w:r>
          </w:p>
        </w:tc>
      </w:tr>
    </w:tbl>
    <w:p>
      <w:pPr>
        <w:snapToGrid w:val="0"/>
        <w:spacing w:before="50" w:after="50"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注： </w:t>
      </w:r>
    </w:p>
    <w:p>
      <w:pPr>
        <w:snapToGrid w:val="0"/>
        <w:spacing w:before="50" w:after="50"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1、供应商需按本表格式填写，不得自行更改，也不得留空（</w:t>
      </w:r>
      <w:r>
        <w:rPr>
          <w:rFonts w:hint="eastAsia" w:ascii="宋体" w:hAnsi="宋体" w:cs="宋体"/>
          <w:sz w:val="24"/>
          <w:highlight w:val="none"/>
        </w:rPr>
        <w:t>备注除外</w:t>
      </w:r>
      <w:r>
        <w:rPr>
          <w:rFonts w:hint="eastAsia" w:ascii="宋体" w:hAnsi="宋体" w:cs="宋体"/>
          <w:kern w:val="0"/>
          <w:sz w:val="24"/>
          <w:highlight w:val="none"/>
          <w:lang w:val="zh-CN"/>
        </w:rPr>
        <w:t>）, 如有多分标，按分标分别提供响应报价表，</w:t>
      </w:r>
      <w:r>
        <w:rPr>
          <w:rFonts w:hint="eastAsia" w:ascii="宋体" w:hAnsi="宋体" w:cs="宋体"/>
          <w:b/>
          <w:kern w:val="0"/>
          <w:sz w:val="24"/>
          <w:highlight w:val="none"/>
          <w:lang w:val="zh-CN"/>
        </w:rPr>
        <w:t>否则其响应按无效响应处理。</w:t>
      </w:r>
    </w:p>
    <w:p>
      <w:pPr>
        <w:snapToGrid w:val="0"/>
        <w:spacing w:before="50" w:after="50" w:line="360" w:lineRule="auto"/>
        <w:ind w:firstLine="480" w:firstLineChars="200"/>
        <w:jc w:val="left"/>
        <w:rPr>
          <w:rFonts w:ascii="宋体" w:hAnsi="宋体" w:cs="宋体"/>
          <w:b/>
          <w:kern w:val="0"/>
          <w:sz w:val="24"/>
          <w:highlight w:val="none"/>
          <w:lang w:val="zh-CN"/>
        </w:rPr>
      </w:pPr>
      <w:r>
        <w:rPr>
          <w:rFonts w:hint="eastAsia" w:ascii="宋体" w:hAnsi="宋体" w:cs="宋体"/>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kern w:val="0"/>
          <w:sz w:val="24"/>
          <w:highlight w:val="none"/>
          <w:lang w:val="zh-CN"/>
        </w:rPr>
        <w:t>否则其响应按无效响应处理。</w:t>
      </w:r>
    </w:p>
    <w:p>
      <w:pPr>
        <w:snapToGrid w:val="0"/>
        <w:spacing w:before="50" w:after="50" w:line="360" w:lineRule="auto"/>
        <w:ind w:firstLine="480" w:firstLineChars="200"/>
        <w:jc w:val="left"/>
        <w:rPr>
          <w:rFonts w:ascii="宋体" w:hAnsi="宋体" w:cs="宋体"/>
          <w:b/>
          <w:kern w:val="0"/>
          <w:sz w:val="24"/>
          <w:highlight w:val="none"/>
          <w:lang w:val="zh-CN"/>
        </w:rPr>
      </w:pPr>
      <w:r>
        <w:rPr>
          <w:rFonts w:hint="eastAsia" w:ascii="宋体" w:hAnsi="宋体" w:cs="宋体"/>
          <w:kern w:val="0"/>
          <w:sz w:val="24"/>
          <w:highlight w:val="none"/>
          <w:lang w:val="zh-CN"/>
        </w:rPr>
        <w:t>3、</w:t>
      </w:r>
      <w:r>
        <w:rPr>
          <w:rFonts w:hint="eastAsia" w:ascii="宋体" w:hAnsi="宋体" w:cs="宋体"/>
          <w:kern w:val="0"/>
          <w:sz w:val="24"/>
          <w:highlight w:val="none"/>
        </w:rPr>
        <w:t>请</w:t>
      </w:r>
      <w:r>
        <w:rPr>
          <w:rFonts w:hint="eastAsia" w:ascii="宋体" w:hAnsi="宋体" w:cs="宋体"/>
          <w:sz w:val="24"/>
          <w:highlight w:val="none"/>
        </w:rPr>
        <w:t>根据所竞服务内容，逐条对应本项目竞争性磋商文件“第二章 采购需求”中“技术要求”的内容详细填写相应的具体内容。</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4、特别提示：采购代理机构将对项目名称和项目编号，成交供应商名称、地址和成交金额，主要成交标的的名称、服务范围、服务要求、服务时间、服务标准等予以公示。</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5、符合采购文件中列明的可享受中小企业扶持政策的供应商，请填写中小企业声明函。</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6、</w:t>
      </w:r>
      <w:r>
        <w:rPr>
          <w:rFonts w:hint="eastAsia" w:ascii="宋体" w:hAnsi="宋体" w:cs="宋体"/>
          <w:kern w:val="0"/>
          <w:sz w:val="24"/>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firstLine="4560" w:firstLineChars="1900"/>
        <w:rPr>
          <w:rFonts w:ascii="宋体" w:hAnsi="宋体" w:cs="宋体"/>
          <w:kern w:val="0"/>
          <w:sz w:val="24"/>
          <w:highlight w:val="none"/>
        </w:rPr>
      </w:pPr>
      <w:r>
        <w:rPr>
          <w:rFonts w:hint="eastAsia" w:ascii="宋体" w:hAnsi="宋体" w:cs="宋体"/>
          <w:kern w:val="0"/>
          <w:sz w:val="24"/>
          <w:highlight w:val="none"/>
        </w:rPr>
        <w:t>供应商名称（盖公章）：</w:t>
      </w:r>
    </w:p>
    <w:p>
      <w:pPr>
        <w:spacing w:line="500" w:lineRule="exact"/>
        <w:ind w:firstLine="6360" w:firstLineChars="2650"/>
        <w:rPr>
          <w:rFonts w:ascii="宋体" w:hAnsi="宋体" w:cs="宋体"/>
          <w:kern w:val="0"/>
          <w:sz w:val="24"/>
          <w:szCs w:val="21"/>
          <w:highlight w:val="none"/>
          <w:lang w:val="zh-CN"/>
        </w:rPr>
      </w:pPr>
      <w:r>
        <w:rPr>
          <w:rFonts w:hint="eastAsia" w:ascii="宋体" w:hAnsi="宋体" w:cs="宋体"/>
          <w:kern w:val="0"/>
          <w:sz w:val="24"/>
          <w:szCs w:val="21"/>
          <w:highlight w:val="none"/>
          <w:lang w:val="zh-CN"/>
        </w:rPr>
        <w:t>日期：  年  月   日</w:t>
      </w:r>
    </w:p>
    <w:p>
      <w:pPr>
        <w:spacing w:line="500" w:lineRule="exact"/>
        <w:rPr>
          <w:rFonts w:ascii="宋体" w:hAnsi="宋体" w:cs="宋体"/>
          <w:b/>
          <w:sz w:val="30"/>
          <w:szCs w:val="30"/>
          <w:highlight w:val="none"/>
          <w:lang w:val="zh-CN"/>
        </w:rPr>
      </w:pPr>
      <w:r>
        <w:rPr>
          <w:rFonts w:hint="eastAsia" w:ascii="宋体" w:hAnsi="宋体" w:cs="宋体"/>
          <w:kern w:val="0"/>
          <w:sz w:val="24"/>
          <w:szCs w:val="21"/>
          <w:highlight w:val="none"/>
          <w:lang w:val="zh-CN"/>
        </w:rPr>
        <w:br w:type="page"/>
      </w:r>
      <w:r>
        <w:rPr>
          <w:rFonts w:hint="eastAsia" w:ascii="宋体" w:hAnsi="宋体" w:cs="宋体"/>
          <w:b/>
          <w:sz w:val="28"/>
          <w:szCs w:val="28"/>
          <w:highlight w:val="none"/>
        </w:rPr>
        <w:t>5.</w:t>
      </w:r>
      <w:r>
        <w:rPr>
          <w:rFonts w:hint="eastAsia" w:ascii="宋体" w:hAnsi="宋体" w:cs="宋体"/>
          <w:b/>
          <w:sz w:val="28"/>
          <w:szCs w:val="28"/>
          <w:highlight w:val="none"/>
          <w:lang w:val="zh-CN"/>
        </w:rPr>
        <w:t>最后报价表的格式：</w:t>
      </w:r>
      <w:r>
        <w:rPr>
          <w:rFonts w:hint="eastAsia" w:ascii="宋体" w:hAnsi="宋体" w:cs="宋体"/>
          <w:b/>
          <w:sz w:val="30"/>
          <w:szCs w:val="30"/>
          <w:highlight w:val="none"/>
          <w:lang w:val="zh-CN"/>
        </w:rPr>
        <w:t xml:space="preserve"> </w:t>
      </w:r>
    </w:p>
    <w:p>
      <w:pPr>
        <w:spacing w:line="520" w:lineRule="exact"/>
        <w:ind w:firstLine="420" w:firstLineChars="200"/>
        <w:rPr>
          <w:rFonts w:ascii="宋体" w:hAnsi="宋体" w:cs="宋体"/>
          <w:highlight w:val="none"/>
        </w:rPr>
      </w:pPr>
    </w:p>
    <w:p>
      <w:pPr>
        <w:spacing w:line="520" w:lineRule="exact"/>
        <w:jc w:val="center"/>
        <w:rPr>
          <w:rFonts w:ascii="宋体" w:hAnsi="宋体" w:cs="宋体"/>
          <w:b/>
          <w:bCs/>
          <w:sz w:val="32"/>
          <w:szCs w:val="32"/>
          <w:highlight w:val="none"/>
        </w:rPr>
      </w:pPr>
      <w:r>
        <w:rPr>
          <w:rFonts w:hint="eastAsia" w:ascii="宋体" w:hAnsi="宋体" w:cs="宋体"/>
          <w:b/>
          <w:bCs/>
          <w:sz w:val="32"/>
          <w:szCs w:val="32"/>
          <w:highlight w:val="none"/>
        </w:rPr>
        <w:t>最后报价表</w:t>
      </w:r>
    </w:p>
    <w:p>
      <w:pPr>
        <w:snapToGrid w:val="0"/>
        <w:spacing w:before="50" w:after="50" w:line="360" w:lineRule="auto"/>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snapToGrid w:val="0"/>
        <w:spacing w:before="50" w:after="50" w:line="360" w:lineRule="auto"/>
        <w:rPr>
          <w:rFonts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pPr>
        <w:spacing w:line="360" w:lineRule="auto"/>
        <w:contextualSpacing/>
        <w:rPr>
          <w:rFonts w:ascii="宋体" w:hAnsi="宋体" w:cs="宋体"/>
          <w:sz w:val="24"/>
          <w:highlight w:val="non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31"/>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2094"/>
        <w:gridCol w:w="1928"/>
        <w:gridCol w:w="1249"/>
        <w:gridCol w:w="1660"/>
        <w:gridCol w:w="1364"/>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序号</w:t>
            </w:r>
          </w:p>
        </w:tc>
        <w:tc>
          <w:tcPr>
            <w:tcW w:w="20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服务名称</w:t>
            </w: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具体服务内容（含具体服务范围、服务时间、服务标准等内容）</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数量及单位①</w:t>
            </w:r>
          </w:p>
        </w:tc>
        <w:tc>
          <w:tcPr>
            <w:tcW w:w="16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单价(元)②</w:t>
            </w:r>
          </w:p>
        </w:tc>
        <w:tc>
          <w:tcPr>
            <w:tcW w:w="13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2"/>
                <w:highlight w:val="none"/>
              </w:rPr>
            </w:pPr>
            <w:r>
              <w:rPr>
                <w:rFonts w:hint="eastAsia" w:ascii="宋体" w:hAnsi="宋体" w:cs="宋体"/>
                <w:szCs w:val="22"/>
                <w:highlight w:val="none"/>
              </w:rPr>
              <w:t>单项合价（元）</w:t>
            </w:r>
          </w:p>
          <w:p>
            <w:pPr>
              <w:spacing w:line="360" w:lineRule="auto"/>
              <w:contextualSpacing/>
              <w:jc w:val="center"/>
              <w:rPr>
                <w:rFonts w:ascii="宋体" w:hAnsi="宋体" w:cs="宋体"/>
                <w:sz w:val="24"/>
                <w:highlight w:val="none"/>
              </w:rPr>
            </w:pPr>
            <w:r>
              <w:rPr>
                <w:rFonts w:hint="eastAsia" w:ascii="宋体" w:hAnsi="宋体" w:cs="宋体"/>
                <w:szCs w:val="22"/>
                <w:highlight w:val="none"/>
              </w:rPr>
              <w:t>③＝①×②</w:t>
            </w:r>
          </w:p>
        </w:tc>
        <w:tc>
          <w:tcPr>
            <w:tcW w:w="10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highlight w:val="none"/>
              </w:rPr>
            </w:pPr>
            <w:r>
              <w:rPr>
                <w:rFonts w:hint="eastAsia" w:ascii="宋体" w:hAnsi="宋体" w:cs="宋体"/>
                <w:sz w:val="24"/>
                <w:highlight w:val="none"/>
              </w:rPr>
              <w:t>1</w:t>
            </w:r>
          </w:p>
        </w:tc>
        <w:tc>
          <w:tcPr>
            <w:tcW w:w="20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2"/>
                <w:szCs w:val="22"/>
                <w:highlight w:val="none"/>
              </w:rPr>
            </w:pPr>
            <w:r>
              <w:rPr>
                <w:rFonts w:hint="eastAsia" w:ascii="宋体" w:hAnsi="宋体" w:cs="宋体"/>
                <w:sz w:val="22"/>
                <w:szCs w:val="22"/>
                <w:highlight w:val="none"/>
              </w:rPr>
              <w:t>广西道路运输大数据预警研判技术服务项目</w:t>
            </w: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2"/>
                <w:szCs w:val="22"/>
                <w:highlight w:val="none"/>
              </w:rPr>
            </w:pPr>
            <w:r>
              <w:rPr>
                <w:rFonts w:hint="eastAsia" w:ascii="宋体" w:hAnsi="宋体" w:cs="宋体"/>
                <w:sz w:val="22"/>
                <w:szCs w:val="22"/>
                <w:highlight w:val="none"/>
              </w:rPr>
              <w:t>按服务需求偏离表中响应文件响应的技术要求提供服务，具体详见服务需求偏离表</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2"/>
                <w:szCs w:val="22"/>
                <w:highlight w:val="none"/>
              </w:rPr>
            </w:pPr>
            <w:r>
              <w:rPr>
                <w:rFonts w:hint="eastAsia" w:ascii="宋体" w:hAnsi="宋体" w:cs="宋体"/>
                <w:sz w:val="22"/>
                <w:szCs w:val="22"/>
                <w:highlight w:val="none"/>
              </w:rPr>
              <w:t>1项</w:t>
            </w:r>
          </w:p>
        </w:tc>
        <w:tc>
          <w:tcPr>
            <w:tcW w:w="1660"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宋体"/>
                <w:sz w:val="22"/>
                <w:szCs w:val="22"/>
                <w:highlight w:val="none"/>
              </w:rPr>
            </w:pPr>
          </w:p>
        </w:tc>
        <w:tc>
          <w:tcPr>
            <w:tcW w:w="136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宋体"/>
                <w:sz w:val="22"/>
                <w:szCs w:val="22"/>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79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24"/>
                <w:highlight w:val="none"/>
              </w:rPr>
            </w:pPr>
            <w:r>
              <w:rPr>
                <w:rFonts w:hint="eastAsia" w:ascii="宋体" w:hAnsi="宋体" w:cs="宋体"/>
                <w:sz w:val="24"/>
                <w:highlight w:val="none"/>
              </w:rPr>
              <w:t>合计金额大写：人民币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79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24"/>
                <w:highlight w:val="none"/>
              </w:rPr>
            </w:pPr>
            <w:r>
              <w:rPr>
                <w:rFonts w:hint="eastAsia" w:ascii="宋体" w:hAnsi="宋体" w:cs="宋体"/>
                <w:sz w:val="24"/>
                <w:highlight w:val="none"/>
              </w:rPr>
              <w:t>服务期限：</w:t>
            </w:r>
          </w:p>
        </w:tc>
      </w:tr>
    </w:tbl>
    <w:p>
      <w:pPr>
        <w:rPr>
          <w:rFonts w:ascii="宋体" w:hAnsi="宋体" w:cs="宋体"/>
          <w:highlight w:val="none"/>
        </w:rPr>
      </w:pPr>
    </w:p>
    <w:p>
      <w:pPr>
        <w:spacing w:line="360" w:lineRule="auto"/>
        <w:contextualSpacing/>
        <w:rPr>
          <w:rFonts w:ascii="宋体" w:hAnsi="宋体" w:cs="宋体"/>
          <w:sz w:val="24"/>
          <w:highlight w:val="none"/>
          <w:u w:val="single"/>
        </w:rPr>
      </w:pPr>
      <w:r>
        <w:rPr>
          <w:rFonts w:hint="eastAsia" w:ascii="宋体" w:hAnsi="宋体" w:cs="宋体"/>
          <w:sz w:val="24"/>
          <w:highlight w:val="none"/>
        </w:rPr>
        <w:t xml:space="preserve">                </w:t>
      </w:r>
    </w:p>
    <w:p>
      <w:pPr>
        <w:autoSpaceDE w:val="0"/>
        <w:autoSpaceDN w:val="0"/>
        <w:spacing w:line="360" w:lineRule="auto"/>
        <w:ind w:firstLine="4560" w:firstLineChars="1900"/>
        <w:rPr>
          <w:rFonts w:ascii="宋体" w:hAnsi="宋体" w:cs="宋体"/>
          <w:kern w:val="0"/>
          <w:sz w:val="24"/>
          <w:highlight w:val="none"/>
        </w:rPr>
      </w:pPr>
    </w:p>
    <w:p>
      <w:pPr>
        <w:autoSpaceDE w:val="0"/>
        <w:autoSpaceDN w:val="0"/>
        <w:spacing w:line="360" w:lineRule="auto"/>
        <w:ind w:firstLine="4560" w:firstLineChars="1900"/>
        <w:rPr>
          <w:rFonts w:ascii="宋体" w:hAnsi="宋体" w:cs="宋体"/>
          <w:kern w:val="0"/>
          <w:sz w:val="24"/>
          <w:highlight w:val="none"/>
        </w:rPr>
      </w:pPr>
      <w:r>
        <w:rPr>
          <w:rFonts w:hint="eastAsia" w:ascii="宋体" w:hAnsi="宋体" w:cs="宋体"/>
          <w:kern w:val="0"/>
          <w:sz w:val="24"/>
          <w:highlight w:val="none"/>
        </w:rPr>
        <w:t>供应商名称（盖公章）：</w:t>
      </w:r>
    </w:p>
    <w:p>
      <w:pPr>
        <w:spacing w:line="500" w:lineRule="exact"/>
        <w:ind w:firstLine="6360" w:firstLineChars="2650"/>
        <w:rPr>
          <w:rFonts w:ascii="宋体" w:hAnsi="宋体" w:cs="宋体"/>
          <w:sz w:val="24"/>
          <w:highlight w:val="none"/>
          <w:lang w:val="zh-CN"/>
        </w:rPr>
        <w:sectPr>
          <w:pgSz w:w="11911" w:h="16838"/>
          <w:pgMar w:top="1134" w:right="1134" w:bottom="1134" w:left="1134" w:header="720" w:footer="720" w:gutter="0"/>
          <w:cols w:space="720" w:num="1"/>
        </w:sectPr>
      </w:pPr>
      <w:r>
        <w:rPr>
          <w:rFonts w:hint="eastAsia" w:ascii="宋体" w:hAnsi="宋体" w:cs="宋体"/>
          <w:kern w:val="0"/>
          <w:sz w:val="24"/>
          <w:szCs w:val="21"/>
          <w:highlight w:val="none"/>
          <w:lang w:val="zh-CN"/>
        </w:rPr>
        <w:t>日期：</w:t>
      </w:r>
      <w:r>
        <w:rPr>
          <w:rFonts w:hint="eastAsia" w:ascii="宋体" w:hAnsi="宋体" w:cs="宋体"/>
          <w:kern w:val="0"/>
          <w:sz w:val="24"/>
          <w:szCs w:val="21"/>
          <w:highlight w:val="none"/>
        </w:rPr>
        <w:t xml:space="preserve">    </w:t>
      </w:r>
      <w:r>
        <w:rPr>
          <w:rFonts w:hint="eastAsia" w:ascii="宋体" w:hAnsi="宋体" w:cs="宋体"/>
          <w:kern w:val="0"/>
          <w:sz w:val="24"/>
          <w:szCs w:val="21"/>
          <w:highlight w:val="none"/>
          <w:lang w:val="zh-CN"/>
        </w:rPr>
        <w:t>年</w:t>
      </w:r>
      <w:r>
        <w:rPr>
          <w:rFonts w:hint="eastAsia" w:ascii="宋体" w:hAnsi="宋体" w:cs="宋体"/>
          <w:kern w:val="0"/>
          <w:sz w:val="24"/>
          <w:szCs w:val="21"/>
          <w:highlight w:val="none"/>
        </w:rPr>
        <w:t xml:space="preserve">    </w:t>
      </w:r>
      <w:r>
        <w:rPr>
          <w:rFonts w:hint="eastAsia" w:ascii="宋体" w:hAnsi="宋体" w:cs="宋体"/>
          <w:kern w:val="0"/>
          <w:sz w:val="24"/>
          <w:szCs w:val="21"/>
          <w:highlight w:val="none"/>
          <w:lang w:val="zh-CN"/>
        </w:rPr>
        <w:t>月</w:t>
      </w:r>
      <w:r>
        <w:rPr>
          <w:rFonts w:hint="eastAsia" w:ascii="宋体" w:hAnsi="宋体" w:cs="宋体"/>
          <w:kern w:val="0"/>
          <w:sz w:val="24"/>
          <w:szCs w:val="21"/>
          <w:highlight w:val="none"/>
        </w:rPr>
        <w:t xml:space="preserve">    </w:t>
      </w:r>
      <w:r>
        <w:rPr>
          <w:rFonts w:hint="eastAsia" w:ascii="宋体" w:hAnsi="宋体" w:cs="宋体"/>
          <w:kern w:val="0"/>
          <w:sz w:val="24"/>
          <w:szCs w:val="21"/>
          <w:highlight w:val="none"/>
          <w:lang w:val="zh-CN"/>
        </w:rPr>
        <w:t>日</w:t>
      </w:r>
    </w:p>
    <w:p>
      <w:pPr>
        <w:pStyle w:val="4"/>
        <w:jc w:val="center"/>
        <w:rPr>
          <w:rFonts w:ascii="宋体" w:hAnsi="宋体" w:cs="宋体"/>
          <w:b w:val="0"/>
          <w:highlight w:val="none"/>
        </w:rPr>
      </w:pPr>
      <w:bookmarkStart w:id="146" w:name="_Toc80886946"/>
      <w:bookmarkStart w:id="147" w:name="_Toc13936"/>
      <w:bookmarkStart w:id="148" w:name="_Toc18482"/>
      <w:bookmarkStart w:id="149" w:name="_Toc80205942"/>
      <w:r>
        <w:rPr>
          <w:rFonts w:hint="eastAsia" w:ascii="宋体" w:hAnsi="宋体" w:cs="宋体"/>
          <w:highlight w:val="none"/>
        </w:rPr>
        <w:t>第四节 其他文书、文件格式</w:t>
      </w:r>
      <w:bookmarkEnd w:id="146"/>
      <w:bookmarkEnd w:id="147"/>
      <w:bookmarkEnd w:id="148"/>
      <w:bookmarkEnd w:id="149"/>
    </w:p>
    <w:p>
      <w:pPr>
        <w:spacing w:line="500" w:lineRule="exact"/>
        <w:rPr>
          <w:rFonts w:ascii="宋体" w:hAnsi="宋体" w:cs="宋体"/>
          <w:b/>
          <w:sz w:val="30"/>
          <w:szCs w:val="30"/>
          <w:highlight w:val="none"/>
          <w:lang w:val="zh-CN"/>
        </w:rPr>
      </w:pPr>
      <w:r>
        <w:rPr>
          <w:rFonts w:hint="eastAsia" w:ascii="宋体" w:hAnsi="宋体" w:cs="宋体"/>
          <w:b/>
          <w:sz w:val="30"/>
          <w:szCs w:val="30"/>
          <w:highlight w:val="none"/>
        </w:rPr>
        <w:t>1.</w:t>
      </w:r>
      <w:r>
        <w:rPr>
          <w:rFonts w:hint="eastAsia" w:ascii="宋体" w:hAnsi="宋体" w:cs="宋体"/>
          <w:b/>
          <w:sz w:val="30"/>
          <w:szCs w:val="30"/>
          <w:highlight w:val="none"/>
          <w:lang w:val="zh-CN"/>
        </w:rPr>
        <w:t>中小企业声明函的格式：</w:t>
      </w:r>
    </w:p>
    <w:p>
      <w:pPr>
        <w:pStyle w:val="2"/>
        <w:rPr>
          <w:rFonts w:ascii="宋体" w:hAnsi="宋体" w:cs="宋体"/>
          <w:highlight w:val="none"/>
        </w:rPr>
      </w:pPr>
    </w:p>
    <w:p>
      <w:pPr>
        <w:spacing w:line="300" w:lineRule="auto"/>
        <w:ind w:firstLine="3520" w:firstLineChars="800"/>
        <w:rPr>
          <w:rFonts w:ascii="宋体" w:hAnsi="宋体" w:cs="宋体"/>
          <w:sz w:val="44"/>
          <w:szCs w:val="44"/>
          <w:highlight w:val="none"/>
        </w:rPr>
      </w:pPr>
      <w:r>
        <w:rPr>
          <w:rFonts w:hint="eastAsia" w:ascii="宋体" w:hAnsi="宋体" w:cs="宋体"/>
          <w:sz w:val="44"/>
          <w:szCs w:val="44"/>
          <w:highlight w:val="none"/>
        </w:rPr>
        <w:t>中小企业声明函</w:t>
      </w:r>
    </w:p>
    <w:p>
      <w:pPr>
        <w:pStyle w:val="16"/>
        <w:spacing w:after="0" w:line="360" w:lineRule="auto"/>
        <w:ind w:left="-426" w:right="142" w:firstLine="640"/>
        <w:contextualSpacing/>
        <w:rPr>
          <w:rFonts w:ascii="宋体" w:hAnsi="宋体" w:cs="宋体"/>
          <w:sz w:val="24"/>
          <w:highlight w:val="none"/>
        </w:rPr>
      </w:pPr>
    </w:p>
    <w:p>
      <w:pPr>
        <w:pStyle w:val="16"/>
        <w:spacing w:after="0" w:line="360" w:lineRule="auto"/>
        <w:ind w:left="-426" w:right="142" w:firstLine="640"/>
        <w:contextualSpacing/>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i/>
          <w:iCs/>
          <w:sz w:val="24"/>
          <w:highlight w:val="none"/>
          <w:u w:val="single"/>
        </w:rPr>
        <w:t>（单位名称）</w:t>
      </w:r>
      <w:r>
        <w:rPr>
          <w:rFonts w:hint="eastAsia" w:ascii="宋体" w:hAnsi="宋体" w:cs="宋体"/>
          <w:sz w:val="24"/>
          <w:highlight w:val="none"/>
        </w:rPr>
        <w:t>的</w:t>
      </w:r>
      <w:r>
        <w:rPr>
          <w:rFonts w:hint="eastAsia" w:ascii="宋体" w:hAnsi="宋体" w:cs="宋体"/>
          <w:i/>
          <w:iCs/>
          <w:sz w:val="24"/>
          <w:highlight w:val="none"/>
          <w:u w:val="single"/>
        </w:rPr>
        <w:t>（项目名称）</w:t>
      </w:r>
      <w:r>
        <w:rPr>
          <w:rFonts w:hint="eastAsia" w:ascii="宋体" w:hAnsi="宋体" w:cs="宋体"/>
          <w:sz w:val="24"/>
          <w:highlight w:val="none"/>
        </w:rPr>
        <w:t>采购活动，</w:t>
      </w:r>
      <w:r>
        <w:rPr>
          <w:rFonts w:hint="eastAsia" w:ascii="宋体" w:hAnsi="宋体" w:cs="宋体"/>
          <w:kern w:val="0"/>
          <w:sz w:val="24"/>
          <w:highlight w:val="none"/>
        </w:rPr>
        <w:t>服务全部由符合政策要求的中小企业承接</w:t>
      </w:r>
      <w:r>
        <w:rPr>
          <w:rFonts w:hint="eastAsia" w:ascii="宋体" w:hAnsi="宋体" w:cs="宋体"/>
          <w:sz w:val="24"/>
          <w:highlight w:val="none"/>
        </w:rPr>
        <w:t>。相关企业（含联合体中的</w:t>
      </w:r>
      <w:r>
        <w:rPr>
          <w:rFonts w:hint="eastAsia" w:ascii="宋体" w:hAnsi="宋体" w:cs="宋体"/>
          <w:kern w:val="0"/>
          <w:sz w:val="24"/>
          <w:highlight w:val="none"/>
        </w:rPr>
        <w:t>中小</w:t>
      </w:r>
      <w:r>
        <w:rPr>
          <w:rFonts w:hint="eastAsia" w:ascii="宋体" w:hAnsi="宋体" w:cs="宋体"/>
          <w:sz w:val="24"/>
          <w:highlight w:val="none"/>
        </w:rPr>
        <w:t>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w:t>
      </w:r>
      <w:r>
        <w:rPr>
          <w:rFonts w:hint="eastAsia" w:ascii="宋体" w:hAnsi="宋体" w:cs="宋体"/>
          <w:i/>
          <w:iCs/>
          <w:sz w:val="24"/>
          <w:highlight w:val="none"/>
          <w:u w:val="single"/>
        </w:rPr>
        <w:t>标的名称</w:t>
      </w:r>
      <w:r>
        <w:rPr>
          <w:rFonts w:hint="eastAsia" w:ascii="宋体" w:hAnsi="宋体" w:cs="宋体"/>
          <w:sz w:val="24"/>
          <w:highlight w:val="none"/>
          <w:u w:val="single"/>
        </w:rPr>
        <w:t>）</w:t>
      </w:r>
      <w:r>
        <w:rPr>
          <w:rFonts w:hint="eastAsia" w:ascii="宋体" w:hAnsi="宋体" w:cs="宋体"/>
          <w:sz w:val="24"/>
          <w:highlight w:val="none"/>
        </w:rPr>
        <w:t>，属于</w:t>
      </w:r>
      <w:r>
        <w:rPr>
          <w:rFonts w:hint="eastAsia" w:ascii="宋体" w:hAnsi="宋体" w:cs="宋体"/>
          <w:sz w:val="24"/>
          <w:highlight w:val="none"/>
          <w:u w:val="single"/>
        </w:rPr>
        <w:t>（</w:t>
      </w:r>
      <w:r>
        <w:rPr>
          <w:rFonts w:hint="eastAsia" w:ascii="宋体" w:hAnsi="宋体" w:cs="宋体"/>
          <w:i/>
          <w:iCs/>
          <w:sz w:val="24"/>
          <w:highlight w:val="none"/>
          <w:u w:val="single"/>
        </w:rPr>
        <w:t>采购文件中明确的所属行业</w:t>
      </w:r>
      <w:r>
        <w:rPr>
          <w:rFonts w:hint="eastAsia" w:ascii="宋体" w:hAnsi="宋体" w:cs="宋体"/>
          <w:sz w:val="24"/>
          <w:highlight w:val="none"/>
          <w:u w:val="single"/>
        </w:rPr>
        <w:t>）</w:t>
      </w:r>
      <w:r>
        <w:rPr>
          <w:rFonts w:hint="eastAsia" w:ascii="宋体" w:hAnsi="宋体" w:cs="宋体"/>
          <w:sz w:val="24"/>
          <w:highlight w:val="none"/>
        </w:rPr>
        <w:t>；</w:t>
      </w:r>
      <w:r>
        <w:rPr>
          <w:rFonts w:hint="eastAsia" w:ascii="宋体" w:hAnsi="宋体" w:cs="宋体"/>
          <w:kern w:val="0"/>
          <w:sz w:val="24"/>
          <w:highlight w:val="none"/>
        </w:rPr>
        <w:t>承建（承接）企业</w:t>
      </w:r>
      <w:r>
        <w:rPr>
          <w:rFonts w:hint="eastAsia" w:ascii="宋体" w:hAnsi="宋体" w:cs="宋体"/>
          <w:sz w:val="24"/>
          <w:highlight w:val="none"/>
        </w:rPr>
        <w:t>为</w:t>
      </w:r>
      <w:r>
        <w:rPr>
          <w:rFonts w:hint="eastAsia" w:ascii="宋体" w:hAnsi="宋体" w:cs="宋体"/>
          <w:sz w:val="24"/>
          <w:highlight w:val="none"/>
          <w:u w:val="single"/>
        </w:rPr>
        <w:t>（</w:t>
      </w:r>
      <w:r>
        <w:rPr>
          <w:rFonts w:hint="eastAsia" w:ascii="宋体" w:hAnsi="宋体" w:cs="宋体"/>
          <w:i/>
          <w:iCs/>
          <w:sz w:val="24"/>
          <w:highlight w:val="none"/>
          <w:u w:val="single"/>
        </w:rPr>
        <w:t>企业名称</w:t>
      </w:r>
      <w:r>
        <w:rPr>
          <w:rFonts w:hint="eastAsia" w:ascii="宋体" w:hAnsi="宋体" w:cs="宋体"/>
          <w:sz w:val="24"/>
          <w:highlight w:val="none"/>
          <w:u w:val="single"/>
        </w:rPr>
        <w:t>）</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w:t>
      </w:r>
      <w:r>
        <w:rPr>
          <w:rFonts w:hint="eastAsia" w:ascii="宋体" w:hAnsi="宋体" w:cs="宋体"/>
          <w:i/>
          <w:iCs/>
          <w:sz w:val="24"/>
          <w:highlight w:val="none"/>
          <w:u w:val="single"/>
        </w:rPr>
        <w:t>中型企业、小型企业、微型企业</w:t>
      </w:r>
      <w:r>
        <w:rPr>
          <w:rFonts w:hint="eastAsia" w:ascii="宋体" w:hAnsi="宋体" w:cs="宋体"/>
          <w:sz w:val="24"/>
          <w:highlight w:val="none"/>
          <w:u w:val="single"/>
        </w:rPr>
        <w:t>）</w:t>
      </w:r>
      <w:r>
        <w:rPr>
          <w:rFonts w:hint="eastAsia" w:ascii="宋体" w:hAnsi="宋体" w:cs="宋体"/>
          <w:sz w:val="24"/>
          <w:highlight w:val="none"/>
        </w:rPr>
        <w:t>；</w:t>
      </w:r>
    </w:p>
    <w:p>
      <w:pPr>
        <w:tabs>
          <w:tab w:val="left" w:pos="1065"/>
          <w:tab w:val="left" w:pos="6477"/>
        </w:tabs>
        <w:spacing w:line="360" w:lineRule="auto"/>
        <w:ind w:left="-426" w:right="-58" w:firstLine="655"/>
        <w:contextualSpacing/>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w:t>
      </w:r>
      <w:r>
        <w:rPr>
          <w:rFonts w:hint="eastAsia" w:ascii="宋体" w:hAnsi="宋体" w:cs="宋体"/>
          <w:i/>
          <w:iCs/>
          <w:sz w:val="24"/>
          <w:highlight w:val="none"/>
          <w:u w:val="single"/>
        </w:rPr>
        <w:t>标的名称</w:t>
      </w:r>
      <w:r>
        <w:rPr>
          <w:rFonts w:hint="eastAsia" w:ascii="宋体" w:hAnsi="宋体" w:cs="宋体"/>
          <w:sz w:val="24"/>
          <w:highlight w:val="none"/>
          <w:u w:val="single"/>
        </w:rPr>
        <w:t>）</w:t>
      </w:r>
      <w:r>
        <w:rPr>
          <w:rFonts w:hint="eastAsia" w:ascii="宋体" w:hAnsi="宋体" w:cs="宋体"/>
          <w:sz w:val="24"/>
          <w:highlight w:val="none"/>
        </w:rPr>
        <w:t>，属于</w:t>
      </w:r>
      <w:r>
        <w:rPr>
          <w:rFonts w:hint="eastAsia" w:ascii="宋体" w:hAnsi="宋体" w:cs="宋体"/>
          <w:sz w:val="24"/>
          <w:highlight w:val="none"/>
          <w:u w:val="single"/>
        </w:rPr>
        <w:t>（</w:t>
      </w:r>
      <w:r>
        <w:rPr>
          <w:rFonts w:hint="eastAsia" w:ascii="宋体" w:hAnsi="宋体" w:cs="宋体"/>
          <w:i/>
          <w:iCs/>
          <w:sz w:val="24"/>
          <w:highlight w:val="none"/>
          <w:u w:val="single"/>
        </w:rPr>
        <w:t>采购文件中明确的所属行业</w:t>
      </w:r>
      <w:r>
        <w:rPr>
          <w:rFonts w:hint="eastAsia" w:ascii="宋体" w:hAnsi="宋体" w:cs="宋体"/>
          <w:sz w:val="24"/>
          <w:highlight w:val="none"/>
          <w:u w:val="single"/>
        </w:rPr>
        <w:t>）</w:t>
      </w:r>
      <w:r>
        <w:rPr>
          <w:rFonts w:hint="eastAsia" w:ascii="宋体" w:hAnsi="宋体" w:cs="宋体"/>
          <w:sz w:val="24"/>
          <w:highlight w:val="none"/>
        </w:rPr>
        <w:t>；</w:t>
      </w:r>
      <w:r>
        <w:rPr>
          <w:rFonts w:hint="eastAsia" w:ascii="宋体" w:hAnsi="宋体" w:cs="宋体"/>
          <w:kern w:val="0"/>
          <w:sz w:val="24"/>
          <w:highlight w:val="none"/>
        </w:rPr>
        <w:t>承建（承接）企业</w:t>
      </w:r>
      <w:r>
        <w:rPr>
          <w:rFonts w:hint="eastAsia" w:ascii="宋体" w:hAnsi="宋体" w:cs="宋体"/>
          <w:sz w:val="24"/>
          <w:highlight w:val="none"/>
        </w:rPr>
        <w:t>为</w:t>
      </w:r>
      <w:r>
        <w:rPr>
          <w:rFonts w:hint="eastAsia" w:ascii="宋体" w:hAnsi="宋体" w:cs="宋体"/>
          <w:sz w:val="24"/>
          <w:highlight w:val="none"/>
          <w:u w:val="single"/>
        </w:rPr>
        <w:t>（</w:t>
      </w:r>
      <w:r>
        <w:rPr>
          <w:rFonts w:hint="eastAsia" w:ascii="宋体" w:hAnsi="宋体" w:cs="宋体"/>
          <w:i/>
          <w:iCs/>
          <w:sz w:val="24"/>
          <w:highlight w:val="none"/>
          <w:u w:val="single"/>
        </w:rPr>
        <w:t>企业名称</w:t>
      </w:r>
      <w:r>
        <w:rPr>
          <w:rFonts w:hint="eastAsia" w:ascii="宋体" w:hAnsi="宋体" w:cs="宋体"/>
          <w:sz w:val="24"/>
          <w:highlight w:val="none"/>
          <w:u w:val="single"/>
        </w:rPr>
        <w:t>）</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w:t>
      </w:r>
      <w:r>
        <w:rPr>
          <w:rFonts w:hint="eastAsia" w:ascii="宋体" w:hAnsi="宋体" w:cs="宋体"/>
          <w:i/>
          <w:iCs/>
          <w:sz w:val="24"/>
          <w:highlight w:val="none"/>
          <w:u w:val="single"/>
        </w:rPr>
        <w:t>中型企业、小型企业、微型企业</w:t>
      </w:r>
      <w:r>
        <w:rPr>
          <w:rFonts w:hint="eastAsia" w:ascii="宋体" w:hAnsi="宋体" w:cs="宋体"/>
          <w:sz w:val="24"/>
          <w:highlight w:val="none"/>
          <w:u w:val="single"/>
        </w:rPr>
        <w:t>）</w:t>
      </w:r>
      <w:r>
        <w:rPr>
          <w:rFonts w:hint="eastAsia" w:ascii="宋体" w:hAnsi="宋体" w:cs="宋体"/>
          <w:sz w:val="24"/>
          <w:highlight w:val="none"/>
        </w:rPr>
        <w:t>；</w:t>
      </w:r>
    </w:p>
    <w:p>
      <w:pPr>
        <w:pStyle w:val="16"/>
        <w:spacing w:after="0" w:line="360" w:lineRule="auto"/>
        <w:ind w:left="142" w:right="142"/>
        <w:contextualSpacing/>
        <w:rPr>
          <w:rFonts w:ascii="宋体" w:hAnsi="宋体" w:cs="宋体"/>
          <w:sz w:val="24"/>
          <w:highlight w:val="none"/>
        </w:rPr>
      </w:pPr>
      <w:r>
        <w:rPr>
          <w:rFonts w:hint="eastAsia" w:ascii="宋体" w:hAnsi="宋体" w:cs="宋体"/>
          <w:sz w:val="24"/>
          <w:highlight w:val="none"/>
        </w:rPr>
        <w:t xml:space="preserve">…… </w:t>
      </w:r>
    </w:p>
    <w:p>
      <w:pPr>
        <w:pStyle w:val="16"/>
        <w:spacing w:after="0" w:line="360" w:lineRule="auto"/>
        <w:ind w:left="-405" w:leftChars="-193" w:right="142" w:firstLine="453" w:firstLineChars="189"/>
        <w:contextualSpacing/>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pStyle w:val="16"/>
        <w:spacing w:after="0" w:line="360" w:lineRule="auto"/>
        <w:ind w:left="-426" w:right="142" w:firstLine="567"/>
        <w:contextualSpacing/>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pPr>
        <w:pStyle w:val="16"/>
        <w:spacing w:after="0" w:line="360" w:lineRule="auto"/>
        <w:ind w:left="3960" w:right="1808"/>
        <w:contextualSpacing/>
        <w:rPr>
          <w:rFonts w:ascii="宋体" w:hAnsi="宋体" w:cs="宋体"/>
          <w:sz w:val="24"/>
          <w:highlight w:val="none"/>
        </w:rPr>
      </w:pPr>
    </w:p>
    <w:p>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供应商名称（盖公章）：</w:t>
      </w:r>
    </w:p>
    <w:p>
      <w:pPr>
        <w:autoSpaceDE w:val="0"/>
        <w:autoSpaceDN w:val="0"/>
        <w:spacing w:line="360" w:lineRule="auto"/>
        <w:ind w:firstLine="6480" w:firstLineChars="270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pStyle w:val="16"/>
        <w:spacing w:after="0" w:line="360" w:lineRule="auto"/>
        <w:ind w:left="3960" w:right="1808"/>
        <w:contextualSpacing/>
        <w:rPr>
          <w:rFonts w:ascii="宋体" w:hAnsi="宋体" w:cs="宋体"/>
          <w:highlight w:val="none"/>
        </w:rPr>
      </w:pPr>
    </w:p>
    <w:p>
      <w:pPr>
        <w:spacing w:line="360" w:lineRule="auto"/>
        <w:ind w:firstLine="480" w:firstLineChars="200"/>
        <w:contextualSpacing/>
        <w:jc w:val="left"/>
        <w:rPr>
          <w:rFonts w:ascii="宋体" w:hAnsi="宋体" w:cs="宋体"/>
          <w:kern w:val="0"/>
          <w:sz w:val="24"/>
          <w:highlight w:val="none"/>
        </w:rPr>
      </w:pPr>
      <w:r>
        <w:rPr>
          <w:rFonts w:hint="eastAsia" w:ascii="宋体" w:hAnsi="宋体" w:cs="宋体"/>
          <w:sz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snapToGrid w:val="0"/>
        <w:spacing w:before="120" w:beforeLines="50" w:after="50" w:line="360" w:lineRule="auto"/>
        <w:outlineLvl w:val="1"/>
        <w:rPr>
          <w:rFonts w:ascii="宋体" w:hAnsi="宋体" w:cs="宋体"/>
          <w:b/>
          <w:bCs/>
          <w:sz w:val="32"/>
          <w:szCs w:val="32"/>
          <w:highlight w:val="none"/>
        </w:rPr>
        <w:sectPr>
          <w:pgSz w:w="11911" w:h="16838"/>
          <w:pgMar w:top="1134" w:right="1134" w:bottom="1134" w:left="1134" w:header="720" w:footer="720" w:gutter="0"/>
          <w:cols w:space="720" w:num="1"/>
        </w:sectPr>
      </w:pPr>
    </w:p>
    <w:p>
      <w:pPr>
        <w:spacing w:line="520" w:lineRule="exact"/>
        <w:rPr>
          <w:rFonts w:ascii="宋体" w:hAnsi="宋体" w:cs="宋体"/>
          <w:b/>
          <w:sz w:val="28"/>
          <w:szCs w:val="28"/>
          <w:highlight w:val="none"/>
        </w:rPr>
      </w:pPr>
      <w:r>
        <w:rPr>
          <w:rFonts w:hint="eastAsia" w:ascii="宋体" w:hAnsi="宋体" w:cs="宋体"/>
          <w:b/>
          <w:sz w:val="28"/>
          <w:szCs w:val="28"/>
          <w:highlight w:val="none"/>
        </w:rPr>
        <w:t>2.残疾人福利性单位声明函的格式：</w:t>
      </w:r>
    </w:p>
    <w:p>
      <w:pPr>
        <w:pStyle w:val="2"/>
        <w:rPr>
          <w:rFonts w:ascii="宋体" w:hAnsi="宋体" w:cs="宋体"/>
          <w:highlight w:val="none"/>
        </w:rPr>
      </w:pPr>
    </w:p>
    <w:p>
      <w:pPr>
        <w:spacing w:line="520" w:lineRule="exact"/>
        <w:jc w:val="center"/>
        <w:rPr>
          <w:rFonts w:ascii="宋体" w:hAnsi="宋体" w:cs="宋体"/>
          <w:sz w:val="44"/>
          <w:szCs w:val="44"/>
          <w:highlight w:val="none"/>
        </w:rPr>
      </w:pPr>
    </w:p>
    <w:p>
      <w:pPr>
        <w:spacing w:line="520" w:lineRule="exact"/>
        <w:jc w:val="center"/>
        <w:rPr>
          <w:rFonts w:ascii="宋体" w:hAnsi="宋体" w:cs="宋体"/>
          <w:b/>
          <w:bCs/>
          <w:sz w:val="36"/>
          <w:szCs w:val="36"/>
          <w:highlight w:val="none"/>
        </w:rPr>
      </w:pPr>
      <w:r>
        <w:rPr>
          <w:rFonts w:hint="eastAsia" w:ascii="宋体" w:hAnsi="宋体" w:cs="宋体"/>
          <w:b/>
          <w:bCs/>
          <w:sz w:val="36"/>
          <w:szCs w:val="36"/>
          <w:highlight w:val="none"/>
        </w:rPr>
        <w:t>残疾人福利性单位声明函</w:t>
      </w:r>
    </w:p>
    <w:p>
      <w:pPr>
        <w:spacing w:line="360" w:lineRule="auto"/>
        <w:ind w:firstLine="480" w:firstLineChars="200"/>
        <w:contextualSpacing/>
        <w:rPr>
          <w:rFonts w:ascii="宋体" w:hAnsi="宋体" w:cs="宋体"/>
          <w:sz w:val="24"/>
          <w:highlight w:val="none"/>
        </w:rPr>
      </w:pP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spacing w:line="360" w:lineRule="auto"/>
        <w:contextualSpacing/>
        <w:rPr>
          <w:rFonts w:ascii="宋体" w:hAnsi="宋体" w:cs="宋体"/>
          <w:sz w:val="24"/>
          <w:highlight w:val="none"/>
        </w:rPr>
      </w:pPr>
    </w:p>
    <w:p>
      <w:pPr>
        <w:spacing w:line="360" w:lineRule="auto"/>
        <w:contextualSpacing/>
        <w:rPr>
          <w:rFonts w:ascii="宋体" w:hAnsi="宋体" w:cs="宋体"/>
          <w:sz w:val="24"/>
          <w:highlight w:val="none"/>
        </w:rPr>
      </w:pPr>
    </w:p>
    <w:p>
      <w:pPr>
        <w:spacing w:line="360" w:lineRule="auto"/>
        <w:contextualSpacing/>
        <w:rPr>
          <w:rFonts w:ascii="宋体" w:hAnsi="宋体" w:cs="宋体"/>
          <w:sz w:val="24"/>
          <w:highlight w:val="none"/>
        </w:rPr>
      </w:pPr>
    </w:p>
    <w:p>
      <w:pPr>
        <w:spacing w:line="360" w:lineRule="auto"/>
        <w:ind w:firstLine="2400" w:firstLineChars="1000"/>
        <w:contextualSpacing/>
        <w:rPr>
          <w:rFonts w:ascii="宋体" w:hAnsi="宋体" w:cs="宋体"/>
          <w:sz w:val="24"/>
          <w:highlight w:val="none"/>
        </w:rPr>
      </w:pPr>
      <w:r>
        <w:rPr>
          <w:rFonts w:hint="eastAsia" w:ascii="宋体" w:hAnsi="宋体" w:cs="宋体"/>
          <w:sz w:val="24"/>
          <w:highlight w:val="none"/>
        </w:rPr>
        <w:t>供应商名称（盖公章）：</w:t>
      </w:r>
    </w:p>
    <w:p>
      <w:pPr>
        <w:spacing w:line="360" w:lineRule="auto"/>
        <w:ind w:firstLine="4320" w:firstLineChars="1800"/>
        <w:contextualSpacing/>
        <w:rPr>
          <w:rFonts w:ascii="宋体" w:hAnsi="宋体" w:cs="宋体"/>
          <w:sz w:val="24"/>
          <w:highlight w:val="none"/>
        </w:rPr>
      </w:pPr>
      <w:r>
        <w:rPr>
          <w:rFonts w:hint="eastAsia" w:ascii="宋体" w:hAnsi="宋体" w:cs="宋体"/>
          <w:sz w:val="24"/>
          <w:highlight w:val="none"/>
        </w:rPr>
        <w:t>日  期：     年   月   日</w:t>
      </w:r>
    </w:p>
    <w:p>
      <w:pPr>
        <w:spacing w:line="360" w:lineRule="auto"/>
        <w:contextualSpacing/>
        <w:rPr>
          <w:rFonts w:ascii="宋体" w:hAnsi="宋体" w:cs="宋体"/>
          <w:sz w:val="24"/>
          <w:highlight w:val="none"/>
        </w:rPr>
      </w:pPr>
    </w:p>
    <w:p>
      <w:pPr>
        <w:spacing w:line="360" w:lineRule="auto"/>
        <w:contextualSpacing/>
        <w:rPr>
          <w:rFonts w:ascii="宋体" w:hAnsi="宋体" w:cs="宋体"/>
          <w:sz w:val="24"/>
          <w:highlight w:val="none"/>
        </w:rPr>
      </w:pPr>
    </w:p>
    <w:p>
      <w:pPr>
        <w:spacing w:line="360" w:lineRule="auto"/>
        <w:contextualSpacing/>
        <w:rPr>
          <w:rFonts w:ascii="宋体" w:hAnsi="宋体" w:cs="宋体"/>
          <w:sz w:val="24"/>
          <w:highlight w:val="none"/>
        </w:rPr>
      </w:pP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pStyle w:val="16"/>
        <w:ind w:left="1" w:firstLine="2" w:firstLineChars="1"/>
        <w:rPr>
          <w:rFonts w:ascii="宋体" w:hAnsi="宋体" w:cs="宋体"/>
          <w:b/>
          <w:bCs/>
          <w:sz w:val="18"/>
          <w:szCs w:val="18"/>
          <w:highlight w:val="none"/>
        </w:rPr>
      </w:pPr>
      <w:r>
        <w:rPr>
          <w:rFonts w:hint="eastAsia" w:ascii="宋体" w:hAnsi="宋体" w:cs="宋体"/>
          <w:sz w:val="24"/>
          <w:highlight w:val="none"/>
        </w:rPr>
        <w:br w:type="page"/>
      </w:r>
    </w:p>
    <w:p>
      <w:pPr>
        <w:pStyle w:val="3"/>
        <w:jc w:val="both"/>
        <w:rPr>
          <w:rFonts w:ascii="宋体" w:hAnsi="宋体" w:cs="宋体"/>
          <w:b w:val="0"/>
          <w:bCs w:val="0"/>
          <w:highlight w:val="none"/>
        </w:rPr>
      </w:pPr>
      <w:bookmarkStart w:id="150" w:name="_Toc24786"/>
      <w:bookmarkStart w:id="151" w:name="_Toc80886947"/>
      <w:bookmarkStart w:id="152" w:name="_Toc15154"/>
      <w:bookmarkStart w:id="153" w:name="_Toc9343"/>
      <w:bookmarkStart w:id="154" w:name="_Toc15161"/>
      <w:bookmarkStart w:id="155" w:name="_Toc4005"/>
      <w:bookmarkStart w:id="156" w:name="_Toc18676"/>
      <w:bookmarkStart w:id="157" w:name="_Toc12748"/>
    </w:p>
    <w:p>
      <w:pPr>
        <w:pStyle w:val="3"/>
        <w:jc w:val="center"/>
        <w:rPr>
          <w:rFonts w:ascii="宋体" w:hAnsi="宋体" w:cs="宋体"/>
          <w:b w:val="0"/>
          <w:bCs w:val="0"/>
          <w:highlight w:val="none"/>
        </w:rPr>
      </w:pPr>
    </w:p>
    <w:p>
      <w:pPr>
        <w:pStyle w:val="3"/>
        <w:jc w:val="center"/>
        <w:rPr>
          <w:rFonts w:ascii="宋体" w:hAnsi="宋体" w:cs="宋体"/>
          <w:b w:val="0"/>
          <w:bCs w:val="0"/>
          <w:highlight w:val="none"/>
        </w:rPr>
      </w:pPr>
    </w:p>
    <w:p>
      <w:pPr>
        <w:pStyle w:val="3"/>
        <w:jc w:val="center"/>
        <w:rPr>
          <w:rFonts w:ascii="宋体" w:hAnsi="宋体" w:cs="宋体"/>
          <w:b w:val="0"/>
          <w:bCs w:val="0"/>
          <w:highlight w:val="none"/>
        </w:rPr>
      </w:pPr>
      <w:r>
        <w:rPr>
          <w:rFonts w:hint="eastAsia" w:ascii="宋体" w:hAnsi="宋体" w:cs="宋体"/>
          <w:b w:val="0"/>
          <w:bCs w:val="0"/>
          <w:highlight w:val="none"/>
        </w:rPr>
        <w:t>第六章  合同文本</w:t>
      </w:r>
      <w:bookmarkEnd w:id="150"/>
      <w:bookmarkEnd w:id="151"/>
      <w:bookmarkEnd w:id="152"/>
      <w:bookmarkEnd w:id="153"/>
      <w:bookmarkEnd w:id="154"/>
      <w:bookmarkEnd w:id="155"/>
      <w:bookmarkEnd w:id="156"/>
    </w:p>
    <w:p>
      <w:pPr>
        <w:snapToGrid w:val="0"/>
        <w:rPr>
          <w:rFonts w:ascii="宋体" w:hAnsi="宋体" w:cs="宋体"/>
          <w:b/>
          <w:bCs/>
          <w:sz w:val="32"/>
          <w:szCs w:val="32"/>
          <w:highlight w:val="none"/>
        </w:rPr>
      </w:pPr>
      <w:r>
        <w:rPr>
          <w:rFonts w:hint="eastAsia" w:ascii="宋体" w:hAnsi="宋体" w:cs="宋体"/>
          <w:b/>
          <w:bCs/>
          <w:highlight w:val="none"/>
        </w:rPr>
        <w:br w:type="page"/>
      </w:r>
      <w:bookmarkEnd w:id="157"/>
    </w:p>
    <w:p>
      <w:pPr>
        <w:snapToGrid w:val="0"/>
        <w:spacing w:line="480" w:lineRule="exact"/>
        <w:jc w:val="center"/>
        <w:rPr>
          <w:rFonts w:ascii="宋体" w:hAnsi="宋体" w:cs="宋体"/>
          <w:b/>
          <w:bCs/>
          <w:sz w:val="32"/>
          <w:szCs w:val="32"/>
          <w:highlight w:val="none"/>
        </w:rPr>
      </w:pPr>
    </w:p>
    <w:p>
      <w:pPr>
        <w:snapToGrid w:val="0"/>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《广西壮族自治区政府采购合同》</w:t>
      </w:r>
    </w:p>
    <w:p>
      <w:pPr>
        <w:snapToGrid w:val="0"/>
        <w:spacing w:line="480" w:lineRule="exact"/>
        <w:ind w:right="480" w:firstLine="5250" w:firstLineChars="2500"/>
        <w:rPr>
          <w:rFonts w:ascii="宋体" w:hAnsi="宋体" w:cs="宋体"/>
          <w:bCs/>
          <w:szCs w:val="21"/>
          <w:highlight w:val="none"/>
        </w:rPr>
      </w:pPr>
    </w:p>
    <w:p>
      <w:pPr>
        <w:spacing w:line="500" w:lineRule="exact"/>
        <w:ind w:right="800"/>
        <w:rPr>
          <w:rFonts w:ascii="宋体" w:hAnsi="宋体" w:cs="宋体"/>
          <w:bCs/>
          <w:szCs w:val="21"/>
          <w:highlight w:val="none"/>
          <w:u w:val="single"/>
        </w:rPr>
      </w:pPr>
      <w:r>
        <w:rPr>
          <w:rFonts w:hint="eastAsia" w:ascii="宋体" w:hAnsi="宋体" w:cs="宋体"/>
          <w:szCs w:val="21"/>
          <w:highlight w:val="none"/>
        </w:rPr>
        <w:t>采购计划号：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bCs/>
          <w:szCs w:val="21"/>
          <w:highlight w:val="none"/>
        </w:rPr>
        <w:t>合同编号：</w:t>
      </w:r>
      <w:r>
        <w:rPr>
          <w:rFonts w:hint="eastAsia" w:ascii="宋体" w:hAnsi="宋体" w:cs="宋体"/>
          <w:szCs w:val="21"/>
          <w:highlight w:val="none"/>
          <w:u w:val="single"/>
        </w:rPr>
        <w:t xml:space="preserve">                  </w:t>
      </w:r>
    </w:p>
    <w:p>
      <w:pPr>
        <w:spacing w:line="500" w:lineRule="exact"/>
        <w:rPr>
          <w:rFonts w:ascii="宋体" w:hAnsi="宋体" w:cs="宋体"/>
          <w:szCs w:val="21"/>
          <w:highlight w:val="none"/>
          <w:u w:val="single"/>
        </w:rPr>
      </w:pPr>
      <w:r>
        <w:rPr>
          <w:rFonts w:hint="eastAsia" w:ascii="宋体" w:hAnsi="宋体" w:cs="宋体"/>
          <w:szCs w:val="21"/>
          <w:highlight w:val="none"/>
        </w:rPr>
        <w:t>采购人（甲方）：</w:t>
      </w:r>
      <w:r>
        <w:rPr>
          <w:rFonts w:hint="eastAsia" w:ascii="宋体" w:hAnsi="宋体" w:cs="宋体"/>
          <w:szCs w:val="21"/>
          <w:highlight w:val="none"/>
          <w:u w:val="single"/>
        </w:rPr>
        <w:t xml:space="preserve">                     </w:t>
      </w:r>
      <w:r>
        <w:rPr>
          <w:rFonts w:hint="eastAsia" w:ascii="宋体" w:hAnsi="宋体" w:cs="宋体"/>
          <w:szCs w:val="21"/>
          <w:highlight w:val="none"/>
        </w:rPr>
        <w:t xml:space="preserve">   供应商（乙方）：</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500" w:lineRule="exact"/>
        <w:rPr>
          <w:rFonts w:ascii="宋体" w:hAnsi="宋体" w:cs="宋体"/>
          <w:szCs w:val="21"/>
          <w:highlight w:val="none"/>
          <w:u w:val="singl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项目编号：</w:t>
      </w:r>
      <w:r>
        <w:rPr>
          <w:rFonts w:hint="eastAsia" w:ascii="宋体" w:hAnsi="宋体" w:cs="宋体"/>
          <w:szCs w:val="21"/>
          <w:highlight w:val="none"/>
          <w:u w:val="single"/>
        </w:rPr>
        <w:t xml:space="preserve">                          </w:t>
      </w:r>
    </w:p>
    <w:p>
      <w:pPr>
        <w:spacing w:line="500" w:lineRule="exact"/>
        <w:rPr>
          <w:rFonts w:ascii="宋体" w:hAnsi="宋体" w:cs="宋体"/>
          <w:szCs w:val="21"/>
          <w:highlight w:val="none"/>
          <w:u w:val="single"/>
        </w:rPr>
      </w:pPr>
      <w:r>
        <w:rPr>
          <w:rFonts w:hint="eastAsia" w:ascii="宋体" w:hAnsi="宋体" w:cs="宋体"/>
          <w:szCs w:val="21"/>
          <w:highlight w:val="none"/>
        </w:rPr>
        <w:t>签订地点：</w:t>
      </w:r>
      <w:r>
        <w:rPr>
          <w:rFonts w:hint="eastAsia" w:ascii="宋体" w:hAnsi="宋体" w:cs="宋体"/>
          <w:szCs w:val="21"/>
          <w:highlight w:val="none"/>
          <w:u w:val="single"/>
        </w:rPr>
        <w:t xml:space="preserve">                           </w:t>
      </w:r>
      <w:r>
        <w:rPr>
          <w:rFonts w:hint="eastAsia" w:ascii="宋体" w:hAnsi="宋体" w:cs="宋体"/>
          <w:szCs w:val="21"/>
          <w:highlight w:val="none"/>
        </w:rPr>
        <w:t xml:space="preserve">   签订时间：</w:t>
      </w:r>
      <w:r>
        <w:rPr>
          <w:rFonts w:hint="eastAsia" w:ascii="宋体" w:hAnsi="宋体" w:cs="宋体"/>
          <w:szCs w:val="21"/>
          <w:highlight w:val="none"/>
          <w:u w:val="single"/>
        </w:rPr>
        <w:t xml:space="preserve">                        </w:t>
      </w:r>
    </w:p>
    <w:p>
      <w:pPr>
        <w:spacing w:line="500" w:lineRule="exact"/>
        <w:rPr>
          <w:rFonts w:ascii="宋体" w:hAnsi="宋体" w:cs="宋体"/>
          <w:szCs w:val="21"/>
          <w:highlight w:val="none"/>
        </w:rPr>
      </w:pPr>
      <w:r>
        <w:rPr>
          <w:rFonts w:hint="eastAsia" w:ascii="宋体" w:hAnsi="宋体" w:cs="宋体"/>
          <w:szCs w:val="21"/>
          <w:highlight w:val="none"/>
        </w:rPr>
        <w:t>本合同为中小企业预留合同：</w:t>
      </w:r>
      <w:r>
        <w:rPr>
          <w:rFonts w:hint="eastAsia" w:ascii="宋体" w:hAnsi="宋体" w:cs="宋体"/>
          <w:szCs w:val="21"/>
          <w:highlight w:val="none"/>
          <w:u w:val="single"/>
        </w:rPr>
        <w:t>（是）</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根据《中华人民共和国政府采购法》、《中华人民共和国民法典》等法律、法规规定，按照</w:t>
      </w:r>
      <w:r>
        <w:rPr>
          <w:rFonts w:hint="eastAsia" w:ascii="宋体" w:hAnsi="宋体"/>
          <w:szCs w:val="21"/>
          <w:highlight w:val="none"/>
        </w:rPr>
        <w:t>磋商文件规定条款和乙方响应文件及其承诺，甲乙双方签订本合同。</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第一条　合同标的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1、服务内容一览表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序号</w:t>
            </w:r>
          </w:p>
        </w:tc>
        <w:tc>
          <w:tcPr>
            <w:tcW w:w="1620"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服务项目</w:t>
            </w:r>
          </w:p>
        </w:tc>
        <w:tc>
          <w:tcPr>
            <w:tcW w:w="1800"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服务内容、标准</w:t>
            </w:r>
          </w:p>
        </w:tc>
        <w:tc>
          <w:tcPr>
            <w:tcW w:w="1260"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数量</w:t>
            </w:r>
          </w:p>
        </w:tc>
        <w:tc>
          <w:tcPr>
            <w:tcW w:w="1260"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单位</w:t>
            </w:r>
          </w:p>
        </w:tc>
        <w:tc>
          <w:tcPr>
            <w:tcW w:w="1440"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单  价</w:t>
            </w:r>
          </w:p>
          <w:p>
            <w:pPr>
              <w:snapToGrid w:val="0"/>
              <w:spacing w:line="360" w:lineRule="auto"/>
              <w:rPr>
                <w:rFonts w:ascii="宋体" w:hAnsi="宋体" w:cs="宋体"/>
                <w:szCs w:val="21"/>
                <w:highlight w:val="none"/>
              </w:rPr>
            </w:pPr>
            <w:r>
              <w:rPr>
                <w:rFonts w:hint="eastAsia" w:ascii="宋体" w:hAnsi="宋体" w:cs="宋体"/>
                <w:szCs w:val="21"/>
                <w:highlight w:val="none"/>
              </w:rPr>
              <w:t>（元）</w:t>
            </w:r>
          </w:p>
        </w:tc>
        <w:tc>
          <w:tcPr>
            <w:tcW w:w="1260" w:type="dxa"/>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金  额</w:t>
            </w:r>
          </w:p>
          <w:p>
            <w:pPr>
              <w:snapToGrid w:val="0"/>
              <w:spacing w:line="360" w:lineRule="auto"/>
              <w:rPr>
                <w:rFonts w:ascii="宋体" w:hAnsi="宋体" w:cs="宋体"/>
                <w:szCs w:val="21"/>
                <w:highlight w:val="none"/>
              </w:rPr>
            </w:pPr>
            <w:r>
              <w:rPr>
                <w:rFonts w:hint="eastAsia" w:ascii="宋体" w:hAnsi="宋体" w:cs="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Align w:val="center"/>
          </w:tcPr>
          <w:p>
            <w:pPr>
              <w:snapToGrid w:val="0"/>
              <w:spacing w:line="360" w:lineRule="auto"/>
              <w:rPr>
                <w:rFonts w:ascii="宋体" w:hAnsi="宋体" w:cs="宋体"/>
                <w:szCs w:val="21"/>
                <w:highlight w:val="none"/>
              </w:rPr>
            </w:pPr>
          </w:p>
        </w:tc>
        <w:tc>
          <w:tcPr>
            <w:tcW w:w="1620" w:type="dxa"/>
            <w:vAlign w:val="center"/>
          </w:tcPr>
          <w:p>
            <w:pPr>
              <w:snapToGrid w:val="0"/>
              <w:spacing w:line="360" w:lineRule="auto"/>
              <w:rPr>
                <w:rFonts w:ascii="宋体" w:hAnsi="宋体" w:cs="宋体"/>
                <w:szCs w:val="21"/>
                <w:highlight w:val="none"/>
              </w:rPr>
            </w:pPr>
          </w:p>
        </w:tc>
        <w:tc>
          <w:tcPr>
            <w:tcW w:w="1800" w:type="dxa"/>
            <w:vAlign w:val="center"/>
          </w:tcPr>
          <w:p>
            <w:pPr>
              <w:snapToGrid w:val="0"/>
              <w:spacing w:line="360" w:lineRule="auto"/>
              <w:rPr>
                <w:rFonts w:ascii="宋体" w:hAnsi="宋体" w:cs="宋体"/>
                <w:szCs w:val="21"/>
                <w:highlight w:val="none"/>
              </w:rPr>
            </w:pPr>
          </w:p>
        </w:tc>
        <w:tc>
          <w:tcPr>
            <w:tcW w:w="1260" w:type="dxa"/>
          </w:tcPr>
          <w:p>
            <w:pPr>
              <w:snapToGrid w:val="0"/>
              <w:spacing w:line="360" w:lineRule="auto"/>
              <w:rPr>
                <w:rFonts w:ascii="宋体" w:hAnsi="宋体" w:cs="宋体"/>
                <w:szCs w:val="21"/>
                <w:highlight w:val="none"/>
              </w:rPr>
            </w:pPr>
          </w:p>
        </w:tc>
        <w:tc>
          <w:tcPr>
            <w:tcW w:w="1260" w:type="dxa"/>
          </w:tcPr>
          <w:p>
            <w:pPr>
              <w:snapToGrid w:val="0"/>
              <w:spacing w:line="360" w:lineRule="auto"/>
              <w:rPr>
                <w:rFonts w:ascii="宋体" w:hAnsi="宋体" w:cs="宋体"/>
                <w:szCs w:val="21"/>
                <w:highlight w:val="none"/>
              </w:rPr>
            </w:pPr>
          </w:p>
        </w:tc>
        <w:tc>
          <w:tcPr>
            <w:tcW w:w="1440" w:type="dxa"/>
            <w:vAlign w:val="center"/>
          </w:tcPr>
          <w:p>
            <w:pPr>
              <w:snapToGrid w:val="0"/>
              <w:spacing w:line="360" w:lineRule="auto"/>
              <w:rPr>
                <w:rFonts w:ascii="宋体" w:hAnsi="宋体" w:cs="宋体"/>
                <w:szCs w:val="21"/>
                <w:highlight w:val="none"/>
              </w:rPr>
            </w:pPr>
          </w:p>
        </w:tc>
        <w:tc>
          <w:tcPr>
            <w:tcW w:w="1260" w:type="dxa"/>
            <w:vAlign w:val="center"/>
          </w:tcPr>
          <w:p>
            <w:pPr>
              <w:snapToGri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Align w:val="center"/>
          </w:tcPr>
          <w:p>
            <w:pPr>
              <w:snapToGrid w:val="0"/>
              <w:spacing w:line="360" w:lineRule="auto"/>
              <w:rPr>
                <w:rFonts w:ascii="宋体" w:hAnsi="宋体" w:cs="宋体"/>
                <w:szCs w:val="21"/>
                <w:highlight w:val="none"/>
              </w:rPr>
            </w:pPr>
          </w:p>
        </w:tc>
        <w:tc>
          <w:tcPr>
            <w:tcW w:w="1620" w:type="dxa"/>
            <w:vAlign w:val="center"/>
          </w:tcPr>
          <w:p>
            <w:pPr>
              <w:snapToGrid w:val="0"/>
              <w:spacing w:line="360" w:lineRule="auto"/>
              <w:rPr>
                <w:rFonts w:ascii="宋体" w:hAnsi="宋体" w:cs="宋体"/>
                <w:szCs w:val="21"/>
                <w:highlight w:val="none"/>
              </w:rPr>
            </w:pPr>
          </w:p>
        </w:tc>
        <w:tc>
          <w:tcPr>
            <w:tcW w:w="1800" w:type="dxa"/>
            <w:vAlign w:val="center"/>
          </w:tcPr>
          <w:p>
            <w:pPr>
              <w:snapToGrid w:val="0"/>
              <w:spacing w:line="360" w:lineRule="auto"/>
              <w:rPr>
                <w:rFonts w:ascii="宋体" w:hAnsi="宋体" w:cs="宋体"/>
                <w:szCs w:val="21"/>
                <w:highlight w:val="none"/>
              </w:rPr>
            </w:pPr>
          </w:p>
        </w:tc>
        <w:tc>
          <w:tcPr>
            <w:tcW w:w="1260" w:type="dxa"/>
          </w:tcPr>
          <w:p>
            <w:pPr>
              <w:snapToGrid w:val="0"/>
              <w:spacing w:line="360" w:lineRule="auto"/>
              <w:rPr>
                <w:rFonts w:ascii="宋体" w:hAnsi="宋体" w:cs="宋体"/>
                <w:szCs w:val="21"/>
                <w:highlight w:val="none"/>
              </w:rPr>
            </w:pPr>
          </w:p>
        </w:tc>
        <w:tc>
          <w:tcPr>
            <w:tcW w:w="1260" w:type="dxa"/>
          </w:tcPr>
          <w:p>
            <w:pPr>
              <w:snapToGrid w:val="0"/>
              <w:spacing w:line="360" w:lineRule="auto"/>
              <w:rPr>
                <w:rFonts w:ascii="宋体" w:hAnsi="宋体" w:cs="宋体"/>
                <w:szCs w:val="21"/>
                <w:highlight w:val="none"/>
              </w:rPr>
            </w:pPr>
          </w:p>
        </w:tc>
        <w:tc>
          <w:tcPr>
            <w:tcW w:w="1440" w:type="dxa"/>
            <w:vAlign w:val="center"/>
          </w:tcPr>
          <w:p>
            <w:pPr>
              <w:snapToGrid w:val="0"/>
              <w:spacing w:line="360" w:lineRule="auto"/>
              <w:rPr>
                <w:rFonts w:ascii="宋体" w:hAnsi="宋体" w:cs="宋体"/>
                <w:szCs w:val="21"/>
                <w:highlight w:val="none"/>
              </w:rPr>
            </w:pPr>
          </w:p>
        </w:tc>
        <w:tc>
          <w:tcPr>
            <w:tcW w:w="1260" w:type="dxa"/>
            <w:vAlign w:val="center"/>
          </w:tcPr>
          <w:p>
            <w:pPr>
              <w:snapToGrid w:val="0"/>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 xml:space="preserve">人民币合计金额（大写）                          （小写）                 </w:t>
            </w:r>
          </w:p>
        </w:tc>
      </w:tr>
    </w:tbl>
    <w:p>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第二条　质量保证</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第三条　权利保证</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1、乙方应保证所提供服务在使用时不会侵犯任何第三方的专利权、商标权、工业设计权等知识产权及其他合法权利，且所有权、处分权等没有受到任何限制。</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420" w:firstLineChars="200"/>
        <w:rPr>
          <w:rFonts w:ascii="宋体" w:hAnsi="宋体"/>
          <w:highlight w:val="none"/>
        </w:rPr>
      </w:pPr>
      <w:r>
        <w:rPr>
          <w:rFonts w:ascii="宋体" w:hAnsi="宋体"/>
          <w:kern w:val="0"/>
          <w:highlight w:val="none"/>
        </w:rPr>
        <w:t>3.</w:t>
      </w:r>
      <w:r>
        <w:rPr>
          <w:rFonts w:hint="eastAsia" w:ascii="宋体" w:hAnsi="宋体"/>
          <w:kern w:val="0"/>
          <w:highlight w:val="none"/>
        </w:rPr>
        <w:t>服务期间乙方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w:t>
      </w:r>
    </w:p>
    <w:p>
      <w:pPr>
        <w:snapToGrid w:val="0"/>
        <w:spacing w:line="360" w:lineRule="auto"/>
        <w:ind w:firstLine="420" w:firstLineChars="200"/>
        <w:rPr>
          <w:rFonts w:ascii="宋体" w:hAnsi="宋体"/>
          <w:highlight w:val="none"/>
        </w:rPr>
      </w:pPr>
      <w:r>
        <w:rPr>
          <w:rFonts w:ascii="宋体" w:hAnsi="宋体"/>
          <w:kern w:val="0"/>
          <w:highlight w:val="none"/>
        </w:rPr>
        <w:t>4.</w:t>
      </w:r>
      <w:r>
        <w:rPr>
          <w:rFonts w:hint="eastAsia" w:ascii="宋体" w:hAnsi="宋体"/>
          <w:kern w:val="0"/>
          <w:highlight w:val="none"/>
        </w:rPr>
        <w:t>服务期间涉及的政务数据和其他数据须分开处理，不得私自将工作中处理的数据进行变更处理。乙方在服务期间处理数据，涉及到个人信息时，须按照国家个人信息保护相关管理规定，做好数据处理存储工作。甲方具有所有权、使用权和访问权，乙方不得私自更改、访问、利用和销毁服务期间涉及到的政务数据信息。</w:t>
      </w:r>
    </w:p>
    <w:p>
      <w:pPr>
        <w:snapToGrid w:val="0"/>
        <w:spacing w:line="360" w:lineRule="auto"/>
        <w:ind w:firstLine="420" w:firstLineChars="200"/>
        <w:rPr>
          <w:rFonts w:ascii="宋体" w:hAnsi="宋体"/>
          <w:kern w:val="0"/>
          <w:highlight w:val="none"/>
        </w:rPr>
      </w:pPr>
      <w:r>
        <w:rPr>
          <w:rFonts w:ascii="宋体" w:hAnsi="宋体"/>
          <w:kern w:val="0"/>
          <w:highlight w:val="none"/>
        </w:rPr>
        <w:t>5.乙方需配合甲方</w:t>
      </w:r>
      <w:r>
        <w:rPr>
          <w:rFonts w:hint="eastAsia" w:ascii="宋体" w:hAnsi="宋体"/>
          <w:kern w:val="0"/>
          <w:highlight w:val="none"/>
        </w:rPr>
        <w:t>做好网络安全漏洞检查，发现安全漏洞、缺陷及安全风险须及时通报甲方，并形成报告向区网信、公安部门报告，安全漏洞未经网信、公安部门同意，不得向第三人公开。</w:t>
      </w:r>
    </w:p>
    <w:p>
      <w:pPr>
        <w:snapToGrid w:val="0"/>
        <w:spacing w:line="360" w:lineRule="auto"/>
        <w:ind w:firstLine="420" w:firstLineChars="200"/>
        <w:rPr>
          <w:rFonts w:ascii="宋体" w:hAnsi="宋体"/>
          <w:kern w:val="0"/>
          <w:highlight w:val="none"/>
        </w:rPr>
      </w:pPr>
      <w:r>
        <w:rPr>
          <w:rFonts w:ascii="宋体" w:hAnsi="宋体"/>
          <w:kern w:val="0"/>
          <w:highlight w:val="none"/>
        </w:rPr>
        <w:t>6.</w:t>
      </w:r>
      <w:r>
        <w:rPr>
          <w:rFonts w:hint="eastAsia" w:ascii="宋体" w:hAnsi="宋体"/>
          <w:kern w:val="0"/>
          <w:highlight w:val="none"/>
        </w:rPr>
        <w:t xml:space="preserve">处理数据时优先使用国产安全可信的硬件软件产品，硬软件信息系统须按照国家密码管理要求设置不限于数字字母特殊字符组合的强口令的密码。   </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第四条　交付和验收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1、服务期限：</w:t>
      </w:r>
      <w:r>
        <w:rPr>
          <w:rFonts w:hint="eastAsia" w:ascii="宋体" w:hAnsi="宋体" w:cs="宋体"/>
          <w:szCs w:val="21"/>
          <w:highlight w:val="none"/>
          <w:u w:val="single"/>
        </w:rPr>
        <w:t xml:space="preserve">                    </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服务地点：广西区内采购人指定地点。</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2、乙方应按响应文件的承诺向甲方提供相应的服务，并提供所服务内容的相关技术资料。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3、乙方提供不符合响应文件和本合同规定的服务成果，甲方有权拒绝接受。</w:t>
      </w:r>
    </w:p>
    <w:p>
      <w:pPr>
        <w:spacing w:line="360" w:lineRule="auto"/>
        <w:ind w:firstLine="420" w:firstLineChars="200"/>
        <w:rPr>
          <w:rFonts w:ascii="宋体" w:hAnsi="宋体"/>
          <w:szCs w:val="21"/>
          <w:highlight w:val="none"/>
        </w:rPr>
      </w:pPr>
      <w:r>
        <w:rPr>
          <w:rFonts w:hint="eastAsia" w:ascii="宋体" w:hAnsi="宋体"/>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pPr>
        <w:spacing w:line="360" w:lineRule="auto"/>
        <w:ind w:firstLine="420" w:firstLineChars="200"/>
        <w:rPr>
          <w:rFonts w:ascii="宋体" w:hAnsi="宋体"/>
          <w:szCs w:val="21"/>
          <w:highlight w:val="none"/>
        </w:rPr>
      </w:pPr>
      <w:r>
        <w:rPr>
          <w:rFonts w:hint="eastAsia" w:ascii="宋体" w:hAnsi="宋体" w:cs="宋体"/>
          <w:szCs w:val="21"/>
          <w:highlight w:val="none"/>
        </w:rPr>
        <w:t>5、甲乙双方应按照《</w:t>
      </w:r>
      <w:r>
        <w:rPr>
          <w:rFonts w:ascii="宋体" w:hAnsi="宋体" w:cs="宋体"/>
          <w:szCs w:val="21"/>
          <w:highlight w:val="none"/>
        </w:rPr>
        <w:t>广西壮族自治区政府采购项目履约验收管理办法</w:t>
      </w:r>
      <w:r>
        <w:rPr>
          <w:rFonts w:hint="eastAsia" w:ascii="宋体" w:hAnsi="宋体" w:cs="宋体"/>
          <w:szCs w:val="21"/>
          <w:highlight w:val="none"/>
        </w:rPr>
        <w:t>》、双方合同、响应文件验收。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7、甲方验收时以书面形式提出异议的，乙方应自收到甲方书面异议后五个工作日内及时予以解决，否则甲方有权不出具服务验收合格单。</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第五条  售后服务及培训</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1、乙方应按照国家有关法律法规和本合同所附的《售后服务承诺》要求为甲方提供相应的售后服务。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2、甲方应提供必要测试条件（如场地、电源、水源等）。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3、乙方负责甲方有关人员的培训。培训时间、地点：</w:t>
      </w:r>
      <w:r>
        <w:rPr>
          <w:rFonts w:hint="eastAsia" w:ascii="宋体" w:hAnsi="宋体" w:cs="宋体"/>
          <w:szCs w:val="21"/>
          <w:highlight w:val="none"/>
          <w:u w:val="single"/>
        </w:rPr>
        <w:t>广西壮族自治区内采购人指定地点。</w:t>
      </w:r>
      <w:r>
        <w:rPr>
          <w:rFonts w:ascii="宋体" w:hAnsi="宋体" w:cs="宋体"/>
          <w:szCs w:val="21"/>
          <w:highlight w:val="none"/>
          <w:u w:val="single"/>
        </w:rPr>
        <w:t xml:space="preserve">    </w:t>
      </w:r>
      <w:r>
        <w:rPr>
          <w:rFonts w:hint="eastAsia" w:ascii="宋体" w:hAnsi="宋体" w:cs="宋体"/>
          <w:szCs w:val="21"/>
          <w:highlight w:val="none"/>
        </w:rPr>
        <w:t>。</w:t>
      </w:r>
    </w:p>
    <w:p>
      <w:pPr>
        <w:snapToGrid w:val="0"/>
        <w:spacing w:line="360" w:lineRule="auto"/>
        <w:ind w:firstLine="422" w:firstLineChars="200"/>
        <w:rPr>
          <w:rFonts w:ascii="宋体" w:hAnsi="宋体" w:cs="宋体"/>
          <w:szCs w:val="21"/>
          <w:highlight w:val="none"/>
          <w:u w:val="single"/>
        </w:rPr>
      </w:pPr>
      <w:r>
        <w:rPr>
          <w:rFonts w:hint="eastAsia" w:ascii="宋体" w:hAnsi="宋体" w:cs="宋体"/>
          <w:b/>
          <w:szCs w:val="21"/>
          <w:highlight w:val="none"/>
        </w:rPr>
        <w:t>第六条　付款方式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签订合同后十个工作日内，甲方向乙方支付合同总额的70%；项目服务能力验收通过后，甲方向乙方支付合同总额的30%。乙方自收到合同价款之日起三个工作日内，开具发票给甲方。</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第七条　履约保证金</w:t>
      </w:r>
    </w:p>
    <w:p>
      <w:pPr>
        <w:spacing w:line="360" w:lineRule="auto"/>
        <w:contextualSpacing/>
        <w:rPr>
          <w:rFonts w:hAnsi="宋体"/>
          <w:color w:val="000000"/>
          <w:szCs w:val="21"/>
          <w:highlight w:val="none"/>
        </w:rPr>
      </w:pPr>
      <w:r>
        <w:rPr>
          <w:rFonts w:hint="eastAsia"/>
          <w:highlight w:val="none"/>
        </w:rPr>
        <w:t>履约保证金：成交人向采购人指定账户交纳成交金额的</w:t>
      </w:r>
      <w:r>
        <w:rPr>
          <w:rFonts w:hint="eastAsia"/>
          <w:highlight w:val="none"/>
          <w:u w:val="single"/>
        </w:rPr>
        <w:t>2%</w:t>
      </w:r>
      <w:r>
        <w:rPr>
          <w:rFonts w:hint="eastAsia"/>
          <w:highlight w:val="none"/>
        </w:rPr>
        <w:t>作为本项目的履约保证金。</w:t>
      </w:r>
      <w:r>
        <w:rPr>
          <w:rFonts w:hint="eastAsia" w:hAnsi="宋体"/>
          <w:color w:val="000000"/>
          <w:szCs w:val="21"/>
          <w:highlight w:val="none"/>
        </w:rPr>
        <w:t>合同签订前支付到采购人指定账户。</w:t>
      </w:r>
    </w:p>
    <w:p>
      <w:pPr>
        <w:spacing w:line="360" w:lineRule="auto"/>
        <w:contextualSpacing/>
        <w:rPr>
          <w:rFonts w:ascii="宋体" w:hAnsi="宋体" w:cs="宋体"/>
          <w:szCs w:val="21"/>
          <w:highlight w:val="none"/>
        </w:rPr>
      </w:pPr>
      <w:r>
        <w:rPr>
          <w:rFonts w:hint="eastAsia" w:ascii="宋体" w:hAnsi="宋体" w:cs="宋体"/>
          <w:szCs w:val="21"/>
          <w:highlight w:val="none"/>
        </w:rPr>
        <w:t>履约保证金指定账户：</w:t>
      </w:r>
    </w:p>
    <w:p>
      <w:pPr>
        <w:spacing w:line="360" w:lineRule="auto"/>
        <w:rPr>
          <w:rFonts w:ascii="宋体" w:hAnsi="宋体" w:cs="宋体"/>
          <w:szCs w:val="21"/>
          <w:highlight w:val="none"/>
          <w:u w:val="single"/>
        </w:rPr>
      </w:pPr>
      <w:r>
        <w:rPr>
          <w:rFonts w:hint="eastAsia" w:ascii="宋体" w:hAnsi="宋体" w:cs="宋体"/>
          <w:szCs w:val="21"/>
          <w:highlight w:val="none"/>
        </w:rPr>
        <w:t>开户名称：广西壮族自治区道路运输发展中心</w:t>
      </w:r>
    </w:p>
    <w:p>
      <w:pPr>
        <w:spacing w:line="360" w:lineRule="auto"/>
        <w:rPr>
          <w:rFonts w:ascii="宋体" w:hAnsi="宋体" w:cs="宋体"/>
          <w:szCs w:val="21"/>
          <w:highlight w:val="none"/>
          <w:u w:val="single"/>
        </w:rPr>
      </w:pPr>
      <w:r>
        <w:rPr>
          <w:rFonts w:hint="eastAsia" w:ascii="宋体" w:hAnsi="宋体" w:cs="宋体"/>
          <w:szCs w:val="21"/>
          <w:highlight w:val="none"/>
          <w:u w:val="single"/>
        </w:rPr>
        <w:t>银行账户：2102101109221017081</w:t>
      </w:r>
    </w:p>
    <w:p>
      <w:pPr>
        <w:spacing w:line="360" w:lineRule="auto"/>
        <w:rPr>
          <w:rFonts w:ascii="宋体" w:hAnsi="宋体" w:cs="宋体"/>
          <w:szCs w:val="21"/>
          <w:highlight w:val="none"/>
          <w:u w:val="single"/>
        </w:rPr>
      </w:pPr>
      <w:r>
        <w:rPr>
          <w:rFonts w:hint="eastAsia" w:ascii="宋体" w:hAnsi="宋体" w:cs="宋体"/>
          <w:szCs w:val="21"/>
          <w:highlight w:val="none"/>
          <w:u w:val="single"/>
        </w:rPr>
        <w:t>开户银行：工行南宁市公园支行</w:t>
      </w:r>
    </w:p>
    <w:p>
      <w:pPr>
        <w:pStyle w:val="21"/>
        <w:spacing w:line="300" w:lineRule="exact"/>
        <w:jc w:val="left"/>
        <w:rPr>
          <w:highlight w:val="none"/>
        </w:rPr>
      </w:pPr>
      <w:r>
        <w:rPr>
          <w:rFonts w:hint="eastAsia" w:hAnsi="宋体" w:cs="宋体"/>
          <w:highlight w:val="none"/>
          <w:u w:val="single"/>
        </w:rPr>
        <w:t>行号：102611010117</w:t>
      </w:r>
    </w:p>
    <w:p>
      <w:pPr>
        <w:spacing w:line="360" w:lineRule="auto"/>
        <w:ind w:firstLine="420" w:firstLineChars="200"/>
        <w:rPr>
          <w:rFonts w:ascii="宋体" w:hAnsi="宋体" w:cs="宋体"/>
          <w:szCs w:val="21"/>
          <w:highlight w:val="none"/>
        </w:rPr>
      </w:pPr>
      <w:r>
        <w:rPr>
          <w:rFonts w:hint="eastAsia" w:ascii="宋体" w:hAnsi="宋体"/>
          <w:kern w:val="0"/>
          <w:szCs w:val="21"/>
          <w:highlight w:val="none"/>
        </w:rPr>
        <w:t>履约保证金退付方式、时间及条件：本项目质保期结束后由乙方向甲方提供《广西壮族自治区政府采购项目合同验收书》（详见附件1）及《政府采购项目履约保证金退付意见书》（详见附件2），乙方在收到合格材料后15个工作日内办理退还手续（不计利息）。</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第八条  税费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本合同执行中相关的一切税费均由乙方负担，合同另有约定的除外。</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第九条　违约责任</w:t>
      </w:r>
    </w:p>
    <w:p>
      <w:pPr>
        <w:snapToGrid w:val="0"/>
        <w:spacing w:line="360" w:lineRule="auto"/>
        <w:ind w:firstLine="420" w:firstLineChars="200"/>
        <w:rPr>
          <w:rFonts w:ascii="宋体" w:hAnsi="宋体" w:cs="宋体"/>
          <w:szCs w:val="21"/>
          <w:highlight w:val="none"/>
        </w:rPr>
      </w:pPr>
      <w:r>
        <w:rPr>
          <w:rFonts w:hint="eastAsia" w:ascii="宋体" w:hAnsi="宋体"/>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szCs w:val="21"/>
          <w:highlight w:val="none"/>
        </w:rPr>
        <w:t xml:space="preserve">                                  </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2、乙方提供的服务如侵犯了第三方合法权益而引发的任何纠纷或者诉讼，均由乙方负责交涉并承担全部责任。</w:t>
      </w:r>
    </w:p>
    <w:p>
      <w:pPr>
        <w:snapToGrid w:val="0"/>
        <w:spacing w:line="360" w:lineRule="auto"/>
        <w:ind w:firstLine="420" w:firstLineChars="200"/>
        <w:rPr>
          <w:rFonts w:ascii="宋体" w:hAnsi="宋体" w:cs="宋体"/>
          <w:szCs w:val="21"/>
          <w:highlight w:val="none"/>
        </w:rPr>
      </w:pPr>
      <w:r>
        <w:rPr>
          <w:rFonts w:ascii="宋体" w:hAnsi="宋体"/>
          <w:szCs w:val="21"/>
          <w:highlight w:val="none"/>
        </w:rPr>
        <w:t>3</w:t>
      </w:r>
      <w:r>
        <w:rPr>
          <w:rFonts w:hint="eastAsia" w:ascii="宋体" w:hAnsi="宋体"/>
          <w:szCs w:val="21"/>
          <w:highlight w:val="none"/>
        </w:rPr>
        <w:t>、甲方延期付款的，每天向乙方偿付延期款额3‰滞纳金，但滞纳金累计不得超过延期款额5%。</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第十条  不可抗力事件处理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3、不可抗力事件延续一百二十天以上，双方应通过友好协商，确定是否继续履行合同。</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第十一条  合同争议解决</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2、因履行本合同引起的或者与本合同有关的争议，甲乙双方应首先通过友好协商解决，如果协商不能解决，可向甲方所在地有管辖权的人民法院提起诉讼。</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3、诉讼期间，本合同继续履行。</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第十二条  合同生效及其它</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1、合同经双方法定代表人或者授权代表签字并加盖单位公章后生效（委托代理人签字的需后附法定代表人授权委托书，格式自拟）。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2、合同执行中涉及采购资金和采购内容修改或者补充的，须经财政部门审批，并签书面补充协议报财政部门备案，方可作为主合同不可分割的一部分。</w:t>
      </w:r>
    </w:p>
    <w:p>
      <w:pPr>
        <w:pStyle w:val="2"/>
        <w:spacing w:line="360" w:lineRule="auto"/>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3、乙方按照合同规定开发的系统知识产权归甲乙双方共有。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4、本合同未尽事宜，遵照《中华人民共和国民法典》有关条文执行。</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第十三条　合同的变更、终止与转让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1、除《中华人民共和国政府采购法》第五十条规定的情形外，本合同一经签订，甲乙双方不得擅自变更、中止或者终止。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2、乙方不得擅自转让其应履行的合同义务。</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第十四条　签订本合同依据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1、竞争性磋商文件；2、乙方提供的竞标文件；3、成交通知书。</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第十五条　</w:t>
      </w:r>
      <w:r>
        <w:rPr>
          <w:rFonts w:hint="eastAsia" w:ascii="宋体" w:hAnsi="宋体" w:cs="宋体"/>
          <w:szCs w:val="21"/>
          <w:highlight w:val="none"/>
        </w:rPr>
        <w:t>本合同一式六份，具有同等法律效力，财政部门（政府采购监管部门）、采购代理机构各一份，甲乙双方各两份（可根据需要另增加）。</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本合同甲乙双方签字盖章后生效，自签订之日起两个工作日内，采购人或采购代理机构应当将合同进行网上公示。</w:t>
      </w:r>
    </w:p>
    <w:tbl>
      <w:tblPr>
        <w:tblStyle w:val="31"/>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9"/>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甲方：（章）</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ind w:firstLine="945" w:firstLineChars="450"/>
              <w:jc w:val="right"/>
              <w:rPr>
                <w:rFonts w:ascii="宋体" w:hAnsi="宋体" w:cs="宋体"/>
                <w:szCs w:val="21"/>
                <w:highlight w:val="none"/>
              </w:rPr>
            </w:pPr>
          </w:p>
          <w:p>
            <w:pPr>
              <w:snapToGrid w:val="0"/>
              <w:spacing w:line="360" w:lineRule="auto"/>
              <w:ind w:firstLine="945" w:firstLineChars="450"/>
              <w:jc w:val="right"/>
              <w:rPr>
                <w:rFonts w:ascii="宋体" w:hAnsi="宋体" w:cs="宋体"/>
                <w:szCs w:val="21"/>
                <w:highlight w:val="none"/>
              </w:rPr>
            </w:pPr>
            <w:r>
              <w:rPr>
                <w:rFonts w:hint="eastAsia" w:ascii="宋体" w:hAnsi="宋体" w:cs="宋体"/>
                <w:szCs w:val="21"/>
                <w:highlight w:val="none"/>
              </w:rPr>
              <w:t>年   月   日</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 xml:space="preserve">乙方：（章）       </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 xml:space="preserve">       </w:t>
            </w:r>
          </w:p>
          <w:p>
            <w:pPr>
              <w:snapToGrid w:val="0"/>
              <w:spacing w:line="360" w:lineRule="auto"/>
              <w:jc w:val="right"/>
              <w:rPr>
                <w:rFonts w:ascii="宋体" w:hAnsi="宋体" w:cs="宋体"/>
                <w:szCs w:val="21"/>
                <w:highlight w:val="none"/>
              </w:rPr>
            </w:pPr>
          </w:p>
          <w:p>
            <w:pPr>
              <w:snapToGrid w:val="0"/>
              <w:spacing w:line="360" w:lineRule="auto"/>
              <w:jc w:val="right"/>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 xml:space="preserve">单位地址： </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法定代表人：</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委托代理人：</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电话：</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 xml:space="preserve">开户银行： </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账号：</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邮政编码：</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7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bookmarkStart w:id="158" w:name="_Toc28283"/>
            <w:bookmarkStart w:id="159" w:name="_Toc80886951"/>
            <w:bookmarkStart w:id="160" w:name="_Toc8963"/>
            <w:bookmarkStart w:id="161" w:name="_Toc29624"/>
            <w:bookmarkStart w:id="162" w:name="_Toc178"/>
            <w:bookmarkStart w:id="163" w:name="_Toc610"/>
            <w:bookmarkStart w:id="164" w:name="_Toc20915"/>
            <w:bookmarkStart w:id="165" w:name="_Toc13011"/>
            <w:r>
              <w:rPr>
                <w:rFonts w:hint="eastAsia" w:ascii="宋体" w:hAnsi="宋体" w:cs="宋体"/>
                <w:szCs w:val="21"/>
                <w:highlight w:val="none"/>
              </w:rPr>
              <w:t>纳税人识别号或统一社会信用代码：</w:t>
            </w:r>
          </w:p>
        </w:tc>
        <w:tc>
          <w:tcPr>
            <w:tcW w:w="48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纳税人识别号或统一社会信用代码：</w:t>
            </w:r>
          </w:p>
        </w:tc>
      </w:tr>
    </w:tbl>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widowControl/>
        <w:shd w:val="clear" w:color="auto" w:fill="FFFFFF"/>
        <w:spacing w:line="480" w:lineRule="atLeast"/>
        <w:rPr>
          <w:rFonts w:ascii="宋体" w:hAnsi="宋体" w:cs="宋体"/>
          <w:kern w:val="0"/>
          <w:sz w:val="28"/>
          <w:szCs w:val="28"/>
          <w:highlight w:val="none"/>
        </w:rPr>
      </w:pPr>
      <w:r>
        <w:rPr>
          <w:rFonts w:hint="eastAsia" w:ascii="宋体" w:hAnsi="宋体" w:cs="宋体"/>
          <w:sz w:val="28"/>
          <w:szCs w:val="28"/>
          <w:highlight w:val="none"/>
        </w:rPr>
        <w:t>附件1</w:t>
      </w:r>
      <w:r>
        <w:rPr>
          <w:rFonts w:hint="eastAsia" w:ascii="宋体" w:hAnsi="宋体" w:cs="宋体"/>
          <w:kern w:val="0"/>
          <w:sz w:val="28"/>
          <w:szCs w:val="28"/>
          <w:highlight w:val="none"/>
        </w:rPr>
        <w:t>广西壮族自治区政府采购项目合同验收书的格式：</w:t>
      </w:r>
    </w:p>
    <w:p>
      <w:pPr>
        <w:spacing w:line="360" w:lineRule="auto"/>
        <w:ind w:firstLine="480" w:firstLineChars="200"/>
        <w:contextualSpacing/>
        <w:rPr>
          <w:rFonts w:ascii="宋体" w:hAnsi="宋体" w:cs="宋体"/>
          <w:sz w:val="24"/>
          <w:highlight w:val="none"/>
        </w:rPr>
      </w:pPr>
    </w:p>
    <w:p>
      <w:pPr>
        <w:widowControl/>
        <w:shd w:val="clear" w:color="auto" w:fill="FFFFFF"/>
        <w:spacing w:line="480" w:lineRule="atLeast"/>
        <w:jc w:val="center"/>
        <w:rPr>
          <w:rFonts w:ascii="宋体" w:hAnsi="宋体" w:cs="宋体"/>
          <w:kern w:val="0"/>
          <w:sz w:val="32"/>
          <w:szCs w:val="32"/>
          <w:highlight w:val="none"/>
        </w:rPr>
      </w:pPr>
      <w:r>
        <w:rPr>
          <w:rFonts w:hint="eastAsia" w:ascii="宋体" w:hAnsi="宋体" w:cs="宋体"/>
          <w:b/>
          <w:bCs/>
          <w:kern w:val="0"/>
          <w:sz w:val="32"/>
          <w:szCs w:val="32"/>
          <w:highlight w:val="none"/>
        </w:rPr>
        <w:t>广西壮族自治区政府采购项目合同验收书</w:t>
      </w:r>
    </w:p>
    <w:p>
      <w:pPr>
        <w:widowControl/>
        <w:shd w:val="clear" w:color="auto" w:fill="FFFFFF"/>
        <w:spacing w:line="480" w:lineRule="atLeast"/>
        <w:jc w:val="center"/>
        <w:rPr>
          <w:rFonts w:ascii="宋体" w:hAnsi="宋体" w:cs="宋体"/>
          <w:kern w:val="0"/>
          <w:sz w:val="32"/>
          <w:szCs w:val="32"/>
          <w:highlight w:val="none"/>
        </w:rPr>
      </w:pPr>
    </w:p>
    <w:p>
      <w:pPr>
        <w:widowControl/>
        <w:shd w:val="clear" w:color="auto" w:fill="FFFFFF"/>
        <w:snapToGrid w:val="0"/>
        <w:spacing w:line="320" w:lineRule="atLeast"/>
        <w:ind w:firstLine="480"/>
        <w:jc w:val="left"/>
        <w:rPr>
          <w:rFonts w:ascii="宋体" w:hAnsi="宋体" w:cs="宋体"/>
          <w:kern w:val="0"/>
          <w:sz w:val="24"/>
          <w:highlight w:val="none"/>
        </w:rPr>
      </w:pPr>
      <w:r>
        <w:rPr>
          <w:rFonts w:hint="eastAsia" w:ascii="宋体" w:hAnsi="宋体" w:cs="宋体"/>
          <w:kern w:val="0"/>
          <w:sz w:val="24"/>
          <w:highlight w:val="none"/>
        </w:rPr>
        <w:t>根据政府采购项目（</w:t>
      </w:r>
      <w:r>
        <w:rPr>
          <w:rFonts w:hint="eastAsia" w:ascii="宋体" w:hAnsi="宋体" w:cs="宋体"/>
          <w:kern w:val="0"/>
          <w:sz w:val="24"/>
          <w:highlight w:val="none"/>
          <w:u w:val="single"/>
        </w:rPr>
        <w:t>采购合同编号：</w:t>
      </w:r>
      <w:r>
        <w:rPr>
          <w:rFonts w:hint="eastAsia" w:ascii="宋体" w:hAnsi="宋体" w:cs="宋体"/>
          <w:kern w:val="0"/>
          <w:sz w:val="24"/>
          <w:highlight w:val="none"/>
          <w:u w:val="single"/>
        </w:rPr>
        <w:softHyphen/>
      </w:r>
      <w:r>
        <w:rPr>
          <w:rFonts w:hint="eastAsia" w:ascii="宋体" w:hAnsi="宋体" w:cs="宋体"/>
          <w:kern w:val="0"/>
          <w:sz w:val="24"/>
          <w:highlight w:val="none"/>
          <w:u w:val="single"/>
        </w:rPr>
        <w:t xml:space="preserve"> </w:t>
      </w:r>
      <w:r>
        <w:rPr>
          <w:rFonts w:hint="eastAsia" w:ascii="宋体" w:hAnsi="宋体" w:cs="宋体"/>
          <w:kern w:val="0"/>
          <w:sz w:val="24"/>
          <w:highlight w:val="none"/>
        </w:rPr>
        <w:t>）的约定，我单位对（</w:t>
      </w:r>
      <w:r>
        <w:rPr>
          <w:rFonts w:hint="eastAsia" w:ascii="宋体" w:hAnsi="宋体" w:cs="宋体"/>
          <w:kern w:val="0"/>
          <w:sz w:val="24"/>
          <w:highlight w:val="none"/>
          <w:u w:val="single"/>
        </w:rPr>
        <w:t xml:space="preserve"> 项目名称 </w:t>
      </w:r>
      <w:r>
        <w:rPr>
          <w:rFonts w:hint="eastAsia" w:ascii="宋体" w:hAnsi="宋体" w:cs="宋体"/>
          <w:kern w:val="0"/>
          <w:sz w:val="24"/>
          <w:highlight w:val="none"/>
        </w:rPr>
        <w:t>） 政府采购项目成交供应商（</w:t>
      </w:r>
      <w:r>
        <w:rPr>
          <w:rFonts w:hint="eastAsia" w:ascii="宋体" w:hAnsi="宋体" w:cs="宋体"/>
          <w:kern w:val="0"/>
          <w:sz w:val="24"/>
          <w:highlight w:val="none"/>
          <w:u w:val="single"/>
        </w:rPr>
        <w:t xml:space="preserve"> 公司名称 </w:t>
      </w:r>
      <w:r>
        <w:rPr>
          <w:rFonts w:hint="eastAsia" w:ascii="宋体" w:hAnsi="宋体" w:cs="宋体"/>
          <w:kern w:val="0"/>
          <w:sz w:val="24"/>
          <w:highlight w:val="none"/>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宋体" w:hAnsi="宋体" w:cs="宋体"/>
                <w:kern w:val="0"/>
                <w:szCs w:val="21"/>
                <w:highlight w:val="none"/>
              </w:rPr>
            </w:pPr>
            <w:r>
              <w:rPr>
                <w:rFonts w:hint="eastAsia" w:ascii="宋体" w:hAnsi="宋体" w:cs="宋体"/>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宋体" w:hAnsi="宋体" w:cs="宋体"/>
                <w:kern w:val="0"/>
                <w:szCs w:val="21"/>
                <w:highlight w:val="none"/>
              </w:rPr>
            </w:pPr>
            <w:r>
              <w:rPr>
                <w:rFonts w:hint="eastAsia" w:ascii="宋体" w:hAnsi="宋体" w:cs="宋体"/>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宋体" w:hAnsi="宋体" w:cs="宋体"/>
                <w:kern w:val="0"/>
                <w:szCs w:val="21"/>
                <w:highlight w:val="none"/>
              </w:rPr>
            </w:pPr>
            <w:r>
              <w:rPr>
                <w:rFonts w:hint="eastAsia" w:ascii="宋体" w:hAnsi="宋体" w:cs="宋体"/>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监督人员或者其他相关人员签字：</w:t>
            </w:r>
          </w:p>
          <w:p>
            <w:pPr>
              <w:widowControl/>
              <w:spacing w:before="100" w:beforeAutospacing="1" w:after="100" w:afterAutospacing="1" w:line="320" w:lineRule="atLeast"/>
              <w:ind w:firstLine="74"/>
              <w:jc w:val="left"/>
              <w:rPr>
                <w:rFonts w:ascii="宋体" w:hAnsi="宋体" w:cs="宋体"/>
                <w:kern w:val="0"/>
                <w:szCs w:val="21"/>
                <w:highlight w:val="none"/>
              </w:rPr>
            </w:pPr>
            <w:r>
              <w:rPr>
                <w:rFonts w:hint="eastAsia" w:ascii="宋体" w:hAnsi="宋体" w:cs="宋体"/>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成交供应商负责人签字或者盖章：</w:t>
            </w:r>
          </w:p>
          <w:p>
            <w:pPr>
              <w:widowControl/>
              <w:spacing w:before="100" w:beforeAutospacing="1" w:after="100" w:afterAutospacing="1" w:line="320" w:lineRule="atLeast"/>
              <w:jc w:val="left"/>
              <w:rPr>
                <w:rFonts w:ascii="宋体" w:hAnsi="宋体" w:cs="宋体"/>
                <w:kern w:val="0"/>
                <w:szCs w:val="21"/>
                <w:highlight w:val="none"/>
              </w:rPr>
            </w:pPr>
          </w:p>
          <w:p>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宋体" w:hAnsi="宋体" w:cs="宋体"/>
                <w:kern w:val="0"/>
                <w:szCs w:val="21"/>
                <w:highlight w:val="none"/>
              </w:rPr>
            </w:pPr>
          </w:p>
          <w:p>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联系电话：                  年  月  日</w:t>
            </w:r>
          </w:p>
        </w:tc>
      </w:tr>
    </w:tbl>
    <w:p>
      <w:pPr>
        <w:rPr>
          <w:rFonts w:ascii="宋体" w:hAnsi="宋体" w:cs="宋体"/>
          <w:sz w:val="28"/>
          <w:szCs w:val="28"/>
          <w:highlight w:val="none"/>
        </w:rPr>
      </w:pPr>
      <w:r>
        <w:rPr>
          <w:rFonts w:hint="eastAsia" w:ascii="宋体" w:hAnsi="宋体" w:cs="宋体"/>
          <w:highlight w:val="none"/>
        </w:rPr>
        <w:br w:type="page"/>
      </w:r>
      <w:r>
        <w:rPr>
          <w:rFonts w:hint="eastAsia" w:ascii="宋体" w:hAnsi="宋体" w:cs="宋体"/>
          <w:sz w:val="28"/>
          <w:szCs w:val="28"/>
          <w:highlight w:val="none"/>
        </w:rPr>
        <w:t>附件2政府采购项目履约保证金退付意见书的格式：</w:t>
      </w:r>
    </w:p>
    <w:p>
      <w:pPr>
        <w:pStyle w:val="21"/>
        <w:snapToGrid w:val="0"/>
        <w:rPr>
          <w:rFonts w:hAnsi="宋体" w:cs="宋体"/>
          <w:sz w:val="32"/>
          <w:szCs w:val="32"/>
          <w:highlight w:val="none"/>
        </w:rPr>
      </w:pPr>
    </w:p>
    <w:p>
      <w:pPr>
        <w:pStyle w:val="11"/>
        <w:rPr>
          <w:rFonts w:ascii="宋体" w:hAnsi="宋体" w:cs="宋体"/>
          <w:highlight w:val="none"/>
        </w:rPr>
      </w:pPr>
    </w:p>
    <w:p>
      <w:pPr>
        <w:jc w:val="center"/>
        <w:rPr>
          <w:rFonts w:ascii="宋体" w:hAnsi="宋体" w:cs="宋体"/>
          <w:b/>
          <w:bCs/>
          <w:sz w:val="32"/>
          <w:szCs w:val="32"/>
          <w:highlight w:val="none"/>
        </w:rPr>
      </w:pPr>
      <w:r>
        <w:rPr>
          <w:rFonts w:hint="eastAsia" w:ascii="宋体" w:hAnsi="宋体" w:cs="宋体"/>
          <w:b/>
          <w:bCs/>
          <w:sz w:val="32"/>
          <w:szCs w:val="32"/>
          <w:highlight w:val="none"/>
        </w:rPr>
        <w:t>政府采购项目履约保证金退付意见书（参考）</w:t>
      </w:r>
    </w:p>
    <w:p>
      <w:pPr>
        <w:jc w:val="center"/>
        <w:rPr>
          <w:rFonts w:ascii="宋体" w:hAnsi="宋体" w:cs="宋体"/>
          <w:sz w:val="36"/>
          <w:szCs w:val="36"/>
          <w:highlight w:val="none"/>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rFonts w:ascii="宋体" w:hAnsi="宋体" w:cs="宋体"/>
                <w:sz w:val="24"/>
                <w:highlight w:val="none"/>
              </w:rPr>
            </w:pPr>
            <w:r>
              <w:rPr>
                <w:rFonts w:hint="eastAsia" w:ascii="宋体" w:hAnsi="宋体" w:cs="宋体"/>
                <w:sz w:val="24"/>
                <w:highlight w:val="none"/>
              </w:rPr>
              <w:t>供</w:t>
            </w:r>
          </w:p>
          <w:p>
            <w:pPr>
              <w:jc w:val="center"/>
              <w:rPr>
                <w:rFonts w:ascii="宋体" w:hAnsi="宋体" w:cs="宋体"/>
                <w:sz w:val="24"/>
                <w:highlight w:val="none"/>
              </w:rPr>
            </w:pPr>
            <w:r>
              <w:rPr>
                <w:rFonts w:hint="eastAsia" w:ascii="宋体" w:hAnsi="宋体" w:cs="宋体"/>
                <w:sz w:val="24"/>
                <w:highlight w:val="none"/>
              </w:rPr>
              <w:t>应</w:t>
            </w:r>
          </w:p>
          <w:p>
            <w:pPr>
              <w:jc w:val="center"/>
              <w:rPr>
                <w:rFonts w:ascii="宋体" w:hAnsi="宋体" w:cs="宋体"/>
                <w:sz w:val="24"/>
                <w:highlight w:val="none"/>
              </w:rPr>
            </w:pPr>
            <w:r>
              <w:rPr>
                <w:rFonts w:hint="eastAsia" w:ascii="宋体" w:hAnsi="宋体" w:cs="宋体"/>
                <w:sz w:val="24"/>
                <w:highlight w:val="none"/>
              </w:rPr>
              <w:t>商</w:t>
            </w:r>
          </w:p>
          <w:p>
            <w:pPr>
              <w:jc w:val="center"/>
              <w:rPr>
                <w:rFonts w:ascii="宋体" w:hAnsi="宋体" w:cs="宋体"/>
                <w:sz w:val="24"/>
                <w:highlight w:val="none"/>
              </w:rPr>
            </w:pPr>
            <w:r>
              <w:rPr>
                <w:rFonts w:hint="eastAsia" w:ascii="宋体" w:hAnsi="宋体" w:cs="宋体"/>
                <w:sz w:val="24"/>
                <w:highlight w:val="none"/>
              </w:rPr>
              <w:t>申</w:t>
            </w:r>
          </w:p>
          <w:p>
            <w:pPr>
              <w:jc w:val="center"/>
              <w:rPr>
                <w:rFonts w:ascii="宋体" w:hAnsi="宋体" w:cs="宋体"/>
                <w:sz w:val="24"/>
                <w:highlight w:val="none"/>
              </w:rPr>
            </w:pPr>
            <w:r>
              <w:rPr>
                <w:rFonts w:hint="eastAsia" w:ascii="宋体" w:hAnsi="宋体" w:cs="宋体"/>
                <w:sz w:val="24"/>
                <w:highlight w:val="none"/>
              </w:rPr>
              <w:t>请</w:t>
            </w:r>
          </w:p>
        </w:tc>
        <w:tc>
          <w:tcPr>
            <w:tcW w:w="8009" w:type="dxa"/>
            <w:vAlign w:val="center"/>
          </w:tcPr>
          <w:p>
            <w:pPr>
              <w:rPr>
                <w:rFonts w:ascii="宋体" w:hAnsi="宋体" w:cs="宋体"/>
                <w:sz w:val="24"/>
                <w:highlight w:val="none"/>
              </w:rPr>
            </w:pPr>
            <w:r>
              <w:rPr>
                <w:rFonts w:hint="eastAsia" w:ascii="宋体" w:hAnsi="宋体" w:cs="宋体"/>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rFonts w:ascii="宋体" w:hAnsi="宋体" w:cs="宋体"/>
                <w:sz w:val="24"/>
                <w:highlight w:val="none"/>
              </w:rPr>
            </w:pPr>
          </w:p>
        </w:tc>
        <w:tc>
          <w:tcPr>
            <w:tcW w:w="8009" w:type="dxa"/>
            <w:vAlign w:val="center"/>
          </w:tcPr>
          <w:p>
            <w:pPr>
              <w:rPr>
                <w:rFonts w:ascii="宋体" w:hAnsi="宋体" w:cs="宋体"/>
                <w:sz w:val="24"/>
                <w:highlight w:val="none"/>
              </w:rPr>
            </w:pPr>
            <w:r>
              <w:rPr>
                <w:rFonts w:hint="eastAsia" w:ascii="宋体" w:hAnsi="宋体" w:cs="宋体"/>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rFonts w:ascii="宋体" w:hAnsi="宋体" w:cs="宋体"/>
                <w:sz w:val="24"/>
                <w:highlight w:val="none"/>
              </w:rPr>
            </w:pPr>
          </w:p>
        </w:tc>
        <w:tc>
          <w:tcPr>
            <w:tcW w:w="8009" w:type="dxa"/>
          </w:tcPr>
          <w:p>
            <w:pPr>
              <w:rPr>
                <w:rFonts w:ascii="宋体" w:hAnsi="宋体" w:cs="宋体"/>
                <w:sz w:val="24"/>
                <w:highlight w:val="none"/>
              </w:rPr>
            </w:pPr>
            <w:r>
              <w:rPr>
                <w:rFonts w:hint="eastAsia" w:ascii="宋体" w:hAnsi="宋体" w:cs="宋体"/>
                <w:sz w:val="24"/>
                <w:highlight w:val="none"/>
              </w:rPr>
              <w:t xml:space="preserve">  </w:t>
            </w:r>
          </w:p>
          <w:p>
            <w:pPr>
              <w:ind w:firstLine="480" w:firstLineChars="200"/>
              <w:rPr>
                <w:rFonts w:ascii="宋体" w:hAnsi="宋体" w:cs="宋体"/>
                <w:sz w:val="24"/>
                <w:highlight w:val="none"/>
              </w:rPr>
            </w:pPr>
            <w:r>
              <w:rPr>
                <w:rFonts w:hint="eastAsia" w:ascii="宋体" w:hAnsi="宋体" w:cs="宋体"/>
                <w:sz w:val="24"/>
                <w:highlight w:val="none"/>
              </w:rPr>
              <w:t>该项目已于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日验收并交付使用。根据合同规定，该项目的履约保证金期限于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日已满，请将履约保证金</w:t>
            </w:r>
          </w:p>
          <w:p>
            <w:pPr>
              <w:rPr>
                <w:rFonts w:ascii="宋体" w:hAnsi="宋体" w:cs="宋体"/>
                <w:sz w:val="24"/>
                <w:highlight w:val="none"/>
              </w:rPr>
            </w:pPr>
            <w:r>
              <w:rPr>
                <w:rFonts w:hint="eastAsia" w:ascii="宋体" w:hAnsi="宋体" w:cs="宋体"/>
                <w:sz w:val="24"/>
                <w:highlight w:val="none"/>
              </w:rPr>
              <w:t>（大写）</w:t>
            </w:r>
            <w:r>
              <w:rPr>
                <w:rFonts w:hint="eastAsia" w:ascii="宋体" w:hAnsi="宋体" w:cs="宋体"/>
                <w:sz w:val="24"/>
                <w:highlight w:val="none"/>
                <w:u w:val="single"/>
              </w:rPr>
              <w:t xml:space="preserve">人民币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退付到达以下账户。</w:t>
            </w:r>
          </w:p>
          <w:p>
            <w:pPr>
              <w:rPr>
                <w:rFonts w:ascii="宋体" w:hAnsi="宋体" w:cs="宋体"/>
                <w:sz w:val="24"/>
                <w:highlight w:val="none"/>
              </w:rPr>
            </w:pPr>
            <w:r>
              <w:rPr>
                <w:rFonts w:hint="eastAsia" w:ascii="宋体" w:hAnsi="宋体" w:cs="宋体"/>
                <w:sz w:val="24"/>
                <w:highlight w:val="none"/>
              </w:rPr>
              <w:t>单位名称：</w:t>
            </w:r>
          </w:p>
          <w:p>
            <w:pPr>
              <w:rPr>
                <w:rFonts w:ascii="宋体" w:hAnsi="宋体" w:cs="宋体"/>
                <w:sz w:val="24"/>
                <w:highlight w:val="none"/>
              </w:rPr>
            </w:pPr>
            <w:r>
              <w:rPr>
                <w:rFonts w:hint="eastAsia" w:ascii="宋体" w:hAnsi="宋体" w:cs="宋体"/>
                <w:sz w:val="24"/>
                <w:highlight w:val="none"/>
              </w:rPr>
              <w:t>开户银行：</w:t>
            </w:r>
          </w:p>
          <w:p>
            <w:pPr>
              <w:rPr>
                <w:rFonts w:ascii="宋体" w:hAnsi="宋体" w:cs="宋体"/>
                <w:sz w:val="24"/>
                <w:highlight w:val="none"/>
              </w:rPr>
            </w:pPr>
            <w:r>
              <w:rPr>
                <w:rFonts w:hint="eastAsia" w:ascii="宋体" w:hAnsi="宋体" w:cs="宋体"/>
                <w:sz w:val="24"/>
                <w:highlight w:val="none"/>
              </w:rPr>
              <w:t>账    号：</w:t>
            </w:r>
          </w:p>
          <w:p>
            <w:pPr>
              <w:rPr>
                <w:rFonts w:ascii="宋体" w:hAnsi="宋体" w:cs="宋体"/>
                <w:sz w:val="24"/>
                <w:highlight w:val="none"/>
              </w:rPr>
            </w:pPr>
            <w:r>
              <w:rPr>
                <w:rFonts w:hint="eastAsia" w:ascii="宋体" w:hAnsi="宋体" w:cs="宋体"/>
                <w:sz w:val="24"/>
                <w:highlight w:val="none"/>
              </w:rPr>
              <w:t>联系人及电话：</w:t>
            </w:r>
          </w:p>
          <w:p>
            <w:pPr>
              <w:rPr>
                <w:rFonts w:ascii="宋体" w:hAnsi="宋体" w:cs="宋体"/>
                <w:sz w:val="24"/>
                <w:highlight w:val="none"/>
              </w:rPr>
            </w:pPr>
          </w:p>
          <w:p>
            <w:pPr>
              <w:jc w:val="center"/>
              <w:rPr>
                <w:rFonts w:ascii="宋体" w:hAnsi="宋体" w:cs="宋体"/>
                <w:sz w:val="24"/>
                <w:highlight w:val="none"/>
              </w:rPr>
            </w:pPr>
            <w:r>
              <w:rPr>
                <w:rFonts w:hint="eastAsia" w:ascii="宋体" w:hAnsi="宋体" w:cs="宋体"/>
                <w:sz w:val="24"/>
                <w:highlight w:val="none"/>
              </w:rPr>
              <w:t xml:space="preserve">                           供应商签章：</w:t>
            </w:r>
          </w:p>
          <w:p>
            <w:pPr>
              <w:jc w:val="center"/>
              <w:rPr>
                <w:rFonts w:ascii="宋体" w:hAnsi="宋体" w:cs="宋体"/>
                <w:sz w:val="24"/>
                <w:highlight w:val="none"/>
              </w:rPr>
            </w:pPr>
            <w:r>
              <w:rPr>
                <w:rFonts w:hint="eastAsia" w:ascii="宋体" w:hAnsi="宋体" w:cs="宋体"/>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rFonts w:ascii="宋体" w:hAnsi="宋体" w:cs="宋体"/>
                <w:sz w:val="24"/>
                <w:highlight w:val="none"/>
              </w:rPr>
            </w:pPr>
            <w:r>
              <w:rPr>
                <w:rFonts w:hint="eastAsia" w:ascii="宋体" w:hAnsi="宋体" w:cs="宋体"/>
                <w:sz w:val="24"/>
                <w:highlight w:val="none"/>
              </w:rPr>
              <w:t>采</w:t>
            </w:r>
          </w:p>
          <w:p>
            <w:pPr>
              <w:jc w:val="center"/>
              <w:rPr>
                <w:rFonts w:ascii="宋体" w:hAnsi="宋体" w:cs="宋体"/>
                <w:sz w:val="24"/>
                <w:highlight w:val="none"/>
              </w:rPr>
            </w:pPr>
            <w:r>
              <w:rPr>
                <w:rFonts w:hint="eastAsia" w:ascii="宋体" w:hAnsi="宋体" w:cs="宋体"/>
                <w:sz w:val="24"/>
                <w:highlight w:val="none"/>
              </w:rPr>
              <w:t>购</w:t>
            </w:r>
          </w:p>
          <w:p>
            <w:pPr>
              <w:jc w:val="center"/>
              <w:rPr>
                <w:rFonts w:ascii="宋体" w:hAnsi="宋体" w:cs="宋体"/>
                <w:sz w:val="24"/>
                <w:highlight w:val="none"/>
              </w:rPr>
            </w:pPr>
            <w:r>
              <w:rPr>
                <w:rFonts w:hint="eastAsia" w:ascii="宋体" w:hAnsi="宋体" w:cs="宋体"/>
                <w:sz w:val="24"/>
                <w:highlight w:val="none"/>
              </w:rPr>
              <w:t>单</w:t>
            </w:r>
          </w:p>
          <w:p>
            <w:pPr>
              <w:jc w:val="center"/>
              <w:rPr>
                <w:rFonts w:ascii="宋体" w:hAnsi="宋体" w:cs="宋体"/>
                <w:sz w:val="24"/>
                <w:highlight w:val="none"/>
              </w:rPr>
            </w:pPr>
            <w:r>
              <w:rPr>
                <w:rFonts w:hint="eastAsia" w:ascii="宋体" w:hAnsi="宋体" w:cs="宋体"/>
                <w:sz w:val="24"/>
                <w:highlight w:val="none"/>
              </w:rPr>
              <w:t>位</w:t>
            </w:r>
          </w:p>
          <w:p>
            <w:pPr>
              <w:jc w:val="center"/>
              <w:rPr>
                <w:rFonts w:ascii="宋体" w:hAnsi="宋体" w:cs="宋体"/>
                <w:sz w:val="24"/>
                <w:highlight w:val="none"/>
              </w:rPr>
            </w:pPr>
            <w:r>
              <w:rPr>
                <w:rFonts w:hint="eastAsia" w:ascii="宋体" w:hAnsi="宋体" w:cs="宋体"/>
                <w:sz w:val="24"/>
                <w:highlight w:val="none"/>
              </w:rPr>
              <w:t>意</w:t>
            </w:r>
          </w:p>
          <w:p>
            <w:pPr>
              <w:jc w:val="center"/>
              <w:rPr>
                <w:rFonts w:ascii="宋体" w:hAnsi="宋体" w:cs="宋体"/>
                <w:sz w:val="24"/>
                <w:highlight w:val="none"/>
              </w:rPr>
            </w:pPr>
            <w:r>
              <w:rPr>
                <w:rFonts w:hint="eastAsia" w:ascii="宋体" w:hAnsi="宋体" w:cs="宋体"/>
                <w:sz w:val="24"/>
                <w:highlight w:val="none"/>
              </w:rPr>
              <w:t>见</w:t>
            </w:r>
          </w:p>
        </w:tc>
        <w:tc>
          <w:tcPr>
            <w:tcW w:w="8009" w:type="dxa"/>
          </w:tcPr>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退付意见：是否同意退付履约保证金及退付金额：</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 xml:space="preserve">联系人及电话：                                </w:t>
            </w:r>
          </w:p>
          <w:p>
            <w:pPr>
              <w:rPr>
                <w:rFonts w:ascii="宋体" w:hAnsi="宋体" w:cs="宋体"/>
                <w:sz w:val="24"/>
                <w:highlight w:val="none"/>
              </w:rPr>
            </w:pPr>
          </w:p>
          <w:p>
            <w:pPr>
              <w:ind w:firstLine="4560" w:firstLineChars="1900"/>
              <w:rPr>
                <w:rFonts w:ascii="宋体" w:hAnsi="宋体" w:cs="宋体"/>
                <w:sz w:val="24"/>
                <w:highlight w:val="none"/>
              </w:rPr>
            </w:pPr>
            <w:r>
              <w:rPr>
                <w:rFonts w:hint="eastAsia" w:ascii="宋体" w:hAnsi="宋体" w:cs="宋体"/>
                <w:sz w:val="24"/>
                <w:highlight w:val="none"/>
              </w:rPr>
              <w:t xml:space="preserve"> 采购人签章：</w:t>
            </w:r>
          </w:p>
          <w:p>
            <w:pPr>
              <w:jc w:val="center"/>
              <w:rPr>
                <w:rFonts w:ascii="宋体" w:hAnsi="宋体" w:cs="宋体"/>
                <w:sz w:val="24"/>
                <w:highlight w:val="none"/>
              </w:rPr>
            </w:pPr>
            <w:r>
              <w:rPr>
                <w:rFonts w:hint="eastAsia" w:ascii="宋体" w:hAnsi="宋体" w:cs="宋体"/>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rFonts w:ascii="宋体" w:hAnsi="宋体" w:cs="宋体"/>
                <w:sz w:val="24"/>
                <w:highlight w:val="none"/>
              </w:rPr>
            </w:pPr>
            <w:r>
              <w:rPr>
                <w:rFonts w:hint="eastAsia" w:ascii="宋体" w:hAnsi="宋体" w:cs="宋体"/>
                <w:sz w:val="24"/>
                <w:highlight w:val="none"/>
              </w:rPr>
              <w:t>备注</w:t>
            </w:r>
          </w:p>
        </w:tc>
        <w:tc>
          <w:tcPr>
            <w:tcW w:w="8009" w:type="dxa"/>
          </w:tcPr>
          <w:p>
            <w:pPr>
              <w:rPr>
                <w:rFonts w:ascii="宋体" w:hAnsi="宋体" w:cs="宋体"/>
                <w:sz w:val="24"/>
                <w:highlight w:val="none"/>
              </w:rPr>
            </w:pPr>
          </w:p>
        </w:tc>
      </w:tr>
    </w:tbl>
    <w:p>
      <w:pPr>
        <w:pStyle w:val="16"/>
        <w:ind w:left="1" w:firstLine="2" w:firstLineChars="1"/>
        <w:rPr>
          <w:rFonts w:ascii="宋体" w:hAnsi="宋体" w:cs="宋体"/>
          <w:b/>
          <w:bCs/>
          <w:sz w:val="18"/>
          <w:szCs w:val="18"/>
          <w:highlight w:val="none"/>
        </w:rPr>
      </w:pPr>
    </w:p>
    <w:p>
      <w:pPr>
        <w:pStyle w:val="16"/>
        <w:ind w:left="1" w:firstLine="2" w:firstLineChars="1"/>
        <w:rPr>
          <w:rFonts w:ascii="宋体" w:hAnsi="宋体" w:cs="宋体"/>
          <w:b/>
          <w:bCs/>
          <w:sz w:val="18"/>
          <w:szCs w:val="18"/>
          <w:highlight w:val="none"/>
        </w:rPr>
      </w:pPr>
      <w:r>
        <w:rPr>
          <w:rFonts w:hint="eastAsia" w:ascii="宋体" w:hAnsi="宋体" w:cs="宋体"/>
          <w:b/>
          <w:bCs/>
          <w:sz w:val="18"/>
          <w:szCs w:val="18"/>
          <w:highlight w:val="none"/>
        </w:rPr>
        <w:t>　　　注：供应商凭经采购人审批的退付意见书到履约保证金收取单位财务部门办理履约保证金退付事宜。</w:t>
      </w: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3"/>
        <w:jc w:val="center"/>
        <w:rPr>
          <w:rFonts w:ascii="宋体" w:hAnsi="宋体" w:cs="宋体"/>
          <w:highlight w:val="none"/>
        </w:rPr>
        <w:sectPr>
          <w:pgSz w:w="11911" w:h="16838"/>
          <w:pgMar w:top="1134" w:right="1134" w:bottom="1134" w:left="1134" w:header="720" w:footer="720" w:gutter="0"/>
          <w:cols w:space="720" w:num="1"/>
        </w:sectPr>
      </w:pPr>
      <w:r>
        <w:rPr>
          <w:rFonts w:hint="eastAsia" w:ascii="宋体" w:hAnsi="宋体" w:cs="宋体"/>
          <w:b w:val="0"/>
          <w:highlight w:val="none"/>
        </w:rPr>
        <w:t>第七章 质疑、投诉材料格式</w:t>
      </w:r>
      <w:bookmarkEnd w:id="158"/>
      <w:bookmarkEnd w:id="159"/>
      <w:bookmarkEnd w:id="160"/>
      <w:bookmarkEnd w:id="161"/>
      <w:bookmarkEnd w:id="162"/>
      <w:bookmarkEnd w:id="163"/>
      <w:bookmarkEnd w:id="164"/>
      <w:bookmarkEnd w:id="165"/>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质疑函（格式）</w:t>
      </w:r>
    </w:p>
    <w:p>
      <w:pPr>
        <w:spacing w:line="360" w:lineRule="auto"/>
        <w:ind w:firstLine="482" w:firstLineChars="200"/>
        <w:contextualSpacing/>
        <w:rPr>
          <w:rFonts w:ascii="宋体" w:hAnsi="宋体" w:cs="宋体"/>
          <w:b/>
          <w:bCs/>
          <w:kern w:val="0"/>
          <w:sz w:val="24"/>
          <w:highlight w:val="none"/>
        </w:rPr>
      </w:pPr>
      <w:r>
        <w:rPr>
          <w:rFonts w:hint="eastAsia" w:ascii="宋体" w:hAnsi="宋体" w:cs="宋体"/>
          <w:b/>
          <w:bCs/>
          <w:kern w:val="0"/>
          <w:sz w:val="24"/>
          <w:highlight w:val="none"/>
        </w:rPr>
        <w:t>一、质疑供应商基本信息：</w:t>
      </w:r>
    </w:p>
    <w:p>
      <w:pPr>
        <w:spacing w:line="360" w:lineRule="auto"/>
        <w:ind w:firstLine="480" w:firstLineChars="200"/>
        <w:contextualSpacing/>
        <w:rPr>
          <w:rFonts w:ascii="宋体" w:hAnsi="宋体" w:cs="宋体"/>
          <w:bCs/>
          <w:kern w:val="0"/>
          <w:sz w:val="24"/>
          <w:highlight w:val="none"/>
          <w:u w:val="single"/>
        </w:rPr>
      </w:pPr>
      <w:r>
        <w:rPr>
          <w:rFonts w:hint="eastAsia" w:ascii="宋体" w:hAnsi="宋体" w:cs="宋体"/>
          <w:bCs/>
          <w:kern w:val="0"/>
          <w:sz w:val="24"/>
          <w:highlight w:val="none"/>
        </w:rPr>
        <w:t>质疑供应商：</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pacing w:line="360" w:lineRule="auto"/>
        <w:ind w:firstLine="480" w:firstLineChars="200"/>
        <w:contextualSpacing/>
        <w:rPr>
          <w:rFonts w:ascii="宋体" w:hAnsi="宋体" w:cs="宋体"/>
          <w:bCs/>
          <w:kern w:val="0"/>
          <w:sz w:val="24"/>
          <w:highlight w:val="non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pacing w:line="360" w:lineRule="auto"/>
        <w:ind w:firstLine="480" w:firstLineChars="200"/>
        <w:contextualSpacing/>
        <w:rPr>
          <w:rFonts w:ascii="宋体" w:hAnsi="宋体" w:cs="宋体"/>
          <w:bCs/>
          <w:kern w:val="0"/>
          <w:sz w:val="24"/>
          <w:highlight w:val="none"/>
        </w:rPr>
      </w:pPr>
      <w:r>
        <w:rPr>
          <w:rFonts w:hint="eastAsia" w:ascii="宋体" w:hAnsi="宋体" w:cs="宋体"/>
          <w:bCs/>
          <w:kern w:val="0"/>
          <w:sz w:val="24"/>
          <w:highlight w:val="none"/>
        </w:rPr>
        <w:t>联系人：</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pPr>
        <w:spacing w:line="360" w:lineRule="auto"/>
        <w:ind w:firstLine="480" w:firstLineChars="200"/>
        <w:contextualSpacing/>
        <w:rPr>
          <w:rFonts w:ascii="宋体" w:hAnsi="宋体" w:cs="宋体"/>
          <w:bCs/>
          <w:kern w:val="0"/>
          <w:sz w:val="24"/>
          <w:highlight w:val="none"/>
        </w:rPr>
      </w:pPr>
      <w:r>
        <w:rPr>
          <w:rFonts w:hint="eastAsia" w:ascii="宋体" w:hAnsi="宋体" w:cs="宋体"/>
          <w:bCs/>
          <w:kern w:val="0"/>
          <w:sz w:val="24"/>
          <w:highlight w:val="none"/>
        </w:rPr>
        <w:t>授权代表：</w:t>
      </w:r>
      <w:r>
        <w:rPr>
          <w:rFonts w:hint="eastAsia" w:ascii="宋体" w:hAnsi="宋体" w:cs="宋体"/>
          <w:bCs/>
          <w:kern w:val="0"/>
          <w:sz w:val="24"/>
          <w:highlight w:val="none"/>
          <w:u w:val="single"/>
        </w:rPr>
        <w:t xml:space="preserve">                      </w:t>
      </w:r>
    </w:p>
    <w:p>
      <w:pPr>
        <w:spacing w:line="360" w:lineRule="auto"/>
        <w:ind w:firstLine="480" w:firstLineChars="200"/>
        <w:contextualSpacing/>
        <w:rPr>
          <w:rFonts w:ascii="宋体" w:hAnsi="宋体" w:cs="宋体"/>
          <w:bCs/>
          <w:kern w:val="0"/>
          <w:sz w:val="24"/>
          <w:highlight w:val="none"/>
          <w:u w:val="single"/>
        </w:rPr>
      </w:pP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pPr>
        <w:spacing w:line="360" w:lineRule="auto"/>
        <w:ind w:firstLine="480" w:firstLineChars="200"/>
        <w:contextualSpacing/>
        <w:rPr>
          <w:rFonts w:ascii="宋体" w:hAnsi="宋体" w:cs="宋体"/>
          <w:bCs/>
          <w:kern w:val="0"/>
          <w:sz w:val="24"/>
          <w:highlight w:val="non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pacing w:line="360" w:lineRule="auto"/>
        <w:ind w:firstLine="482" w:firstLineChars="200"/>
        <w:contextualSpacing/>
        <w:rPr>
          <w:rFonts w:ascii="宋体" w:hAnsi="宋体" w:cs="宋体"/>
          <w:b/>
          <w:bCs/>
          <w:kern w:val="0"/>
          <w:sz w:val="24"/>
          <w:highlight w:val="none"/>
        </w:rPr>
      </w:pPr>
      <w:r>
        <w:rPr>
          <w:rFonts w:hint="eastAsia" w:ascii="宋体" w:hAnsi="宋体" w:cs="宋体"/>
          <w:b/>
          <w:bCs/>
          <w:kern w:val="0"/>
          <w:sz w:val="24"/>
          <w:highlight w:val="none"/>
        </w:rPr>
        <w:t>二、质疑项目基本情况：</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bCs/>
          <w:kern w:val="0"/>
          <w:sz w:val="24"/>
          <w:highlight w:val="none"/>
        </w:rPr>
        <w:t>质疑</w:t>
      </w:r>
      <w:r>
        <w:rPr>
          <w:rFonts w:hint="eastAsia" w:ascii="宋体" w:hAnsi="宋体" w:cs="宋体"/>
          <w:kern w:val="0"/>
          <w:sz w:val="24"/>
          <w:highlight w:val="none"/>
        </w:rPr>
        <w:t>项目的名称：</w:t>
      </w:r>
      <w:r>
        <w:rPr>
          <w:rFonts w:hint="eastAsia" w:ascii="宋体" w:hAnsi="宋体" w:cs="宋体"/>
          <w:bCs/>
          <w:kern w:val="0"/>
          <w:sz w:val="24"/>
          <w:highlight w:val="none"/>
          <w:u w:val="single"/>
        </w:rPr>
        <w:t xml:space="preserve">                                     </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bCs/>
          <w:kern w:val="0"/>
          <w:sz w:val="24"/>
          <w:highlight w:val="none"/>
        </w:rPr>
        <w:t>质疑</w:t>
      </w:r>
      <w:r>
        <w:rPr>
          <w:rFonts w:hint="eastAsia" w:ascii="宋体" w:hAnsi="宋体" w:cs="宋体"/>
          <w:kern w:val="0"/>
          <w:sz w:val="24"/>
          <w:highlight w:val="none"/>
        </w:rPr>
        <w:t>项目的编号：</w:t>
      </w:r>
      <w:r>
        <w:rPr>
          <w:rFonts w:hint="eastAsia" w:ascii="宋体" w:hAnsi="宋体" w:cs="宋体"/>
          <w:bCs/>
          <w:kern w:val="0"/>
          <w:sz w:val="24"/>
          <w:highlight w:val="none"/>
          <w:u w:val="single"/>
        </w:rPr>
        <w:t xml:space="preserve">                                     </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采购人名称：</w:t>
      </w:r>
      <w:r>
        <w:rPr>
          <w:rFonts w:hint="eastAsia" w:ascii="宋体" w:hAnsi="宋体" w:cs="宋体"/>
          <w:bCs/>
          <w:kern w:val="0"/>
          <w:sz w:val="24"/>
          <w:highlight w:val="none"/>
          <w:u w:val="single"/>
        </w:rPr>
        <w:t xml:space="preserve">                                         </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质疑事项：</w:t>
      </w:r>
    </w:p>
    <w:p>
      <w:pPr>
        <w:spacing w:line="360" w:lineRule="auto"/>
        <w:ind w:left="25" w:leftChars="12" w:firstLine="352" w:firstLineChars="147"/>
        <w:contextualSpacing/>
        <w:rPr>
          <w:rFonts w:ascii="宋体" w:hAnsi="宋体" w:cs="宋体"/>
          <w:kern w:val="0"/>
          <w:sz w:val="24"/>
          <w:highlight w:val="none"/>
        </w:rPr>
      </w:pPr>
      <w:r>
        <w:rPr>
          <w:rFonts w:hint="eastAsia" w:ascii="宋体" w:hAnsi="宋体" w:cs="宋体"/>
          <w:kern w:val="0"/>
          <w:sz w:val="24"/>
          <w:highlight w:val="none"/>
        </w:rPr>
        <w:t>□采购文件   采购文件获取日期：</w:t>
      </w:r>
      <w:r>
        <w:rPr>
          <w:rFonts w:hint="eastAsia" w:ascii="宋体" w:hAnsi="宋体" w:cs="宋体"/>
          <w:bCs/>
          <w:kern w:val="0"/>
          <w:sz w:val="24"/>
          <w:highlight w:val="none"/>
          <w:u w:val="single"/>
        </w:rPr>
        <w:t xml:space="preserve">                                   </w:t>
      </w:r>
    </w:p>
    <w:p>
      <w:pPr>
        <w:spacing w:line="360" w:lineRule="auto"/>
        <w:ind w:left="25" w:leftChars="12" w:firstLine="352" w:firstLineChars="147"/>
        <w:contextualSpacing/>
        <w:rPr>
          <w:rFonts w:ascii="宋体" w:hAnsi="宋体" w:cs="宋体"/>
          <w:kern w:val="0"/>
          <w:sz w:val="24"/>
          <w:highlight w:val="none"/>
        </w:rPr>
      </w:pPr>
      <w:r>
        <w:rPr>
          <w:rFonts w:hint="eastAsia" w:ascii="宋体" w:hAnsi="宋体" w:cs="宋体"/>
          <w:kern w:val="0"/>
          <w:sz w:val="24"/>
          <w:highlight w:val="none"/>
        </w:rPr>
        <w:t xml:space="preserve">□采购过程   </w:t>
      </w:r>
    </w:p>
    <w:p>
      <w:pPr>
        <w:spacing w:line="360" w:lineRule="auto"/>
        <w:ind w:left="25" w:leftChars="12" w:firstLine="352" w:firstLineChars="147"/>
        <w:contextualSpacing/>
        <w:rPr>
          <w:rFonts w:ascii="宋体" w:hAnsi="宋体" w:cs="宋体"/>
          <w:bCs/>
          <w:kern w:val="0"/>
          <w:sz w:val="24"/>
          <w:highlight w:val="none"/>
          <w:u w:val="single"/>
        </w:rPr>
      </w:pPr>
      <w:r>
        <w:rPr>
          <w:rFonts w:hint="eastAsia" w:ascii="宋体" w:hAnsi="宋体" w:cs="宋体"/>
          <w:kern w:val="0"/>
          <w:sz w:val="24"/>
          <w:highlight w:val="none"/>
        </w:rPr>
        <w:t xml:space="preserve">□成交结果   </w:t>
      </w:r>
    </w:p>
    <w:p>
      <w:pPr>
        <w:spacing w:line="360" w:lineRule="auto"/>
        <w:ind w:left="25" w:leftChars="12" w:firstLine="472" w:firstLineChars="196"/>
        <w:contextualSpacing/>
        <w:rPr>
          <w:rFonts w:ascii="宋体" w:hAnsi="宋体" w:cs="宋体"/>
          <w:b/>
          <w:kern w:val="0"/>
          <w:sz w:val="24"/>
          <w:highlight w:val="none"/>
        </w:rPr>
      </w:pPr>
      <w:r>
        <w:rPr>
          <w:rFonts w:hint="eastAsia" w:ascii="宋体" w:hAnsi="宋体" w:cs="宋体"/>
          <w:b/>
          <w:kern w:val="0"/>
          <w:sz w:val="24"/>
          <w:highlight w:val="none"/>
        </w:rPr>
        <w:t>三、质疑事项具体内容</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质疑事项1：</w:t>
      </w:r>
      <w:r>
        <w:rPr>
          <w:rFonts w:hint="eastAsia" w:ascii="宋体" w:hAnsi="宋体" w:cs="宋体"/>
          <w:bCs/>
          <w:kern w:val="0"/>
          <w:sz w:val="24"/>
          <w:highlight w:val="none"/>
          <w:u w:val="single"/>
        </w:rPr>
        <w:t xml:space="preserve">                                                                    </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事实依据：</w:t>
      </w:r>
      <w:r>
        <w:rPr>
          <w:rFonts w:hint="eastAsia" w:ascii="宋体" w:hAnsi="宋体" w:cs="宋体"/>
          <w:bCs/>
          <w:kern w:val="0"/>
          <w:sz w:val="24"/>
          <w:highlight w:val="none"/>
          <w:u w:val="single"/>
        </w:rPr>
        <w:t xml:space="preserve">                                                                      </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法律依据：</w:t>
      </w:r>
      <w:r>
        <w:rPr>
          <w:rFonts w:hint="eastAsia" w:ascii="宋体" w:hAnsi="宋体" w:cs="宋体"/>
          <w:kern w:val="0"/>
          <w:sz w:val="24"/>
          <w:highlight w:val="none"/>
          <w:u w:val="single"/>
        </w:rPr>
        <w:t xml:space="preserve">                                                        </w:t>
      </w:r>
      <w:r>
        <w:rPr>
          <w:rFonts w:hint="eastAsia" w:ascii="宋体" w:hAnsi="宋体" w:cs="宋体"/>
          <w:bCs/>
          <w:kern w:val="0"/>
          <w:sz w:val="24"/>
          <w:highlight w:val="none"/>
          <w:u w:val="single"/>
        </w:rPr>
        <w:t xml:space="preserve">               </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质疑事项2</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四、与质疑事项相关的质疑请求：</w:t>
      </w: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请求：</w:t>
      </w:r>
      <w:r>
        <w:rPr>
          <w:rFonts w:hint="eastAsia" w:ascii="宋体" w:hAnsi="宋体" w:cs="宋体"/>
          <w:bCs/>
          <w:kern w:val="0"/>
          <w:sz w:val="24"/>
          <w:highlight w:val="none"/>
          <w:u w:val="single"/>
        </w:rPr>
        <w:t xml:space="preserve">                                                                </w:t>
      </w:r>
    </w:p>
    <w:p>
      <w:pPr>
        <w:spacing w:line="360" w:lineRule="auto"/>
        <w:ind w:left="25" w:leftChars="12" w:firstLine="352" w:firstLineChars="147"/>
        <w:contextualSpacing/>
        <w:rPr>
          <w:rFonts w:ascii="宋体" w:hAnsi="宋体" w:cs="宋体"/>
          <w:kern w:val="0"/>
          <w:sz w:val="24"/>
          <w:highlight w:val="none"/>
        </w:rPr>
      </w:pP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签字（签章）：                                       公章：</w:t>
      </w:r>
    </w:p>
    <w:p>
      <w:pPr>
        <w:spacing w:line="360" w:lineRule="auto"/>
        <w:ind w:left="25" w:leftChars="12" w:firstLine="352" w:firstLineChars="147"/>
        <w:contextualSpacing/>
        <w:rPr>
          <w:rFonts w:ascii="宋体" w:hAnsi="宋体" w:cs="宋体"/>
          <w:kern w:val="0"/>
          <w:sz w:val="24"/>
          <w:highlight w:val="none"/>
        </w:rPr>
      </w:pPr>
    </w:p>
    <w:p>
      <w:pPr>
        <w:spacing w:line="360" w:lineRule="auto"/>
        <w:ind w:left="25" w:leftChars="12" w:firstLine="472" w:firstLineChars="197"/>
        <w:contextualSpacing/>
        <w:rPr>
          <w:rFonts w:ascii="宋体" w:hAnsi="宋体" w:cs="宋体"/>
          <w:kern w:val="0"/>
          <w:sz w:val="24"/>
          <w:highlight w:val="none"/>
        </w:rPr>
      </w:pPr>
      <w:r>
        <w:rPr>
          <w:rFonts w:hint="eastAsia" w:ascii="宋体" w:hAnsi="宋体" w:cs="宋体"/>
          <w:kern w:val="0"/>
          <w:sz w:val="24"/>
          <w:highlight w:val="none"/>
        </w:rPr>
        <w:t>日期：</w:t>
      </w:r>
    </w:p>
    <w:p>
      <w:pPr>
        <w:spacing w:line="360" w:lineRule="auto"/>
        <w:contextualSpacing/>
        <w:rPr>
          <w:rFonts w:ascii="宋体" w:hAnsi="宋体" w:cs="宋体"/>
          <w:b/>
          <w:kern w:val="0"/>
          <w:sz w:val="24"/>
          <w:highlight w:val="none"/>
        </w:rPr>
      </w:pPr>
    </w:p>
    <w:p>
      <w:pPr>
        <w:spacing w:line="360" w:lineRule="auto"/>
        <w:contextualSpacing/>
        <w:rPr>
          <w:rFonts w:ascii="宋体" w:hAnsi="宋体" w:cs="宋体"/>
          <w:b/>
          <w:kern w:val="0"/>
          <w:sz w:val="24"/>
          <w:highlight w:val="none"/>
        </w:rPr>
      </w:pPr>
    </w:p>
    <w:p>
      <w:pPr>
        <w:spacing w:line="360" w:lineRule="auto"/>
        <w:contextualSpacing/>
        <w:rPr>
          <w:rFonts w:ascii="宋体" w:hAnsi="宋体" w:cs="宋体"/>
          <w:b/>
          <w:kern w:val="0"/>
          <w:sz w:val="24"/>
          <w:highlight w:val="none"/>
        </w:rPr>
      </w:pPr>
      <w:r>
        <w:rPr>
          <w:rFonts w:hint="eastAsia" w:ascii="宋体" w:hAnsi="宋体" w:cs="宋体"/>
          <w:b/>
          <w:kern w:val="0"/>
          <w:sz w:val="24"/>
          <w:highlight w:val="none"/>
        </w:rPr>
        <w:t>说明：</w:t>
      </w:r>
    </w:p>
    <w:p>
      <w:pPr>
        <w:spacing w:line="360" w:lineRule="auto"/>
        <w:ind w:left="25" w:leftChars="12" w:firstLine="354" w:firstLineChars="147"/>
        <w:contextualSpacing/>
        <w:rPr>
          <w:rFonts w:ascii="宋体" w:hAnsi="宋体" w:cs="宋体"/>
          <w:b/>
          <w:bCs/>
          <w:kern w:val="0"/>
          <w:sz w:val="24"/>
          <w:highlight w:val="none"/>
        </w:rPr>
      </w:pPr>
      <w:r>
        <w:rPr>
          <w:rFonts w:hint="eastAsia" w:ascii="宋体" w:hAnsi="宋体" w:cs="宋体"/>
          <w:b/>
          <w:kern w:val="0"/>
          <w:sz w:val="24"/>
          <w:highlight w:val="none"/>
        </w:rPr>
        <w:t>1.供应商提出质疑时，应提交质疑函和必要的证明材料</w:t>
      </w:r>
      <w:r>
        <w:rPr>
          <w:rFonts w:hint="eastAsia" w:ascii="宋体" w:hAnsi="宋体" w:cs="宋体"/>
          <w:b/>
          <w:bCs/>
          <w:kern w:val="0"/>
          <w:sz w:val="24"/>
          <w:highlight w:val="none"/>
        </w:rPr>
        <w:t>。</w:t>
      </w:r>
    </w:p>
    <w:p>
      <w:pPr>
        <w:spacing w:line="360" w:lineRule="auto"/>
        <w:ind w:left="25" w:leftChars="12" w:firstLine="354" w:firstLineChars="147"/>
        <w:contextualSpacing/>
        <w:rPr>
          <w:rFonts w:ascii="宋体" w:hAnsi="宋体" w:cs="宋体"/>
          <w:b/>
          <w:kern w:val="0"/>
          <w:sz w:val="24"/>
          <w:highlight w:val="none"/>
        </w:rPr>
      </w:pPr>
      <w:r>
        <w:rPr>
          <w:rFonts w:hint="eastAsia" w:ascii="宋体" w:hAnsi="宋体" w:cs="宋体"/>
          <w:b/>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cs="宋体"/>
          <w:b/>
          <w:kern w:val="0"/>
          <w:sz w:val="24"/>
          <w:highlight w:val="none"/>
        </w:rPr>
      </w:pPr>
      <w:r>
        <w:rPr>
          <w:rFonts w:hint="eastAsia" w:ascii="宋体" w:hAnsi="宋体" w:cs="宋体"/>
          <w:b/>
          <w:kern w:val="0"/>
          <w:sz w:val="24"/>
          <w:highlight w:val="none"/>
        </w:rPr>
        <w:t>3.质疑函的质疑事项应具体、明确，并有必要的事实依据和法律依据。</w:t>
      </w:r>
    </w:p>
    <w:p>
      <w:pPr>
        <w:spacing w:line="360" w:lineRule="auto"/>
        <w:ind w:left="25" w:leftChars="12" w:firstLine="354" w:firstLineChars="147"/>
        <w:contextualSpacing/>
        <w:rPr>
          <w:rFonts w:ascii="宋体" w:hAnsi="宋体" w:cs="宋体"/>
          <w:b/>
          <w:kern w:val="0"/>
          <w:sz w:val="24"/>
          <w:highlight w:val="none"/>
        </w:rPr>
      </w:pPr>
      <w:r>
        <w:rPr>
          <w:rFonts w:hint="eastAsia" w:ascii="宋体" w:hAnsi="宋体" w:cs="宋体"/>
          <w:b/>
          <w:kern w:val="0"/>
          <w:sz w:val="24"/>
          <w:highlight w:val="none"/>
        </w:rPr>
        <w:t>4.质疑函的质疑请求应与质疑事项相关。</w:t>
      </w:r>
    </w:p>
    <w:p>
      <w:pPr>
        <w:spacing w:line="360" w:lineRule="auto"/>
        <w:ind w:left="25" w:leftChars="12" w:firstLine="354" w:firstLineChars="147"/>
        <w:contextualSpacing/>
        <w:rPr>
          <w:rFonts w:ascii="宋体" w:hAnsi="宋体" w:cs="宋体"/>
          <w:b/>
          <w:kern w:val="0"/>
          <w:sz w:val="20"/>
          <w:szCs w:val="21"/>
          <w:highlight w:val="none"/>
        </w:rPr>
      </w:pPr>
      <w:r>
        <w:rPr>
          <w:rFonts w:hint="eastAsia" w:ascii="宋体" w:hAnsi="宋体" w:cs="宋体"/>
          <w:b/>
          <w:kern w:val="0"/>
          <w:sz w:val="24"/>
          <w:highlight w:val="none"/>
        </w:rPr>
        <w:t>5.质疑供应商为法人或者其他组织的，质疑函应由法定代表人、主要负责人，或者其授权代表签字或者盖章，并加盖公章。</w:t>
      </w:r>
    </w:p>
    <w:p>
      <w:pPr>
        <w:snapToGrid w:val="0"/>
        <w:rPr>
          <w:rFonts w:ascii="宋体" w:hAnsi="宋体" w:cs="宋体"/>
          <w:b/>
          <w:kern w:val="0"/>
          <w:sz w:val="24"/>
          <w:highlight w:val="none"/>
        </w:rPr>
      </w:pPr>
    </w:p>
    <w:p>
      <w:pPr>
        <w:spacing w:line="460" w:lineRule="exact"/>
        <w:jc w:val="center"/>
        <w:rPr>
          <w:rFonts w:ascii="宋体" w:hAnsi="宋体" w:cs="宋体"/>
          <w:sz w:val="44"/>
          <w:highlight w:val="none"/>
        </w:rPr>
      </w:pPr>
      <w:r>
        <w:rPr>
          <w:rFonts w:hint="eastAsia" w:ascii="宋体" w:hAnsi="宋体" w:cs="宋体"/>
          <w:sz w:val="44"/>
          <w:highlight w:val="none"/>
        </w:rPr>
        <w:br w:type="page"/>
      </w: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投诉书（格式）</w:t>
      </w:r>
    </w:p>
    <w:p>
      <w:pPr>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一、投诉相关主体基本情况：</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供应商：</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法定代表人/主要负责人：</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授权代表：</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被投诉人1：</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联系人：</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被投诉人2：</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相关供应商：</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p>
    <w:p>
      <w:pPr>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联系人：</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pPr>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二、投诉项目基本情况：</w:t>
      </w:r>
    </w:p>
    <w:p>
      <w:pPr>
        <w:spacing w:line="360" w:lineRule="auto"/>
        <w:ind w:left="25" w:leftChars="12" w:firstLine="472" w:firstLineChars="197"/>
        <w:rPr>
          <w:rFonts w:ascii="宋体" w:hAnsi="宋体" w:cs="宋体"/>
          <w:kern w:val="0"/>
          <w:sz w:val="24"/>
          <w:highlight w:val="none"/>
        </w:rPr>
      </w:pPr>
      <w:r>
        <w:rPr>
          <w:rFonts w:hint="eastAsia" w:ascii="宋体" w:hAnsi="宋体" w:cs="宋体"/>
          <w:bCs/>
          <w:kern w:val="0"/>
          <w:sz w:val="24"/>
          <w:highlight w:val="none"/>
        </w:rPr>
        <w:t>采购</w:t>
      </w:r>
      <w:r>
        <w:rPr>
          <w:rFonts w:hint="eastAsia" w:ascii="宋体" w:hAnsi="宋体" w:cs="宋体"/>
          <w:kern w:val="0"/>
          <w:sz w:val="24"/>
          <w:highlight w:val="none"/>
        </w:rPr>
        <w:t>项目的名称：</w:t>
      </w:r>
      <w:r>
        <w:rPr>
          <w:rFonts w:hint="eastAsia" w:ascii="宋体" w:hAnsi="宋体" w:cs="宋体"/>
          <w:bCs/>
          <w:kern w:val="0"/>
          <w:sz w:val="24"/>
          <w:highlight w:val="none"/>
          <w:u w:val="single"/>
        </w:rPr>
        <w:t xml:space="preserve">                                                                   </w:t>
      </w:r>
    </w:p>
    <w:p>
      <w:pPr>
        <w:spacing w:line="360" w:lineRule="auto"/>
        <w:ind w:left="25" w:leftChars="12" w:firstLine="472" w:firstLineChars="197"/>
        <w:rPr>
          <w:rFonts w:ascii="宋体" w:hAnsi="宋体" w:cs="宋体"/>
          <w:kern w:val="0"/>
          <w:sz w:val="24"/>
          <w:highlight w:val="none"/>
        </w:rPr>
      </w:pPr>
      <w:r>
        <w:rPr>
          <w:rFonts w:hint="eastAsia" w:ascii="宋体" w:hAnsi="宋体" w:cs="宋体"/>
          <w:bCs/>
          <w:kern w:val="0"/>
          <w:sz w:val="24"/>
          <w:highlight w:val="none"/>
        </w:rPr>
        <w:t>采购</w:t>
      </w:r>
      <w:r>
        <w:rPr>
          <w:rFonts w:hint="eastAsia" w:ascii="宋体" w:hAnsi="宋体" w:cs="宋体"/>
          <w:kern w:val="0"/>
          <w:sz w:val="24"/>
          <w:highlight w:val="none"/>
        </w:rPr>
        <w:t>项目的编号：</w:t>
      </w:r>
      <w:r>
        <w:rPr>
          <w:rFonts w:hint="eastAsia" w:ascii="宋体" w:hAnsi="宋体" w:cs="宋体"/>
          <w:bCs/>
          <w:kern w:val="0"/>
          <w:sz w:val="24"/>
          <w:highlight w:val="none"/>
          <w:u w:val="single"/>
        </w:rPr>
        <w:t xml:space="preserve">                                          </w:t>
      </w:r>
    </w:p>
    <w:p>
      <w:pPr>
        <w:spacing w:line="360" w:lineRule="auto"/>
        <w:ind w:left="25" w:leftChars="12" w:firstLine="472" w:firstLineChars="197"/>
        <w:rPr>
          <w:rFonts w:ascii="宋体" w:hAnsi="宋体" w:cs="宋体"/>
          <w:bCs/>
          <w:kern w:val="0"/>
          <w:sz w:val="24"/>
          <w:highlight w:val="none"/>
          <w:u w:val="single"/>
        </w:rPr>
      </w:pPr>
      <w:r>
        <w:rPr>
          <w:rFonts w:hint="eastAsia" w:ascii="宋体" w:hAnsi="宋体" w:cs="宋体"/>
          <w:kern w:val="0"/>
          <w:sz w:val="24"/>
          <w:highlight w:val="none"/>
        </w:rPr>
        <w:t>采购人名称：</w:t>
      </w:r>
      <w:r>
        <w:rPr>
          <w:rFonts w:hint="eastAsia" w:ascii="宋体" w:hAnsi="宋体" w:cs="宋体"/>
          <w:bCs/>
          <w:kern w:val="0"/>
          <w:sz w:val="24"/>
          <w:highlight w:val="none"/>
          <w:u w:val="single"/>
        </w:rPr>
        <w:t xml:space="preserve">                                                                        </w:t>
      </w:r>
    </w:p>
    <w:p>
      <w:pPr>
        <w:spacing w:line="360" w:lineRule="auto"/>
        <w:ind w:left="25" w:leftChars="12" w:firstLine="472" w:firstLineChars="197"/>
        <w:rPr>
          <w:rFonts w:ascii="宋体" w:hAnsi="宋体" w:cs="宋体"/>
          <w:bCs/>
          <w:kern w:val="0"/>
          <w:sz w:val="24"/>
          <w:highlight w:val="none"/>
          <w:u w:val="single"/>
        </w:rPr>
      </w:pPr>
      <w:r>
        <w:rPr>
          <w:rFonts w:hint="eastAsia" w:ascii="宋体" w:hAnsi="宋体" w:cs="宋体"/>
          <w:kern w:val="0"/>
          <w:sz w:val="24"/>
          <w:highlight w:val="none"/>
        </w:rPr>
        <w:t>代理机构名称：</w:t>
      </w:r>
      <w:r>
        <w:rPr>
          <w:rFonts w:hint="eastAsia" w:ascii="宋体" w:hAnsi="宋体" w:cs="宋体"/>
          <w:bCs/>
          <w:kern w:val="0"/>
          <w:sz w:val="24"/>
          <w:highlight w:val="none"/>
          <w:u w:val="single"/>
        </w:rPr>
        <w:t xml:space="preserve">                                                                      </w:t>
      </w:r>
    </w:p>
    <w:p>
      <w:pPr>
        <w:spacing w:line="360" w:lineRule="auto"/>
        <w:ind w:left="25" w:leftChars="12" w:firstLine="472" w:firstLineChars="197"/>
        <w:rPr>
          <w:rFonts w:ascii="宋体" w:hAnsi="宋体" w:cs="宋体"/>
          <w:bCs/>
          <w:kern w:val="0"/>
          <w:sz w:val="24"/>
          <w:highlight w:val="none"/>
          <w:u w:val="single"/>
        </w:rPr>
      </w:pPr>
      <w:r>
        <w:rPr>
          <w:rFonts w:hint="eastAsia" w:ascii="宋体" w:hAnsi="宋体" w:cs="宋体"/>
          <w:bCs/>
          <w:kern w:val="0"/>
          <w:sz w:val="24"/>
          <w:highlight w:val="none"/>
        </w:rPr>
        <w:t>采购文件公告：</w:t>
      </w:r>
      <w:r>
        <w:rPr>
          <w:rFonts w:hint="eastAsia" w:ascii="宋体" w:hAnsi="宋体" w:cs="宋体"/>
          <w:bCs/>
          <w:kern w:val="0"/>
          <w:sz w:val="24"/>
          <w:highlight w:val="none"/>
          <w:u w:val="single"/>
        </w:rPr>
        <w:t>是/否</w:t>
      </w:r>
      <w:r>
        <w:rPr>
          <w:rFonts w:hint="eastAsia" w:ascii="宋体" w:hAnsi="宋体" w:cs="宋体"/>
          <w:bCs/>
          <w:kern w:val="0"/>
          <w:sz w:val="24"/>
          <w:highlight w:val="none"/>
        </w:rPr>
        <w:t>公告期限：</w:t>
      </w:r>
      <w:r>
        <w:rPr>
          <w:rFonts w:hint="eastAsia" w:ascii="宋体" w:hAnsi="宋体" w:cs="宋体"/>
          <w:bCs/>
          <w:kern w:val="0"/>
          <w:sz w:val="24"/>
          <w:highlight w:val="none"/>
          <w:u w:val="single"/>
        </w:rPr>
        <w:t xml:space="preserve">                                                       </w:t>
      </w:r>
    </w:p>
    <w:p>
      <w:pPr>
        <w:spacing w:line="360" w:lineRule="auto"/>
        <w:ind w:left="25" w:leftChars="12" w:firstLine="472" w:firstLineChars="197"/>
        <w:rPr>
          <w:rFonts w:ascii="宋体" w:hAnsi="宋体" w:cs="宋体"/>
          <w:b/>
          <w:kern w:val="0"/>
          <w:sz w:val="24"/>
          <w:highlight w:val="none"/>
        </w:rPr>
      </w:pPr>
      <w:r>
        <w:rPr>
          <w:rFonts w:hint="eastAsia" w:ascii="宋体" w:hAnsi="宋体" w:cs="宋体"/>
          <w:bCs/>
          <w:kern w:val="0"/>
          <w:sz w:val="24"/>
          <w:highlight w:val="none"/>
        </w:rPr>
        <w:t>采购结果公告：</w:t>
      </w:r>
      <w:r>
        <w:rPr>
          <w:rFonts w:hint="eastAsia" w:ascii="宋体" w:hAnsi="宋体" w:cs="宋体"/>
          <w:bCs/>
          <w:kern w:val="0"/>
          <w:sz w:val="24"/>
          <w:highlight w:val="none"/>
          <w:u w:val="single"/>
        </w:rPr>
        <w:t>是/否</w:t>
      </w:r>
      <w:r>
        <w:rPr>
          <w:rFonts w:hint="eastAsia" w:ascii="宋体" w:hAnsi="宋体" w:cs="宋体"/>
          <w:bCs/>
          <w:kern w:val="0"/>
          <w:sz w:val="24"/>
          <w:highlight w:val="none"/>
        </w:rPr>
        <w:t>公告期限：</w:t>
      </w:r>
      <w:r>
        <w:rPr>
          <w:rFonts w:hint="eastAsia" w:ascii="宋体" w:hAnsi="宋体" w:cs="宋体"/>
          <w:bCs/>
          <w:kern w:val="0"/>
          <w:sz w:val="24"/>
          <w:highlight w:val="none"/>
          <w:u w:val="single"/>
        </w:rPr>
        <w:t xml:space="preserve">                                                       </w:t>
      </w:r>
    </w:p>
    <w:p>
      <w:pPr>
        <w:spacing w:line="360" w:lineRule="auto"/>
        <w:ind w:left="25" w:leftChars="12" w:firstLine="472" w:firstLineChars="196"/>
        <w:rPr>
          <w:rFonts w:ascii="宋体" w:hAnsi="宋体" w:cs="宋体"/>
          <w:b/>
          <w:kern w:val="0"/>
          <w:sz w:val="24"/>
          <w:highlight w:val="none"/>
        </w:rPr>
      </w:pPr>
      <w:r>
        <w:rPr>
          <w:rFonts w:hint="eastAsia" w:ascii="宋体" w:hAnsi="宋体" w:cs="宋体"/>
          <w:b/>
          <w:kern w:val="0"/>
          <w:sz w:val="24"/>
          <w:highlight w:val="none"/>
        </w:rPr>
        <w:t>三、质疑基本情况</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投诉人于</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日，向</w:t>
      </w:r>
      <w:r>
        <w:rPr>
          <w:rFonts w:hint="eastAsia" w:ascii="宋体" w:hAnsi="宋体" w:cs="宋体"/>
          <w:kern w:val="0"/>
          <w:sz w:val="24"/>
          <w:highlight w:val="none"/>
          <w:u w:val="single"/>
        </w:rPr>
        <w:t xml:space="preserve">                                </w:t>
      </w:r>
      <w:r>
        <w:rPr>
          <w:rFonts w:hint="eastAsia" w:ascii="宋体" w:hAnsi="宋体" w:cs="宋体"/>
          <w:kern w:val="0"/>
          <w:sz w:val="24"/>
          <w:highlight w:val="none"/>
        </w:rPr>
        <w:t>提出质疑，质疑事项为：</w:t>
      </w:r>
    </w:p>
    <w:p>
      <w:pPr>
        <w:spacing w:line="360" w:lineRule="auto"/>
        <w:ind w:firstLine="241"/>
        <w:rPr>
          <w:rFonts w:ascii="宋体" w:hAnsi="宋体" w:cs="宋体"/>
          <w:bCs/>
          <w:kern w:val="0"/>
          <w:sz w:val="24"/>
          <w:highlight w:val="none"/>
          <w:u w:val="single"/>
        </w:rPr>
      </w:pPr>
      <w:r>
        <w:rPr>
          <w:rFonts w:hint="eastAsia" w:ascii="宋体" w:hAnsi="宋体" w:cs="宋体"/>
          <w:kern w:val="0"/>
          <w:sz w:val="24"/>
          <w:highlight w:val="none"/>
        </w:rPr>
        <w:t xml:space="preserve">    </w:t>
      </w:r>
      <w:r>
        <w:rPr>
          <w:rFonts w:hint="eastAsia" w:ascii="宋体" w:hAnsi="宋体" w:cs="宋体"/>
          <w:bCs/>
          <w:kern w:val="0"/>
          <w:sz w:val="24"/>
          <w:highlight w:val="none"/>
          <w:u w:val="single"/>
        </w:rPr>
        <w:t xml:space="preserve">                                                                                      </w:t>
      </w:r>
    </w:p>
    <w:p>
      <w:pPr>
        <w:spacing w:line="360" w:lineRule="auto"/>
        <w:ind w:firstLine="241"/>
        <w:rPr>
          <w:rFonts w:ascii="宋体" w:hAnsi="宋体" w:cs="宋体"/>
          <w:bCs/>
          <w:kern w:val="0"/>
          <w:sz w:val="24"/>
          <w:highlight w:val="none"/>
          <w:u w:val="single"/>
        </w:rPr>
      </w:pPr>
      <w:r>
        <w:rPr>
          <w:rFonts w:hint="eastAsia" w:ascii="宋体" w:hAnsi="宋体" w:cs="宋体"/>
          <w:bCs/>
          <w:kern w:val="0"/>
          <w:sz w:val="24"/>
          <w:highlight w:val="none"/>
        </w:rPr>
        <w:t xml:space="preserve">    </w:t>
      </w:r>
      <w:r>
        <w:rPr>
          <w:rFonts w:hint="eastAsia" w:ascii="宋体" w:hAnsi="宋体" w:cs="宋体"/>
          <w:bCs/>
          <w:kern w:val="0"/>
          <w:sz w:val="24"/>
          <w:highlight w:val="none"/>
          <w:u w:val="single"/>
        </w:rPr>
        <w:t xml:space="preserve">                                                                                      </w:t>
      </w:r>
    </w:p>
    <w:p>
      <w:pPr>
        <w:spacing w:line="360" w:lineRule="auto"/>
        <w:ind w:firstLine="480" w:firstLineChars="200"/>
        <w:rPr>
          <w:rFonts w:ascii="宋体" w:hAnsi="宋体" w:cs="宋体"/>
          <w:kern w:val="0"/>
          <w:sz w:val="24"/>
          <w:highlight w:val="none"/>
        </w:rPr>
      </w:pPr>
      <w:r>
        <w:rPr>
          <w:rFonts w:hint="eastAsia" w:ascii="宋体" w:hAnsi="宋体" w:cs="宋体"/>
          <w:bCs/>
          <w:kern w:val="0"/>
          <w:sz w:val="24"/>
          <w:highlight w:val="none"/>
          <w:u w:val="single"/>
        </w:rPr>
        <w:t>采购人/采购代理机构</w:t>
      </w:r>
      <w:r>
        <w:rPr>
          <w:rFonts w:hint="eastAsia" w:ascii="宋体" w:hAnsi="宋体" w:cs="宋体"/>
          <w:bCs/>
          <w:kern w:val="0"/>
          <w:sz w:val="24"/>
          <w:highlight w:val="none"/>
        </w:rPr>
        <w:t>于</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r>
        <w:rPr>
          <w:rFonts w:hint="eastAsia" w:ascii="宋体" w:hAnsi="宋体" w:cs="宋体"/>
          <w:bCs/>
          <w:kern w:val="0"/>
          <w:sz w:val="24"/>
          <w:highlight w:val="none"/>
        </w:rPr>
        <w:t xml:space="preserve">就质疑事项作出了答复/没有在法定期限内作出答复。                                                                                             </w:t>
      </w:r>
    </w:p>
    <w:p>
      <w:pPr>
        <w:spacing w:line="360" w:lineRule="auto"/>
        <w:ind w:left="25" w:leftChars="12" w:firstLine="472" w:firstLineChars="196"/>
        <w:rPr>
          <w:rFonts w:ascii="宋体" w:hAnsi="宋体" w:cs="宋体"/>
          <w:b/>
          <w:kern w:val="0"/>
          <w:sz w:val="24"/>
          <w:highlight w:val="none"/>
        </w:rPr>
      </w:pPr>
      <w:r>
        <w:rPr>
          <w:rFonts w:hint="eastAsia" w:ascii="宋体" w:hAnsi="宋体" w:cs="宋体"/>
          <w:b/>
          <w:kern w:val="0"/>
          <w:sz w:val="24"/>
          <w:highlight w:val="none"/>
        </w:rPr>
        <w:t>四、投诉事项具体内容</w:t>
      </w:r>
    </w:p>
    <w:p>
      <w:pPr>
        <w:spacing w:line="360" w:lineRule="auto"/>
        <w:ind w:left="25" w:leftChars="12" w:firstLine="472" w:firstLineChars="197"/>
        <w:rPr>
          <w:rFonts w:ascii="宋体" w:hAnsi="宋体" w:cs="宋体"/>
          <w:bCs/>
          <w:kern w:val="0"/>
          <w:sz w:val="24"/>
          <w:highlight w:val="none"/>
          <w:u w:val="single"/>
        </w:rPr>
      </w:pPr>
      <w:r>
        <w:rPr>
          <w:rFonts w:hint="eastAsia" w:ascii="宋体" w:hAnsi="宋体" w:cs="宋体"/>
          <w:kern w:val="0"/>
          <w:sz w:val="24"/>
          <w:highlight w:val="none"/>
        </w:rPr>
        <w:t>投诉事项1：</w:t>
      </w:r>
      <w:r>
        <w:rPr>
          <w:rFonts w:hint="eastAsia" w:ascii="宋体" w:hAnsi="宋体" w:cs="宋体"/>
          <w:bCs/>
          <w:kern w:val="0"/>
          <w:sz w:val="24"/>
          <w:highlight w:val="none"/>
          <w:u w:val="single"/>
        </w:rPr>
        <w:t xml:space="preserve">                                                                           </w:t>
      </w:r>
    </w:p>
    <w:p>
      <w:pPr>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事实依据：</w:t>
      </w:r>
      <w:r>
        <w:rPr>
          <w:rFonts w:hint="eastAsia" w:ascii="宋体" w:hAnsi="宋体" w:cs="宋体"/>
          <w:kern w:val="0"/>
          <w:sz w:val="24"/>
          <w:highlight w:val="none"/>
        </w:rPr>
        <w:t xml:space="preserve"> </w:t>
      </w:r>
      <w:r>
        <w:rPr>
          <w:rFonts w:hint="eastAsia" w:ascii="宋体" w:hAnsi="宋体" w:cs="宋体"/>
          <w:bCs/>
          <w:kern w:val="0"/>
          <w:sz w:val="24"/>
          <w:highlight w:val="none"/>
          <w:u w:val="single"/>
        </w:rPr>
        <w:t xml:space="preserve">                                                                                      </w:t>
      </w:r>
    </w:p>
    <w:p>
      <w:pPr>
        <w:spacing w:line="360" w:lineRule="auto"/>
        <w:ind w:left="25" w:leftChars="12" w:firstLine="472" w:firstLineChars="197"/>
        <w:rPr>
          <w:rFonts w:ascii="宋体" w:hAnsi="宋体" w:cs="宋体"/>
          <w:kern w:val="0"/>
          <w:sz w:val="24"/>
          <w:highlight w:val="none"/>
        </w:rPr>
      </w:pPr>
      <w:r>
        <w:rPr>
          <w:rFonts w:hint="eastAsia" w:ascii="宋体" w:hAnsi="宋体" w:cs="宋体"/>
          <w:bCs/>
          <w:kern w:val="0"/>
          <w:sz w:val="24"/>
          <w:highlight w:val="none"/>
          <w:u w:val="single"/>
        </w:rPr>
        <w:t xml:space="preserve">                                                                                        </w:t>
      </w:r>
    </w:p>
    <w:p>
      <w:pPr>
        <w:spacing w:line="360" w:lineRule="auto"/>
        <w:ind w:firstLine="480" w:firstLineChars="200"/>
        <w:rPr>
          <w:rFonts w:ascii="宋体" w:hAnsi="宋体" w:cs="宋体"/>
          <w:bCs/>
          <w:kern w:val="0"/>
          <w:sz w:val="24"/>
          <w:highlight w:val="none"/>
          <w:u w:val="single"/>
        </w:rPr>
      </w:pPr>
      <w:r>
        <w:rPr>
          <w:rFonts w:hint="eastAsia" w:ascii="宋体" w:hAnsi="宋体" w:cs="宋体"/>
          <w:bCs/>
          <w:kern w:val="0"/>
          <w:sz w:val="24"/>
          <w:highlight w:val="none"/>
        </w:rPr>
        <w:t>法律依据：</w:t>
      </w:r>
      <w:r>
        <w:rPr>
          <w:rFonts w:hint="eastAsia" w:ascii="宋体" w:hAnsi="宋体" w:cs="宋体"/>
          <w:kern w:val="0"/>
          <w:sz w:val="24"/>
          <w:highlight w:val="none"/>
        </w:rPr>
        <w:t xml:space="preserve"> </w:t>
      </w:r>
      <w:r>
        <w:rPr>
          <w:rFonts w:hint="eastAsia" w:ascii="宋体" w:hAnsi="宋体" w:cs="宋体"/>
          <w:bCs/>
          <w:kern w:val="0"/>
          <w:sz w:val="24"/>
          <w:highlight w:val="none"/>
          <w:u w:val="single"/>
        </w:rPr>
        <w:t xml:space="preserve">                                                                                      </w:t>
      </w:r>
    </w:p>
    <w:p>
      <w:pPr>
        <w:spacing w:line="360" w:lineRule="auto"/>
        <w:ind w:left="25" w:leftChars="12" w:firstLine="352" w:firstLineChars="147"/>
        <w:rPr>
          <w:rFonts w:ascii="宋体" w:hAnsi="宋体" w:cs="宋体"/>
          <w:bCs/>
          <w:kern w:val="0"/>
          <w:sz w:val="24"/>
          <w:highlight w:val="none"/>
          <w:u w:val="single"/>
        </w:rPr>
      </w:pPr>
      <w:r>
        <w:rPr>
          <w:rFonts w:hint="eastAsia" w:ascii="宋体" w:hAnsi="宋体" w:cs="宋体"/>
          <w:bCs/>
          <w:kern w:val="0"/>
          <w:sz w:val="24"/>
          <w:highlight w:val="none"/>
        </w:rPr>
        <w:t xml:space="preserve"> </w:t>
      </w:r>
      <w:r>
        <w:rPr>
          <w:rFonts w:hint="eastAsia" w:ascii="宋体" w:hAnsi="宋体" w:cs="宋体"/>
          <w:bCs/>
          <w:kern w:val="0"/>
          <w:sz w:val="24"/>
          <w:highlight w:val="none"/>
          <w:u w:val="single"/>
        </w:rPr>
        <w:t xml:space="preserve">                                                                                        </w:t>
      </w:r>
    </w:p>
    <w:p>
      <w:pPr>
        <w:spacing w:line="360" w:lineRule="auto"/>
        <w:ind w:left="25" w:leftChars="12" w:firstLine="472" w:firstLineChars="197"/>
        <w:rPr>
          <w:rFonts w:ascii="宋体" w:hAnsi="宋体" w:cs="宋体"/>
          <w:bCs/>
          <w:kern w:val="0"/>
          <w:sz w:val="24"/>
          <w:highlight w:val="none"/>
        </w:rPr>
      </w:pPr>
      <w:r>
        <w:rPr>
          <w:rFonts w:hint="eastAsia" w:ascii="宋体" w:hAnsi="宋体" w:cs="宋体"/>
          <w:kern w:val="0"/>
          <w:sz w:val="24"/>
          <w:highlight w:val="none"/>
        </w:rPr>
        <w:t xml:space="preserve">投诉事项2  </w:t>
      </w:r>
      <w:r>
        <w:rPr>
          <w:rFonts w:hint="eastAsia" w:ascii="宋体" w:hAnsi="宋体" w:cs="宋体"/>
          <w:bCs/>
          <w:kern w:val="0"/>
          <w:sz w:val="24"/>
          <w:highlight w:val="none"/>
        </w:rPr>
        <w:t xml:space="preserve">   </w:t>
      </w:r>
    </w:p>
    <w:p>
      <w:pPr>
        <w:spacing w:line="360" w:lineRule="auto"/>
        <w:ind w:left="25" w:leftChars="12" w:firstLine="472" w:firstLineChars="197"/>
        <w:rPr>
          <w:rFonts w:ascii="宋体" w:hAnsi="宋体" w:cs="宋体"/>
          <w:bCs/>
          <w:kern w:val="0"/>
          <w:sz w:val="24"/>
          <w:highlight w:val="none"/>
        </w:rPr>
      </w:pPr>
      <w:r>
        <w:rPr>
          <w:rFonts w:hint="eastAsia" w:ascii="宋体" w:hAnsi="宋体" w:cs="宋体"/>
          <w:bCs/>
          <w:kern w:val="0"/>
          <w:sz w:val="24"/>
          <w:highlight w:val="none"/>
        </w:rPr>
        <w:t>……</w:t>
      </w:r>
    </w:p>
    <w:p>
      <w:pPr>
        <w:spacing w:line="360" w:lineRule="auto"/>
        <w:ind w:left="25" w:leftChars="12" w:firstLine="472" w:firstLineChars="196"/>
        <w:rPr>
          <w:rFonts w:ascii="宋体" w:hAnsi="宋体" w:cs="宋体"/>
          <w:b/>
          <w:kern w:val="0"/>
          <w:sz w:val="24"/>
          <w:highlight w:val="none"/>
        </w:rPr>
      </w:pPr>
      <w:r>
        <w:rPr>
          <w:rFonts w:hint="eastAsia" w:ascii="宋体" w:hAnsi="宋体" w:cs="宋体"/>
          <w:b/>
          <w:kern w:val="0"/>
          <w:sz w:val="24"/>
          <w:highlight w:val="none"/>
        </w:rPr>
        <w:t>五、与投诉事项相关的投诉请求：</w:t>
      </w:r>
    </w:p>
    <w:p>
      <w:pPr>
        <w:spacing w:line="360" w:lineRule="auto"/>
        <w:ind w:left="25" w:leftChars="12" w:firstLine="472" w:firstLineChars="197"/>
        <w:rPr>
          <w:rFonts w:ascii="宋体" w:hAnsi="宋体" w:cs="宋体"/>
          <w:kern w:val="0"/>
          <w:sz w:val="24"/>
          <w:highlight w:val="none"/>
        </w:rPr>
      </w:pPr>
      <w:r>
        <w:rPr>
          <w:rFonts w:hint="eastAsia" w:ascii="宋体" w:hAnsi="宋体" w:cs="宋体"/>
          <w:kern w:val="0"/>
          <w:sz w:val="24"/>
          <w:highlight w:val="none"/>
        </w:rPr>
        <w:t>请求：</w:t>
      </w:r>
      <w:r>
        <w:rPr>
          <w:rFonts w:hint="eastAsia" w:ascii="宋体" w:hAnsi="宋体" w:cs="宋体"/>
          <w:bCs/>
          <w:kern w:val="0"/>
          <w:sz w:val="24"/>
          <w:highlight w:val="none"/>
          <w:u w:val="single"/>
        </w:rPr>
        <w:t xml:space="preserve">                                                                                 </w:t>
      </w:r>
    </w:p>
    <w:p>
      <w:pPr>
        <w:spacing w:line="360" w:lineRule="auto"/>
        <w:ind w:left="25" w:leftChars="12" w:firstLine="352" w:firstLineChars="147"/>
        <w:rPr>
          <w:rFonts w:ascii="宋体" w:hAnsi="宋体" w:cs="宋体"/>
          <w:kern w:val="0"/>
          <w:sz w:val="24"/>
          <w:highlight w:val="none"/>
        </w:rPr>
      </w:pPr>
    </w:p>
    <w:p>
      <w:pPr>
        <w:spacing w:line="360" w:lineRule="auto"/>
        <w:ind w:left="25" w:leftChars="12" w:firstLine="472" w:firstLineChars="197"/>
        <w:rPr>
          <w:rFonts w:ascii="宋体" w:hAnsi="宋体" w:cs="宋体"/>
          <w:kern w:val="0"/>
          <w:sz w:val="24"/>
          <w:highlight w:val="none"/>
        </w:rPr>
      </w:pPr>
      <w:r>
        <w:rPr>
          <w:rFonts w:hint="eastAsia" w:ascii="宋体" w:hAnsi="宋体" w:cs="宋体"/>
          <w:kern w:val="0"/>
          <w:sz w:val="24"/>
          <w:highlight w:val="none"/>
        </w:rPr>
        <w:t>签字（签章）：                                       公章：</w:t>
      </w:r>
    </w:p>
    <w:p>
      <w:pPr>
        <w:spacing w:line="360" w:lineRule="auto"/>
        <w:ind w:left="25" w:leftChars="12" w:firstLine="352" w:firstLineChars="147"/>
        <w:rPr>
          <w:rFonts w:ascii="宋体" w:hAnsi="宋体" w:cs="宋体"/>
          <w:kern w:val="0"/>
          <w:sz w:val="24"/>
          <w:highlight w:val="none"/>
        </w:rPr>
      </w:pPr>
    </w:p>
    <w:p>
      <w:pPr>
        <w:spacing w:line="360" w:lineRule="auto"/>
        <w:ind w:left="25" w:leftChars="12" w:firstLine="472" w:firstLineChars="197"/>
        <w:rPr>
          <w:rFonts w:ascii="宋体" w:hAnsi="宋体" w:cs="宋体"/>
          <w:kern w:val="0"/>
          <w:sz w:val="24"/>
          <w:highlight w:val="none"/>
        </w:rPr>
      </w:pPr>
      <w:r>
        <w:rPr>
          <w:rFonts w:hint="eastAsia" w:ascii="宋体" w:hAnsi="宋体" w:cs="宋体"/>
          <w:kern w:val="0"/>
          <w:sz w:val="24"/>
          <w:highlight w:val="none"/>
        </w:rPr>
        <w:t>日期：</w:t>
      </w:r>
    </w:p>
    <w:p>
      <w:pPr>
        <w:spacing w:line="360" w:lineRule="auto"/>
        <w:ind w:left="25" w:leftChars="12" w:firstLine="472" w:firstLineChars="197"/>
        <w:rPr>
          <w:rFonts w:ascii="宋体" w:hAnsi="宋体" w:cs="宋体"/>
          <w:kern w:val="0"/>
          <w:sz w:val="24"/>
          <w:highlight w:val="none"/>
        </w:rPr>
      </w:pPr>
      <w:r>
        <w:rPr>
          <w:rFonts w:hint="eastAsia" w:ascii="宋体" w:hAnsi="宋体" w:cs="宋体"/>
          <w:bCs/>
          <w:kern w:val="0"/>
          <w:sz w:val="24"/>
          <w:highlight w:val="none"/>
        </w:rPr>
        <w:t xml:space="preserve">                                                                                 </w:t>
      </w:r>
    </w:p>
    <w:p>
      <w:pPr>
        <w:snapToGrid w:val="0"/>
        <w:spacing w:line="360" w:lineRule="auto"/>
        <w:rPr>
          <w:rFonts w:ascii="宋体" w:hAnsi="宋体" w:cs="宋体"/>
          <w:b/>
          <w:kern w:val="0"/>
          <w:sz w:val="24"/>
          <w:highlight w:val="none"/>
        </w:rPr>
      </w:pPr>
    </w:p>
    <w:p>
      <w:pPr>
        <w:snapToGrid w:val="0"/>
        <w:spacing w:line="360" w:lineRule="auto"/>
        <w:rPr>
          <w:rFonts w:ascii="宋体" w:hAnsi="宋体" w:cs="宋体"/>
          <w:b/>
          <w:kern w:val="0"/>
          <w:sz w:val="24"/>
          <w:highlight w:val="none"/>
        </w:rPr>
      </w:pPr>
      <w:r>
        <w:rPr>
          <w:rFonts w:hint="eastAsia" w:ascii="宋体" w:hAnsi="宋体" w:cs="宋体"/>
          <w:b/>
          <w:kern w:val="0"/>
          <w:sz w:val="24"/>
          <w:highlight w:val="none"/>
        </w:rPr>
        <w:t>说明：</w:t>
      </w:r>
    </w:p>
    <w:p>
      <w:pPr>
        <w:spacing w:line="360" w:lineRule="auto"/>
        <w:ind w:left="25" w:leftChars="12" w:firstLine="354" w:firstLineChars="147"/>
        <w:rPr>
          <w:rFonts w:ascii="宋体" w:hAnsi="宋体" w:cs="宋体"/>
          <w:b/>
          <w:bCs/>
          <w:kern w:val="0"/>
          <w:sz w:val="24"/>
          <w:highlight w:val="none"/>
        </w:rPr>
      </w:pPr>
      <w:r>
        <w:rPr>
          <w:rFonts w:hint="eastAsia" w:ascii="宋体" w:hAnsi="宋体" w:cs="宋体"/>
          <w:b/>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kern w:val="0"/>
          <w:sz w:val="24"/>
          <w:highlight w:val="none"/>
        </w:rPr>
        <w:t>。</w:t>
      </w:r>
    </w:p>
    <w:p>
      <w:pPr>
        <w:spacing w:line="360" w:lineRule="auto"/>
        <w:ind w:left="25" w:leftChars="12" w:firstLine="354" w:firstLineChars="147"/>
        <w:rPr>
          <w:rFonts w:ascii="宋体" w:hAnsi="宋体" w:cs="宋体"/>
          <w:b/>
          <w:kern w:val="0"/>
          <w:sz w:val="24"/>
          <w:highlight w:val="none"/>
        </w:rPr>
      </w:pPr>
      <w:r>
        <w:rPr>
          <w:rFonts w:hint="eastAsia" w:ascii="宋体" w:hAnsi="宋体" w:cs="宋体"/>
          <w:b/>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cs="宋体"/>
          <w:b/>
          <w:kern w:val="0"/>
          <w:sz w:val="24"/>
          <w:highlight w:val="none"/>
        </w:rPr>
      </w:pPr>
      <w:r>
        <w:rPr>
          <w:rFonts w:hint="eastAsia" w:ascii="宋体" w:hAnsi="宋体" w:cs="宋体"/>
          <w:b/>
          <w:kern w:val="0"/>
          <w:sz w:val="24"/>
          <w:highlight w:val="none"/>
        </w:rPr>
        <w:t>3.投诉书应简要列明质疑事项，质疑函、质疑答复等作为附件材料提供。</w:t>
      </w:r>
    </w:p>
    <w:p>
      <w:pPr>
        <w:spacing w:line="360" w:lineRule="auto"/>
        <w:ind w:left="25" w:leftChars="12" w:firstLine="354" w:firstLineChars="147"/>
        <w:rPr>
          <w:rFonts w:ascii="宋体" w:hAnsi="宋体" w:cs="宋体"/>
          <w:b/>
          <w:kern w:val="0"/>
          <w:sz w:val="24"/>
          <w:highlight w:val="none"/>
        </w:rPr>
      </w:pPr>
      <w:r>
        <w:rPr>
          <w:rFonts w:hint="eastAsia" w:ascii="宋体" w:hAnsi="宋体" w:cs="宋体"/>
          <w:b/>
          <w:kern w:val="0"/>
          <w:sz w:val="24"/>
          <w:highlight w:val="none"/>
        </w:rPr>
        <w:t>4.投诉书的投诉事项应具体、明确，并有必要的事实依据和法律依据。</w:t>
      </w:r>
    </w:p>
    <w:p>
      <w:pPr>
        <w:spacing w:line="360" w:lineRule="auto"/>
        <w:ind w:left="25" w:leftChars="12" w:firstLine="354" w:firstLineChars="147"/>
        <w:rPr>
          <w:rFonts w:ascii="宋体" w:hAnsi="宋体" w:cs="宋体"/>
          <w:b/>
          <w:kern w:val="0"/>
          <w:sz w:val="24"/>
          <w:highlight w:val="none"/>
        </w:rPr>
      </w:pPr>
      <w:r>
        <w:rPr>
          <w:rFonts w:hint="eastAsia" w:ascii="宋体" w:hAnsi="宋体" w:cs="宋体"/>
          <w:b/>
          <w:kern w:val="0"/>
          <w:sz w:val="24"/>
          <w:highlight w:val="none"/>
        </w:rPr>
        <w:t>5.投诉书的投诉请求应与投诉事项相关。</w:t>
      </w:r>
    </w:p>
    <w:p>
      <w:pPr>
        <w:spacing w:line="360" w:lineRule="auto"/>
        <w:ind w:left="25" w:leftChars="12" w:firstLine="354" w:firstLineChars="147"/>
        <w:rPr>
          <w:rFonts w:ascii="宋体" w:hAnsi="宋体" w:cs="宋体"/>
          <w:highlight w:val="none"/>
        </w:rPr>
      </w:pPr>
      <w:r>
        <w:rPr>
          <w:rFonts w:hint="eastAsia" w:ascii="宋体" w:hAnsi="宋体" w:cs="宋体"/>
          <w:b/>
          <w:kern w:val="0"/>
          <w:sz w:val="24"/>
          <w:highlight w:val="none"/>
        </w:rPr>
        <w:t>6.投诉人为法人或者其他组织的，投诉书应由法定代表人、主要负责人，或者其授权代表签字或者盖章，并加盖公章。</w:t>
      </w:r>
    </w:p>
    <w:p>
      <w:pPr>
        <w:rPr>
          <w:rFonts w:ascii="宋体" w:hAnsi="宋体" w:cs="宋体"/>
          <w:highlight w:val="none"/>
        </w:rPr>
      </w:pPr>
    </w:p>
    <w:sectPr>
      <w:headerReference r:id="rId13" w:type="default"/>
      <w:footerReference r:id="rId14"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501B4DCD-E089-441D-A0F9-3A0C497303B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1EB9CC9-66EA-490D-89E0-63044BA9C8D4}"/>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3" w:fontKey="{B846ACF1-51A2-429F-93F0-A1BF9DCDD639}"/>
  </w:font>
  <w:font w:name="Wingdings 2">
    <w:panose1 w:val="05020102010507070707"/>
    <w:charset w:val="02"/>
    <w:family w:val="roman"/>
    <w:pitch w:val="default"/>
    <w:sig w:usb0="00000000" w:usb1="00000000" w:usb2="00000000" w:usb3="00000000" w:csb0="80000000" w:csb1="00000000"/>
    <w:embedRegular r:id="rId4" w:fontKey="{38336696-6359-4B1A-8682-C69EBA738719}"/>
  </w:font>
  <w:font w:name="微软雅黑">
    <w:panose1 w:val="020B0503020204020204"/>
    <w:charset w:val="86"/>
    <w:family w:val="swiss"/>
    <w:pitch w:val="default"/>
    <w:sig w:usb0="80000287" w:usb1="280F3C52" w:usb2="00000016" w:usb3="00000000" w:csb0="0004001F" w:csb1="00000000"/>
    <w:embedRegular r:id="rId5" w:fontKey="{69137BAB-54E3-4520-BEC5-78737BCFA7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pPr>
      <w:pStyle w:val="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p>
  <w:p>
    <w:pPr>
      <w:pStyle w:val="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pPr>
      <w:pStyle w:val="24"/>
      <w:pBdr>
        <w:bottom w:val="none" w:color="auto" w:sz="0" w:space="1"/>
      </w:pBdr>
      <w:rPr>
        <w:rFonts w:ascii="Calibri" w:hAnsi="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2YjBmODIzN2YyMDMzMDU2MWRmZTlmNjAxYzk0Nj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296"/>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33F"/>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B798A"/>
    <w:rsid w:val="002C0C1C"/>
    <w:rsid w:val="002C54C2"/>
    <w:rsid w:val="002C5D34"/>
    <w:rsid w:val="002C5D7F"/>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03"/>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6B0"/>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6A68"/>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3531"/>
    <w:rsid w:val="003E43D3"/>
    <w:rsid w:val="003E48E1"/>
    <w:rsid w:val="003E4B2A"/>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3995"/>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5AF2"/>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0AF"/>
    <w:rsid w:val="006942AE"/>
    <w:rsid w:val="00695421"/>
    <w:rsid w:val="00695D7E"/>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39E2"/>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5B3"/>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2653"/>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3E48"/>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1718C"/>
    <w:rsid w:val="0082027C"/>
    <w:rsid w:val="00822518"/>
    <w:rsid w:val="008226F5"/>
    <w:rsid w:val="00823FC6"/>
    <w:rsid w:val="00824306"/>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6A70"/>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1DA3"/>
    <w:rsid w:val="0098243D"/>
    <w:rsid w:val="00982D26"/>
    <w:rsid w:val="00983B6E"/>
    <w:rsid w:val="00983FE5"/>
    <w:rsid w:val="009849E9"/>
    <w:rsid w:val="009859E4"/>
    <w:rsid w:val="00987812"/>
    <w:rsid w:val="0098789B"/>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0C5D"/>
    <w:rsid w:val="00B3115A"/>
    <w:rsid w:val="00B31825"/>
    <w:rsid w:val="00B31A5C"/>
    <w:rsid w:val="00B33B06"/>
    <w:rsid w:val="00B33C19"/>
    <w:rsid w:val="00B35A15"/>
    <w:rsid w:val="00B35B45"/>
    <w:rsid w:val="00B368DA"/>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0539"/>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1E6"/>
    <w:rsid w:val="00BD5CD4"/>
    <w:rsid w:val="00BD65D9"/>
    <w:rsid w:val="00BD6DF3"/>
    <w:rsid w:val="00BD6E09"/>
    <w:rsid w:val="00BD6EF9"/>
    <w:rsid w:val="00BD7AFB"/>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298B"/>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67A0B"/>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2B8"/>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4DB7"/>
    <w:rsid w:val="00D95E99"/>
    <w:rsid w:val="00D965D5"/>
    <w:rsid w:val="00D97DA2"/>
    <w:rsid w:val="00DA1A3A"/>
    <w:rsid w:val="00DA2351"/>
    <w:rsid w:val="00DA249E"/>
    <w:rsid w:val="00DA2D3D"/>
    <w:rsid w:val="00DA4C30"/>
    <w:rsid w:val="00DA760B"/>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2F8"/>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286A"/>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5F4E"/>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0E6"/>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5E79"/>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C7AD5"/>
    <w:rsid w:val="0168437B"/>
    <w:rsid w:val="01907316"/>
    <w:rsid w:val="01A433EB"/>
    <w:rsid w:val="01AF3D99"/>
    <w:rsid w:val="01B90B97"/>
    <w:rsid w:val="01C628D4"/>
    <w:rsid w:val="01E3453D"/>
    <w:rsid w:val="01FF3BC3"/>
    <w:rsid w:val="01FF4BEC"/>
    <w:rsid w:val="021741B2"/>
    <w:rsid w:val="02204683"/>
    <w:rsid w:val="022E44A8"/>
    <w:rsid w:val="02511F9D"/>
    <w:rsid w:val="025F06CD"/>
    <w:rsid w:val="02663C42"/>
    <w:rsid w:val="026954E1"/>
    <w:rsid w:val="02827C52"/>
    <w:rsid w:val="028C24AD"/>
    <w:rsid w:val="029F225D"/>
    <w:rsid w:val="02A57908"/>
    <w:rsid w:val="02B0089B"/>
    <w:rsid w:val="02C76111"/>
    <w:rsid w:val="02D6235F"/>
    <w:rsid w:val="02D81256"/>
    <w:rsid w:val="030532A9"/>
    <w:rsid w:val="0306581E"/>
    <w:rsid w:val="03286A1E"/>
    <w:rsid w:val="032B79A4"/>
    <w:rsid w:val="03305A68"/>
    <w:rsid w:val="033F12EC"/>
    <w:rsid w:val="03407951"/>
    <w:rsid w:val="03535D6B"/>
    <w:rsid w:val="038E27E2"/>
    <w:rsid w:val="039A08B0"/>
    <w:rsid w:val="03A314B8"/>
    <w:rsid w:val="03C8711A"/>
    <w:rsid w:val="03D25887"/>
    <w:rsid w:val="03D82B98"/>
    <w:rsid w:val="03D964F4"/>
    <w:rsid w:val="03F83E8B"/>
    <w:rsid w:val="04902A30"/>
    <w:rsid w:val="049570A7"/>
    <w:rsid w:val="04B74446"/>
    <w:rsid w:val="04BA414C"/>
    <w:rsid w:val="04C505BB"/>
    <w:rsid w:val="04CD2CEE"/>
    <w:rsid w:val="04E87914"/>
    <w:rsid w:val="04FA60EF"/>
    <w:rsid w:val="04FC24D4"/>
    <w:rsid w:val="05023BEB"/>
    <w:rsid w:val="050E5E84"/>
    <w:rsid w:val="05102192"/>
    <w:rsid w:val="051724C9"/>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6F757B1"/>
    <w:rsid w:val="072940AD"/>
    <w:rsid w:val="072E4C95"/>
    <w:rsid w:val="07325DEE"/>
    <w:rsid w:val="07633118"/>
    <w:rsid w:val="07736840"/>
    <w:rsid w:val="078132CC"/>
    <w:rsid w:val="078627A3"/>
    <w:rsid w:val="07926EFD"/>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331AD7"/>
    <w:rsid w:val="0A3A3B56"/>
    <w:rsid w:val="0A4412A4"/>
    <w:rsid w:val="0A477589"/>
    <w:rsid w:val="0A5C3ECC"/>
    <w:rsid w:val="0A652D3E"/>
    <w:rsid w:val="0A6A1AA6"/>
    <w:rsid w:val="0A767E3E"/>
    <w:rsid w:val="0A9D4A5C"/>
    <w:rsid w:val="0AAB5F5D"/>
    <w:rsid w:val="0AB6063D"/>
    <w:rsid w:val="0ADA366D"/>
    <w:rsid w:val="0B193B77"/>
    <w:rsid w:val="0B325243"/>
    <w:rsid w:val="0B326F2A"/>
    <w:rsid w:val="0B3D510B"/>
    <w:rsid w:val="0B475F57"/>
    <w:rsid w:val="0B5B05C2"/>
    <w:rsid w:val="0B5E289E"/>
    <w:rsid w:val="0B623221"/>
    <w:rsid w:val="0B95246A"/>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C239D"/>
    <w:rsid w:val="0E5F47DD"/>
    <w:rsid w:val="0E6772B0"/>
    <w:rsid w:val="0E6B66E8"/>
    <w:rsid w:val="0E8F2DCE"/>
    <w:rsid w:val="0E9434CC"/>
    <w:rsid w:val="0EB36C82"/>
    <w:rsid w:val="0ED45624"/>
    <w:rsid w:val="0EE04BDF"/>
    <w:rsid w:val="0EE44AEB"/>
    <w:rsid w:val="0F150F54"/>
    <w:rsid w:val="0F2A74C4"/>
    <w:rsid w:val="0F377C68"/>
    <w:rsid w:val="0F553015"/>
    <w:rsid w:val="0F601A19"/>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E33AF2"/>
    <w:rsid w:val="110B438A"/>
    <w:rsid w:val="116021A5"/>
    <w:rsid w:val="1167339E"/>
    <w:rsid w:val="11785740"/>
    <w:rsid w:val="118E435A"/>
    <w:rsid w:val="11927058"/>
    <w:rsid w:val="119423C1"/>
    <w:rsid w:val="11987B90"/>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0FDE"/>
    <w:rsid w:val="15A27358"/>
    <w:rsid w:val="15B14FA7"/>
    <w:rsid w:val="15C03E03"/>
    <w:rsid w:val="15C3785B"/>
    <w:rsid w:val="15D26520"/>
    <w:rsid w:val="15D60C87"/>
    <w:rsid w:val="15EE508B"/>
    <w:rsid w:val="160F4148"/>
    <w:rsid w:val="162A25EB"/>
    <w:rsid w:val="16473933"/>
    <w:rsid w:val="168B7C8B"/>
    <w:rsid w:val="169F56FE"/>
    <w:rsid w:val="16A267A7"/>
    <w:rsid w:val="16BD6398"/>
    <w:rsid w:val="16BD6B43"/>
    <w:rsid w:val="16D31DF9"/>
    <w:rsid w:val="16D67838"/>
    <w:rsid w:val="16FD2A55"/>
    <w:rsid w:val="17067C1A"/>
    <w:rsid w:val="1720040C"/>
    <w:rsid w:val="172045B4"/>
    <w:rsid w:val="172F08F7"/>
    <w:rsid w:val="17366761"/>
    <w:rsid w:val="17393A34"/>
    <w:rsid w:val="173A76F6"/>
    <w:rsid w:val="175A043F"/>
    <w:rsid w:val="17672074"/>
    <w:rsid w:val="177C01F0"/>
    <w:rsid w:val="177E17B7"/>
    <w:rsid w:val="17935082"/>
    <w:rsid w:val="17A1706E"/>
    <w:rsid w:val="17C50D78"/>
    <w:rsid w:val="17CE6630"/>
    <w:rsid w:val="17D32A08"/>
    <w:rsid w:val="17EB3722"/>
    <w:rsid w:val="17EF65A5"/>
    <w:rsid w:val="17FA1D25"/>
    <w:rsid w:val="180E6351"/>
    <w:rsid w:val="1810355D"/>
    <w:rsid w:val="181235D5"/>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782658"/>
    <w:rsid w:val="1A7D68F1"/>
    <w:rsid w:val="1A8573D4"/>
    <w:rsid w:val="1A867FDC"/>
    <w:rsid w:val="1AB74F63"/>
    <w:rsid w:val="1AC3132A"/>
    <w:rsid w:val="1AE94689"/>
    <w:rsid w:val="1AEA2BE5"/>
    <w:rsid w:val="1AF65A4C"/>
    <w:rsid w:val="1AFF0AFE"/>
    <w:rsid w:val="1B34103B"/>
    <w:rsid w:val="1B39650C"/>
    <w:rsid w:val="1B4F19F8"/>
    <w:rsid w:val="1B5302B4"/>
    <w:rsid w:val="1B5C2F75"/>
    <w:rsid w:val="1B6B7470"/>
    <w:rsid w:val="1BAE3D4C"/>
    <w:rsid w:val="1BC81E14"/>
    <w:rsid w:val="1BEE7729"/>
    <w:rsid w:val="1C100CC6"/>
    <w:rsid w:val="1C1A42E7"/>
    <w:rsid w:val="1C1F28DB"/>
    <w:rsid w:val="1C226F03"/>
    <w:rsid w:val="1C3F670D"/>
    <w:rsid w:val="1C55025E"/>
    <w:rsid w:val="1C9A50D4"/>
    <w:rsid w:val="1CA823CD"/>
    <w:rsid w:val="1CB515F6"/>
    <w:rsid w:val="1CDE1F2F"/>
    <w:rsid w:val="1CE61E5F"/>
    <w:rsid w:val="1CF93E51"/>
    <w:rsid w:val="1D1C46B8"/>
    <w:rsid w:val="1D3943AC"/>
    <w:rsid w:val="1D7C700E"/>
    <w:rsid w:val="1D805CF0"/>
    <w:rsid w:val="1D8F637F"/>
    <w:rsid w:val="1D996796"/>
    <w:rsid w:val="1DA07F2F"/>
    <w:rsid w:val="1DCB6FE9"/>
    <w:rsid w:val="1DD106A3"/>
    <w:rsid w:val="1DDE4B7D"/>
    <w:rsid w:val="1DE75398"/>
    <w:rsid w:val="1E0450B5"/>
    <w:rsid w:val="1E2734BD"/>
    <w:rsid w:val="1E375346"/>
    <w:rsid w:val="1E657FE9"/>
    <w:rsid w:val="1E6B39C7"/>
    <w:rsid w:val="1E72152A"/>
    <w:rsid w:val="1E842C7C"/>
    <w:rsid w:val="1E8C24F9"/>
    <w:rsid w:val="1EA7798B"/>
    <w:rsid w:val="1ECC44FA"/>
    <w:rsid w:val="1ECE7147"/>
    <w:rsid w:val="1EDD4E34"/>
    <w:rsid w:val="1EE53F41"/>
    <w:rsid w:val="1F002542"/>
    <w:rsid w:val="1F063325"/>
    <w:rsid w:val="1F066139"/>
    <w:rsid w:val="1F120F82"/>
    <w:rsid w:val="1F206483"/>
    <w:rsid w:val="1F4D240C"/>
    <w:rsid w:val="1F50678E"/>
    <w:rsid w:val="1F6A3BA7"/>
    <w:rsid w:val="1F80168B"/>
    <w:rsid w:val="1F843156"/>
    <w:rsid w:val="1F885ACE"/>
    <w:rsid w:val="1F91158B"/>
    <w:rsid w:val="1FBC5DF5"/>
    <w:rsid w:val="1FC16863"/>
    <w:rsid w:val="1FDF2302"/>
    <w:rsid w:val="1FEA075F"/>
    <w:rsid w:val="1FEF662C"/>
    <w:rsid w:val="1FF26E0D"/>
    <w:rsid w:val="1FF90588"/>
    <w:rsid w:val="201167D2"/>
    <w:rsid w:val="20134907"/>
    <w:rsid w:val="201474B7"/>
    <w:rsid w:val="20213923"/>
    <w:rsid w:val="20233DBF"/>
    <w:rsid w:val="20245062"/>
    <w:rsid w:val="204D2ACD"/>
    <w:rsid w:val="20914128"/>
    <w:rsid w:val="20967991"/>
    <w:rsid w:val="20BB6724"/>
    <w:rsid w:val="20BF7883"/>
    <w:rsid w:val="20C3623F"/>
    <w:rsid w:val="20D84C09"/>
    <w:rsid w:val="20F25B07"/>
    <w:rsid w:val="211041C1"/>
    <w:rsid w:val="212B4272"/>
    <w:rsid w:val="21781212"/>
    <w:rsid w:val="21833156"/>
    <w:rsid w:val="21AB0864"/>
    <w:rsid w:val="21B83F86"/>
    <w:rsid w:val="21E069CE"/>
    <w:rsid w:val="22106A4D"/>
    <w:rsid w:val="221178A8"/>
    <w:rsid w:val="221213CF"/>
    <w:rsid w:val="22327A92"/>
    <w:rsid w:val="224E7AB9"/>
    <w:rsid w:val="22A84DFE"/>
    <w:rsid w:val="22BB3EC7"/>
    <w:rsid w:val="22DB129D"/>
    <w:rsid w:val="22F47D51"/>
    <w:rsid w:val="22FA4C94"/>
    <w:rsid w:val="230436F8"/>
    <w:rsid w:val="231D53A2"/>
    <w:rsid w:val="2335523F"/>
    <w:rsid w:val="23435214"/>
    <w:rsid w:val="234401DF"/>
    <w:rsid w:val="235477BA"/>
    <w:rsid w:val="236D5383"/>
    <w:rsid w:val="23811F5D"/>
    <w:rsid w:val="23A41B75"/>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E410EC"/>
    <w:rsid w:val="25EC2CF7"/>
    <w:rsid w:val="261F4447"/>
    <w:rsid w:val="263050F1"/>
    <w:rsid w:val="26307F40"/>
    <w:rsid w:val="26381F9B"/>
    <w:rsid w:val="26446DE3"/>
    <w:rsid w:val="267B0CDC"/>
    <w:rsid w:val="26914E82"/>
    <w:rsid w:val="269669E7"/>
    <w:rsid w:val="26A744DB"/>
    <w:rsid w:val="26D4005A"/>
    <w:rsid w:val="26D7699F"/>
    <w:rsid w:val="26DA3B4A"/>
    <w:rsid w:val="26E26183"/>
    <w:rsid w:val="26E36ACC"/>
    <w:rsid w:val="26F73A2A"/>
    <w:rsid w:val="26FF2BB8"/>
    <w:rsid w:val="270417B7"/>
    <w:rsid w:val="27102C21"/>
    <w:rsid w:val="27227C57"/>
    <w:rsid w:val="2750171F"/>
    <w:rsid w:val="275122E4"/>
    <w:rsid w:val="2769156F"/>
    <w:rsid w:val="27793F5D"/>
    <w:rsid w:val="27A2622E"/>
    <w:rsid w:val="27A60F83"/>
    <w:rsid w:val="27C12412"/>
    <w:rsid w:val="27C43035"/>
    <w:rsid w:val="27D24FCB"/>
    <w:rsid w:val="27FC13A7"/>
    <w:rsid w:val="28124EAE"/>
    <w:rsid w:val="28153891"/>
    <w:rsid w:val="283F26BC"/>
    <w:rsid w:val="28785F5E"/>
    <w:rsid w:val="2895115B"/>
    <w:rsid w:val="28BA46FA"/>
    <w:rsid w:val="28BE38E2"/>
    <w:rsid w:val="28CC03F4"/>
    <w:rsid w:val="28F14595"/>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C53F93"/>
    <w:rsid w:val="2ACF406E"/>
    <w:rsid w:val="2AD830F7"/>
    <w:rsid w:val="2AE241C5"/>
    <w:rsid w:val="2B253E47"/>
    <w:rsid w:val="2B6A0459"/>
    <w:rsid w:val="2B6D7ACB"/>
    <w:rsid w:val="2B774624"/>
    <w:rsid w:val="2B8A5BDD"/>
    <w:rsid w:val="2B8C3FB1"/>
    <w:rsid w:val="2B92636F"/>
    <w:rsid w:val="2B9D1BD3"/>
    <w:rsid w:val="2BC83AB9"/>
    <w:rsid w:val="2BD33847"/>
    <w:rsid w:val="2BDB6BA0"/>
    <w:rsid w:val="2BEA293F"/>
    <w:rsid w:val="2BF5056F"/>
    <w:rsid w:val="2C01411F"/>
    <w:rsid w:val="2C1B56AB"/>
    <w:rsid w:val="2C4402A1"/>
    <w:rsid w:val="2C534988"/>
    <w:rsid w:val="2C6E17C2"/>
    <w:rsid w:val="2C796B75"/>
    <w:rsid w:val="2C7A72BE"/>
    <w:rsid w:val="2C890BCA"/>
    <w:rsid w:val="2C8A7A52"/>
    <w:rsid w:val="2C970D19"/>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21532B"/>
    <w:rsid w:val="2D3E4B0D"/>
    <w:rsid w:val="2D446A9B"/>
    <w:rsid w:val="2D4C20AC"/>
    <w:rsid w:val="2D863EDD"/>
    <w:rsid w:val="2DA120C4"/>
    <w:rsid w:val="2DAC6336"/>
    <w:rsid w:val="2DBD5EAA"/>
    <w:rsid w:val="2DC65BA0"/>
    <w:rsid w:val="2DD85E2E"/>
    <w:rsid w:val="2E41718B"/>
    <w:rsid w:val="2E554EA6"/>
    <w:rsid w:val="2E5F03A4"/>
    <w:rsid w:val="2E6A1892"/>
    <w:rsid w:val="2E717F8B"/>
    <w:rsid w:val="2E88190D"/>
    <w:rsid w:val="2E8E1E30"/>
    <w:rsid w:val="2E9976CE"/>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124D4"/>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78161D"/>
    <w:rsid w:val="339C3B02"/>
    <w:rsid w:val="33A05880"/>
    <w:rsid w:val="33A35F1E"/>
    <w:rsid w:val="33B22505"/>
    <w:rsid w:val="33D36651"/>
    <w:rsid w:val="33E85CE2"/>
    <w:rsid w:val="341D0201"/>
    <w:rsid w:val="34246B9F"/>
    <w:rsid w:val="342A2472"/>
    <w:rsid w:val="342B0F4F"/>
    <w:rsid w:val="344D3742"/>
    <w:rsid w:val="347B2D6D"/>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266D8A"/>
    <w:rsid w:val="364257B6"/>
    <w:rsid w:val="36636B8E"/>
    <w:rsid w:val="36741335"/>
    <w:rsid w:val="369E4AB8"/>
    <w:rsid w:val="36AC6498"/>
    <w:rsid w:val="3705788F"/>
    <w:rsid w:val="37133692"/>
    <w:rsid w:val="3724059E"/>
    <w:rsid w:val="3729538A"/>
    <w:rsid w:val="374E4FB2"/>
    <w:rsid w:val="376462CF"/>
    <w:rsid w:val="37725F65"/>
    <w:rsid w:val="37734E19"/>
    <w:rsid w:val="377868E8"/>
    <w:rsid w:val="378123A9"/>
    <w:rsid w:val="379C5435"/>
    <w:rsid w:val="37DE378C"/>
    <w:rsid w:val="37EA5922"/>
    <w:rsid w:val="380C2E7F"/>
    <w:rsid w:val="38134D6C"/>
    <w:rsid w:val="381C20D2"/>
    <w:rsid w:val="38205CA3"/>
    <w:rsid w:val="38276B93"/>
    <w:rsid w:val="38336FC4"/>
    <w:rsid w:val="384D3BF2"/>
    <w:rsid w:val="386A2AA2"/>
    <w:rsid w:val="389430F0"/>
    <w:rsid w:val="38AC3431"/>
    <w:rsid w:val="38B9690B"/>
    <w:rsid w:val="38C26745"/>
    <w:rsid w:val="38CD0AA7"/>
    <w:rsid w:val="38E452E6"/>
    <w:rsid w:val="38E67108"/>
    <w:rsid w:val="38F06097"/>
    <w:rsid w:val="38FE35D2"/>
    <w:rsid w:val="39226DE8"/>
    <w:rsid w:val="392F2E16"/>
    <w:rsid w:val="39406F09"/>
    <w:rsid w:val="396554F4"/>
    <w:rsid w:val="39791C92"/>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A73CF1"/>
    <w:rsid w:val="3AAA5A75"/>
    <w:rsid w:val="3AD3075A"/>
    <w:rsid w:val="3AD5142D"/>
    <w:rsid w:val="3AD62A0C"/>
    <w:rsid w:val="3AD71232"/>
    <w:rsid w:val="3ADB1C7A"/>
    <w:rsid w:val="3AF74C02"/>
    <w:rsid w:val="3B0754C5"/>
    <w:rsid w:val="3B761717"/>
    <w:rsid w:val="3B831369"/>
    <w:rsid w:val="3B8B5350"/>
    <w:rsid w:val="3B954BE0"/>
    <w:rsid w:val="3B9F1620"/>
    <w:rsid w:val="3BB84161"/>
    <w:rsid w:val="3BD53F3C"/>
    <w:rsid w:val="3C0059A5"/>
    <w:rsid w:val="3C07120D"/>
    <w:rsid w:val="3C134E78"/>
    <w:rsid w:val="3C15518D"/>
    <w:rsid w:val="3C2528F1"/>
    <w:rsid w:val="3C2A0F17"/>
    <w:rsid w:val="3C33057E"/>
    <w:rsid w:val="3C334EAF"/>
    <w:rsid w:val="3C3D49BD"/>
    <w:rsid w:val="3C6D16C6"/>
    <w:rsid w:val="3C727629"/>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372168"/>
    <w:rsid w:val="3F4A64D9"/>
    <w:rsid w:val="3F5017C4"/>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0E65973"/>
    <w:rsid w:val="41071387"/>
    <w:rsid w:val="410C362B"/>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8707F"/>
    <w:rsid w:val="431C26D3"/>
    <w:rsid w:val="431F637C"/>
    <w:rsid w:val="434E3AB8"/>
    <w:rsid w:val="43537F8A"/>
    <w:rsid w:val="43805D73"/>
    <w:rsid w:val="43D83C99"/>
    <w:rsid w:val="43DD4E0B"/>
    <w:rsid w:val="43E53CC0"/>
    <w:rsid w:val="44107EE3"/>
    <w:rsid w:val="441E62C0"/>
    <w:rsid w:val="4427077C"/>
    <w:rsid w:val="44316F05"/>
    <w:rsid w:val="44380293"/>
    <w:rsid w:val="443E50E2"/>
    <w:rsid w:val="44406167"/>
    <w:rsid w:val="444901FE"/>
    <w:rsid w:val="44967985"/>
    <w:rsid w:val="44974521"/>
    <w:rsid w:val="44FB65C3"/>
    <w:rsid w:val="45147341"/>
    <w:rsid w:val="45192471"/>
    <w:rsid w:val="452802B4"/>
    <w:rsid w:val="452F1A92"/>
    <w:rsid w:val="45325D14"/>
    <w:rsid w:val="453A5298"/>
    <w:rsid w:val="454F4D0B"/>
    <w:rsid w:val="456A5852"/>
    <w:rsid w:val="456B6447"/>
    <w:rsid w:val="457D0B54"/>
    <w:rsid w:val="45811C7C"/>
    <w:rsid w:val="45906116"/>
    <w:rsid w:val="4597723C"/>
    <w:rsid w:val="45A0305D"/>
    <w:rsid w:val="45A03571"/>
    <w:rsid w:val="45B72BF8"/>
    <w:rsid w:val="45C96298"/>
    <w:rsid w:val="45E356FB"/>
    <w:rsid w:val="45F51AEF"/>
    <w:rsid w:val="460B016C"/>
    <w:rsid w:val="46184820"/>
    <w:rsid w:val="46263C87"/>
    <w:rsid w:val="46332D29"/>
    <w:rsid w:val="465219D4"/>
    <w:rsid w:val="465716AD"/>
    <w:rsid w:val="46745ABF"/>
    <w:rsid w:val="46830E83"/>
    <w:rsid w:val="468B3EFB"/>
    <w:rsid w:val="46AE3D43"/>
    <w:rsid w:val="46C44510"/>
    <w:rsid w:val="46CC1041"/>
    <w:rsid w:val="46CD455E"/>
    <w:rsid w:val="46D5130D"/>
    <w:rsid w:val="46E15B1B"/>
    <w:rsid w:val="46FF778E"/>
    <w:rsid w:val="470A6193"/>
    <w:rsid w:val="471B4E2C"/>
    <w:rsid w:val="471C5C4A"/>
    <w:rsid w:val="47385210"/>
    <w:rsid w:val="474C2DD7"/>
    <w:rsid w:val="474D5830"/>
    <w:rsid w:val="47543636"/>
    <w:rsid w:val="475C3001"/>
    <w:rsid w:val="47625066"/>
    <w:rsid w:val="47690E29"/>
    <w:rsid w:val="47767EAB"/>
    <w:rsid w:val="47864E13"/>
    <w:rsid w:val="478F1033"/>
    <w:rsid w:val="479A5F27"/>
    <w:rsid w:val="47A3011A"/>
    <w:rsid w:val="47A837E0"/>
    <w:rsid w:val="47D31E5D"/>
    <w:rsid w:val="47DC4F5C"/>
    <w:rsid w:val="47DD36B3"/>
    <w:rsid w:val="47F32E64"/>
    <w:rsid w:val="481C7304"/>
    <w:rsid w:val="482C6A5C"/>
    <w:rsid w:val="485C15EC"/>
    <w:rsid w:val="48783354"/>
    <w:rsid w:val="488D3FC9"/>
    <w:rsid w:val="48992B03"/>
    <w:rsid w:val="48B40671"/>
    <w:rsid w:val="48D8429F"/>
    <w:rsid w:val="48E34F9B"/>
    <w:rsid w:val="48F52BF7"/>
    <w:rsid w:val="48F73DFC"/>
    <w:rsid w:val="490D112E"/>
    <w:rsid w:val="493C2711"/>
    <w:rsid w:val="495664BB"/>
    <w:rsid w:val="49751310"/>
    <w:rsid w:val="49973F6B"/>
    <w:rsid w:val="499B5738"/>
    <w:rsid w:val="499F244D"/>
    <w:rsid w:val="49EF4246"/>
    <w:rsid w:val="4A105051"/>
    <w:rsid w:val="4A280204"/>
    <w:rsid w:val="4A2D0198"/>
    <w:rsid w:val="4A420EE7"/>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5D2CD5"/>
    <w:rsid w:val="4B662EDE"/>
    <w:rsid w:val="4B667F55"/>
    <w:rsid w:val="4B6A63A2"/>
    <w:rsid w:val="4B6E0A3F"/>
    <w:rsid w:val="4B7C6990"/>
    <w:rsid w:val="4B8273D5"/>
    <w:rsid w:val="4B862A85"/>
    <w:rsid w:val="4B8B200B"/>
    <w:rsid w:val="4B98008D"/>
    <w:rsid w:val="4BAC4867"/>
    <w:rsid w:val="4BEB211D"/>
    <w:rsid w:val="4BF16188"/>
    <w:rsid w:val="4BF417D4"/>
    <w:rsid w:val="4BF92147"/>
    <w:rsid w:val="4C01654C"/>
    <w:rsid w:val="4C251A45"/>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DB463D"/>
    <w:rsid w:val="4EF86E3C"/>
    <w:rsid w:val="4EFB4CDF"/>
    <w:rsid w:val="4F06496B"/>
    <w:rsid w:val="4F0C1AC6"/>
    <w:rsid w:val="4F127C58"/>
    <w:rsid w:val="4F365F84"/>
    <w:rsid w:val="4F367AC5"/>
    <w:rsid w:val="4F372380"/>
    <w:rsid w:val="4F372FFB"/>
    <w:rsid w:val="4F4B5D83"/>
    <w:rsid w:val="4F71142E"/>
    <w:rsid w:val="4F7A6CA5"/>
    <w:rsid w:val="4F9C17F9"/>
    <w:rsid w:val="4FA7341A"/>
    <w:rsid w:val="4FC66A35"/>
    <w:rsid w:val="4FE15C83"/>
    <w:rsid w:val="4FE34F88"/>
    <w:rsid w:val="4FEF4AC6"/>
    <w:rsid w:val="5025116D"/>
    <w:rsid w:val="50310AE7"/>
    <w:rsid w:val="503D7DBA"/>
    <w:rsid w:val="50572C95"/>
    <w:rsid w:val="507725C3"/>
    <w:rsid w:val="50811214"/>
    <w:rsid w:val="508A158E"/>
    <w:rsid w:val="50BF67C9"/>
    <w:rsid w:val="50C85235"/>
    <w:rsid w:val="50CA0599"/>
    <w:rsid w:val="50ED7CC8"/>
    <w:rsid w:val="50FB62A0"/>
    <w:rsid w:val="511E0283"/>
    <w:rsid w:val="512B554C"/>
    <w:rsid w:val="515158DB"/>
    <w:rsid w:val="515A7AB7"/>
    <w:rsid w:val="516623C4"/>
    <w:rsid w:val="51B05107"/>
    <w:rsid w:val="51DA39DC"/>
    <w:rsid w:val="51E0241A"/>
    <w:rsid w:val="51F1394A"/>
    <w:rsid w:val="51F659F8"/>
    <w:rsid w:val="5201085F"/>
    <w:rsid w:val="522024E6"/>
    <w:rsid w:val="52314419"/>
    <w:rsid w:val="52395ECD"/>
    <w:rsid w:val="526D1B33"/>
    <w:rsid w:val="526D4E29"/>
    <w:rsid w:val="52735E8B"/>
    <w:rsid w:val="52B44696"/>
    <w:rsid w:val="52BB5DFD"/>
    <w:rsid w:val="52C10D75"/>
    <w:rsid w:val="52D55821"/>
    <w:rsid w:val="52EB2FB5"/>
    <w:rsid w:val="53376E09"/>
    <w:rsid w:val="53655BA8"/>
    <w:rsid w:val="537D2167"/>
    <w:rsid w:val="53A303CC"/>
    <w:rsid w:val="53C27FF8"/>
    <w:rsid w:val="53D0274A"/>
    <w:rsid w:val="53EA1FF6"/>
    <w:rsid w:val="53EC03B2"/>
    <w:rsid w:val="540B5AE5"/>
    <w:rsid w:val="5411465D"/>
    <w:rsid w:val="54167271"/>
    <w:rsid w:val="544A1D81"/>
    <w:rsid w:val="544E00F4"/>
    <w:rsid w:val="5475679C"/>
    <w:rsid w:val="548850A3"/>
    <w:rsid w:val="548E3F00"/>
    <w:rsid w:val="548E485C"/>
    <w:rsid w:val="549E1A80"/>
    <w:rsid w:val="54AB108A"/>
    <w:rsid w:val="54BA25DB"/>
    <w:rsid w:val="54BA6AA3"/>
    <w:rsid w:val="54C35871"/>
    <w:rsid w:val="54C658F4"/>
    <w:rsid w:val="54CB45B1"/>
    <w:rsid w:val="54CF22DF"/>
    <w:rsid w:val="54E0494C"/>
    <w:rsid w:val="54E171CD"/>
    <w:rsid w:val="54E7784F"/>
    <w:rsid w:val="550C4BD7"/>
    <w:rsid w:val="551C150B"/>
    <w:rsid w:val="55322669"/>
    <w:rsid w:val="5539470A"/>
    <w:rsid w:val="554C1D56"/>
    <w:rsid w:val="55572986"/>
    <w:rsid w:val="555761AA"/>
    <w:rsid w:val="555E236D"/>
    <w:rsid w:val="55805785"/>
    <w:rsid w:val="55A82C22"/>
    <w:rsid w:val="55C062DD"/>
    <w:rsid w:val="55C84FE2"/>
    <w:rsid w:val="55E822CC"/>
    <w:rsid w:val="5607446A"/>
    <w:rsid w:val="56081243"/>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2F3778"/>
    <w:rsid w:val="573D7EAB"/>
    <w:rsid w:val="57580904"/>
    <w:rsid w:val="578057C8"/>
    <w:rsid w:val="578231ED"/>
    <w:rsid w:val="57856002"/>
    <w:rsid w:val="57893184"/>
    <w:rsid w:val="57A66BAB"/>
    <w:rsid w:val="57AA18F7"/>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094754"/>
    <w:rsid w:val="5A1030D6"/>
    <w:rsid w:val="5A2F2CC8"/>
    <w:rsid w:val="5A3A1B46"/>
    <w:rsid w:val="5A6059E2"/>
    <w:rsid w:val="5A673F93"/>
    <w:rsid w:val="5A723722"/>
    <w:rsid w:val="5A7D02BC"/>
    <w:rsid w:val="5A84088B"/>
    <w:rsid w:val="5AAA4EE2"/>
    <w:rsid w:val="5AC643F3"/>
    <w:rsid w:val="5AC95C92"/>
    <w:rsid w:val="5B436D5A"/>
    <w:rsid w:val="5B487697"/>
    <w:rsid w:val="5B5639C9"/>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5C1E8F"/>
    <w:rsid w:val="5D857790"/>
    <w:rsid w:val="5D861815"/>
    <w:rsid w:val="5D8936D2"/>
    <w:rsid w:val="5D914004"/>
    <w:rsid w:val="5DD80331"/>
    <w:rsid w:val="5DD95E29"/>
    <w:rsid w:val="5DDD16DD"/>
    <w:rsid w:val="5DF41766"/>
    <w:rsid w:val="5E015F08"/>
    <w:rsid w:val="5E615889"/>
    <w:rsid w:val="5E727AB0"/>
    <w:rsid w:val="5E847BF7"/>
    <w:rsid w:val="5E897C12"/>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4162CA"/>
    <w:rsid w:val="60504C82"/>
    <w:rsid w:val="606007BB"/>
    <w:rsid w:val="606163EC"/>
    <w:rsid w:val="608E10F9"/>
    <w:rsid w:val="6095423F"/>
    <w:rsid w:val="60AC7F66"/>
    <w:rsid w:val="60C13070"/>
    <w:rsid w:val="60C97884"/>
    <w:rsid w:val="61045C75"/>
    <w:rsid w:val="611E12A8"/>
    <w:rsid w:val="61226064"/>
    <w:rsid w:val="61497909"/>
    <w:rsid w:val="614E0C9F"/>
    <w:rsid w:val="614F0CAD"/>
    <w:rsid w:val="61885C91"/>
    <w:rsid w:val="6189448A"/>
    <w:rsid w:val="61A475B0"/>
    <w:rsid w:val="61A66546"/>
    <w:rsid w:val="61BD42A4"/>
    <w:rsid w:val="61BF10D9"/>
    <w:rsid w:val="61BF1193"/>
    <w:rsid w:val="61DA3D4C"/>
    <w:rsid w:val="61F215C9"/>
    <w:rsid w:val="62052E11"/>
    <w:rsid w:val="622540F5"/>
    <w:rsid w:val="6265481D"/>
    <w:rsid w:val="626A5412"/>
    <w:rsid w:val="627D5CDF"/>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1E2357"/>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AB324D"/>
    <w:rsid w:val="6AB14B3E"/>
    <w:rsid w:val="6AB235AF"/>
    <w:rsid w:val="6ABD719F"/>
    <w:rsid w:val="6AC13E4D"/>
    <w:rsid w:val="6ADA17F5"/>
    <w:rsid w:val="6AE644C3"/>
    <w:rsid w:val="6AE71A96"/>
    <w:rsid w:val="6AF64E0B"/>
    <w:rsid w:val="6AFD4928"/>
    <w:rsid w:val="6B14078A"/>
    <w:rsid w:val="6B175FBC"/>
    <w:rsid w:val="6B297797"/>
    <w:rsid w:val="6B2F4D3E"/>
    <w:rsid w:val="6B303F71"/>
    <w:rsid w:val="6B374E7A"/>
    <w:rsid w:val="6B421874"/>
    <w:rsid w:val="6B4317B4"/>
    <w:rsid w:val="6B4A10E4"/>
    <w:rsid w:val="6B5C4B71"/>
    <w:rsid w:val="6B614E02"/>
    <w:rsid w:val="6B623CC4"/>
    <w:rsid w:val="6B655563"/>
    <w:rsid w:val="6B7E2908"/>
    <w:rsid w:val="6B9156B3"/>
    <w:rsid w:val="6B9946B3"/>
    <w:rsid w:val="6BF5106A"/>
    <w:rsid w:val="6C150D37"/>
    <w:rsid w:val="6C211E68"/>
    <w:rsid w:val="6C241930"/>
    <w:rsid w:val="6C2D0A9C"/>
    <w:rsid w:val="6C372961"/>
    <w:rsid w:val="6C4052D5"/>
    <w:rsid w:val="6C431EF3"/>
    <w:rsid w:val="6C4B0DE1"/>
    <w:rsid w:val="6C4E6902"/>
    <w:rsid w:val="6C5B59F4"/>
    <w:rsid w:val="6C662189"/>
    <w:rsid w:val="6C6B22D7"/>
    <w:rsid w:val="6C6C2F38"/>
    <w:rsid w:val="6C7007C7"/>
    <w:rsid w:val="6C847C6A"/>
    <w:rsid w:val="6C8C2B67"/>
    <w:rsid w:val="6C8D38AF"/>
    <w:rsid w:val="6C8D7684"/>
    <w:rsid w:val="6CA13443"/>
    <w:rsid w:val="6CA83959"/>
    <w:rsid w:val="6CB04275"/>
    <w:rsid w:val="6CDC07DA"/>
    <w:rsid w:val="6CDF720B"/>
    <w:rsid w:val="6CF92C55"/>
    <w:rsid w:val="6D21360D"/>
    <w:rsid w:val="6D3A3B10"/>
    <w:rsid w:val="6D415399"/>
    <w:rsid w:val="6D4C7D54"/>
    <w:rsid w:val="6D4E0963"/>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E45BF"/>
    <w:rsid w:val="6EA34CC4"/>
    <w:rsid w:val="6EC00BE3"/>
    <w:rsid w:val="6EDF562C"/>
    <w:rsid w:val="6EE14809"/>
    <w:rsid w:val="6EE54F57"/>
    <w:rsid w:val="6F0155A2"/>
    <w:rsid w:val="6F055DD7"/>
    <w:rsid w:val="6F2E0D5F"/>
    <w:rsid w:val="6F395B8B"/>
    <w:rsid w:val="6F4A6530"/>
    <w:rsid w:val="6F6B76CB"/>
    <w:rsid w:val="6F6E0ACF"/>
    <w:rsid w:val="6F753C1F"/>
    <w:rsid w:val="6F964F3B"/>
    <w:rsid w:val="6FB20BD4"/>
    <w:rsid w:val="6FB650F7"/>
    <w:rsid w:val="6FB75277"/>
    <w:rsid w:val="6FBA59BE"/>
    <w:rsid w:val="6FD64135"/>
    <w:rsid w:val="6FE4739E"/>
    <w:rsid w:val="6FF16C9A"/>
    <w:rsid w:val="6FF2418B"/>
    <w:rsid w:val="6FF3192C"/>
    <w:rsid w:val="701B0AC8"/>
    <w:rsid w:val="702726F0"/>
    <w:rsid w:val="70296B3E"/>
    <w:rsid w:val="704255C1"/>
    <w:rsid w:val="704751B9"/>
    <w:rsid w:val="70497291"/>
    <w:rsid w:val="705B357E"/>
    <w:rsid w:val="70611204"/>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4A54B2"/>
    <w:rsid w:val="725E1213"/>
    <w:rsid w:val="72655E48"/>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4A1BC2"/>
    <w:rsid w:val="73514DB1"/>
    <w:rsid w:val="736A73D7"/>
    <w:rsid w:val="7370719A"/>
    <w:rsid w:val="737C5261"/>
    <w:rsid w:val="738A77D2"/>
    <w:rsid w:val="73A553FF"/>
    <w:rsid w:val="73AC15DC"/>
    <w:rsid w:val="73F27930"/>
    <w:rsid w:val="74121260"/>
    <w:rsid w:val="743462D3"/>
    <w:rsid w:val="74365CEE"/>
    <w:rsid w:val="743D707D"/>
    <w:rsid w:val="743E7D5E"/>
    <w:rsid w:val="7441374C"/>
    <w:rsid w:val="744149C3"/>
    <w:rsid w:val="74474E71"/>
    <w:rsid w:val="74A93E5A"/>
    <w:rsid w:val="74C633BB"/>
    <w:rsid w:val="74FA2C30"/>
    <w:rsid w:val="751D1A0B"/>
    <w:rsid w:val="753B09F7"/>
    <w:rsid w:val="754D5C4B"/>
    <w:rsid w:val="756C78B0"/>
    <w:rsid w:val="757939B3"/>
    <w:rsid w:val="757E50F6"/>
    <w:rsid w:val="75855224"/>
    <w:rsid w:val="75A05064"/>
    <w:rsid w:val="75A85DA3"/>
    <w:rsid w:val="75AB5440"/>
    <w:rsid w:val="75CB60C0"/>
    <w:rsid w:val="75E76F6F"/>
    <w:rsid w:val="75EC127C"/>
    <w:rsid w:val="75F142DB"/>
    <w:rsid w:val="75F23E97"/>
    <w:rsid w:val="76067942"/>
    <w:rsid w:val="760B3F34"/>
    <w:rsid w:val="76334397"/>
    <w:rsid w:val="76472434"/>
    <w:rsid w:val="765B4F30"/>
    <w:rsid w:val="766C4E79"/>
    <w:rsid w:val="766D6FAF"/>
    <w:rsid w:val="767D07C6"/>
    <w:rsid w:val="768F7316"/>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E69D1"/>
    <w:rsid w:val="782A2DF7"/>
    <w:rsid w:val="78DE4305"/>
    <w:rsid w:val="797F0359"/>
    <w:rsid w:val="7988495F"/>
    <w:rsid w:val="79962040"/>
    <w:rsid w:val="799A2861"/>
    <w:rsid w:val="79A4105F"/>
    <w:rsid w:val="79BC014A"/>
    <w:rsid w:val="79BC34FC"/>
    <w:rsid w:val="79C95D86"/>
    <w:rsid w:val="79D042C8"/>
    <w:rsid w:val="79D90DD4"/>
    <w:rsid w:val="7A263B6B"/>
    <w:rsid w:val="7A2A6E84"/>
    <w:rsid w:val="7A2D01BD"/>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D943F1"/>
    <w:rsid w:val="7DE5430C"/>
    <w:rsid w:val="7DE64899"/>
    <w:rsid w:val="7DF813B2"/>
    <w:rsid w:val="7DFC32D8"/>
    <w:rsid w:val="7DFD7978"/>
    <w:rsid w:val="7E0763E6"/>
    <w:rsid w:val="7E1202A7"/>
    <w:rsid w:val="7E156055"/>
    <w:rsid w:val="7E2D7872"/>
    <w:rsid w:val="7E447259"/>
    <w:rsid w:val="7E522C19"/>
    <w:rsid w:val="7E5C0F61"/>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6"/>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7"/>
    <w:autoRedefine/>
    <w:qFormat/>
    <w:uiPriority w:val="99"/>
    <w:pPr>
      <w:keepNext/>
      <w:keepLines/>
      <w:spacing w:before="260" w:after="260" w:line="416" w:lineRule="auto"/>
      <w:outlineLvl w:val="2"/>
    </w:pPr>
    <w:rPr>
      <w:b/>
      <w:bCs/>
      <w:sz w:val="32"/>
      <w:szCs w:val="32"/>
    </w:rPr>
  </w:style>
  <w:style w:type="paragraph" w:styleId="6">
    <w:name w:val="heading 4"/>
    <w:basedOn w:val="1"/>
    <w:next w:val="1"/>
    <w:link w:val="48"/>
    <w:autoRedefine/>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49"/>
    <w:autoRedefine/>
    <w:qFormat/>
    <w:uiPriority w:val="9"/>
    <w:pPr>
      <w:keepNext/>
      <w:keepLines/>
      <w:spacing w:before="280" w:after="290" w:line="376" w:lineRule="auto"/>
      <w:outlineLvl w:val="4"/>
    </w:pPr>
    <w:rPr>
      <w:b/>
      <w:bCs/>
      <w:sz w:val="28"/>
      <w:szCs w:val="28"/>
    </w:rPr>
  </w:style>
  <w:style w:type="paragraph" w:styleId="9">
    <w:name w:val="heading 8"/>
    <w:basedOn w:val="1"/>
    <w:next w:val="1"/>
    <w:link w:val="5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55"/>
    <w:autoRedefine/>
    <w:unhideWhenUsed/>
    <w:qFormat/>
    <w:uiPriority w:val="99"/>
    <w:pPr>
      <w:tabs>
        <w:tab w:val="center" w:pos="4153"/>
        <w:tab w:val="right" w:pos="8306"/>
      </w:tabs>
      <w:snapToGrid w:val="0"/>
      <w:jc w:val="left"/>
    </w:pPr>
    <w:rPr>
      <w:kern w:val="0"/>
      <w:sz w:val="18"/>
      <w:szCs w:val="18"/>
    </w:rPr>
  </w:style>
  <w:style w:type="paragraph" w:styleId="8">
    <w:name w:val="Normal Indent"/>
    <w:basedOn w:val="1"/>
    <w:autoRedefine/>
    <w:qFormat/>
    <w:uiPriority w:val="99"/>
    <w:pPr>
      <w:ind w:firstLine="420"/>
    </w:pPr>
    <w:rPr>
      <w:szCs w:val="20"/>
    </w:rPr>
  </w:style>
  <w:style w:type="paragraph" w:styleId="10">
    <w:name w:val="table of authorities"/>
    <w:basedOn w:val="1"/>
    <w:next w:val="1"/>
    <w:autoRedefine/>
    <w:qFormat/>
    <w:uiPriority w:val="99"/>
    <w:pPr>
      <w:ind w:left="420" w:leftChars="200"/>
    </w:pPr>
    <w:rPr>
      <w:rFonts w:ascii="Calibri" w:hAnsi="Calibri"/>
    </w:rPr>
  </w:style>
  <w:style w:type="paragraph" w:styleId="11">
    <w:name w:val="index 8"/>
    <w:basedOn w:val="1"/>
    <w:next w:val="1"/>
    <w:autoRedefine/>
    <w:qFormat/>
    <w:uiPriority w:val="0"/>
    <w:pPr>
      <w:ind w:left="2940"/>
    </w:p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autoRedefine/>
    <w:qFormat/>
    <w:uiPriority w:val="0"/>
    <w:rPr>
      <w:rFonts w:ascii="DejaVu Sans" w:hAnsi="DejaVu Sans" w:eastAsia="方正黑体_GBK"/>
      <w:sz w:val="20"/>
    </w:rPr>
  </w:style>
  <w:style w:type="paragraph" w:styleId="14">
    <w:name w:val="annotation text"/>
    <w:basedOn w:val="1"/>
    <w:link w:val="42"/>
    <w:autoRedefine/>
    <w:qFormat/>
    <w:uiPriority w:val="99"/>
    <w:pPr>
      <w:jc w:val="left"/>
    </w:pPr>
  </w:style>
  <w:style w:type="paragraph" w:styleId="15">
    <w:name w:val="Body Text 3"/>
    <w:basedOn w:val="1"/>
    <w:link w:val="51"/>
    <w:autoRedefine/>
    <w:unhideWhenUsed/>
    <w:qFormat/>
    <w:uiPriority w:val="99"/>
    <w:pPr>
      <w:spacing w:after="120"/>
    </w:pPr>
    <w:rPr>
      <w:sz w:val="16"/>
      <w:szCs w:val="16"/>
    </w:rPr>
  </w:style>
  <w:style w:type="paragraph" w:styleId="16">
    <w:name w:val="Body Text"/>
    <w:basedOn w:val="1"/>
    <w:next w:val="1"/>
    <w:link w:val="52"/>
    <w:autoRedefine/>
    <w:unhideWhenUsed/>
    <w:qFormat/>
    <w:uiPriority w:val="0"/>
    <w:pPr>
      <w:spacing w:after="120"/>
    </w:pPr>
  </w:style>
  <w:style w:type="paragraph" w:styleId="17">
    <w:name w:val="Body Text Indent"/>
    <w:basedOn w:val="1"/>
    <w:next w:val="18"/>
    <w:link w:val="41"/>
    <w:autoRedefine/>
    <w:qFormat/>
    <w:uiPriority w:val="99"/>
    <w:pPr>
      <w:ind w:firstLine="830" w:firstLineChars="352"/>
    </w:pPr>
    <w:rPr>
      <w:rFonts w:ascii="仿宋_GB2312" w:eastAsia="仿宋_GB2312"/>
      <w:kern w:val="0"/>
      <w:sz w:val="32"/>
      <w:szCs w:val="20"/>
    </w:rPr>
  </w:style>
  <w:style w:type="paragraph" w:styleId="18">
    <w:name w:val="annotation subject"/>
    <w:basedOn w:val="14"/>
    <w:next w:val="1"/>
    <w:link w:val="43"/>
    <w:autoRedefine/>
    <w:qFormat/>
    <w:uiPriority w:val="99"/>
    <w:rPr>
      <w:b/>
      <w:bCs/>
    </w:rPr>
  </w:style>
  <w:style w:type="paragraph" w:styleId="19">
    <w:name w:val="List 2"/>
    <w:basedOn w:val="1"/>
    <w:autoRedefine/>
    <w:unhideWhenUsed/>
    <w:qFormat/>
    <w:uiPriority w:val="99"/>
    <w:pPr>
      <w:ind w:left="100" w:leftChars="200" w:hanging="200" w:hangingChars="200"/>
      <w:contextualSpacing/>
    </w:pPr>
  </w:style>
  <w:style w:type="paragraph" w:styleId="20">
    <w:name w:val="toc 3"/>
    <w:basedOn w:val="1"/>
    <w:next w:val="1"/>
    <w:autoRedefine/>
    <w:unhideWhenUsed/>
    <w:qFormat/>
    <w:uiPriority w:val="39"/>
    <w:pPr>
      <w:ind w:left="840" w:leftChars="400"/>
    </w:pPr>
  </w:style>
  <w:style w:type="paragraph" w:styleId="21">
    <w:name w:val="Plain Text"/>
    <w:basedOn w:val="1"/>
    <w:next w:val="1"/>
    <w:link w:val="53"/>
    <w:autoRedefine/>
    <w:qFormat/>
    <w:uiPriority w:val="0"/>
    <w:rPr>
      <w:rFonts w:ascii="宋体" w:hAnsi="Courier New"/>
      <w:kern w:val="0"/>
      <w:sz w:val="20"/>
      <w:szCs w:val="21"/>
    </w:rPr>
  </w:style>
  <w:style w:type="paragraph" w:styleId="22">
    <w:name w:val="Date"/>
    <w:basedOn w:val="1"/>
    <w:next w:val="1"/>
    <w:link w:val="54"/>
    <w:autoRedefine/>
    <w:unhideWhenUsed/>
    <w:qFormat/>
    <w:uiPriority w:val="99"/>
    <w:pPr>
      <w:ind w:left="100" w:leftChars="2500"/>
    </w:pPr>
  </w:style>
  <w:style w:type="paragraph" w:styleId="23">
    <w:name w:val="Balloon Text"/>
    <w:basedOn w:val="1"/>
    <w:autoRedefine/>
    <w:semiHidden/>
    <w:qFormat/>
    <w:uiPriority w:val="0"/>
    <w:rPr>
      <w:sz w:val="18"/>
      <w:szCs w:val="18"/>
    </w:rPr>
  </w:style>
  <w:style w:type="paragraph" w:styleId="24">
    <w:name w:val="header"/>
    <w:basedOn w:val="1"/>
    <w:link w:val="5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style>
  <w:style w:type="paragraph" w:styleId="26">
    <w:name w:val="List"/>
    <w:basedOn w:val="1"/>
    <w:autoRedefine/>
    <w:unhideWhenUsed/>
    <w:qFormat/>
    <w:uiPriority w:val="99"/>
    <w:pPr>
      <w:ind w:left="200" w:hanging="200" w:hangingChars="200"/>
      <w:contextualSpacing/>
    </w:pPr>
  </w:style>
  <w:style w:type="paragraph" w:styleId="27">
    <w:name w:val="toc 2"/>
    <w:basedOn w:val="1"/>
    <w:next w:val="1"/>
    <w:autoRedefine/>
    <w:unhideWhenUsed/>
    <w:qFormat/>
    <w:uiPriority w:val="39"/>
    <w:pPr>
      <w:tabs>
        <w:tab w:val="right" w:leader="dot" w:pos="8296"/>
      </w:tabs>
      <w:ind w:left="420" w:leftChars="200"/>
    </w:pPr>
  </w:style>
  <w:style w:type="paragraph" w:styleId="28">
    <w:name w:val="Normal (Web)"/>
    <w:basedOn w:val="1"/>
    <w:autoRedefine/>
    <w:unhideWhenUsed/>
    <w:qFormat/>
    <w:uiPriority w:val="99"/>
    <w:rPr>
      <w:rFonts w:ascii="Calibri" w:hAnsi="Calibri"/>
      <w:kern w:val="0"/>
      <w:sz w:val="24"/>
    </w:rPr>
  </w:style>
  <w:style w:type="paragraph" w:styleId="29">
    <w:name w:val="Body Text First Indent"/>
    <w:basedOn w:val="16"/>
    <w:autoRedefine/>
    <w:qFormat/>
    <w:uiPriority w:val="0"/>
    <w:pPr>
      <w:ind w:firstLine="420" w:firstLineChars="100"/>
    </w:pPr>
  </w:style>
  <w:style w:type="paragraph" w:styleId="30">
    <w:name w:val="Body Text First Indent 2"/>
    <w:basedOn w:val="17"/>
    <w:link w:val="44"/>
    <w:autoRedefine/>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autoRedefine/>
    <w:unhideWhenUsed/>
    <w:qFormat/>
    <w:uiPriority w:val="99"/>
    <w:rPr>
      <w:vertAlign w:val="superscript"/>
    </w:rPr>
  </w:style>
  <w:style w:type="character" w:styleId="35">
    <w:name w:val="page number"/>
    <w:autoRedefine/>
    <w:qFormat/>
    <w:uiPriority w:val="0"/>
  </w:style>
  <w:style w:type="character" w:styleId="36">
    <w:name w:val="FollowedHyperlink"/>
    <w:autoRedefine/>
    <w:unhideWhenUsed/>
    <w:qFormat/>
    <w:uiPriority w:val="99"/>
    <w:rPr>
      <w:color w:val="800080"/>
      <w:u w:val="single"/>
    </w:rPr>
  </w:style>
  <w:style w:type="character" w:styleId="37">
    <w:name w:val="Emphasis"/>
    <w:basedOn w:val="33"/>
    <w:autoRedefine/>
    <w:qFormat/>
    <w:uiPriority w:val="2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paragraph" w:customStyle="1" w:styleId="40">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7"/>
    <w:autoRedefine/>
    <w:qFormat/>
    <w:uiPriority w:val="99"/>
    <w:rPr>
      <w:rFonts w:ascii="仿宋_GB2312" w:hAnsi="Times New Roman" w:eastAsia="仿宋_GB2312" w:cs="Times New Roman"/>
      <w:sz w:val="32"/>
      <w:szCs w:val="20"/>
    </w:rPr>
  </w:style>
  <w:style w:type="character" w:customStyle="1" w:styleId="42">
    <w:name w:val="批注文字 Char1"/>
    <w:link w:val="14"/>
    <w:autoRedefine/>
    <w:qFormat/>
    <w:uiPriority w:val="99"/>
    <w:rPr>
      <w:rFonts w:ascii="Times New Roman" w:hAnsi="Times New Roman"/>
      <w:kern w:val="2"/>
      <w:sz w:val="21"/>
      <w:szCs w:val="24"/>
    </w:rPr>
  </w:style>
  <w:style w:type="character" w:customStyle="1" w:styleId="43">
    <w:name w:val="批注主题 Char"/>
    <w:link w:val="18"/>
    <w:autoRedefine/>
    <w:qFormat/>
    <w:uiPriority w:val="99"/>
    <w:rPr>
      <w:rFonts w:ascii="Times New Roman" w:hAnsi="Times New Roman"/>
      <w:b/>
      <w:bCs/>
      <w:kern w:val="2"/>
      <w:sz w:val="21"/>
      <w:szCs w:val="24"/>
    </w:rPr>
  </w:style>
  <w:style w:type="character" w:customStyle="1" w:styleId="44">
    <w:name w:val="正文首行缩进 2 Char"/>
    <w:link w:val="30"/>
    <w:autoRedefine/>
    <w:qFormat/>
    <w:uiPriority w:val="99"/>
    <w:rPr>
      <w:kern w:val="2"/>
      <w:sz w:val="21"/>
      <w:szCs w:val="24"/>
    </w:rPr>
  </w:style>
  <w:style w:type="character" w:customStyle="1" w:styleId="45">
    <w:name w:val="标题 1 Char"/>
    <w:link w:val="3"/>
    <w:autoRedefine/>
    <w:qFormat/>
    <w:uiPriority w:val="99"/>
    <w:rPr>
      <w:b/>
      <w:bCs/>
      <w:kern w:val="44"/>
      <w:sz w:val="44"/>
      <w:szCs w:val="44"/>
    </w:rPr>
  </w:style>
  <w:style w:type="character" w:customStyle="1" w:styleId="46">
    <w:name w:val="标题 2 Char1"/>
    <w:link w:val="4"/>
    <w:autoRedefine/>
    <w:qFormat/>
    <w:uiPriority w:val="9"/>
    <w:rPr>
      <w:rFonts w:ascii="Cambria" w:hAnsi="Cambria" w:eastAsia="宋体" w:cs="Times New Roman"/>
      <w:b/>
      <w:bCs/>
      <w:kern w:val="2"/>
      <w:sz w:val="32"/>
      <w:szCs w:val="32"/>
    </w:rPr>
  </w:style>
  <w:style w:type="character" w:customStyle="1" w:styleId="47">
    <w:name w:val="标题 3 Char"/>
    <w:link w:val="5"/>
    <w:autoRedefine/>
    <w:qFormat/>
    <w:uiPriority w:val="99"/>
    <w:rPr>
      <w:b/>
      <w:bCs/>
      <w:kern w:val="2"/>
      <w:sz w:val="32"/>
      <w:szCs w:val="32"/>
    </w:rPr>
  </w:style>
  <w:style w:type="character" w:customStyle="1" w:styleId="48">
    <w:name w:val="标题 4 Char"/>
    <w:link w:val="6"/>
    <w:autoRedefine/>
    <w:qFormat/>
    <w:uiPriority w:val="9"/>
    <w:rPr>
      <w:rFonts w:ascii="Arial" w:hAnsi="Arial" w:eastAsia="黑体"/>
      <w:b/>
      <w:kern w:val="2"/>
      <w:sz w:val="28"/>
      <w:szCs w:val="24"/>
    </w:rPr>
  </w:style>
  <w:style w:type="character" w:customStyle="1" w:styleId="49">
    <w:name w:val="标题 5 Char"/>
    <w:link w:val="7"/>
    <w:autoRedefine/>
    <w:qFormat/>
    <w:uiPriority w:val="9"/>
    <w:rPr>
      <w:rFonts w:ascii="Times New Roman" w:hAnsi="Times New Roman"/>
      <w:b/>
      <w:bCs/>
      <w:kern w:val="2"/>
      <w:sz w:val="28"/>
      <w:szCs w:val="28"/>
    </w:rPr>
  </w:style>
  <w:style w:type="character" w:customStyle="1" w:styleId="50">
    <w:name w:val="标题 8 Char1"/>
    <w:link w:val="9"/>
    <w:autoRedefine/>
    <w:semiHidden/>
    <w:qFormat/>
    <w:uiPriority w:val="9"/>
    <w:rPr>
      <w:rFonts w:ascii="等线 Light" w:hAnsi="等线 Light" w:eastAsia="等线 Light" w:cs="Times New Roman"/>
      <w:kern w:val="2"/>
      <w:sz w:val="24"/>
      <w:szCs w:val="24"/>
    </w:rPr>
  </w:style>
  <w:style w:type="character" w:customStyle="1" w:styleId="51">
    <w:name w:val="正文文本 3 Char"/>
    <w:link w:val="15"/>
    <w:autoRedefine/>
    <w:semiHidden/>
    <w:qFormat/>
    <w:uiPriority w:val="99"/>
    <w:rPr>
      <w:kern w:val="2"/>
      <w:sz w:val="16"/>
      <w:szCs w:val="16"/>
    </w:rPr>
  </w:style>
  <w:style w:type="character" w:customStyle="1" w:styleId="52">
    <w:name w:val="正文文本 Char1"/>
    <w:link w:val="16"/>
    <w:autoRedefine/>
    <w:qFormat/>
    <w:uiPriority w:val="0"/>
    <w:rPr>
      <w:rFonts w:ascii="Times New Roman" w:hAnsi="Times New Roman"/>
      <w:kern w:val="2"/>
      <w:sz w:val="21"/>
      <w:szCs w:val="24"/>
    </w:rPr>
  </w:style>
  <w:style w:type="character" w:customStyle="1" w:styleId="53">
    <w:name w:val="纯文本 Char1"/>
    <w:link w:val="21"/>
    <w:autoRedefine/>
    <w:qFormat/>
    <w:uiPriority w:val="0"/>
    <w:rPr>
      <w:rFonts w:ascii="宋体" w:hAnsi="Courier New" w:eastAsia="宋体" w:cs="Courier New"/>
      <w:szCs w:val="21"/>
    </w:rPr>
  </w:style>
  <w:style w:type="character" w:customStyle="1" w:styleId="54">
    <w:name w:val="日期 Char"/>
    <w:link w:val="22"/>
    <w:autoRedefine/>
    <w:semiHidden/>
    <w:qFormat/>
    <w:uiPriority w:val="99"/>
    <w:rPr>
      <w:rFonts w:ascii="Times New Roman" w:hAnsi="Times New Roman"/>
      <w:kern w:val="2"/>
      <w:sz w:val="21"/>
      <w:szCs w:val="24"/>
    </w:rPr>
  </w:style>
  <w:style w:type="character" w:customStyle="1" w:styleId="55">
    <w:name w:val="页脚 Char"/>
    <w:link w:val="2"/>
    <w:autoRedefine/>
    <w:qFormat/>
    <w:uiPriority w:val="99"/>
    <w:rPr>
      <w:sz w:val="18"/>
      <w:szCs w:val="18"/>
    </w:rPr>
  </w:style>
  <w:style w:type="character" w:customStyle="1" w:styleId="56">
    <w:name w:val="页眉 Char"/>
    <w:link w:val="24"/>
    <w:autoRedefine/>
    <w:qFormat/>
    <w:uiPriority w:val="99"/>
    <w:rPr>
      <w:sz w:val="18"/>
      <w:szCs w:val="18"/>
    </w:rPr>
  </w:style>
  <w:style w:type="character" w:customStyle="1" w:styleId="57">
    <w:name w:val="textcontents"/>
    <w:autoRedefine/>
    <w:qFormat/>
    <w:uiPriority w:val="0"/>
  </w:style>
  <w:style w:type="character" w:customStyle="1" w:styleId="58">
    <w:name w:val="标题 2 Char"/>
    <w:autoRedefine/>
    <w:qFormat/>
    <w:uiPriority w:val="99"/>
    <w:rPr>
      <w:rFonts w:ascii="Cambria" w:hAnsi="Cambria" w:eastAsia="宋体" w:cs="Times New Roman"/>
      <w:b/>
      <w:bCs/>
      <w:kern w:val="2"/>
      <w:sz w:val="32"/>
      <w:szCs w:val="32"/>
    </w:rPr>
  </w:style>
  <w:style w:type="character" w:customStyle="1" w:styleId="5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autoRedefine/>
    <w:qFormat/>
    <w:uiPriority w:val="0"/>
    <w:rPr>
      <w:rFonts w:ascii="宋体" w:hAnsi="Courier New" w:eastAsia="宋体" w:cs="Courier New"/>
      <w:szCs w:val="21"/>
    </w:rPr>
  </w:style>
  <w:style w:type="character" w:customStyle="1" w:styleId="61">
    <w:name w:val="正文文本 字符"/>
    <w:autoRedefine/>
    <w:qFormat/>
    <w:uiPriority w:val="0"/>
    <w:rPr>
      <w:rFonts w:ascii="Times New Roman" w:hAnsi="Times New Roman"/>
      <w:kern w:val="2"/>
      <w:sz w:val="21"/>
      <w:szCs w:val="24"/>
    </w:rPr>
  </w:style>
  <w:style w:type="character" w:customStyle="1" w:styleId="62">
    <w:name w:val="批注文字 字符1"/>
    <w:autoRedefine/>
    <w:qFormat/>
    <w:uiPriority w:val="0"/>
    <w:rPr>
      <w:rFonts w:ascii="Times New Roman" w:hAnsi="Times New Roman"/>
      <w:kern w:val="2"/>
      <w:sz w:val="21"/>
      <w:szCs w:val="24"/>
    </w:rPr>
  </w:style>
  <w:style w:type="character" w:customStyle="1" w:styleId="63">
    <w:name w:val="正文文本 Char"/>
    <w:autoRedefine/>
    <w:qFormat/>
    <w:uiPriority w:val="99"/>
    <w:rPr>
      <w:rFonts w:ascii="Times New Roman" w:hAnsi="Times New Roman"/>
      <w:kern w:val="2"/>
      <w:sz w:val="21"/>
      <w:szCs w:val="24"/>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标题 1 字符1"/>
    <w:autoRedefine/>
    <w:qFormat/>
    <w:uiPriority w:val="0"/>
    <w:rPr>
      <w:b/>
      <w:bCs/>
      <w:kern w:val="44"/>
      <w:sz w:val="44"/>
      <w:szCs w:val="44"/>
    </w:rPr>
  </w:style>
  <w:style w:type="character" w:customStyle="1" w:styleId="66">
    <w:name w:val="正文2 Char Char"/>
    <w:link w:val="67"/>
    <w:autoRedefine/>
    <w:qFormat/>
    <w:uiPriority w:val="0"/>
    <w:rPr>
      <w:sz w:val="24"/>
    </w:rPr>
  </w:style>
  <w:style w:type="paragraph" w:customStyle="1" w:styleId="67">
    <w:name w:val="正文2"/>
    <w:basedOn w:val="1"/>
    <w:link w:val="66"/>
    <w:autoRedefine/>
    <w:qFormat/>
    <w:uiPriority w:val="0"/>
    <w:pPr>
      <w:adjustRightInd w:val="0"/>
      <w:spacing w:before="156" w:line="360" w:lineRule="auto"/>
      <w:ind w:firstLine="510" w:firstLineChars="200"/>
    </w:pPr>
    <w:rPr>
      <w:kern w:val="0"/>
      <w:sz w:val="24"/>
      <w:szCs w:val="20"/>
    </w:rPr>
  </w:style>
  <w:style w:type="character" w:customStyle="1" w:styleId="68">
    <w:name w:val="标题 8 Char"/>
    <w:autoRedefine/>
    <w:qFormat/>
    <w:uiPriority w:val="0"/>
    <w:rPr>
      <w:rFonts w:ascii="Arial" w:hAnsi="Arial" w:eastAsia="黑体"/>
      <w:kern w:val="2"/>
      <w:sz w:val="24"/>
      <w:szCs w:val="24"/>
    </w:rPr>
  </w:style>
  <w:style w:type="character" w:customStyle="1" w:styleId="69">
    <w:name w:val="纯文本 Char"/>
    <w:autoRedefine/>
    <w:qFormat/>
    <w:uiPriority w:val="99"/>
    <w:rPr>
      <w:rFonts w:ascii="宋体" w:hAnsi="Courier New" w:eastAsia="宋体" w:cs="Courier New"/>
      <w:szCs w:val="21"/>
    </w:rPr>
  </w:style>
  <w:style w:type="character" w:customStyle="1" w:styleId="70">
    <w:name w:val="批注文字 Char"/>
    <w:autoRedefine/>
    <w:qFormat/>
    <w:uiPriority w:val="99"/>
    <w:rPr>
      <w:rFonts w:ascii="Times New Roman" w:hAnsi="Times New Roman"/>
      <w:kern w:val="2"/>
      <w:sz w:val="21"/>
      <w:szCs w:val="24"/>
    </w:rPr>
  </w:style>
  <w:style w:type="character" w:customStyle="1" w:styleId="71">
    <w:name w:val="纯文本 字符1"/>
    <w:autoRedefine/>
    <w:qFormat/>
    <w:uiPriority w:val="0"/>
    <w:rPr>
      <w:rFonts w:ascii="宋体" w:hAnsi="Courier New"/>
    </w:rPr>
  </w:style>
  <w:style w:type="character" w:customStyle="1" w:styleId="72">
    <w:name w:val="未处理的提及"/>
    <w:autoRedefine/>
    <w:unhideWhenUsed/>
    <w:qFormat/>
    <w:uiPriority w:val="99"/>
    <w:rPr>
      <w:color w:val="605E5C"/>
      <w:shd w:val="clear" w:color="auto" w:fill="E1DFDD"/>
    </w:rPr>
  </w:style>
  <w:style w:type="character" w:customStyle="1" w:styleId="73">
    <w:name w:val="apple-style-span"/>
    <w:autoRedefine/>
    <w:qFormat/>
    <w:uiPriority w:val="0"/>
  </w:style>
  <w:style w:type="character" w:customStyle="1" w:styleId="74">
    <w:name w:val="批注文字 字符"/>
    <w:autoRedefine/>
    <w:qFormat/>
    <w:uiPriority w:val="0"/>
    <w:rPr>
      <w:rFonts w:ascii="Times New Roman" w:hAnsi="Times New Roman"/>
      <w:kern w:val="2"/>
      <w:sz w:val="21"/>
      <w:szCs w:val="24"/>
    </w:rPr>
  </w:style>
  <w:style w:type="paragraph" w:customStyle="1" w:styleId="75">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autoRedefine/>
    <w:qFormat/>
    <w:uiPriority w:val="0"/>
    <w:pPr>
      <w:widowControl/>
      <w:jc w:val="center"/>
    </w:pPr>
    <w:rPr>
      <w:rFonts w:ascii="仿宋_GB2312" w:hAnsi="宋体" w:eastAsia="仿宋_GB2312" w:cs="等线"/>
      <w:b/>
      <w:bCs/>
      <w:kern w:val="0"/>
      <w:sz w:val="24"/>
    </w:rPr>
  </w:style>
  <w:style w:type="paragraph" w:customStyle="1" w:styleId="77">
    <w:name w:val="TOC 标题1"/>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autoRedefine/>
    <w:qFormat/>
    <w:uiPriority w:val="0"/>
    <w:pPr>
      <w:widowControl/>
      <w:spacing w:after="160" w:line="240" w:lineRule="exact"/>
      <w:jc w:val="left"/>
    </w:pPr>
  </w:style>
  <w:style w:type="paragraph" w:customStyle="1" w:styleId="81">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autoRedefine/>
    <w:unhideWhenUsed/>
    <w:qFormat/>
    <w:uiPriority w:val="99"/>
    <w:pPr>
      <w:ind w:firstLine="420"/>
    </w:p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paragraph" w:customStyle="1" w:styleId="84">
    <w:name w:val="列出段落2"/>
    <w:basedOn w:val="1"/>
    <w:autoRedefine/>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autoRedefine/>
    <w:qFormat/>
    <w:uiPriority w:val="0"/>
    <w:pPr>
      <w:widowControl/>
      <w:jc w:val="left"/>
    </w:pPr>
    <w:rPr>
      <w:rFonts w:ascii="仿宋_GB2312" w:hAnsi="宋体" w:cs="等线"/>
      <w:kern w:val="0"/>
      <w:sz w:val="24"/>
    </w:rPr>
  </w:style>
  <w:style w:type="paragraph" w:styleId="87">
    <w:name w:val="List Paragraph"/>
    <w:basedOn w:val="1"/>
    <w:autoRedefine/>
    <w:qFormat/>
    <w:uiPriority w:val="34"/>
    <w:pPr>
      <w:ind w:firstLine="420" w:firstLineChars="200"/>
    </w:pPr>
  </w:style>
  <w:style w:type="paragraph" w:customStyle="1" w:styleId="88">
    <w:name w:val="默认段落字体 Para Char Char Char Char Char Char Char Char Char1 Char Char Char Char"/>
    <w:basedOn w:val="1"/>
    <w:autoRedefine/>
    <w:qFormat/>
    <w:uiPriority w:val="0"/>
    <w:rPr>
      <w:rFonts w:ascii="Tahoma" w:hAnsi="Tahoma"/>
      <w:sz w:val="24"/>
      <w:szCs w:val="20"/>
    </w:rPr>
  </w:style>
  <w:style w:type="paragraph" w:customStyle="1" w:styleId="89">
    <w:name w:val="正文缩进1"/>
    <w:basedOn w:val="1"/>
    <w:next w:val="1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autoRedefine/>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autoRedefine/>
    <w:qFormat/>
    <w:uiPriority w:val="0"/>
    <w:pPr>
      <w:numPr>
        <w:ilvl w:val="2"/>
        <w:numId w:val="1"/>
      </w:numPr>
    </w:pPr>
  </w:style>
  <w:style w:type="paragraph" w:customStyle="1" w:styleId="92">
    <w:name w:val="样式 0正文 + 首行缩进:  2 字符1"/>
    <w:autoRedefine/>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autoRedefine/>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75</Pages>
  <Words>7856</Words>
  <Characters>44781</Characters>
  <Lines>373</Lines>
  <Paragraphs>105</Paragraphs>
  <TotalTime>13</TotalTime>
  <ScaleCrop>false</ScaleCrop>
  <LinksUpToDate>false</LinksUpToDate>
  <CharactersWithSpaces>52532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2024-03-07T07:24:00Z</dcterms:created>
  <dc:creator>唐冰</dc:creator>
  <cp:lastModifiedBy>江大羽</cp:lastModifiedBy>
  <cp:lastPrinted>2024-03-07T01:18:00Z</cp:lastPrinted>
  <dcterms:modified xsi:type="dcterms:W3CDTF">2024-04-28T06:03:37Z</dcterms:modified>
  <dc:title>竞争性谈判文件规范</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A626084CFE5D466EB191BEA984FBA992_13</vt:lpwstr>
  </property>
</Properties>
</file>