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highlight w:val="none"/>
        </w:rPr>
        <w:drawing>
          <wp:inline distT="0" distB="0" distL="114300" distR="114300">
            <wp:extent cx="2294890" cy="2243455"/>
            <wp:effectExtent l="0" t="0" r="10160" b="4445"/>
            <wp:docPr id="6" name="图片 2" descr="TIM图片201904091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TIM图片20190409175741"/>
                    <pic:cNvPicPr>
                      <a:picLocks noChangeAspect="1"/>
                    </pic:cNvPicPr>
                  </pic:nvPicPr>
                  <pic:blipFill>
                    <a:blip r:embed="rId16"/>
                    <a:stretch>
                      <a:fillRect/>
                    </a:stretch>
                  </pic:blipFill>
                  <pic:spPr>
                    <a:xfrm>
                      <a:off x="0" y="0"/>
                      <a:ext cx="2294890" cy="2243455"/>
                    </a:xfrm>
                    <a:prstGeom prst="rect">
                      <a:avLst/>
                    </a:prstGeom>
                    <a:noFill/>
                    <a:ln>
                      <a:noFill/>
                    </a:ln>
                  </pic:spPr>
                </pic:pic>
              </a:graphicData>
            </a:graphic>
          </wp:inline>
        </w:drawing>
      </w:r>
    </w:p>
    <w:p>
      <w:pPr>
        <w:snapToGrid w:val="0"/>
        <w:spacing w:before="120" w:beforeLines="50" w:line="360" w:lineRule="auto"/>
        <w:jc w:val="center"/>
        <w:rPr>
          <w:rFonts w:hint="eastAsia" w:ascii="宋体" w:hAnsi="宋体" w:eastAsia="宋体" w:cs="宋体"/>
          <w:color w:val="auto"/>
          <w:sz w:val="120"/>
          <w:szCs w:val="120"/>
          <w:highlight w:val="none"/>
        </w:rPr>
      </w:pPr>
      <w:r>
        <w:rPr>
          <w:rFonts w:hint="eastAsia" w:ascii="宋体" w:hAnsi="宋体" w:eastAsia="宋体" w:cs="宋体"/>
          <w:color w:val="auto"/>
          <w:sz w:val="120"/>
          <w:szCs w:val="120"/>
          <w:highlight w:val="none"/>
        </w:rPr>
        <w:t>竞争性磋商文件</w:t>
      </w:r>
    </w:p>
    <w:p>
      <w:pPr>
        <w:snapToGrid w:val="0"/>
        <w:spacing w:before="120" w:beforeLines="50" w:line="360" w:lineRule="auto"/>
        <w:jc w:val="center"/>
        <w:rPr>
          <w:rFonts w:hint="eastAsia" w:ascii="宋体" w:hAnsi="宋体" w:eastAsia="宋体" w:cs="宋体"/>
          <w:b/>
          <w:color w:val="auto"/>
          <w:sz w:val="30"/>
          <w:szCs w:val="72"/>
          <w:highlight w:val="none"/>
        </w:rPr>
      </w:pPr>
      <w:r>
        <w:rPr>
          <w:rFonts w:hint="eastAsia" w:ascii="宋体" w:hAnsi="宋体" w:eastAsia="宋体" w:cs="宋体"/>
          <w:b/>
          <w:color w:val="auto"/>
          <w:sz w:val="48"/>
          <w:szCs w:val="48"/>
          <w:highlight w:val="none"/>
        </w:rPr>
        <w:t>（全流程电子化采购）</w:t>
      </w:r>
    </w:p>
    <w:p>
      <w:pPr>
        <w:snapToGrid w:val="0"/>
        <w:spacing w:line="360" w:lineRule="auto"/>
        <w:rPr>
          <w:rFonts w:hint="eastAsia" w:ascii="宋体" w:hAnsi="宋体" w:eastAsia="宋体" w:cs="宋体"/>
          <w:color w:val="auto"/>
          <w:sz w:val="30"/>
          <w:szCs w:val="72"/>
          <w:highlight w:val="none"/>
        </w:rPr>
      </w:pPr>
    </w:p>
    <w:p>
      <w:pPr>
        <w:pStyle w:val="21"/>
        <w:snapToGrid w:val="0"/>
        <w:spacing w:line="360" w:lineRule="auto"/>
        <w:ind w:firstLine="1193" w:firstLineChars="396"/>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ascii="宋体" w:hAnsi="宋体" w:eastAsia="宋体" w:cs="宋体"/>
          <w:b/>
          <w:bCs/>
          <w:color w:val="auto"/>
          <w:spacing w:val="-20"/>
          <w:sz w:val="30"/>
          <w:szCs w:val="30"/>
          <w:highlight w:val="none"/>
        </w:rPr>
        <w:t>广西道路运输第三方安全监测技术服务项目</w:t>
      </w:r>
    </w:p>
    <w:p>
      <w:pPr>
        <w:snapToGrid w:val="0"/>
        <w:spacing w:line="360" w:lineRule="auto"/>
        <w:ind w:firstLine="1145" w:firstLineChars="400"/>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eastAsia="宋体" w:cs="宋体"/>
          <w:b/>
          <w:bCs/>
          <w:color w:val="auto"/>
          <w:w w:val="95"/>
          <w:sz w:val="30"/>
          <w:szCs w:val="30"/>
          <w:highlight w:val="none"/>
          <w:lang w:eastAsia="zh-CN"/>
        </w:rPr>
        <w:t>GXZC2024-C3-002882-JGJD</w:t>
      </w:r>
    </w:p>
    <w:p>
      <w:pPr>
        <w:snapToGrid w:val="0"/>
        <w:spacing w:line="360" w:lineRule="auto"/>
        <w:ind w:firstLine="1145" w:firstLineChars="400"/>
        <w:rPr>
          <w:rFonts w:hint="eastAsia" w:ascii="宋体" w:hAnsi="宋体" w:eastAsia="宋体" w:cs="宋体"/>
          <w:b/>
          <w:bCs/>
          <w:color w:val="auto"/>
          <w:w w:val="95"/>
          <w:sz w:val="30"/>
          <w:szCs w:val="30"/>
          <w:highlight w:val="none"/>
        </w:rPr>
      </w:pPr>
    </w:p>
    <w:p>
      <w:pPr>
        <w:snapToGrid w:val="0"/>
        <w:spacing w:line="360" w:lineRule="auto"/>
        <w:ind w:firstLine="1145" w:firstLineChars="400"/>
        <w:rPr>
          <w:rFonts w:hint="eastAsia" w:ascii="宋体" w:hAnsi="宋体" w:eastAsia="宋体" w:cs="宋体"/>
          <w:b/>
          <w:bCs/>
          <w:color w:val="auto"/>
          <w:w w:val="95"/>
          <w:sz w:val="30"/>
          <w:szCs w:val="30"/>
          <w:highlight w:val="none"/>
        </w:rPr>
      </w:pPr>
    </w:p>
    <w:p>
      <w:pPr>
        <w:pStyle w:val="21"/>
        <w:snapToGrid w:val="0"/>
        <w:spacing w:line="360" w:lineRule="auto"/>
        <w:ind w:firstLine="1125" w:firstLineChars="393"/>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 购 人：广西壮族自治区道路运输发展中心</w:t>
      </w:r>
    </w:p>
    <w:p>
      <w:pPr>
        <w:pStyle w:val="21"/>
        <w:snapToGrid w:val="0"/>
        <w:spacing w:line="360" w:lineRule="auto"/>
        <w:ind w:firstLine="1125" w:firstLineChars="393"/>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采购代理机构：广西建设工程机电设备招标中心有限公司</w:t>
      </w:r>
    </w:p>
    <w:p>
      <w:pPr>
        <w:snapToGrid w:val="0"/>
        <w:spacing w:before="50" w:after="120" w:line="360" w:lineRule="auto"/>
        <w:jc w:val="center"/>
        <w:rPr>
          <w:rFonts w:hint="eastAsia" w:ascii="宋体" w:hAnsi="宋体" w:eastAsia="宋体" w:cs="宋体"/>
          <w:b/>
          <w:bCs/>
          <w:color w:val="auto"/>
          <w:w w:val="95"/>
          <w:kern w:val="0"/>
          <w:sz w:val="30"/>
          <w:szCs w:val="30"/>
          <w:highlight w:val="none"/>
        </w:rPr>
      </w:pPr>
      <w:r>
        <w:rPr>
          <w:rFonts w:hint="eastAsia" w:ascii="宋体" w:hAnsi="宋体" w:eastAsia="宋体" w:cs="宋体"/>
          <w:b/>
          <w:bCs/>
          <w:color w:val="auto"/>
          <w:w w:val="95"/>
          <w:sz w:val="30"/>
          <w:szCs w:val="30"/>
          <w:highlight w:val="none"/>
        </w:rPr>
        <w:t>2024年</w:t>
      </w:r>
      <w:r>
        <w:rPr>
          <w:rFonts w:hint="eastAsia" w:ascii="宋体" w:hAnsi="宋体" w:eastAsia="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rPr>
        <w:t>月</w:t>
      </w:r>
      <w:r>
        <w:rPr>
          <w:rFonts w:hint="eastAsia" w:ascii="宋体" w:hAnsi="宋体" w:eastAsia="宋体" w:cs="宋体"/>
          <w:b/>
          <w:bCs/>
          <w:color w:val="auto"/>
          <w:w w:val="95"/>
          <w:sz w:val="30"/>
          <w:szCs w:val="30"/>
          <w:highlight w:val="none"/>
          <w:lang w:val="en-US" w:eastAsia="zh-CN"/>
        </w:rPr>
        <w:t>19</w:t>
      </w:r>
      <w:r>
        <w:rPr>
          <w:rFonts w:hint="eastAsia" w:ascii="宋体" w:hAnsi="宋体" w:eastAsia="宋体" w:cs="宋体"/>
          <w:b/>
          <w:bCs/>
          <w:color w:val="auto"/>
          <w:w w:val="95"/>
          <w:sz w:val="30"/>
          <w:szCs w:val="30"/>
          <w:highlight w:val="none"/>
        </w:rPr>
        <w:t>日</w:t>
      </w:r>
    </w:p>
    <w:p>
      <w:pPr>
        <w:pStyle w:val="14"/>
        <w:ind w:firstLine="803"/>
        <w:jc w:val="center"/>
        <w:rPr>
          <w:rFonts w:hint="eastAsia" w:ascii="宋体" w:hAnsi="宋体" w:eastAsia="宋体" w:cs="宋体"/>
          <w:b/>
          <w:bCs/>
          <w:color w:val="auto"/>
          <w:w w:val="95"/>
          <w:sz w:val="30"/>
          <w:szCs w:val="30"/>
          <w:highlight w:val="none"/>
        </w:rPr>
        <w:sectPr>
          <w:headerReference r:id="rId4" w:type="first"/>
          <w:headerReference r:id="rId3" w:type="default"/>
          <w:footerReference r:id="rId5" w:type="default"/>
          <w:footerReference r:id="rId6"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pPr>
        <w:spacing w:line="400" w:lineRule="exact"/>
        <w:jc w:val="center"/>
        <w:rPr>
          <w:rFonts w:hint="eastAsia" w:ascii="宋体" w:hAnsi="宋体" w:eastAsia="宋体" w:cs="宋体"/>
          <w:b/>
          <w:color w:val="auto"/>
          <w:sz w:val="44"/>
          <w:szCs w:val="44"/>
          <w:highlight w:val="none"/>
        </w:rPr>
      </w:pP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TOC \o "1-1" \h \u </w:instrText>
      </w:r>
      <w:r>
        <w:rPr>
          <w:rFonts w:hint="eastAsia" w:ascii="宋体" w:hAnsi="宋体" w:eastAsia="宋体" w:cs="宋体"/>
          <w:b/>
          <w:bCs/>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第一章  竞争性磋</w:t>
      </w:r>
      <w:bookmarkStart w:id="0" w:name="_Hlt135924181"/>
      <w:r>
        <w:rPr>
          <w:rFonts w:hint="eastAsia" w:ascii="宋体" w:hAnsi="宋体" w:eastAsia="宋体" w:cs="宋体"/>
          <w:b/>
          <w:bCs/>
          <w:color w:val="auto"/>
          <w:sz w:val="32"/>
          <w:szCs w:val="32"/>
          <w:highlight w:val="none"/>
        </w:rPr>
        <w:t>商</w:t>
      </w:r>
      <w:bookmarkEnd w:id="0"/>
      <w:r>
        <w:rPr>
          <w:rFonts w:hint="eastAsia" w:ascii="宋体" w:hAnsi="宋体" w:eastAsia="宋体" w:cs="宋体"/>
          <w:b/>
          <w:bCs/>
          <w:color w:val="auto"/>
          <w:sz w:val="32"/>
          <w:szCs w:val="32"/>
          <w:highlight w:val="none"/>
        </w:rPr>
        <w:t>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_Toc32264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"_Toc26836"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第二章  采购需</w:t>
      </w:r>
      <w:bookmarkStart w:id="1" w:name="_Hlt137127195"/>
      <w:r>
        <w:rPr>
          <w:rFonts w:hint="eastAsia" w:ascii="宋体" w:hAnsi="宋体" w:eastAsia="宋体" w:cs="宋体"/>
          <w:b/>
          <w:bCs/>
          <w:color w:val="auto"/>
          <w:sz w:val="32"/>
          <w:szCs w:val="32"/>
          <w:highlight w:val="none"/>
        </w:rPr>
        <w:t>求</w:t>
      </w:r>
      <w:bookmarkEnd w:id="1"/>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_Toc26836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第三章  供应</w:t>
      </w:r>
      <w:bookmarkStart w:id="2" w:name="_Hlt135905307"/>
      <w:r>
        <w:rPr>
          <w:rFonts w:hint="eastAsia" w:ascii="宋体" w:hAnsi="宋体" w:eastAsia="宋体" w:cs="宋体"/>
          <w:b/>
          <w:bCs/>
          <w:color w:val="auto"/>
          <w:sz w:val="32"/>
          <w:szCs w:val="32"/>
          <w:highlight w:val="none"/>
        </w:rPr>
        <w:t>商</w:t>
      </w:r>
      <w:bookmarkEnd w:id="2"/>
      <w:r>
        <w:rPr>
          <w:rFonts w:hint="eastAsia" w:ascii="宋体" w:hAnsi="宋体" w:eastAsia="宋体" w:cs="宋体"/>
          <w:b/>
          <w:bCs/>
          <w:color w:val="auto"/>
          <w:sz w:val="32"/>
          <w:szCs w:val="32"/>
          <w:highlight w:val="none"/>
        </w:rPr>
        <w:t>须知</w:t>
      </w:r>
      <w:bookmarkStart w:id="173" w:name="_GoBack"/>
      <w:bookmarkEnd w:id="173"/>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_Toc2072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第四章  评审程序、评审方法和评审标准</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_Toc1088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"_Toc22302"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第五章  响应文</w:t>
      </w:r>
      <w:bookmarkStart w:id="3" w:name="_Hlt135897173"/>
      <w:bookmarkStart w:id="4" w:name="_Hlt135897174"/>
      <w:r>
        <w:rPr>
          <w:rFonts w:hint="eastAsia" w:ascii="宋体" w:hAnsi="宋体" w:eastAsia="宋体" w:cs="宋体"/>
          <w:b/>
          <w:bCs/>
          <w:color w:val="auto"/>
          <w:sz w:val="32"/>
          <w:szCs w:val="32"/>
          <w:highlight w:val="none"/>
        </w:rPr>
        <w:t>件</w:t>
      </w:r>
      <w:bookmarkEnd w:id="3"/>
      <w:bookmarkEnd w:id="4"/>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_Toc22302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"_Toc18676"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第六章  合同</w:t>
      </w:r>
      <w:bookmarkStart w:id="5" w:name="_Hlt135924190"/>
      <w:bookmarkStart w:id="6" w:name="_Hlt137127064"/>
      <w:bookmarkStart w:id="7" w:name="_Hlt137127063"/>
      <w:r>
        <w:rPr>
          <w:rFonts w:hint="eastAsia" w:ascii="宋体" w:hAnsi="宋体" w:eastAsia="宋体" w:cs="宋体"/>
          <w:b/>
          <w:bCs/>
          <w:color w:val="auto"/>
          <w:sz w:val="32"/>
          <w:szCs w:val="32"/>
          <w:highlight w:val="none"/>
        </w:rPr>
        <w:t>文</w:t>
      </w:r>
      <w:bookmarkEnd w:id="5"/>
      <w:bookmarkEnd w:id="6"/>
      <w:bookmarkEnd w:id="7"/>
      <w:bookmarkStart w:id="8" w:name="_Hlt135924167"/>
      <w:bookmarkStart w:id="9" w:name="_Hlt135924166"/>
      <w:r>
        <w:rPr>
          <w:rFonts w:hint="eastAsia" w:ascii="宋体" w:hAnsi="宋体" w:eastAsia="宋体" w:cs="宋体"/>
          <w:b/>
          <w:bCs/>
          <w:color w:val="auto"/>
          <w:sz w:val="32"/>
          <w:szCs w:val="32"/>
          <w:highlight w:val="none"/>
        </w:rPr>
        <w:t>本</w:t>
      </w:r>
      <w:bookmarkEnd w:id="8"/>
      <w:bookmarkEnd w:id="9"/>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_Toc18676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第七章  质疑、投诉</w:t>
      </w:r>
      <w:bookmarkStart w:id="10" w:name="_Hlt137580637"/>
      <w:bookmarkStart w:id="11" w:name="_Hlt137580638"/>
      <w:r>
        <w:rPr>
          <w:rFonts w:hint="eastAsia" w:ascii="宋体" w:hAnsi="宋体" w:eastAsia="宋体" w:cs="宋体"/>
          <w:b/>
          <w:bCs/>
          <w:color w:val="auto"/>
          <w:sz w:val="32"/>
          <w:szCs w:val="32"/>
          <w:highlight w:val="none"/>
        </w:rPr>
        <w:t>材</w:t>
      </w:r>
      <w:bookmarkEnd w:id="10"/>
      <w:bookmarkEnd w:id="11"/>
      <w:r>
        <w:rPr>
          <w:rFonts w:hint="eastAsia" w:ascii="宋体" w:hAnsi="宋体" w:eastAsia="宋体" w:cs="宋体"/>
          <w:b/>
          <w:bCs/>
          <w:color w:val="auto"/>
          <w:sz w:val="32"/>
          <w:szCs w:val="32"/>
          <w:highlight w:val="none"/>
        </w:rPr>
        <w:t>料格式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_Toc13011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pPr>
        <w:pStyle w:val="27"/>
        <w:spacing w:line="480"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rPr>
        <w:fldChar w:fldCharType="end"/>
      </w:r>
    </w:p>
    <w:p>
      <w:pPr>
        <w:spacing w:line="400" w:lineRule="exact"/>
        <w:rPr>
          <w:rFonts w:hint="eastAsia" w:ascii="宋体" w:hAnsi="宋体" w:eastAsia="宋体" w:cs="宋体"/>
          <w:b/>
          <w:color w:val="auto"/>
          <w:sz w:val="32"/>
          <w:szCs w:val="32"/>
          <w:highlight w:val="none"/>
        </w:rPr>
        <w:sectPr>
          <w:headerReference r:id="rId8" w:type="first"/>
          <w:footerReference r:id="rId10" w:type="first"/>
          <w:headerReference r:id="rId7" w:type="default"/>
          <w:footerReference r:id="rId9"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hint="eastAsia" w:ascii="宋体" w:hAnsi="宋体" w:eastAsia="宋体" w:cs="宋体"/>
          <w:color w:val="auto"/>
          <w:highlight w:val="none"/>
        </w:rPr>
      </w:pPr>
      <w:bookmarkStart w:id="12" w:name="_Toc11989"/>
      <w:bookmarkStart w:id="13" w:name="_Toc15624"/>
      <w:bookmarkStart w:id="14" w:name="_Toc11382"/>
      <w:bookmarkStart w:id="15" w:name="_Toc32264"/>
      <w:bookmarkStart w:id="16" w:name="_Toc27000"/>
      <w:bookmarkStart w:id="17" w:name="_Toc18838"/>
      <w:bookmarkStart w:id="18" w:name="_Toc12242"/>
      <w:bookmarkStart w:id="19" w:name="_Toc80886925"/>
      <w:r>
        <w:rPr>
          <w:rFonts w:hint="eastAsia" w:ascii="宋体" w:hAnsi="宋体" w:eastAsia="宋体" w:cs="宋体"/>
          <w:color w:val="auto"/>
          <w:highlight w:val="none"/>
        </w:rPr>
        <w:t>第一章 竞争性磋商公告</w:t>
      </w:r>
      <w:bookmarkEnd w:id="12"/>
      <w:bookmarkEnd w:id="13"/>
      <w:bookmarkEnd w:id="14"/>
      <w:bookmarkEnd w:id="15"/>
      <w:bookmarkEnd w:id="16"/>
      <w:bookmarkEnd w:id="17"/>
      <w:bookmarkEnd w:id="18"/>
      <w:bookmarkEnd w:id="19"/>
      <w:bookmarkStart w:id="20" w:name="_Toc28359081"/>
      <w:bookmarkStart w:id="21" w:name="_Toc35393623"/>
      <w:bookmarkStart w:id="22" w:name="_Toc28359004"/>
      <w:bookmarkStart w:id="23" w:name="_Toc44229878"/>
      <w:bookmarkStart w:id="24" w:name="_Toc35393629"/>
      <w:bookmarkStart w:id="25" w:name="_Toc35393792"/>
      <w:bookmarkStart w:id="26" w:name="_Toc35393798"/>
      <w:bookmarkStart w:id="27" w:name="_Toc28359089"/>
      <w:bookmarkStart w:id="28" w:name="_Toc28359012"/>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28"/>
          <w:szCs w:val="28"/>
          <w:highlight w:val="none"/>
        </w:rPr>
        <w:t>广西建设工程机电设备招标中心有限公司关于广西道路运输第三方安全监测技术服务项目【</w:t>
      </w:r>
      <w:r>
        <w:rPr>
          <w:rFonts w:hint="eastAsia" w:ascii="宋体" w:hAnsi="宋体" w:eastAsia="宋体" w:cs="宋体"/>
          <w:b/>
          <w:color w:val="auto"/>
          <w:sz w:val="28"/>
          <w:szCs w:val="28"/>
          <w:highlight w:val="none"/>
          <w:lang w:eastAsia="zh-CN"/>
        </w:rPr>
        <w:t>GXZC2024-C3-002882-JGJD</w:t>
      </w:r>
      <w:r>
        <w:rPr>
          <w:rFonts w:hint="eastAsia" w:ascii="宋体" w:hAnsi="宋体" w:eastAsia="宋体" w:cs="宋体"/>
          <w:b/>
          <w:color w:val="auto"/>
          <w:sz w:val="28"/>
          <w:szCs w:val="28"/>
          <w:highlight w:val="none"/>
        </w:rPr>
        <w:t>】的竞争性磋商公告</w:t>
      </w:r>
    </w:p>
    <w:p>
      <w:pPr>
        <w:pStyle w:val="2"/>
        <w:rPr>
          <w:rFonts w:hint="eastAsia" w:ascii="宋体" w:hAnsi="宋体" w:eastAsia="宋体" w:cs="宋体"/>
          <w:color w:val="auto"/>
          <w:highlight w:val="none"/>
        </w:rPr>
      </w:pPr>
    </w:p>
    <w:bookmarkEnd w:id="20"/>
    <w:bookmarkEnd w:id="21"/>
    <w:bookmarkEnd w:id="22"/>
    <w:bookmarkEnd w:id="23"/>
    <w:bookmarkEnd w:id="24"/>
    <w:bookmarkEnd w:id="25"/>
    <w:bookmarkEnd w:id="26"/>
    <w:bookmarkEnd w:id="27"/>
    <w:bookmarkEnd w:id="28"/>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spacing w:line="360" w:lineRule="auto"/>
              <w:ind w:firstLine="420" w:firstLineChars="200"/>
              <w:rPr>
                <w:rFonts w:hint="eastAsia" w:ascii="宋体" w:hAnsi="宋体" w:eastAsia="宋体" w:cs="宋体"/>
                <w:bCs/>
                <w:color w:val="auto"/>
                <w:sz w:val="24"/>
                <w:highlight w:val="none"/>
              </w:rPr>
            </w:pPr>
            <w:r>
              <w:rPr>
                <w:rFonts w:hint="eastAsia" w:ascii="宋体" w:hAnsi="宋体" w:eastAsia="宋体" w:cs="宋体"/>
                <w:color w:val="auto"/>
                <w:szCs w:val="21"/>
                <w:highlight w:val="none"/>
                <w:u w:val="single"/>
              </w:rPr>
              <w:t>广西道路运输第三方安全监测技术服务项目</w:t>
            </w:r>
            <w:r>
              <w:rPr>
                <w:rFonts w:hint="eastAsia" w:ascii="宋体" w:hAnsi="宋体" w:eastAsia="宋体" w:cs="宋体"/>
                <w:color w:val="auto"/>
                <w:szCs w:val="21"/>
                <w:highlight w:val="none"/>
              </w:rPr>
              <w:t>采购项目的潜在供应商应在广西政府采购云平台（https://www.gcy.zfcg.gxzf.gov.cn/）获取（下载）竞争性磋商文件，并于</w:t>
            </w:r>
            <w:r>
              <w:rPr>
                <w:rFonts w:hint="eastAsia" w:ascii="宋体" w:hAnsi="宋体" w:eastAsia="宋体" w:cs="宋体"/>
                <w:b/>
                <w:bCs/>
                <w:color w:val="auto"/>
                <w:szCs w:val="21"/>
                <w:highlight w:val="none"/>
                <w:u w:val="single"/>
              </w:rPr>
              <w:t>2024年</w:t>
            </w:r>
            <w:r>
              <w:rPr>
                <w:rFonts w:hint="eastAsia" w:ascii="宋体" w:hAnsi="宋体" w:eastAsia="宋体" w:cs="宋体"/>
                <w:b/>
                <w:bCs/>
                <w:color w:val="auto"/>
                <w:szCs w:val="21"/>
                <w:highlight w:val="none"/>
                <w:u w:val="single"/>
                <w:lang w:val="en-US" w:eastAsia="zh-CN"/>
              </w:rPr>
              <w:t>4</w:t>
            </w:r>
            <w:r>
              <w:rPr>
                <w:rFonts w:hint="eastAsia" w:ascii="宋体" w:hAnsi="宋体" w:eastAsia="宋体" w:cs="宋体"/>
                <w:b/>
                <w:bCs/>
                <w:color w:val="auto"/>
                <w:szCs w:val="21"/>
                <w:highlight w:val="none"/>
                <w:u w:val="single"/>
              </w:rPr>
              <w:t>月</w:t>
            </w:r>
            <w:r>
              <w:rPr>
                <w:rFonts w:hint="eastAsia" w:ascii="宋体" w:hAnsi="宋体" w:eastAsia="宋体" w:cs="宋体"/>
                <w:b/>
                <w:bCs/>
                <w:color w:val="auto"/>
                <w:szCs w:val="21"/>
                <w:highlight w:val="none"/>
                <w:u w:val="single"/>
                <w:lang w:val="en-US" w:eastAsia="zh-CN"/>
              </w:rPr>
              <w:t>2</w:t>
            </w:r>
            <w:r>
              <w:rPr>
                <w:rFonts w:hint="eastAsia" w:ascii="宋体" w:hAnsi="宋体" w:eastAsia="宋体" w:cs="宋体"/>
                <w:b/>
                <w:bCs/>
                <w:color w:val="auto"/>
                <w:szCs w:val="21"/>
                <w:highlight w:val="none"/>
                <w:u w:val="single"/>
              </w:rPr>
              <w:t>日9时30分</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北京时间）前提交（上传）</w:t>
            </w:r>
            <w:r>
              <w:rPr>
                <w:rFonts w:hint="eastAsia" w:ascii="宋体" w:hAnsi="宋体" w:eastAsia="宋体" w:cs="宋体"/>
                <w:color w:val="auto"/>
                <w:szCs w:val="21"/>
                <w:highlight w:val="none"/>
              </w:rPr>
              <w:t>响应</w:t>
            </w:r>
            <w:r>
              <w:rPr>
                <w:rFonts w:hint="eastAsia" w:ascii="宋体" w:hAnsi="宋体" w:eastAsia="宋体" w:cs="宋体"/>
                <w:bCs/>
                <w:color w:val="auto"/>
                <w:szCs w:val="21"/>
                <w:highlight w:val="none"/>
              </w:rPr>
              <w:t>文件</w:t>
            </w:r>
            <w:r>
              <w:rPr>
                <w:rFonts w:hint="eastAsia" w:ascii="宋体" w:hAnsi="宋体" w:eastAsia="宋体" w:cs="宋体"/>
                <w:color w:val="auto"/>
                <w:szCs w:val="21"/>
                <w:highlight w:val="none"/>
              </w:rPr>
              <w:t>。</w:t>
            </w:r>
          </w:p>
        </w:tc>
      </w:tr>
    </w:tbl>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项目编号：</w:t>
      </w:r>
      <w:r>
        <w:rPr>
          <w:rFonts w:hint="eastAsia" w:ascii="宋体" w:hAnsi="宋体" w:eastAsia="宋体" w:cs="宋体"/>
          <w:color w:val="auto"/>
          <w:szCs w:val="21"/>
          <w:highlight w:val="none"/>
          <w:lang w:eastAsia="zh-CN"/>
        </w:rPr>
        <w:t>GXZC2024-C3-002882-JGJD</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项目名称：</w:t>
      </w:r>
      <w:r>
        <w:rPr>
          <w:rFonts w:hint="eastAsia" w:ascii="宋体" w:hAnsi="宋体" w:eastAsia="宋体" w:cs="宋体"/>
          <w:color w:val="auto"/>
          <w:szCs w:val="21"/>
          <w:highlight w:val="none"/>
        </w:rPr>
        <w:t>广西道路运输第三方安全监测技术服务项目</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采购方式：</w:t>
      </w:r>
      <w:r>
        <w:rPr>
          <w:rFonts w:hint="eastAsia" w:ascii="宋体" w:hAnsi="宋体" w:eastAsia="宋体" w:cs="宋体"/>
          <w:color w:val="auto"/>
          <w:szCs w:val="21"/>
          <w:highlight w:val="none"/>
        </w:rPr>
        <w:t>竞争性磋商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预算金额（元）</w:t>
      </w:r>
      <w:r>
        <w:rPr>
          <w:rFonts w:hint="eastAsia" w:ascii="宋体" w:hAnsi="宋体" w:eastAsia="宋体" w:cs="宋体"/>
          <w:color w:val="auto"/>
          <w:szCs w:val="21"/>
          <w:highlight w:val="none"/>
        </w:rPr>
        <w:t>：1492400.00</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采购需求：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标项名称:广西道路运输第三方安全监测技术服务项目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预算金额（元）:1492400.00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简要规格描述或项目基本概况介绍、用途：广西道路运输第三方安全监测技术服务项目1项，具体详见竞争性磋商文件。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最高限价（元）：1492400.00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合同履约期限：2024年7月1至2025年6月30日。</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本项目是否接受联合体：</w:t>
      </w:r>
      <w:r>
        <w:rPr>
          <w:rFonts w:hint="eastAsia" w:ascii="宋体" w:hAnsi="宋体" w:eastAsia="宋体" w:cs="宋体"/>
          <w:b/>
          <w:bCs/>
          <w:color w:val="auto"/>
          <w:highlight w:val="none"/>
          <w:lang w:eastAsia="zh-CN"/>
        </w:rPr>
        <w:sym w:font="Wingdings 2" w:char="00A3"/>
      </w:r>
      <w:r>
        <w:rPr>
          <w:rFonts w:hint="eastAsia" w:ascii="宋体" w:hAnsi="宋体" w:eastAsia="宋体" w:cs="宋体"/>
          <w:b/>
          <w:bCs/>
          <w:color w:val="auto"/>
          <w:highlight w:val="none"/>
        </w:rPr>
        <w:t>是，</w:t>
      </w:r>
      <w:r>
        <w:rPr>
          <w:rFonts w:hint="eastAsia" w:ascii="宋体" w:hAnsi="宋体" w:eastAsia="宋体" w:cs="宋体"/>
          <w:b/>
          <w:bCs/>
          <w:color w:val="auto"/>
          <w:highlight w:val="none"/>
          <w:lang w:eastAsia="zh-CN"/>
        </w:rPr>
        <w:sym w:font="Wingdings 2" w:char="0052"/>
      </w:r>
      <w:r>
        <w:rPr>
          <w:rFonts w:hint="eastAsia" w:ascii="宋体" w:hAnsi="宋体" w:eastAsia="宋体" w:cs="宋体"/>
          <w:b/>
          <w:bCs/>
          <w:color w:val="auto"/>
          <w:highlight w:val="none"/>
        </w:rPr>
        <w:t>否</w:t>
      </w:r>
      <w:r>
        <w:rPr>
          <w:rFonts w:hint="eastAsia" w:ascii="宋体" w:hAnsi="宋体" w:eastAsia="宋体" w:cs="宋体"/>
          <w:b/>
          <w:bCs/>
          <w:color w:val="auto"/>
          <w:highlight w:val="none"/>
          <w:lang w:eastAsia="zh-CN"/>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备注：无</w:t>
      </w:r>
    </w:p>
    <w:p>
      <w:pPr>
        <w:spacing w:line="390" w:lineRule="exact"/>
        <w:ind w:firstLine="482" w:firstLineChars="200"/>
        <w:rPr>
          <w:rFonts w:hint="eastAsia" w:ascii="宋体" w:hAnsi="宋体" w:eastAsia="宋体" w:cs="宋体"/>
          <w:b/>
          <w:bCs/>
          <w:color w:val="auto"/>
          <w:sz w:val="24"/>
          <w:highlight w:val="none"/>
        </w:rPr>
      </w:pPr>
      <w:bookmarkStart w:id="29" w:name="_Toc44229879"/>
      <w:bookmarkStart w:id="30" w:name="_Toc35393799"/>
      <w:bookmarkStart w:id="31" w:name="_Toc28359090"/>
      <w:bookmarkStart w:id="32" w:name="_Toc28359013"/>
      <w:bookmarkStart w:id="33" w:name="_Toc35393630"/>
      <w:r>
        <w:rPr>
          <w:rFonts w:hint="eastAsia" w:ascii="宋体" w:hAnsi="宋体" w:eastAsia="宋体" w:cs="宋体"/>
          <w:b/>
          <w:bCs/>
          <w:color w:val="auto"/>
          <w:sz w:val="24"/>
          <w:highlight w:val="none"/>
        </w:rPr>
        <w:t>二、申请人的资格</w:t>
      </w:r>
      <w:bookmarkEnd w:id="29"/>
      <w:bookmarkEnd w:id="30"/>
      <w:bookmarkEnd w:id="31"/>
      <w:bookmarkEnd w:id="32"/>
      <w:bookmarkEnd w:id="33"/>
      <w:r>
        <w:rPr>
          <w:rFonts w:hint="eastAsia" w:ascii="宋体" w:hAnsi="宋体" w:eastAsia="宋体" w:cs="宋体"/>
          <w:b/>
          <w:bCs/>
          <w:color w:val="auto"/>
          <w:sz w:val="24"/>
          <w:highlight w:val="none"/>
        </w:rPr>
        <w:t>要求</w:t>
      </w:r>
    </w:p>
    <w:p>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2.落实政府采购政策需满足的资格要求：本项目属于专门面向小</w:t>
      </w:r>
      <w:r>
        <w:rPr>
          <w:rFonts w:hint="eastAsia" w:ascii="宋体" w:hAnsi="宋体" w:eastAsia="宋体" w:cs="宋体"/>
          <w:color w:val="auto"/>
          <w:szCs w:val="21"/>
          <w:highlight w:val="none"/>
          <w:lang w:eastAsia="zh-CN"/>
        </w:rPr>
        <w:t>微</w:t>
      </w:r>
      <w:r>
        <w:rPr>
          <w:rFonts w:hint="eastAsia" w:ascii="宋体" w:hAnsi="宋体" w:eastAsia="宋体" w:cs="宋体"/>
          <w:color w:val="auto"/>
          <w:szCs w:val="21"/>
          <w:highlight w:val="none"/>
        </w:rPr>
        <w:t>企业采购的项目（供应商应为小型企业、微型企业、监狱企业或者残疾人福利性单位。)；</w:t>
      </w:r>
    </w:p>
    <w:p>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pPr>
        <w:spacing w:line="390" w:lineRule="exact"/>
        <w:ind w:firstLine="420" w:firstLineChars="200"/>
        <w:rPr>
          <w:rFonts w:hint="eastAsia" w:ascii="宋体" w:hAnsi="宋体" w:eastAsia="宋体" w:cs="宋体"/>
          <w:bCs/>
          <w:color w:val="auto"/>
          <w:kern w:val="0"/>
          <w:szCs w:val="21"/>
          <w:highlight w:val="none"/>
        </w:rPr>
      </w:pPr>
      <w:bookmarkStart w:id="34" w:name="_Toc35393793"/>
      <w:bookmarkStart w:id="35" w:name="_Toc28359005"/>
      <w:bookmarkStart w:id="36" w:name="_Toc28359082"/>
      <w:bookmarkStart w:id="37" w:name="_Toc35393624"/>
      <w:r>
        <w:rPr>
          <w:rFonts w:hint="eastAsia" w:ascii="宋体" w:hAnsi="宋体" w:eastAsia="宋体" w:cs="宋体"/>
          <w:bCs/>
          <w:color w:val="auto"/>
          <w:kern w:val="0"/>
          <w:szCs w:val="21"/>
          <w:highlight w:val="none"/>
        </w:rPr>
        <w:t>时间：</w:t>
      </w:r>
      <w:r>
        <w:rPr>
          <w:rFonts w:hint="eastAsia" w:ascii="宋体" w:hAnsi="宋体" w:eastAsia="宋体" w:cs="宋体"/>
          <w:b/>
          <w:bCs w:val="0"/>
          <w:color w:val="auto"/>
          <w:kern w:val="0"/>
          <w:szCs w:val="21"/>
          <w:highlight w:val="none"/>
        </w:rPr>
        <w:t>2024年</w:t>
      </w: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月</w:t>
      </w:r>
      <w:r>
        <w:rPr>
          <w:rFonts w:hint="eastAsia" w:ascii="宋体" w:hAnsi="宋体" w:eastAsia="宋体" w:cs="宋体"/>
          <w:b/>
          <w:bCs w:val="0"/>
          <w:color w:val="auto"/>
          <w:kern w:val="0"/>
          <w:szCs w:val="21"/>
          <w:highlight w:val="none"/>
          <w:lang w:val="en-US" w:eastAsia="zh-CN"/>
        </w:rPr>
        <w:t>19</w:t>
      </w:r>
      <w:r>
        <w:rPr>
          <w:rFonts w:hint="eastAsia" w:ascii="宋体" w:hAnsi="宋体" w:eastAsia="宋体" w:cs="宋体"/>
          <w:b/>
          <w:bCs w:val="0"/>
          <w:color w:val="auto"/>
          <w:kern w:val="0"/>
          <w:szCs w:val="21"/>
          <w:highlight w:val="none"/>
        </w:rPr>
        <w:t>日至2024年</w:t>
      </w: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月</w:t>
      </w:r>
      <w:r>
        <w:rPr>
          <w:rFonts w:hint="eastAsia" w:ascii="宋体" w:hAnsi="宋体" w:eastAsia="宋体" w:cs="宋体"/>
          <w:b/>
          <w:bCs w:val="0"/>
          <w:color w:val="auto"/>
          <w:kern w:val="0"/>
          <w:szCs w:val="21"/>
          <w:highlight w:val="none"/>
          <w:lang w:val="en-US" w:eastAsia="zh-CN"/>
        </w:rPr>
        <w:t>26</w:t>
      </w:r>
      <w:r>
        <w:rPr>
          <w:rFonts w:hint="eastAsia" w:ascii="宋体" w:hAnsi="宋体" w:eastAsia="宋体" w:cs="宋体"/>
          <w:b/>
          <w:bCs w:val="0"/>
          <w:color w:val="auto"/>
          <w:kern w:val="0"/>
          <w:szCs w:val="21"/>
          <w:highlight w:val="none"/>
        </w:rPr>
        <w:t>日</w:t>
      </w:r>
      <w:r>
        <w:rPr>
          <w:rFonts w:hint="eastAsia" w:ascii="宋体" w:hAnsi="宋体" w:eastAsia="宋体" w:cs="宋体"/>
          <w:bCs/>
          <w:color w:val="auto"/>
          <w:kern w:val="0"/>
          <w:szCs w:val="21"/>
          <w:highlight w:val="none"/>
        </w:rPr>
        <w:t>，每天上午00:00至11:59，下午12:00至23:59（北京时间，法定节假日除外）；</w:t>
      </w:r>
    </w:p>
    <w:p>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地点（网址）：</w:t>
      </w:r>
      <w:r>
        <w:rPr>
          <w:rFonts w:hint="eastAsia" w:ascii="宋体" w:hAnsi="宋体" w:eastAsia="宋体" w:cs="宋体"/>
          <w:color w:val="auto"/>
          <w:szCs w:val="21"/>
          <w:highlight w:val="none"/>
        </w:rPr>
        <w:t>广西政府采购云平台（https://www.gcy.zfcg.gxzf.gov.cn/）</w:t>
      </w:r>
    </w:p>
    <w:p>
      <w:pPr>
        <w:pStyle w:val="14"/>
        <w:spacing w:line="390" w:lineRule="exac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　　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34"/>
      <w:bookmarkEnd w:id="35"/>
      <w:bookmarkEnd w:id="36"/>
      <w:bookmarkEnd w:id="37"/>
      <w:r>
        <w:rPr>
          <w:rFonts w:hint="eastAsia" w:ascii="宋体" w:hAnsi="宋体" w:eastAsia="宋体" w:cs="宋体"/>
          <w:b/>
          <w:bCs/>
          <w:color w:val="auto"/>
          <w:sz w:val="24"/>
          <w:highlight w:val="none"/>
        </w:rPr>
        <w:t>响应文件提交</w:t>
      </w:r>
    </w:p>
    <w:p>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w:t>
      </w:r>
      <w:r>
        <w:rPr>
          <w:rFonts w:hint="eastAsia" w:ascii="宋体" w:hAnsi="宋体" w:eastAsia="宋体" w:cs="宋体"/>
          <w:b/>
          <w:bCs w:val="0"/>
          <w:color w:val="auto"/>
          <w:szCs w:val="21"/>
          <w:highlight w:val="none"/>
        </w:rPr>
        <w:t>2024年</w:t>
      </w:r>
      <w:r>
        <w:rPr>
          <w:rFonts w:hint="eastAsia" w:ascii="宋体" w:hAnsi="宋体" w:eastAsia="宋体" w:cs="宋体"/>
          <w:b/>
          <w:bCs w:val="0"/>
          <w:color w:val="auto"/>
          <w:szCs w:val="21"/>
          <w:highlight w:val="none"/>
          <w:lang w:val="en-US" w:eastAsia="zh-CN"/>
        </w:rPr>
        <w:t>4</w:t>
      </w:r>
      <w:r>
        <w:rPr>
          <w:rFonts w:hint="eastAsia" w:ascii="宋体" w:hAnsi="宋体" w:eastAsia="宋体" w:cs="宋体"/>
          <w:b/>
          <w:bCs w:val="0"/>
          <w:color w:val="auto"/>
          <w:szCs w:val="21"/>
          <w:highlight w:val="none"/>
        </w:rPr>
        <w:t>月</w:t>
      </w:r>
      <w:r>
        <w:rPr>
          <w:rFonts w:hint="eastAsia" w:ascii="宋体" w:hAnsi="宋体" w:eastAsia="宋体" w:cs="宋体"/>
          <w:b/>
          <w:bCs w:val="0"/>
          <w:color w:val="auto"/>
          <w:szCs w:val="21"/>
          <w:highlight w:val="none"/>
          <w:lang w:val="en-US" w:eastAsia="zh-CN"/>
        </w:rPr>
        <w:t>2</w:t>
      </w:r>
      <w:r>
        <w:rPr>
          <w:rFonts w:hint="eastAsia" w:ascii="宋体" w:hAnsi="宋体" w:eastAsia="宋体" w:cs="宋体"/>
          <w:b/>
          <w:bCs w:val="0"/>
          <w:color w:val="auto"/>
          <w:szCs w:val="21"/>
          <w:highlight w:val="none"/>
        </w:rPr>
        <w:t>日09:30:00</w:t>
      </w:r>
      <w:r>
        <w:rPr>
          <w:rFonts w:hint="eastAsia" w:ascii="宋体" w:hAnsi="宋体" w:eastAsia="宋体" w:cs="宋体"/>
          <w:bCs/>
          <w:color w:val="auto"/>
          <w:szCs w:val="21"/>
          <w:highlight w:val="none"/>
        </w:rPr>
        <w:t>（北京时间）</w:t>
      </w:r>
    </w:p>
    <w:p>
      <w:pPr>
        <w:spacing w:line="39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2、首次响应文件提交地点：请登录广西政府采购云平台投标客户端投标</w:t>
      </w:r>
      <w:r>
        <w:rPr>
          <w:rFonts w:hint="eastAsia" w:ascii="宋体" w:hAnsi="宋体" w:eastAsia="宋体" w:cs="宋体"/>
          <w:color w:val="auto"/>
          <w:szCs w:val="21"/>
          <w:highlight w:val="none"/>
          <w:lang w:eastAsia="zh-CN"/>
        </w:rPr>
        <w:t>。</w:t>
      </w:r>
    </w:p>
    <w:p>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b/>
          <w:bCs/>
          <w:color w:val="auto"/>
          <w:szCs w:val="21"/>
          <w:highlight w:val="none"/>
        </w:rPr>
        <w:t>2024年</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月</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日09:30:00</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后</w:t>
      </w:r>
    </w:p>
    <w:p>
      <w:pPr>
        <w:spacing w:line="39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地点：广西政府采购云平台电子开标大厅</w:t>
      </w:r>
    </w:p>
    <w:p>
      <w:pPr>
        <w:spacing w:line="390" w:lineRule="exact"/>
        <w:ind w:firstLine="482" w:firstLineChars="200"/>
        <w:rPr>
          <w:rFonts w:hint="eastAsia" w:ascii="宋体" w:hAnsi="宋体" w:eastAsia="宋体" w:cs="宋体"/>
          <w:b/>
          <w:bCs/>
          <w:color w:val="auto"/>
          <w:sz w:val="24"/>
          <w:highlight w:val="none"/>
        </w:rPr>
      </w:pPr>
      <w:bookmarkStart w:id="38" w:name="_Toc35393794"/>
      <w:bookmarkStart w:id="39" w:name="_Toc28359007"/>
      <w:bookmarkStart w:id="40" w:name="_Toc28359084"/>
      <w:bookmarkStart w:id="41" w:name="_Toc35393625"/>
      <w:r>
        <w:rPr>
          <w:rFonts w:hint="eastAsia" w:ascii="宋体" w:hAnsi="宋体" w:eastAsia="宋体" w:cs="宋体"/>
          <w:b/>
          <w:bCs/>
          <w:color w:val="auto"/>
          <w:sz w:val="24"/>
          <w:highlight w:val="none"/>
        </w:rPr>
        <w:t>六、公告期限</w:t>
      </w:r>
      <w:bookmarkEnd w:id="38"/>
      <w:bookmarkEnd w:id="39"/>
      <w:bookmarkEnd w:id="40"/>
      <w:bookmarkEnd w:id="41"/>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90" w:lineRule="exact"/>
        <w:ind w:firstLine="482" w:firstLineChars="200"/>
        <w:rPr>
          <w:rFonts w:hint="eastAsia" w:ascii="宋体" w:hAnsi="宋体" w:eastAsia="宋体" w:cs="宋体"/>
          <w:b/>
          <w:bCs/>
          <w:color w:val="auto"/>
          <w:sz w:val="24"/>
          <w:highlight w:val="none"/>
        </w:rPr>
      </w:pPr>
      <w:bookmarkStart w:id="42" w:name="_Toc35393795"/>
      <w:bookmarkStart w:id="43" w:name="_Toc35393626"/>
      <w:r>
        <w:rPr>
          <w:rFonts w:hint="eastAsia" w:ascii="宋体" w:hAnsi="宋体" w:eastAsia="宋体" w:cs="宋体"/>
          <w:b/>
          <w:bCs/>
          <w:color w:val="auto"/>
          <w:sz w:val="24"/>
          <w:highlight w:val="none"/>
        </w:rPr>
        <w:t>七、其他补充事宜</w:t>
      </w:r>
      <w:bookmarkEnd w:id="42"/>
      <w:bookmarkEnd w:id="43"/>
    </w:p>
    <w:p>
      <w:pPr>
        <w:spacing w:line="390" w:lineRule="exact"/>
        <w:ind w:firstLine="420" w:firstLineChars="200"/>
        <w:rPr>
          <w:rFonts w:hint="eastAsia" w:ascii="宋体" w:hAnsi="宋体" w:eastAsia="宋体" w:cs="宋体"/>
          <w:color w:val="auto"/>
          <w:kern w:val="0"/>
          <w:szCs w:val="21"/>
          <w:highlight w:val="none"/>
        </w:rPr>
      </w:pPr>
      <w:bookmarkStart w:id="44" w:name="_Hlk37429585"/>
      <w:r>
        <w:rPr>
          <w:rFonts w:hint="eastAsia" w:ascii="宋体" w:hAnsi="宋体" w:eastAsia="宋体" w:cs="宋体"/>
          <w:color w:val="auto"/>
          <w:kern w:val="0"/>
          <w:szCs w:val="21"/>
          <w:highlight w:val="none"/>
        </w:rPr>
        <w:t>1.磋商保证金：</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磋商保证金金额：</w:t>
      </w:r>
      <w:r>
        <w:rPr>
          <w:rFonts w:hint="eastAsia" w:ascii="宋体" w:hAnsi="宋体" w:eastAsia="宋体" w:cs="宋体"/>
          <w:color w:val="auto"/>
          <w:kern w:val="0"/>
          <w:szCs w:val="21"/>
          <w:highlight w:val="none"/>
          <w:lang w:eastAsia="zh-CN"/>
        </w:rPr>
        <w:t>人民币</w:t>
      </w:r>
      <w:r>
        <w:rPr>
          <w:rFonts w:hint="eastAsia" w:ascii="宋体" w:hAnsi="宋体" w:eastAsia="宋体" w:cs="宋体"/>
          <w:color w:val="auto"/>
          <w:kern w:val="0"/>
          <w:szCs w:val="21"/>
          <w:highlight w:val="none"/>
        </w:rPr>
        <w:t>14000.00元</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w:t>
      </w:r>
      <w:r>
        <w:rPr>
          <w:rFonts w:hint="eastAsia" w:ascii="宋体" w:hAnsi="宋体" w:eastAsia="宋体" w:cs="宋体"/>
          <w:color w:val="auto"/>
          <w:szCs w:val="21"/>
          <w:highlight w:val="none"/>
        </w:rPr>
        <w:t>（竞标人转账时，须在银行转账底单上备注项目标识如“【项目编号：</w:t>
      </w:r>
      <w:r>
        <w:rPr>
          <w:rFonts w:hint="eastAsia" w:ascii="宋体" w:hAnsi="宋体" w:eastAsia="宋体" w:cs="宋体"/>
          <w:color w:val="auto"/>
          <w:szCs w:val="21"/>
          <w:highlight w:val="none"/>
          <w:lang w:eastAsia="zh-CN"/>
        </w:rPr>
        <w:t>GXZC2024-C3-002882-JGJD</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磋商</w:t>
      </w:r>
      <w:r>
        <w:rPr>
          <w:rFonts w:hint="eastAsia" w:ascii="宋体" w:hAnsi="宋体" w:eastAsia="宋体" w:cs="宋体"/>
          <w:color w:val="auto"/>
          <w:szCs w:val="21"/>
          <w:highlight w:val="none"/>
        </w:rPr>
        <w:t>保证金”</w:t>
      </w:r>
      <w:r>
        <w:rPr>
          <w:rFonts w:hint="eastAsia" w:ascii="宋体" w:hAnsi="宋体" w:eastAsia="宋体" w:cs="宋体"/>
          <w:color w:val="auto"/>
          <w:kern w:val="0"/>
          <w:szCs w:val="21"/>
          <w:highlight w:val="none"/>
        </w:rPr>
        <w:t>缴纳磋商保证金指定账户的信息：</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广西建设工程机电设备招标中心有限公司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招商银行南宁分行营业部</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账    号： 7719  0142  3310  201</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采用支票、汇票、本票或者保函等方式的，在首次响应文件提交截止时间前，供应商必须提交单独密封的支票、汇票、本票或者保函等原件给采购代理机构。否则视为无效磋商保证金。</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45" w:name="_Hlk37429595"/>
      <w:r>
        <w:rPr>
          <w:rFonts w:hint="eastAsia" w:ascii="宋体" w:hAnsi="宋体" w:eastAsia="宋体" w:cs="宋体"/>
          <w:color w:val="auto"/>
          <w:kern w:val="0"/>
          <w:szCs w:val="21"/>
          <w:highlight w:val="none"/>
        </w:rPr>
        <w:t>网上查询地址</w:t>
      </w:r>
    </w:p>
    <w:bookmarkEnd w:id="44"/>
    <w:bookmarkEnd w:id="45"/>
    <w:p>
      <w:pPr>
        <w:spacing w:line="390" w:lineRule="exact"/>
        <w:ind w:firstLine="420" w:firstLineChars="200"/>
        <w:rPr>
          <w:rFonts w:hint="eastAsia" w:ascii="宋体" w:hAnsi="宋体" w:eastAsia="宋体" w:cs="宋体"/>
          <w:color w:val="auto"/>
          <w:kern w:val="0"/>
          <w:szCs w:val="21"/>
          <w:highlight w:val="none"/>
        </w:rPr>
      </w:pPr>
      <w:bookmarkStart w:id="46" w:name="_Hlk37429674"/>
      <w:r>
        <w:rPr>
          <w:rFonts w:hint="eastAsia" w:ascii="宋体" w:hAnsi="宋体" w:eastAsia="宋体" w:cs="宋体"/>
          <w:color w:val="auto"/>
          <w:kern w:val="0"/>
          <w:szCs w:val="21"/>
          <w:highlight w:val="none"/>
        </w:rPr>
        <w:t>http://www.ccgp.gov.cn (中国政府采购网),http://zfcg.gxzf.gov.cn (广西政府采购网) ，http://www.guangxibid.com.cn/（广西招标网），https://ygcg.bbwcq.com（广西阳光采购服务平台）。</w:t>
      </w:r>
    </w:p>
    <w:bookmarkEnd w:id="46"/>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本项目需要落实的政府采购政策</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6.在线竞标的有关说明：</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（1）响应文件提交方式：本项目为全流程电子化项目，通过广西政府采购云平台（https://www.gcy.zfcg.gxzf.gov.cn/）实行在线电子响应，</w:t>
      </w:r>
      <w:r>
        <w:rPr>
          <w:rFonts w:hint="eastAsia" w:ascii="宋体" w:hAnsi="宋体" w:eastAsia="宋体" w:cs="宋体"/>
          <w:color w:val="auto"/>
          <w:highlight w:val="none"/>
        </w:rPr>
        <w:t>供应商应先安装广西政府采购云平台新版客户端（新版客户端下载路径：广西政府采购网（访问地址http://zfcg.gxzf.gov.cn/）—办事服务—下载专区）</w:t>
      </w:r>
      <w:r>
        <w:rPr>
          <w:rFonts w:hint="eastAsia" w:ascii="宋体" w:hAnsi="宋体" w:eastAsia="宋体" w:cs="宋体"/>
          <w:color w:val="auto"/>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eastAsia="宋体" w:cs="宋体"/>
          <w:b/>
          <w:bCs/>
          <w:color w:val="auto"/>
          <w:kern w:val="0"/>
          <w:szCs w:val="21"/>
          <w:highlight w:val="none"/>
        </w:rPr>
        <w:t>供应商在广西政府采购云平台提交电子版响应文件时，请填写参加远程开标活动经办人联系方式</w:t>
      </w:r>
      <w:r>
        <w:rPr>
          <w:rFonts w:hint="eastAsia" w:ascii="宋体" w:hAnsi="宋体" w:eastAsia="宋体" w:cs="宋体"/>
          <w:color w:val="auto"/>
          <w:kern w:val="0"/>
          <w:szCs w:val="21"/>
          <w:highlight w:val="none"/>
        </w:rPr>
        <w:t>。</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pPr>
        <w:spacing w:line="390" w:lineRule="exact"/>
        <w:ind w:firstLine="420" w:firstLineChars="200"/>
        <w:rPr>
          <w:rFonts w:hint="eastAsia" w:ascii="宋体" w:hAnsi="宋体" w:eastAsia="宋体" w:cs="宋体"/>
          <w:color w:val="auto"/>
          <w:kern w:val="0"/>
          <w:szCs w:val="21"/>
          <w:highlight w:val="none"/>
        </w:rPr>
      </w:pPr>
      <w:bookmarkStart w:id="47" w:name="_Toc35393639"/>
      <w:bookmarkStart w:id="48" w:name="_Toc35393808"/>
      <w:bookmarkStart w:id="49" w:name="_Toc28359098"/>
      <w:bookmarkStart w:id="50" w:name="_Toc28359021"/>
      <w:r>
        <w:rPr>
          <w:rFonts w:hint="eastAsia" w:ascii="宋体" w:hAnsi="宋体" w:eastAsia="宋体" w:cs="宋体"/>
          <w:color w:val="auto"/>
          <w:kern w:val="0"/>
          <w:szCs w:val="21"/>
          <w:highlight w:val="none"/>
        </w:rPr>
        <w:t>1.采购单位名称：广西壮族自治区道路运输发展中心</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联系地址：南宁青秀区厢竹大道4号</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人：覃宇昀      联系电话：0771-2115425</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2.采购代理机构名称：广西建设工程机电设备招标中心有限公司 </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地址：南宁市良庆区凯旋路15号南宁绿地中心5号楼6楼612</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联系人：江艳妹       联系电话：0771-2804614</w:t>
      </w:r>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3.项目联系方式</w:t>
      </w:r>
      <w:bookmarkEnd w:id="47"/>
      <w:bookmarkEnd w:id="48"/>
      <w:bookmarkEnd w:id="49"/>
      <w:bookmarkEnd w:id="50"/>
    </w:p>
    <w:p>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联系人：江艳妹       联系电话：0771-2804614</w:t>
      </w:r>
    </w:p>
    <w:p>
      <w:pPr>
        <w:pStyle w:val="2"/>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p>
    <w:p>
      <w:pPr>
        <w:spacing w:line="39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广西建设工程机电设备招标中心有限公司</w:t>
      </w:r>
    </w:p>
    <w:p>
      <w:pPr>
        <w:spacing w:line="390" w:lineRule="exact"/>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日</w:t>
      </w:r>
    </w:p>
    <w:p>
      <w:pPr>
        <w:rPr>
          <w:rFonts w:hint="eastAsia" w:ascii="宋体" w:hAnsi="宋体" w:eastAsia="宋体" w:cs="宋体"/>
          <w:color w:val="auto"/>
          <w:sz w:val="32"/>
          <w:szCs w:val="32"/>
          <w:highlight w:val="none"/>
        </w:rPr>
      </w:pPr>
      <w:bookmarkStart w:id="51" w:name="_Toc26836"/>
      <w:bookmarkStart w:id="52" w:name="_Toc7184"/>
      <w:bookmarkStart w:id="53" w:name="_Toc80886926"/>
      <w:bookmarkStart w:id="54" w:name="_Toc9127"/>
      <w:bookmarkStart w:id="55" w:name="_Toc22325"/>
      <w:bookmarkStart w:id="56" w:name="_Toc11093"/>
      <w:bookmarkStart w:id="57" w:name="_Toc25520"/>
      <w:bookmarkStart w:id="58" w:name="_Toc22760"/>
      <w:r>
        <w:rPr>
          <w:rFonts w:hint="eastAsia" w:ascii="宋体" w:hAnsi="宋体" w:eastAsia="宋体" w:cs="宋体"/>
          <w:color w:val="auto"/>
          <w:sz w:val="32"/>
          <w:szCs w:val="32"/>
          <w:highlight w:val="none"/>
        </w:rPr>
        <w:br w:type="page"/>
      </w:r>
    </w:p>
    <w:p>
      <w:pPr>
        <w:pStyle w:val="3"/>
        <w:spacing w:before="100" w:after="90" w:line="240" w:lineRule="auto"/>
        <w:jc w:val="center"/>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第二章 采购需求</w:t>
      </w:r>
      <w:bookmarkEnd w:id="51"/>
      <w:bookmarkEnd w:id="52"/>
      <w:bookmarkEnd w:id="53"/>
      <w:bookmarkEnd w:id="54"/>
      <w:bookmarkEnd w:id="55"/>
      <w:bookmarkEnd w:id="56"/>
      <w:bookmarkEnd w:id="57"/>
    </w:p>
    <w:bookmarkEnd w:id="58"/>
    <w:p>
      <w:pPr>
        <w:spacing w:line="45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spacing w:line="45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1、为落实政府采购政策需满足的要求：</w:t>
      </w:r>
    </w:p>
    <w:p>
      <w:pPr>
        <w:spacing w:line="45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eastAsia="宋体" w:cs="宋体"/>
          <w:b/>
          <w:bCs/>
          <w:color w:val="auto"/>
          <w:szCs w:val="21"/>
          <w:highlight w:val="none"/>
        </w:rPr>
        <w:t>否则响应文件按无效处理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Style w:val="38"/>
          <w:rFonts w:hint="eastAsia" w:ascii="宋体" w:hAnsi="宋体" w:eastAsia="宋体" w:cs="宋体"/>
          <w:color w:val="auto"/>
          <w:highlight w:val="none"/>
          <w:u w:val="none"/>
        </w:rPr>
        <w:t>评审程序、评审方法和评审标准</w:t>
      </w:r>
      <w:r>
        <w:rPr>
          <w:rFonts w:hint="eastAsia" w:ascii="宋体" w:hAnsi="宋体" w:eastAsia="宋体" w:cs="宋体"/>
          <w:color w:val="auto"/>
          <w:szCs w:val="21"/>
          <w:highlight w:val="none"/>
        </w:rPr>
        <w:t>”。</w:t>
      </w:r>
    </w:p>
    <w:p>
      <w:pPr>
        <w:spacing w:line="45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3、如竞标产品存在侵犯他人的知识产权或者专利成果行为的，应承担相应法律责任。</w:t>
      </w:r>
    </w:p>
    <w:p>
      <w:pPr>
        <w:pStyle w:val="14"/>
        <w:spacing w:line="45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供应商必须自行为其竞标产品侵犯他人的知识产权或者专利成果的行为承担相应法律责任。</w:t>
      </w:r>
    </w:p>
    <w:p>
      <w:pPr>
        <w:pStyle w:val="14"/>
        <w:spacing w:line="450" w:lineRule="exact"/>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highlight w:val="none"/>
        </w:rPr>
        <w:t>5、采购内容所属行业：</w:t>
      </w:r>
      <w:r>
        <w:rPr>
          <w:rFonts w:hint="eastAsia" w:ascii="宋体" w:hAnsi="宋体" w:eastAsia="宋体" w:cs="宋体"/>
          <w:b/>
          <w:bCs/>
          <w:color w:val="auto"/>
          <w:highlight w:val="none"/>
          <w:u w:val="single"/>
        </w:rPr>
        <w:t>软件和信息技术服务业</w:t>
      </w:r>
      <w:r>
        <w:rPr>
          <w:rFonts w:hint="eastAsia" w:ascii="宋体" w:hAnsi="宋体" w:eastAsia="宋体" w:cs="宋体"/>
          <w:b/>
          <w:bCs/>
          <w:color w:val="auto"/>
          <w:szCs w:val="21"/>
          <w:highlight w:val="none"/>
          <w:u w:val="single"/>
        </w:rPr>
        <w:t>。</w:t>
      </w:r>
    </w:p>
    <w:tbl>
      <w:tblPr>
        <w:tblStyle w:val="31"/>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164"/>
        <w:gridCol w:w="645"/>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62" w:type="dxa"/>
            <w:gridSpan w:val="4"/>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542" w:firstLineChars="150"/>
              <w:jc w:val="center"/>
              <w:rPr>
                <w:rFonts w:hint="eastAsia" w:ascii="宋体" w:hAnsi="宋体" w:eastAsia="宋体" w:cs="宋体"/>
                <w:b/>
                <w:color w:val="auto"/>
                <w:kern w:val="2"/>
                <w:sz w:val="21"/>
                <w:highlight w:val="none"/>
              </w:rPr>
            </w:pPr>
            <w:r>
              <w:rPr>
                <w:rFonts w:hint="eastAsia" w:ascii="宋体" w:hAnsi="宋体" w:eastAsia="宋体" w:cs="宋体"/>
                <w:b/>
                <w:color w:val="auto"/>
                <w:sz w:val="36"/>
                <w:szCs w:val="36"/>
                <w:highlight w:val="none"/>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序号</w:t>
            </w:r>
          </w:p>
        </w:tc>
        <w:tc>
          <w:tcPr>
            <w:tcW w:w="1164"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服务名称</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770" w:type="dxa"/>
            <w:tcBorders>
              <w:top w:val="single" w:color="auto" w:sz="4" w:space="0"/>
              <w:left w:val="single" w:color="auto" w:sz="4" w:space="0"/>
              <w:bottom w:val="single" w:color="auto" w:sz="4" w:space="0"/>
              <w:right w:val="single" w:color="auto" w:sz="4" w:space="0"/>
            </w:tcBorders>
            <w:vAlign w:val="center"/>
          </w:tcPr>
          <w:p>
            <w:pPr>
              <w:pStyle w:val="21"/>
              <w:spacing w:line="360" w:lineRule="auto"/>
              <w:ind w:firstLine="316" w:firstLineChars="150"/>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服务要求及技术需求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tcBorders>
              <w:top w:val="single" w:color="auto" w:sz="4" w:space="0"/>
              <w:left w:val="single" w:color="auto" w:sz="4" w:space="0"/>
              <w:right w:val="single" w:color="auto" w:sz="4" w:space="0"/>
            </w:tcBorders>
            <w:vAlign w:val="center"/>
          </w:tcPr>
          <w:p>
            <w:pPr>
              <w:pStyle w:val="21"/>
              <w:spacing w:line="360" w:lineRule="auto"/>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1</w:t>
            </w:r>
          </w:p>
        </w:tc>
        <w:tc>
          <w:tcPr>
            <w:tcW w:w="1164" w:type="dxa"/>
            <w:tcBorders>
              <w:top w:val="single" w:color="auto" w:sz="4" w:space="0"/>
              <w:left w:val="single" w:color="auto" w:sz="4" w:space="0"/>
              <w:right w:val="single" w:color="auto" w:sz="4" w:space="0"/>
            </w:tcBorders>
            <w:vAlign w:val="center"/>
          </w:tcPr>
          <w:p>
            <w:pPr>
              <w:pStyle w:val="21"/>
              <w:spacing w:line="360" w:lineRule="auto"/>
              <w:jc w:val="center"/>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广西道路运输第三方安全监测技术服务项目</w:t>
            </w:r>
          </w:p>
        </w:tc>
        <w:tc>
          <w:tcPr>
            <w:tcW w:w="645" w:type="dxa"/>
            <w:tcBorders>
              <w:top w:val="single" w:color="auto" w:sz="4" w:space="0"/>
              <w:left w:val="single" w:color="auto" w:sz="4" w:space="0"/>
              <w:right w:val="single" w:color="auto" w:sz="4" w:space="0"/>
            </w:tcBorders>
            <w:vAlign w:val="center"/>
          </w:tcPr>
          <w:p>
            <w:pPr>
              <w:pStyle w:val="21"/>
              <w:spacing w:line="360" w:lineRule="auto"/>
              <w:jc w:val="center"/>
              <w:rPr>
                <w:rFonts w:hint="eastAsia" w:ascii="宋体" w:hAnsi="宋体" w:eastAsia="宋体" w:cs="宋体"/>
                <w:b/>
                <w:color w:val="auto"/>
                <w:kern w:val="2"/>
                <w:sz w:val="21"/>
                <w:highlight w:val="none"/>
              </w:rPr>
            </w:pPr>
            <w:bookmarkStart w:id="59" w:name="_Toc324174474"/>
            <w:r>
              <w:rPr>
                <w:rFonts w:hint="eastAsia" w:ascii="宋体" w:hAnsi="宋体" w:eastAsia="宋体" w:cs="宋体"/>
                <w:b/>
                <w:color w:val="auto"/>
                <w:kern w:val="2"/>
                <w:sz w:val="21"/>
                <w:highlight w:val="none"/>
              </w:rPr>
              <w:t>1</w:t>
            </w:r>
            <w:bookmarkEnd w:id="59"/>
            <w:r>
              <w:rPr>
                <w:rFonts w:hint="eastAsia" w:ascii="宋体" w:hAnsi="宋体" w:eastAsia="宋体" w:cs="宋体"/>
                <w:b/>
                <w:color w:val="auto"/>
                <w:kern w:val="2"/>
                <w:sz w:val="21"/>
                <w:highlight w:val="none"/>
              </w:rPr>
              <w:t>项</w:t>
            </w:r>
          </w:p>
        </w:tc>
        <w:tc>
          <w:tcPr>
            <w:tcW w:w="7770" w:type="dxa"/>
            <w:tcBorders>
              <w:top w:val="single" w:color="auto" w:sz="4" w:space="0"/>
              <w:left w:val="single" w:color="auto" w:sz="4" w:space="0"/>
              <w:right w:val="single" w:color="auto" w:sz="4" w:space="0"/>
            </w:tcBorders>
            <w:vAlign w:val="center"/>
          </w:tcPr>
          <w:p>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广西道路运输第三方安全监测技术服务项目，提供以下服务：</w:t>
            </w:r>
          </w:p>
          <w:p>
            <w:pPr>
              <w:pStyle w:val="2"/>
              <w:spacing w:line="360" w:lineRule="auto"/>
              <w:ind w:firstLine="36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（一）车辆监测技术服务</w:t>
            </w:r>
          </w:p>
          <w:p>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系统平台对全区“两客一危”车辆以及重型货车（总质量为12吨及以上的普通货运车辆）实行7×24小时动态监测及预警预控服务，包含：提供全量、精准数据报表服务。（包含但不限于日报、周报、月报、年报、分析报告等）。</w:t>
            </w:r>
          </w:p>
          <w:p>
            <w:pPr>
              <w:pStyle w:val="2"/>
              <w:spacing w:line="360" w:lineRule="auto"/>
              <w:ind w:firstLine="36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（二）电子地图、电子围栏监测服务</w:t>
            </w:r>
          </w:p>
          <w:p>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重点时段、重点区域车辆监控服务。提供车辆轨迹电子地图服务，通过地图服务实现平台电子围栏，通过卫星定位系统对车辆在划定区域内的实时监控和进入特定区域的报警提醒，实现分路段限速预警提醒服务，进一步加强对重点营运车辆的监督管控。</w:t>
            </w:r>
          </w:p>
          <w:p>
            <w:pPr>
              <w:pStyle w:val="2"/>
              <w:spacing w:line="360" w:lineRule="auto"/>
              <w:ind w:firstLine="36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（三）车辆预警提示服务</w:t>
            </w:r>
          </w:p>
          <w:p>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车辆实时提醒服务，根据管理部门天气预警以及路况信息，平台能直接连接车辆智能卫星定位装置发动自动及人工语音提醒，实现对全区营运的“两客一危”车辆以及重型货车（总质量为12吨及以上的普通货运车辆）提供天气、路况等预警提示信息服务。</w:t>
            </w:r>
          </w:p>
          <w:p>
            <w:pPr>
              <w:pStyle w:val="2"/>
              <w:spacing w:line="360" w:lineRule="auto"/>
              <w:ind w:firstLine="36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（四）提供数据支撑及数据处理服务</w:t>
            </w:r>
          </w:p>
          <w:p>
            <w:pPr>
              <w:pStyle w:val="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相关接口服务，实现与各个相关业务管理系统的数据共享，确保业务的业务协同；提供车辆运行轨迹数据接入服务，将接入平台的车辆信息与“广西道路运输管理信息系统”同步，为诚信考核及证件审批提供数据支撑协助做好动态监控运行考核质量服务。通过系统实现两客一危车辆动态监控违规行为处置全过程的闭环信息化管理。并通过集成化、自动化的手段对违规行为进行记录分析，通过系统向道路运输企业及县、市、区级道路运输管理机构和交通综合执法机构推送违规行为日报、周报和月报。实现省、市、县三级道路运输主管部门登录和全区道路运输企业及社会化卫星定位系统监控平台对报警信息处理功能。跟踪收集道路运输企业及社会化卫星定位系统监控平台对违规行为的闭环处理结果，并在系统上推送至省、市、县三级管理部门。确保问题从发现到解决形成完整闭环。</w:t>
            </w:r>
          </w:p>
          <w:p>
            <w:pPr>
              <w:pStyle w:val="2"/>
              <w:spacing w:line="360" w:lineRule="auto"/>
              <w:ind w:firstLine="36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（五）其他技术服务</w:t>
            </w:r>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服务期内，磋商供应商负责将系统平台所有业务数据实按照国家要求做好数据备份，确保系统数据安全。按照系统运维要求进行第三方安全监测服务平台日常运维工作。成交供应商在合同期内按照采购人的需求，经双方协商同意后，对监测系统功能进行开发和完善，满足采购人的提出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62" w:type="dxa"/>
            <w:gridSpan w:val="4"/>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▲服务期限</w:t>
            </w:r>
          </w:p>
        </w:tc>
        <w:tc>
          <w:tcPr>
            <w:tcW w:w="8415"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2024年7月1至2025年6月30日。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付款条件</w:t>
            </w:r>
          </w:p>
        </w:tc>
        <w:tc>
          <w:tcPr>
            <w:tcW w:w="8415"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一采多年项目，分两年共三笔支付，签订合同后十个工作日内，采购人向成交供应商支付合同金额的第一笔款项80万元，完成服务能力验收后十个工作日内支付合同金额的第二笔款项29.77万元，剩余合同金额第三笔款项在2025年3月31日前支付，成交供应商自收到合同价款之日起五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报价要求</w:t>
            </w:r>
          </w:p>
        </w:tc>
        <w:tc>
          <w:tcPr>
            <w:tcW w:w="8415"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本项目报价为服务总包干价。报价必须含以下部分，包括：</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（1）服务的价格；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（2）相关标准附件、备品备件、专用工具的价格；</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（3）运输、装卸、调试、培训、技术支持、售后服务等费用；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（4）必要的保险费用和各项税费；</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（5）招标投标相关的各项费用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（6）包括安装费用；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（7）验收的费用。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（8）磋商供应商在本项目实施过程中，投标总价不予调整，采购人不再支付成交价格以外的任何费用。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47"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服务要求及规范</w:t>
            </w:r>
          </w:p>
        </w:tc>
        <w:tc>
          <w:tcPr>
            <w:tcW w:w="8415" w:type="dxa"/>
            <w:gridSpan w:val="2"/>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（一）服务质量要求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1、磋商供应商应严格按照以下系统运维要求进行第三方安全监测服务平台日常运维工作：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（1）数据存储：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动态监控数据应当至少保存6个月，违法驾驶信息及处理情况应当至少保存3年。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（2）系统监控：</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①数据库监控日志可查；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②服务器状态可查。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（3）审计日志：系统日志30天内可查。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（4）故障处理：定期进行故障数据分析。</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（5）数据安全：中标后6个月内，完成第三方安全监测服务平台通过信息系统安全等级保护（三级）备案。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szCs w:val="21"/>
                <w:highlight w:val="none"/>
              </w:rPr>
              <w:t>磋商供应商应具备提供广西本地化服务的能力（投标文件中提供地址、服务团队名单、联系方式）；本地化服务团队提供在线网络、电话、电子邮箱等服务方式；提供7*24小时专人职守服</w:t>
            </w:r>
            <w:r>
              <w:rPr>
                <w:rFonts w:hint="eastAsia" w:ascii="宋体" w:hAnsi="宋体" w:eastAsia="宋体" w:cs="宋体"/>
                <w:color w:val="auto"/>
                <w:szCs w:val="21"/>
                <w:highlight w:val="none"/>
              </w:rPr>
              <w:t>务。实时响应内部服务请求，详细记录问题解决情况。面向广西各级道路运输管理机构提供技术和业务支持，包括通过网络、电话和邮件远程技术协助，现场技术支持。</w:t>
            </w:r>
            <w:r>
              <w:rPr>
                <w:rFonts w:hint="eastAsia" w:ascii="宋体" w:hAnsi="宋体" w:eastAsia="宋体" w:cs="宋体"/>
                <w:color w:val="auto"/>
                <w:highlight w:val="none"/>
              </w:rPr>
              <w:t>磋商供应商应配备至少2名专职运维人员进行日常运维工作，及时响应系统故障。磋商供应商配备至少10名运营客服人员和1名管理人员保障第三方安全监测服务平台持续稳定开展和提供运营服务。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磋商供应商提供的第三方安全监测服务平台应对全区所有客运车辆(不含四类班线车辆)、危险货物运输车辆、半挂牵引车以及重型载货汽车(总质量为12吨及以上的普通货运车辆)实行7×24小时动态监测及预警预控服务，发现驾驶员违规行为实时自动提醒、及时干预处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4、磋商供应商应面向全</w:t>
            </w:r>
            <w:r>
              <w:rPr>
                <w:rFonts w:hint="eastAsia" w:ascii="宋体" w:hAnsi="宋体" w:eastAsia="宋体" w:cs="宋体"/>
                <w:color w:val="auto"/>
                <w:highlight w:val="none"/>
                <w:lang w:eastAsia="zh-Hans"/>
              </w:rPr>
              <w:t>区</w:t>
            </w:r>
            <w:r>
              <w:rPr>
                <w:rFonts w:hint="eastAsia" w:ascii="宋体" w:hAnsi="宋体" w:eastAsia="宋体" w:cs="宋体"/>
                <w:color w:val="auto"/>
                <w:highlight w:val="none"/>
              </w:rPr>
              <w:t>道路运输管理机构和交通综合执法机构、道路运输企业提供日报、周报、月报、年报或分析报告等数据报表服务。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5、磋商供应商应按照管理部门要求完成重大节假日、重大活动期间、重点区域等特定监测工作，并制作特定数据分析报告提供给管理部门作为参考。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（二）服务规范要求</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磋商供应商必须建立规范的内部管理制度。严格管理专职专业技术人员，保证服务态度良好、问题解决及时、重大问题及时反馈、运维记录详细。</w:t>
            </w:r>
            <w:r>
              <w:rPr>
                <w:rFonts w:hint="eastAsia" w:ascii="宋体" w:hAnsi="宋体" w:eastAsia="宋体" w:cs="宋体"/>
                <w:color w:val="auto"/>
                <w:highlight w:val="none"/>
              </w:rPr>
              <w:t>建立规范的第三方安全监测服务平台运营维护服务内部管理制度；对第三方安全监测平台服务人员进行岗前操作培训，培训考核合格后方可上岗。严格按照服务工作流程规范进行日常工作，如果发生由于日常工作遗漏和疏忽导致数据丢失或被攻击等影响业主业务正常开展的情况，将根据情节严重对相关责任人进行相应的处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2、磋商供应商应建立第三方安全监测服务平台运营维护应急管理制度，对常见系统故障、道路运输事故应急预案，以便在重点时段、重点区域、重点事件及时作出响应。</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3、当系统出现漏洞、故障或被攻击时，磋商供应商必须在10分钟内进行响应，1小时内提出处理方案，24小时内解决问题。</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期间须按照国家网络安全及信息保密安全有关管理规定做好网络安全保密工作。指定具体网络安全责任人，建立独立的管理技术团队负责项目实施过程中的网络安全管理。网络安全责任人及工作人员有变更、成交供应商工作人员有业务转型或成交供应商因自身原因有合并重组等的须提前向采购人进行书面说明，未经采购人同意，成交供应商不得私自将在采购人工作期间的项目任务进行分包、转包。成交供应商必须承担为采购人保守相关保密信息的义务和责任，包括以下内容：成交供应商应严格控制了解项目关键资料的人员范围，对参与项目运维的有关工作人员要明确保密责任，严格保密纪律，不得泄漏、使用系统数据信息用于其他用途。</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期间涉及的政务数据和其他数据须分开处理，不得自私将工作中处理的数据进行变更处理。成交供应商在服务期间处理数据，涉及到个人信息时，须按照国家个人信息保护相关管理规定，做好数据处理存储工作。采购人具有所有权、使用权和访问权，采购人不得私自更改、访问、利用和销毁服务期间涉及到的政务数据信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成交供应商必须与采购人签订保密协议，对所接触到的所有信息负有保密义务，任何时候均不得私自将收集的任何信息以任何方式提供给任何第三方，不得违反《最高人民法院、最高人民检察院关于办理侵犯公民个人信息刑事案件适用法律若干问题的解释》。未经采购人许可，成交供应商不得将关于采购人的信息系统现状及需求情况、建设情况以及系统数据等提供给任何第三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▲7、成交供应商需配合做好国产化相关工作</w:t>
            </w:r>
            <w:r>
              <w:rPr>
                <w:rFonts w:hint="eastAsia" w:ascii="宋体" w:hAnsi="宋体" w:eastAsia="宋体" w:cs="宋体"/>
                <w:bCs/>
                <w:color w:val="auto"/>
                <w:szCs w:val="21"/>
                <w:highlight w:val="none"/>
              </w:rPr>
              <w:t>。</w:t>
            </w:r>
          </w:p>
        </w:tc>
      </w:tr>
    </w:tbl>
    <w:p>
      <w:pPr>
        <w:ind w:left="119"/>
        <w:rPr>
          <w:rFonts w:hint="eastAsia" w:ascii="宋体" w:hAnsi="宋体" w:eastAsia="宋体" w:cs="宋体"/>
          <w:color w:val="auto"/>
          <w:sz w:val="32"/>
          <w:szCs w:val="32"/>
          <w:highlight w:val="none"/>
        </w:rPr>
      </w:pPr>
      <w:bookmarkStart w:id="60" w:name="_Toc3319"/>
      <w:bookmarkStart w:id="61" w:name="_Toc80886927"/>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p>
    <w:p>
      <w:pPr>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pPr>
        <w:widowControl/>
        <w:jc w:val="center"/>
        <w:rPr>
          <w:rFonts w:hint="eastAsia" w:ascii="宋体" w:hAnsi="宋体" w:eastAsia="宋体" w:cs="宋体"/>
          <w:b/>
          <w:bCs/>
          <w:color w:val="auto"/>
          <w:kern w:val="0"/>
          <w:sz w:val="30"/>
          <w:szCs w:val="30"/>
          <w:highlight w:val="none"/>
        </w:rPr>
      </w:pPr>
      <w:r>
        <w:rPr>
          <w:rFonts w:hint="eastAsia" w:ascii="宋体" w:hAnsi="宋体" w:eastAsia="宋体" w:cs="宋体"/>
          <w:b/>
          <w:color w:val="auto"/>
          <w:sz w:val="30"/>
          <w:szCs w:val="30"/>
          <w:highlight w:val="none"/>
        </w:rPr>
        <w:t>中小微企业划型标准</w:t>
      </w:r>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noWrap/>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noWrap/>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计量单位</w:t>
            </w:r>
          </w:p>
        </w:tc>
        <w:tc>
          <w:tcPr>
            <w:tcW w:w="1125" w:type="dxa"/>
            <w:noWrap/>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noWrap/>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noWrap/>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noWrap/>
            <w:vAlign w:val="center"/>
          </w:tcPr>
          <w:p>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农、林、牧、渔业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工业 *</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建筑业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批发业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零售业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交通运输业 *</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仓储业*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邮政业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住宿业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餐饮业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信息传输业 *</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软件和信息技术服务业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房地产开发经营</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物业管理</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租赁和商务服务业</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color w:val="auto"/>
                <w:sz w:val="18"/>
                <w:szCs w:val="21"/>
                <w:highlight w:val="none"/>
              </w:rPr>
            </w:pP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其他未列明行业 *</w:t>
            </w:r>
          </w:p>
        </w:tc>
        <w:tc>
          <w:tcPr>
            <w:tcW w:w="136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pPr>
        <w:adjustRightInd w:val="0"/>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1.大型、中型和小型企业须同时满足所列指标的下限，否则下划一档。微型企业只须满足所列指标中的一项即可。</w:t>
      </w:r>
    </w:p>
    <w:p>
      <w:pPr>
        <w:adjustRightInd w:val="0"/>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hint="eastAsia" w:ascii="宋体" w:hAnsi="宋体" w:eastAsia="宋体" w:cs="宋体"/>
          <w:color w:val="auto"/>
          <w:highlight w:val="none"/>
        </w:rPr>
      </w:pPr>
      <w:bookmarkStart w:id="62" w:name="_Toc24174"/>
      <w:bookmarkStart w:id="63" w:name="_Toc19152"/>
      <w:bookmarkStart w:id="64" w:name="_Toc9239"/>
      <w:bookmarkStart w:id="65" w:name="_Toc13614"/>
      <w:bookmarkStart w:id="66" w:name="_Toc2072"/>
      <w:bookmarkStart w:id="67" w:name="_Toc7704"/>
      <w:r>
        <w:rPr>
          <w:rFonts w:hint="eastAsia" w:ascii="宋体" w:hAnsi="宋体" w:eastAsia="宋体" w:cs="宋体"/>
          <w:bCs w:val="0"/>
          <w:color w:val="auto"/>
          <w:sz w:val="32"/>
          <w:szCs w:val="32"/>
          <w:highlight w:val="none"/>
        </w:rPr>
        <w:t>第三章 供应商须知</w:t>
      </w:r>
      <w:bookmarkEnd w:id="60"/>
      <w:bookmarkEnd w:id="61"/>
      <w:bookmarkEnd w:id="62"/>
      <w:bookmarkEnd w:id="63"/>
      <w:bookmarkEnd w:id="64"/>
      <w:bookmarkEnd w:id="65"/>
      <w:bookmarkEnd w:id="66"/>
      <w:bookmarkEnd w:id="67"/>
    </w:p>
    <w:p>
      <w:pPr>
        <w:pStyle w:val="4"/>
        <w:jc w:val="center"/>
        <w:rPr>
          <w:rFonts w:hint="eastAsia" w:ascii="宋体" w:hAnsi="宋体" w:eastAsia="宋体" w:cs="宋体"/>
          <w:b w:val="0"/>
          <w:color w:val="auto"/>
          <w:highlight w:val="none"/>
        </w:rPr>
      </w:pPr>
      <w:bookmarkStart w:id="68" w:name="_Toc9482"/>
      <w:bookmarkStart w:id="69" w:name="_Toc80886928"/>
      <w:bookmarkStart w:id="70" w:name="_Toc30660"/>
      <w:r>
        <w:rPr>
          <w:rFonts w:hint="eastAsia" w:ascii="宋体" w:hAnsi="宋体" w:eastAsia="宋体" w:cs="宋体"/>
          <w:b w:val="0"/>
          <w:color w:val="auto"/>
          <w:highlight w:val="none"/>
        </w:rPr>
        <w:t>第一节 供应商须知前附表</w:t>
      </w:r>
      <w:bookmarkEnd w:id="68"/>
      <w:bookmarkEnd w:id="69"/>
      <w:bookmarkEnd w:id="70"/>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90"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41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41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416" w:type="dxa"/>
            <w:vAlign w:val="center"/>
          </w:tcPr>
          <w:p>
            <w:pPr>
              <w:spacing w:line="360" w:lineRule="auto"/>
              <w:rPr>
                <w:rFonts w:hint="eastAsia" w:ascii="宋体" w:hAnsi="宋体" w:eastAsia="宋体" w:cs="宋体"/>
                <w:color w:val="auto"/>
                <w:szCs w:val="21"/>
                <w:highlight w:val="none"/>
              </w:rPr>
            </w:pPr>
            <w:bookmarkStart w:id="71" w:name="PO_3000001868_PM007"/>
            <w:r>
              <w:rPr>
                <w:rFonts w:hint="eastAsia" w:ascii="宋体" w:hAnsi="宋体" w:eastAsia="宋体" w:cs="宋体"/>
                <w:color w:val="auto"/>
                <w:szCs w:val="21"/>
                <w:highlight w:val="none"/>
              </w:rPr>
              <w:t>详见竞争性磋商公告</w:t>
            </w:r>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41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416" w:type="dxa"/>
            <w:vAlign w:val="center"/>
          </w:tcPr>
          <w:p>
            <w:pPr>
              <w:pStyle w:val="14"/>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390"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416" w:type="dxa"/>
            <w:vAlign w:val="center"/>
          </w:tcPr>
          <w:p>
            <w:pPr>
              <w:pStyle w:val="14"/>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投标截止日期前半年内连续3个月</w:t>
            </w:r>
            <w:r>
              <w:rPr>
                <w:rFonts w:hint="eastAsia" w:ascii="宋体" w:hAnsi="宋体" w:eastAsia="宋体" w:cs="宋体"/>
                <w:color w:val="auto"/>
                <w:szCs w:val="21"/>
                <w:highlight w:val="none"/>
              </w:rPr>
              <w:t>的依法缴纳税收的凭据复印件；</w:t>
            </w:r>
            <w:r>
              <w:rPr>
                <w:rFonts w:hint="eastAsia" w:ascii="宋体" w:hAnsi="宋体" w:eastAsia="宋体" w:cs="宋体"/>
                <w:color w:val="auto"/>
                <w:highlight w:val="none"/>
              </w:rPr>
              <w:t>依法免税的，必须提供相应文件证明其依法免税。</w:t>
            </w:r>
            <w:r>
              <w:rPr>
                <w:rFonts w:hint="eastAsia" w:ascii="宋体" w:hAnsi="宋体" w:eastAsia="宋体" w:cs="宋体"/>
                <w:color w:val="auto"/>
                <w:szCs w:val="21"/>
                <w:highlight w:val="none"/>
              </w:rPr>
              <w:t>从成立之日起到响应文件提交截止时间止不足要求月数的，只需提供从成立之日起的依法缴纳税收</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投标截止日期前半年内连续3个月</w:t>
            </w:r>
            <w:r>
              <w:rPr>
                <w:rFonts w:hint="eastAsia" w:ascii="宋体" w:hAnsi="宋体" w:eastAsia="宋体" w:cs="宋体"/>
                <w:color w:val="auto"/>
                <w:szCs w:val="21"/>
                <w:highlight w:val="none"/>
              </w:rPr>
              <w:t>的依法缴纳社会保障资金的缴费凭证（专用收据或者社会保险缴纳清单）复印件；</w:t>
            </w:r>
            <w:r>
              <w:rPr>
                <w:rFonts w:hint="eastAsia" w:ascii="宋体" w:hAnsi="宋体" w:eastAsia="宋体" w:cs="宋体"/>
                <w:color w:val="auto"/>
                <w:highlight w:val="none"/>
              </w:rPr>
              <w:t>依法不需要缴纳社会保障资金的，必须提供相应文件证明不需要缴纳社会保障资金。</w:t>
            </w:r>
            <w:r>
              <w:rPr>
                <w:rFonts w:hint="eastAsia" w:ascii="宋体" w:hAnsi="宋体" w:eastAsia="宋体" w:cs="宋体"/>
                <w:color w:val="auto"/>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highlight w:val="none"/>
              </w:rPr>
              <w:t>相应证明文件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u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lang w:val="en-US" w:eastAsia="zh-CN"/>
              </w:rPr>
              <w:t>2023年</w:t>
            </w:r>
            <w:r>
              <w:rPr>
                <w:rFonts w:hint="eastAsia" w:ascii="宋体" w:hAnsi="宋体" w:eastAsia="宋体" w:cs="宋体"/>
                <w:color w:val="auto"/>
                <w:szCs w:val="21"/>
                <w:highlight w:val="none"/>
              </w:rPr>
              <w:t>财务</w:t>
            </w:r>
            <w:r>
              <w:rPr>
                <w:rFonts w:hint="eastAsia" w:ascii="宋体" w:hAnsi="宋体" w:eastAsia="宋体" w:cs="宋体"/>
                <w:color w:val="auto"/>
                <w:szCs w:val="21"/>
                <w:highlight w:val="none"/>
                <w:lang w:val="en-US" w:eastAsia="zh-CN"/>
              </w:rPr>
              <w:t>报表</w:t>
            </w:r>
            <w:r>
              <w:rPr>
                <w:rFonts w:hint="eastAsia" w:ascii="宋体" w:hAnsi="宋体" w:eastAsia="宋体" w:cs="宋体"/>
                <w:color w:val="auto"/>
                <w:szCs w:val="21"/>
                <w:highlight w:val="none"/>
              </w:rPr>
              <w:t>复印件或者银行出具的资信证明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供应商属于</w:t>
            </w:r>
            <w:r>
              <w:rPr>
                <w:rFonts w:hint="eastAsia" w:ascii="宋体" w:hAnsi="宋体" w:eastAsia="宋体" w:cs="宋体"/>
                <w:color w:val="auto"/>
                <w:highlight w:val="none"/>
              </w:rPr>
              <w:t>成立时间</w:t>
            </w:r>
            <w:r>
              <w:rPr>
                <w:rFonts w:hint="eastAsia" w:ascii="宋体" w:hAnsi="宋体" w:eastAsia="宋体" w:cs="宋体"/>
                <w:color w:val="auto"/>
                <w:kern w:val="0"/>
                <w:highlight w:val="none"/>
              </w:rPr>
              <w:t>在规定年度之后</w:t>
            </w:r>
            <w:r>
              <w:rPr>
                <w:rFonts w:hint="eastAsia" w:ascii="宋体" w:hAnsi="宋体" w:eastAsia="宋体" w:cs="宋体"/>
                <w:color w:val="auto"/>
                <w:highlight w:val="none"/>
              </w:rPr>
              <w:t>的</w:t>
            </w:r>
            <w:r>
              <w:rPr>
                <w:rFonts w:hint="eastAsia" w:ascii="宋体" w:hAnsi="宋体" w:eastAsia="宋体" w:cs="宋体"/>
                <w:color w:val="auto"/>
                <w:szCs w:val="21"/>
                <w:highlight w:val="none"/>
                <w:lang w:val="en-US" w:eastAsia="zh-CN"/>
              </w:rPr>
              <w:t>法人或其他组织</w:t>
            </w:r>
            <w:r>
              <w:rPr>
                <w:rFonts w:hint="eastAsia" w:ascii="宋体" w:hAnsi="宋体" w:eastAsia="宋体" w:cs="宋体"/>
                <w:color w:val="auto"/>
                <w:highlight w:val="none"/>
              </w:rPr>
              <w:t>，需提供成立之日起至响应文件提交截止时间前的月报表</w:t>
            </w:r>
            <w:r>
              <w:rPr>
                <w:rFonts w:hint="eastAsia" w:ascii="宋体" w:hAnsi="宋体" w:eastAsia="宋体" w:cs="宋体"/>
                <w:color w:val="auto"/>
                <w:szCs w:val="21"/>
                <w:highlight w:val="none"/>
              </w:rPr>
              <w:t>或银行出具的资信证明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资信证明</w:t>
            </w:r>
            <w:r>
              <w:rPr>
                <w:rFonts w:hint="eastAsia" w:ascii="宋体" w:hAnsi="宋体" w:eastAsia="宋体" w:cs="宋体"/>
                <w:color w:val="auto"/>
                <w:szCs w:val="21"/>
                <w:highlight w:val="none"/>
              </w:rPr>
              <w:t>应在有效期内，未注明有效期的，</w:t>
            </w:r>
            <w:r>
              <w:rPr>
                <w:rFonts w:hint="eastAsia" w:ascii="宋体" w:hAnsi="宋体" w:eastAsia="宋体" w:cs="宋体"/>
                <w:color w:val="auto"/>
                <w:szCs w:val="21"/>
                <w:highlight w:val="none"/>
                <w:lang w:val="en-US" w:eastAsia="zh-CN"/>
              </w:rPr>
              <w:t>银行</w:t>
            </w:r>
            <w:r>
              <w:rPr>
                <w:rFonts w:hint="eastAsia" w:ascii="宋体" w:hAnsi="宋体" w:eastAsia="宋体" w:cs="宋体"/>
                <w:color w:val="auto"/>
                <w:szCs w:val="21"/>
                <w:highlight w:val="none"/>
              </w:rPr>
              <w:t>出具时间至响应文件提交截止时间不超过一年）；</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6.供应商直接控股股东信息表。（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8.中小企业声明函或者残疾人福利性单位声明函或者供应商属于监狱企业的，提供由省级以上监狱管理局、戒毒管理局（含新疆生产建设兵团）出具的属于监狱企业的证明文件；（</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9.联合体竞标协议书；（</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10.除竞争性磋商文件规定必须提供以外，供应商认为需要提供的其他证明材料。（</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pStyle w:val="14"/>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pStyle w:val="14"/>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1.以上标明“必须提供”的材料属于复印件的扫描件的，必须加盖供应商公章，否则响应文件按无效响应处理。</w:t>
            </w:r>
          </w:p>
          <w:p>
            <w:pPr>
              <w:pStyle w:val="14"/>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390"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41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4.磋商保证金提交凭证；（</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6.供应商情况介绍；（</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7.对应采购需求的商务条款提供的其他文件资料；（</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8.供应商认为需要提供的其他有关资料。（</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416"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项目质量保障措施</w:t>
            </w:r>
            <w:r>
              <w:rPr>
                <w:rFonts w:hint="eastAsia" w:ascii="宋体" w:hAnsi="宋体" w:eastAsia="宋体" w:cs="宋体"/>
                <w:color w:val="auto"/>
                <w:highlight w:val="none"/>
              </w:rPr>
              <w:t>；</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5.对应采购需求的服务需求提供的其他文件资料；（</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416"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（必须提供，否则响应文件按无效响应处理）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3.供应商针对报价需要说明的其他文件和说明。（</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41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1.响应文件电子版要求：按照本竞争性磋商文件“第五章 响应文件格式”编写，第五章未附格式的，由供应商自行拟定。</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416" w:type="dxa"/>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响应报价必须包含满足本次竞标全部采购需求所应提供的服务，以及伴随的货物和工程（如有）的价格；包含竞标服务、货物、工程的成本、运输（含保险）、安装（如有）、调试、检验、技术服务、培训、</w:t>
            </w:r>
            <w:r>
              <w:rPr>
                <w:rFonts w:hint="eastAsia" w:ascii="宋体" w:hAnsi="宋体" w:eastAsia="宋体" w:cs="宋体"/>
                <w:bCs/>
                <w:color w:val="auto"/>
                <w:szCs w:val="21"/>
                <w:highlight w:val="none"/>
              </w:rPr>
              <w:t>验收、</w:t>
            </w:r>
            <w:r>
              <w:rPr>
                <w:rFonts w:hint="eastAsia" w:ascii="宋体" w:hAnsi="宋体" w:eastAsia="宋体" w:cs="宋体"/>
                <w:color w:val="auto"/>
                <w:highlight w:val="none"/>
              </w:rPr>
              <w:t>税费等所有费用。（采购需求另有约定的，从其约定。）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416" w:type="dxa"/>
            <w:vAlign w:val="center"/>
          </w:tcPr>
          <w:p>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磋商保证金，相关要求如下：</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1.磋商保证金的缴纳方式：详见竞争性磋商公告。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2.磋商保证金的金额：详见竞争性磋商公告。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4.磋商保证金采用支票、汇票、本票或者金融机构、担保机构出具的保函等缴纳方式的，供应商应将支票、汇票、本票或者金融机构、担保机构出具的保函等的复印件</w:t>
            </w:r>
            <w:r>
              <w:rPr>
                <w:rFonts w:hint="eastAsia" w:ascii="宋体" w:hAnsi="宋体" w:eastAsia="宋体" w:cs="宋体"/>
                <w:color w:val="auto"/>
                <w:highlight w:val="none"/>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将支票、汇票、本票或者金融机构、担保机构出具的保函等原件（</w:t>
            </w:r>
            <w:r>
              <w:rPr>
                <w:rFonts w:hint="eastAsia" w:ascii="宋体" w:hAnsi="宋体" w:eastAsia="宋体" w:cs="宋体"/>
                <w:color w:val="auto"/>
                <w:highlight w:val="none"/>
              </w:rPr>
              <w:t>电子保函除外</w:t>
            </w:r>
            <w:r>
              <w:rPr>
                <w:rFonts w:hint="eastAsia" w:ascii="宋体" w:hAnsi="宋体" w:eastAsia="宋体" w:cs="宋体"/>
                <w:color w:val="auto"/>
                <w:szCs w:val="21"/>
                <w:highlight w:val="none"/>
              </w:rPr>
              <w:t>）提交给采购代理机构，由采购代理机构向供应商出具回执，并妥善保管。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5.磋商保证金指定账户：详见竞争性磋商公告。</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6.供应商为联合体的，可以由联合体中的一方或者多方共同缴纳磋商保证金，其缴纳的磋商保证金对联合体各方均具有约束力。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2.供应商采用现金方式或者从个人账户（自然人竞标除外）转出的磋商保证金，视为无效磋商保证金。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41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41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416"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416"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4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技术要求中允许负偏离的条款数为</w:t>
            </w:r>
            <w:r>
              <w:rPr>
                <w:rFonts w:hint="eastAsia" w:ascii="宋体" w:hAnsi="宋体" w:eastAsia="宋体" w:cs="宋体"/>
                <w:color w:val="auto"/>
                <w:szCs w:val="21"/>
                <w:highlight w:val="none"/>
                <w:u w:val="single"/>
              </w:rPr>
              <w:t xml:space="preserve">   0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w:t>
            </w:r>
          </w:p>
        </w:tc>
        <w:tc>
          <w:tcPr>
            <w:tcW w:w="6416" w:type="dxa"/>
            <w:vAlign w:val="center"/>
          </w:tcPr>
          <w:p>
            <w:pPr>
              <w:pStyle w:val="14"/>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416" w:type="dxa"/>
            <w:vAlign w:val="center"/>
          </w:tcPr>
          <w:p>
            <w:pPr>
              <w:pStyle w:val="14"/>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416"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本项目收取履约保证金</w:t>
            </w:r>
            <w:r>
              <w:rPr>
                <w:rFonts w:hint="eastAsia" w:ascii="宋体" w:hAnsi="宋体" w:eastAsia="宋体" w:cs="宋体"/>
                <w:color w:val="auto"/>
                <w:szCs w:val="21"/>
                <w:highlight w:val="none"/>
              </w:rPr>
              <w:t>，具体规定如下：</w:t>
            </w:r>
          </w:p>
          <w:p>
            <w:pPr>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履约保证金金额：按成交金额的</w:t>
            </w:r>
            <w:r>
              <w:rPr>
                <w:rFonts w:hint="eastAsia" w:ascii="宋体" w:hAnsi="宋体" w:eastAsia="宋体" w:cs="宋体"/>
                <w:color w:val="auto"/>
                <w:szCs w:val="21"/>
                <w:highlight w:val="none"/>
                <w:u w:val="single"/>
              </w:rPr>
              <w:t xml:space="preserve">2 </w:t>
            </w:r>
            <w:r>
              <w:rPr>
                <w:rFonts w:hint="eastAsia" w:ascii="宋体" w:hAnsi="宋体" w:eastAsia="宋体" w:cs="宋体"/>
                <w:color w:val="auto"/>
                <w:szCs w:val="21"/>
                <w:highlight w:val="none"/>
              </w:rPr>
              <w:t>%，</w:t>
            </w:r>
            <w:r>
              <w:rPr>
                <w:rFonts w:hint="eastAsia" w:ascii="宋体" w:hAnsi="宋体" w:eastAsia="宋体" w:cs="宋体"/>
                <w:color w:val="auto"/>
                <w:highlight w:val="none"/>
              </w:rPr>
              <w:t>成交供应商在合同签订前支付到采购人指定账户</w:t>
            </w:r>
            <w:r>
              <w:rPr>
                <w:rFonts w:hint="eastAsia" w:ascii="宋体" w:hAnsi="宋体" w:eastAsia="宋体" w:cs="宋体"/>
                <w:color w:val="auto"/>
                <w:szCs w:val="21"/>
                <w:highlight w:val="none"/>
              </w:rPr>
              <w:t>。</w:t>
            </w:r>
          </w:p>
          <w:p>
            <w:pPr>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履约保证金提交方式：银行转账、支票、汇票、本票或者银行、保险机构出具的保函等非现金方式。</w:t>
            </w:r>
          </w:p>
          <w:p>
            <w:pPr>
              <w:spacing w:line="360" w:lineRule="auto"/>
              <w:contextualSpacing/>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履约保证金退付方式、时间及条件：</w:t>
            </w:r>
            <w:r>
              <w:rPr>
                <w:rFonts w:hint="eastAsia" w:ascii="宋体" w:hAnsi="宋体" w:eastAsia="宋体" w:cs="宋体"/>
                <w:color w:val="auto"/>
                <w:szCs w:val="21"/>
                <w:highlight w:val="none"/>
                <w:u w:val="single"/>
              </w:rPr>
              <w:t>由成交供应商向履约保证金收取单位提供《广西壮族自治区政府采购项目合同验收书》（详见桂财采〔2015〕22号），保证金收取单位在收到合格材料后5个工作日内办理退还手续（不计利息）。</w:t>
            </w:r>
          </w:p>
          <w:p>
            <w:pPr>
              <w:spacing w:line="360"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履约保证金指定账户：</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开户名称：广西壮族自治区道路运输发展中心</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银行账户：2102101109221017081</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开户银行：工行南宁市公园支行</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行号：102611010117</w:t>
            </w: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rPr>
              <w:br w:type="textWrapping"/>
            </w:r>
            <w:r>
              <w:rPr>
                <w:rFonts w:hint="eastAsia" w:ascii="宋体" w:hAnsi="宋体" w:eastAsia="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采用金融、担保机构出具保函的，必须为无条件保函，否则视为未按规定提交履约保证金。开具银行保函的银行，应是具有办理相关业务资格的银行业法人及分支机构。办理保证保险的保险公司，应是经银保监会批准可以经营保证保险业务的保险公司及分支机构。开具担保保函的工程担保公司应是具有金融监管机构颁发的担保业务经营许可证。</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416" w:type="dxa"/>
            <w:vAlign w:val="center"/>
          </w:tcPr>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1、委托代理人负责签订合同的，须携带有效的法定代表人授权委托书及其委托代理人身份证原件等其他资格证件。</w:t>
            </w:r>
          </w:p>
          <w:p>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2、法定代表人负责签订合同的，须携带法定代表人身份证明原件及身份证原件等其他证明材料。</w:t>
            </w:r>
          </w:p>
          <w:p>
            <w:pPr>
              <w:autoSpaceDE w:val="0"/>
              <w:autoSpaceDN w:val="0"/>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3、电子采购合同需要供应商通过有效CA证书进行电子签名与签章。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4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6416" w:type="dxa"/>
            <w:vAlign w:val="center"/>
          </w:tcPr>
          <w:p>
            <w:pPr>
              <w:numPr>
                <w:ilvl w:val="0"/>
                <w:numId w:val="2"/>
              </w:numPr>
              <w:snapToGrid w:val="0"/>
              <w:spacing w:line="360" w:lineRule="auto"/>
              <w:rPr>
                <w:rFonts w:hint="eastAsia" w:ascii="宋体" w:hAnsi="宋体" w:eastAsia="宋体" w:cs="宋体"/>
                <w:color w:val="auto"/>
                <w:szCs w:val="21"/>
                <w:highlight w:val="none"/>
              </w:rPr>
            </w:pPr>
            <w:bookmarkStart w:id="72" w:name="PO_3000001868_PM031_3"/>
            <w:r>
              <w:rPr>
                <w:rFonts w:hint="eastAsia" w:ascii="宋体" w:hAnsi="宋体" w:eastAsia="宋体" w:cs="宋体"/>
                <w:color w:val="auto"/>
                <w:szCs w:val="21"/>
                <w:highlight w:val="none"/>
              </w:rPr>
              <w:t>名称：</w:t>
            </w:r>
            <w:bookmarkEnd w:id="72"/>
            <w:r>
              <w:rPr>
                <w:rFonts w:hint="eastAsia" w:ascii="宋体" w:hAnsi="宋体" w:eastAsia="宋体" w:cs="宋体"/>
                <w:color w:val="auto"/>
                <w:highlight w:val="none"/>
              </w:rPr>
              <w:t>广西壮族自治区道路运输发展中心</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highlight w:val="none"/>
              </w:rPr>
              <w:t>0771-2115425</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通讯地址：南宁青秀区厢竹大道4号</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（2）名称：</w:t>
            </w:r>
            <w:r>
              <w:rPr>
                <w:rFonts w:hint="eastAsia" w:ascii="宋体" w:hAnsi="宋体" w:eastAsia="宋体" w:cs="宋体"/>
                <w:color w:val="auto"/>
                <w:highlight w:val="none"/>
              </w:rPr>
              <w:t>广西建设工程机电设备招标中心有限公司</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联系地址：南宁市良庆区凯旋路15号南宁绿地中心5号楼6楼612</w:t>
            </w:r>
            <w:r>
              <w:rPr>
                <w:rFonts w:hint="eastAsia" w:ascii="宋体" w:hAnsi="宋体" w:eastAsia="宋体" w:cs="宋体"/>
                <w:color w:val="auto"/>
                <w:highlight w:val="none"/>
              </w:rPr>
              <w:t>室</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联系电话：0771-2804614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eastAsia="宋体" w:cs="宋体"/>
                <w:color w:val="auto"/>
                <w:szCs w:val="21"/>
                <w:highlight w:val="none"/>
              </w:rPr>
            </w:pPr>
          </w:p>
        </w:tc>
        <w:tc>
          <w:tcPr>
            <w:tcW w:w="2390"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现场提交质疑办理业务</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时间</w:t>
            </w:r>
          </w:p>
        </w:tc>
        <w:tc>
          <w:tcPr>
            <w:tcW w:w="641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416" w:type="dxa"/>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2、通讯方式</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名称： 广西壮族自治区财政厅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地址： 南宁市青秀区桃源路69号 </w:t>
            </w: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416" w:type="dxa"/>
            <w:vAlign w:val="center"/>
          </w:tcPr>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☑本项目代理服务费由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领取成交通知书前，一次性向采购代理机构支付。</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2.采购代理费收取标准：</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☑以项目（☑成交金额/□采购预算/□暂定成交金额/□其他）为计费额，按本须知正文第32.2条规定的收费计算标准（□货物类/</w:t>
            </w:r>
            <w:r>
              <w:rPr>
                <w:rFonts w:hint="eastAsia" w:ascii="宋体" w:hAnsi="宋体" w:eastAsia="宋体" w:cs="宋体"/>
                <w:color w:val="auto"/>
                <w:highlight w:val="none"/>
              </w:rPr>
              <w:t xml:space="preserve"> </w:t>
            </w:r>
            <w:r>
              <w:rPr>
                <w:rFonts w:hint="eastAsia" w:ascii="宋体" w:hAnsi="宋体" w:eastAsia="宋体" w:cs="宋体"/>
                <w:color w:val="auto"/>
                <w:sz w:val="21"/>
                <w:highlight w:val="none"/>
              </w:rPr>
              <w:t>☑服务类/□工程类）采用差额定率累进法计算出收费基准价格，采购代理收费以（☑收费基准价格/□收费基准价格下浮</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/□收费基准价格上浮</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）收取。</w:t>
            </w:r>
          </w:p>
          <w:p>
            <w:pPr>
              <w:pStyle w:val="21"/>
              <w:snapToGrid w:val="0"/>
              <w:spacing w:line="360" w:lineRule="auto"/>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 xml:space="preserve">              。</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3. 采购代理费收取银行账户</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开户名称：广西建设工程机电设备招标中心有限公司</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开户银行：招商银行南宁分行营业部</w:t>
            </w:r>
          </w:p>
          <w:p>
            <w:pPr>
              <w:pStyle w:val="21"/>
              <w:snapToGrid w:val="0"/>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银行账号：771901423310201</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highlight w:val="none"/>
              </w:rPr>
              <w:t>备注信息：（</w:t>
            </w:r>
            <w:r>
              <w:rPr>
                <w:rFonts w:hint="eastAsia" w:ascii="宋体" w:hAnsi="宋体" w:eastAsia="宋体" w:cs="宋体"/>
                <w:color w:val="auto"/>
                <w:szCs w:val="21"/>
                <w:highlight w:val="none"/>
                <w:lang w:eastAsia="zh-CN"/>
              </w:rPr>
              <w:t>GXZC2024-C3-002882-JGJD</w:t>
            </w:r>
            <w:r>
              <w:rPr>
                <w:rFonts w:hint="eastAsia" w:ascii="宋体" w:hAnsi="宋体" w:eastAsia="宋体" w:cs="宋体"/>
                <w:b/>
                <w:bCs/>
                <w:color w:val="auto"/>
                <w:highlight w:val="none"/>
              </w:rPr>
              <w:t>）</w:t>
            </w:r>
            <w:r>
              <w:rPr>
                <w:rFonts w:hint="eastAsia" w:ascii="宋体" w:hAnsi="宋体" w:eastAsia="宋体" w:cs="宋体"/>
                <w:b/>
                <w:bCs/>
                <w:color w:val="auto"/>
                <w:highlight w:val="none"/>
                <w:lang w:eastAsia="zh-CN"/>
              </w:rPr>
              <w:t>代理</w:t>
            </w:r>
            <w:r>
              <w:rPr>
                <w:rFonts w:hint="eastAsia" w:ascii="宋体" w:hAnsi="宋体" w:eastAsia="宋体" w:cs="宋体"/>
                <w:b/>
                <w:bCs/>
                <w:color w:val="auto"/>
                <w:highlight w:val="none"/>
              </w:rPr>
              <w:t>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416" w:type="dxa"/>
            <w:vAlign w:val="center"/>
          </w:tcPr>
          <w:p>
            <w:pPr>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pPr>
              <w:snapToGrid w:val="0"/>
              <w:spacing w:line="40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39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16" w:type="dxa"/>
            <w:vAlign w:val="center"/>
          </w:tcPr>
          <w:p>
            <w:pPr>
              <w:pStyle w:val="14"/>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5.自然人竞标的，竞争性磋商文件规定盖公章处由自然人摁手指指印。</w:t>
            </w:r>
          </w:p>
          <w:p>
            <w:pPr>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6.本竞争性磋商文件所称的“以上”“以下”“以内”“届满”，包括本数；所称的“不满”“超过”“以外”，不包括本数。</w:t>
            </w:r>
          </w:p>
        </w:tc>
      </w:tr>
    </w:tbl>
    <w:p>
      <w:pPr>
        <w:pStyle w:val="4"/>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73" w:name="_Toc80886929"/>
      <w:bookmarkStart w:id="74" w:name="_Toc30957"/>
      <w:bookmarkStart w:id="75" w:name="_Toc27094"/>
      <w:r>
        <w:rPr>
          <w:rFonts w:hint="eastAsia" w:ascii="宋体" w:hAnsi="宋体" w:eastAsia="宋体" w:cs="宋体"/>
          <w:b w:val="0"/>
          <w:color w:val="auto"/>
          <w:highlight w:val="none"/>
        </w:rPr>
        <w:t>第二节 供应商须知正文</w:t>
      </w:r>
      <w:bookmarkEnd w:id="73"/>
      <w:bookmarkEnd w:id="74"/>
      <w:bookmarkEnd w:id="75"/>
    </w:p>
    <w:p>
      <w:pPr>
        <w:pStyle w:val="5"/>
        <w:spacing w:before="0" w:after="0" w:line="360" w:lineRule="auto"/>
        <w:ind w:firstLine="640" w:firstLineChars="200"/>
        <w:rPr>
          <w:rFonts w:hint="eastAsia" w:ascii="宋体" w:hAnsi="宋体" w:eastAsia="宋体" w:cs="宋体"/>
          <w:b w:val="0"/>
          <w:color w:val="auto"/>
          <w:highlight w:val="none"/>
        </w:rPr>
      </w:pPr>
      <w:bookmarkStart w:id="76" w:name="_Toc26166"/>
      <w:bookmarkStart w:id="77" w:name="_Toc80886930"/>
      <w:bookmarkStart w:id="78" w:name="_Toc6457"/>
      <w:r>
        <w:rPr>
          <w:rFonts w:hint="eastAsia" w:ascii="宋体" w:hAnsi="宋体" w:eastAsia="宋体" w:cs="宋体"/>
          <w:b w:val="0"/>
          <w:color w:val="auto"/>
          <w:highlight w:val="none"/>
        </w:rPr>
        <w:t>一、总则</w:t>
      </w:r>
      <w:bookmarkEnd w:id="76"/>
      <w:bookmarkEnd w:id="77"/>
      <w:bookmarkEnd w:id="78"/>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w:t>
      </w:r>
      <w:r>
        <w:rPr>
          <w:rFonts w:hint="eastAsia" w:ascii="宋体" w:hAnsi="宋体" w:eastAsia="宋体" w:cs="宋体"/>
          <w:color w:val="auto"/>
          <w:szCs w:val="21"/>
          <w:highlight w:val="none"/>
        </w:rPr>
        <w:t>报价文件、商务和技术文件</w:t>
      </w:r>
      <w:r>
        <w:rPr>
          <w:rFonts w:hint="eastAsia" w:ascii="宋体" w:hAnsi="宋体" w:eastAsia="宋体" w:cs="宋体"/>
          <w:color w:val="auto"/>
          <w:spacing w:val="-6"/>
          <w:szCs w:val="21"/>
          <w:highlight w:val="none"/>
        </w:rPr>
        <w:t>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82" w:firstLineChars="200"/>
        <w:rPr>
          <w:rFonts w:hint="eastAsia" w:ascii="宋体" w:hAnsi="宋体" w:eastAsia="宋体" w:cs="宋体"/>
          <w:b/>
          <w:bCs/>
          <w:color w:val="auto"/>
          <w:sz w:val="24"/>
          <w:highlight w:val="none"/>
        </w:rPr>
      </w:pPr>
      <w:bookmarkStart w:id="79" w:name="_Toc254970532"/>
      <w:bookmarkStart w:id="80" w:name="_Toc254970673"/>
      <w:r>
        <w:rPr>
          <w:rFonts w:hint="eastAsia" w:ascii="宋体" w:hAnsi="宋体" w:eastAsia="宋体" w:cs="宋体"/>
          <w:b/>
          <w:bCs/>
          <w:color w:val="auto"/>
          <w:sz w:val="24"/>
          <w:highlight w:val="none"/>
        </w:rPr>
        <w:t>7.特别说明</w:t>
      </w:r>
      <w:bookmarkEnd w:id="79"/>
      <w:bookmarkEnd w:id="80"/>
    </w:p>
    <w:p>
      <w:pPr>
        <w:spacing w:line="360" w:lineRule="auto"/>
        <w:ind w:firstLine="420" w:firstLineChars="200"/>
        <w:rPr>
          <w:rFonts w:hint="eastAsia" w:ascii="宋体" w:hAnsi="宋体" w:eastAsia="宋体" w:cs="宋体"/>
          <w:color w:val="auto"/>
          <w:szCs w:val="21"/>
          <w:highlight w:val="none"/>
        </w:rPr>
      </w:pPr>
      <w:bookmarkStart w:id="81" w:name="_8.1提供相同品牌产品且通过资格审查、符合性审查的不同投标人参加同一合"/>
      <w:bookmarkEnd w:id="81"/>
      <w:r>
        <w:rPr>
          <w:rFonts w:hint="eastAsia" w:ascii="宋体" w:hAnsi="宋体" w:eastAsia="宋体" w:cs="宋体"/>
          <w:color w:val="auto"/>
          <w:szCs w:val="21"/>
          <w:highlight w:val="none"/>
        </w:rPr>
        <w:t>7.1</w:t>
      </w:r>
      <w:bookmarkStart w:id="8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2"/>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（1）不同供应商的响应文件由同一单位或者个人编制；或不同供应商报名的IP地址一致的； </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tabs>
          <w:tab w:val="left" w:pos="6931"/>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（6）不同供应商的磋商保证金从同一单位或者个人账户转出。</w:t>
      </w:r>
      <w:r>
        <w:rPr>
          <w:rFonts w:hint="eastAsia" w:ascii="宋体" w:hAnsi="宋体" w:eastAsia="宋体" w:cs="宋体"/>
          <w:b/>
          <w:bCs/>
          <w:color w:val="auto"/>
          <w:szCs w:val="21"/>
          <w:highlight w:val="none"/>
        </w:rPr>
        <w:tab/>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7.6供应商有下列情形之一的，属于恶意串通行为，将报同级监督管理部门：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eastAsia="宋体" w:cs="宋体"/>
          <w:b w:val="0"/>
          <w:bCs w:val="0"/>
          <w:color w:val="auto"/>
          <w:highlight w:val="none"/>
        </w:rPr>
      </w:pPr>
      <w:bookmarkStart w:id="83" w:name="_Toc12713"/>
      <w:bookmarkStart w:id="84" w:name="_Toc254970675"/>
      <w:bookmarkStart w:id="85" w:name="_Toc27583"/>
      <w:bookmarkStart w:id="86" w:name="_Toc80886931"/>
      <w:bookmarkStart w:id="87" w:name="_Toc254970534"/>
      <w:r>
        <w:rPr>
          <w:rFonts w:hint="eastAsia" w:ascii="宋体" w:hAnsi="宋体" w:eastAsia="宋体" w:cs="宋体"/>
          <w:b w:val="0"/>
          <w:bCs w:val="0"/>
          <w:color w:val="auto"/>
          <w:highlight w:val="none"/>
        </w:rPr>
        <w:t>二、磋商文件</w:t>
      </w:r>
      <w:bookmarkEnd w:id="83"/>
      <w:bookmarkEnd w:id="84"/>
      <w:bookmarkEnd w:id="85"/>
      <w:bookmarkEnd w:id="86"/>
      <w:bookmarkEnd w:id="87"/>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88" w:name="_Toc21480"/>
      <w:bookmarkStart w:id="89" w:name="_Toc21690"/>
      <w:bookmarkStart w:id="90" w:name="_Toc80886932"/>
      <w:r>
        <w:rPr>
          <w:rFonts w:hint="eastAsia" w:ascii="宋体" w:hAnsi="宋体" w:eastAsia="宋体" w:cs="宋体"/>
          <w:b w:val="0"/>
          <w:bCs w:val="0"/>
          <w:color w:val="auto"/>
          <w:highlight w:val="none"/>
        </w:rPr>
        <w:t>三、响应文件的编制</w:t>
      </w:r>
      <w:bookmarkEnd w:id="88"/>
      <w:bookmarkEnd w:id="89"/>
      <w:bookmarkEnd w:id="90"/>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91"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响应报价（包含首次报价、最后报价）超过分项采购预算金额或者最高限价的（如本项目公布了最高限价），其响应文件将按无效处理。</w:t>
      </w:r>
    </w:p>
    <w:bookmarkEnd w:id="91"/>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i/>
          <w:iCs/>
          <w:color w:val="auto"/>
          <w:sz w:val="24"/>
          <w:highlight w:val="none"/>
        </w:rPr>
      </w:pPr>
      <w:r>
        <w:rPr>
          <w:rFonts w:hint="eastAsia" w:ascii="宋体" w:hAnsi="宋体" w:eastAsia="宋体" w:cs="宋体"/>
          <w:b/>
          <w:bCs/>
          <w:color w:val="auto"/>
          <w:sz w:val="24"/>
          <w:highlight w:val="none"/>
        </w:rPr>
        <w:t>17.磋商保证金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成交供应商的磋商保证金自成交通知书发出之日起4个工作日内退还，退还方式如下：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pStyle w:val="8"/>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17.2.2成交供应商的磋商保证金自签订合同之日起4个工作日内退还，退还方式同未成交供应商的磋商保证金的退还方式；或者转为成交供应商的履约保证金。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92" w:name="_Hlk65832699"/>
      <w:r>
        <w:rPr>
          <w:rFonts w:hint="eastAsia" w:ascii="宋体" w:hAnsi="宋体" w:eastAsia="宋体" w:cs="宋体"/>
          <w:color w:val="auto"/>
          <w:szCs w:val="21"/>
          <w:highlight w:val="none"/>
        </w:rPr>
        <w:t>3响应文件须由供应商按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要求进行签署、盖章</w:t>
      </w:r>
      <w:bookmarkEnd w:id="92"/>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18.4响应文件中标注的供应商名称应与营业执照（事业单位法人证书、执业许可证、自然人身份证）及供应商公章一致，</w:t>
      </w:r>
      <w:r>
        <w:rPr>
          <w:rFonts w:hint="eastAsia" w:ascii="宋体" w:hAnsi="宋体" w:eastAsia="宋体" w:cs="宋体"/>
          <w:b/>
          <w:bCs/>
          <w:color w:val="auto"/>
          <w:szCs w:val="21"/>
          <w:highlight w:val="none"/>
        </w:rPr>
        <w:t>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宋体" w:hAnsi="宋体" w:eastAsia="宋体" w:cs="宋体"/>
          <w:b/>
          <w:bCs/>
          <w:color w:val="auto"/>
          <w:sz w:val="24"/>
          <w:highlight w:val="none"/>
        </w:rPr>
      </w:pPr>
      <w:bookmarkStart w:id="93"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在首次响应文件提交截止时间止提交响应文件的供应商不足3家时，电子响应文件的退回由广西政府采购云平台自动操作。</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bookmarkEnd w:id="93"/>
    <w:p>
      <w:pPr>
        <w:pStyle w:val="16"/>
        <w:spacing w:line="360" w:lineRule="auto"/>
        <w:ind w:firstLine="420" w:firstLineChars="200"/>
        <w:rPr>
          <w:rFonts w:hint="eastAsia" w:ascii="宋体" w:hAnsi="宋体" w:eastAsia="宋体" w:cs="宋体"/>
          <w:i/>
          <w:iCs/>
          <w:color w:val="auto"/>
          <w:szCs w:val="21"/>
          <w:highlight w:val="none"/>
        </w:rPr>
      </w:pPr>
      <w:r>
        <w:rPr>
          <w:rFonts w:hint="eastAsia" w:ascii="宋体" w:hAnsi="宋体" w:eastAsia="宋体" w:cs="宋体"/>
          <w:color w:val="auto"/>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rFonts w:hint="eastAsia" w:ascii="宋体" w:hAnsi="宋体" w:eastAsia="宋体" w:cs="宋体"/>
          <w:b w:val="0"/>
          <w:bCs w:val="0"/>
          <w:color w:val="auto"/>
          <w:highlight w:val="none"/>
        </w:rPr>
      </w:pPr>
      <w:bookmarkStart w:id="94" w:name="_Toc17876"/>
      <w:bookmarkStart w:id="95" w:name="_Toc20044"/>
      <w:bookmarkStart w:id="96" w:name="_Toc80886933"/>
      <w:r>
        <w:rPr>
          <w:rFonts w:hint="eastAsia" w:ascii="宋体" w:hAnsi="宋体" w:eastAsia="宋体" w:cs="宋体"/>
          <w:b w:val="0"/>
          <w:bCs w:val="0"/>
          <w:color w:val="auto"/>
          <w:highlight w:val="none"/>
        </w:rPr>
        <w:t>四、评审及磋商</w:t>
      </w:r>
      <w:bookmarkEnd w:id="94"/>
      <w:bookmarkEnd w:id="95"/>
      <w:bookmarkEnd w:id="96"/>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rPr>
        <w:t>响应文件未按时解密的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26.4电子交易活动的中止。）</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供应商成功解密响应文件，但未在广西政府采购云平台电子开标大厅参加磋商的，视同认可磋商过程和结果，</w:t>
      </w:r>
      <w:r>
        <w:rPr>
          <w:rFonts w:hint="eastAsia" w:ascii="宋体" w:hAnsi="宋体" w:eastAsia="宋体" w:cs="宋体"/>
          <w:color w:val="auto"/>
          <w:kern w:val="0"/>
          <w:szCs w:val="21"/>
          <w:highlight w:val="none"/>
        </w:rPr>
        <w:t>由此产生的后果由供应商自行负责。 参与磋商的供应商不足3家的，不得磋商。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26.3 采购需求负偏离要求及磋商顺序详见“供应商须知前附表</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ascii="宋体" w:hAnsi="宋体" w:eastAsia="宋体" w:cs="宋体"/>
          <w:b w:val="0"/>
          <w:bCs w:val="0"/>
          <w:color w:val="auto"/>
          <w:highlight w:val="none"/>
        </w:rPr>
      </w:pPr>
      <w:bookmarkStart w:id="97" w:name="_Toc12018"/>
      <w:bookmarkStart w:id="98" w:name="_Toc17745"/>
      <w:bookmarkStart w:id="99" w:name="_Toc80886934"/>
      <w:r>
        <w:rPr>
          <w:rFonts w:hint="eastAsia" w:ascii="宋体" w:hAnsi="宋体" w:eastAsia="宋体" w:cs="宋体"/>
          <w:b w:val="0"/>
          <w:bCs w:val="0"/>
          <w:color w:val="auto"/>
          <w:highlight w:val="none"/>
        </w:rPr>
        <w:t>五、成交及合同</w:t>
      </w:r>
      <w:bookmarkEnd w:id="97"/>
      <w:bookmarkEnd w:id="98"/>
      <w:bookmarkEnd w:id="9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r>
        <w:rPr>
          <w:rFonts w:hint="eastAsia" w:ascii="宋体" w:hAnsi="宋体" w:eastAsia="宋体" w:cs="宋体"/>
          <w:color w:val="auto"/>
          <w:szCs w:val="21"/>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auto"/>
          <w:highlight w:val="none"/>
        </w:rPr>
        <w:t>与采购人</w:t>
      </w:r>
      <w:r>
        <w:rPr>
          <w:rFonts w:hint="eastAsia" w:ascii="宋体" w:hAnsi="宋体" w:eastAsia="宋体" w:cs="宋体"/>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pStyle w:val="6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color w:val="auto"/>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color w:val="auto"/>
          <w:highlight w:val="none"/>
        </w:rPr>
        <w:t>。</w:t>
      </w:r>
      <w:bookmarkStart w:id="100" w:name="_Toc80205930"/>
    </w:p>
    <w:p>
      <w:pPr>
        <w:pStyle w:val="5"/>
        <w:spacing w:before="0" w:after="0" w:line="360" w:lineRule="auto"/>
        <w:ind w:firstLine="313" w:firstLineChars="98"/>
        <w:rPr>
          <w:rFonts w:hint="eastAsia" w:ascii="宋体" w:hAnsi="宋体" w:eastAsia="宋体" w:cs="宋体"/>
          <w:b w:val="0"/>
          <w:color w:val="auto"/>
          <w:highlight w:val="none"/>
        </w:rPr>
      </w:pPr>
      <w:bookmarkStart w:id="101" w:name="_Toc26989"/>
      <w:bookmarkStart w:id="102" w:name="_Toc9275"/>
      <w:bookmarkStart w:id="103" w:name="_Toc80886935"/>
      <w:r>
        <w:rPr>
          <w:rFonts w:hint="eastAsia" w:ascii="宋体" w:hAnsi="宋体" w:eastAsia="宋体" w:cs="宋体"/>
          <w:b w:val="0"/>
          <w:bCs w:val="0"/>
          <w:color w:val="auto"/>
          <w:highlight w:val="none"/>
        </w:rPr>
        <w:t>六</w:t>
      </w:r>
      <w:r>
        <w:rPr>
          <w:rFonts w:hint="eastAsia" w:ascii="宋体" w:hAnsi="宋体" w:eastAsia="宋体" w:cs="宋体"/>
          <w:b w:val="0"/>
          <w:color w:val="auto"/>
          <w:highlight w:val="none"/>
        </w:rPr>
        <w:t>、验收</w:t>
      </w:r>
      <w:bookmarkEnd w:id="100"/>
      <w:bookmarkEnd w:id="101"/>
      <w:bookmarkEnd w:id="102"/>
      <w:bookmarkEnd w:id="103"/>
    </w:p>
    <w:p>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highlight w:val="none"/>
        </w:rPr>
        <w:t>（如有）</w:t>
      </w:r>
      <w:r>
        <w:rPr>
          <w:rFonts w:hint="eastAsia" w:ascii="宋体" w:hAnsi="宋体" w:eastAsia="宋体" w:cs="宋体"/>
          <w:color w:val="auto"/>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ascii="宋体" w:hAnsi="宋体" w:eastAsia="宋体" w:cs="宋体"/>
          <w:b w:val="0"/>
          <w:bCs w:val="0"/>
          <w:color w:val="auto"/>
          <w:highlight w:val="none"/>
        </w:rPr>
      </w:pPr>
      <w:bookmarkStart w:id="104" w:name="_Toc10913"/>
      <w:bookmarkStart w:id="105" w:name="_Toc80886936"/>
      <w:bookmarkStart w:id="106" w:name="_Toc1170"/>
      <w:r>
        <w:rPr>
          <w:rFonts w:hint="eastAsia" w:ascii="宋体" w:hAnsi="宋体" w:eastAsia="宋体" w:cs="宋体"/>
          <w:b w:val="0"/>
          <w:bCs w:val="0"/>
          <w:color w:val="auto"/>
          <w:highlight w:val="none"/>
        </w:rPr>
        <w:t>七、其他事项</w:t>
      </w:r>
      <w:bookmarkEnd w:id="104"/>
      <w:bookmarkEnd w:id="105"/>
      <w:bookmarkEnd w:id="106"/>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33.采购代理服务费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采购代理服务费收费标准及缴费账户详见“供应商须知前附表”。</w:t>
      </w:r>
    </w:p>
    <w:p>
      <w:pPr>
        <w:pStyle w:val="16"/>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例如：本项目预算金额为198万元，计算采购代理收费额如下：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198 － 100 ）万元 ×0.8％＝ 0.784万元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0.784＝ 2.284 万元</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广西线上“政采贷”政策告知函</w:t>
      </w:r>
    </w:p>
    <w:p>
      <w:pPr>
        <w:spacing w:line="580" w:lineRule="exact"/>
        <w:jc w:val="center"/>
        <w:rPr>
          <w:rFonts w:hint="eastAsia" w:ascii="宋体" w:hAnsi="宋体" w:eastAsia="宋体" w:cs="宋体"/>
          <w:color w:val="auto"/>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欢迎贵公司参与广西政府采购活动！</w:t>
      </w:r>
    </w:p>
    <w:p>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相关金融产品和银行业金融机构联系方式，可在中征应收账款融资服务平台查询（网址：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"https://www.crcrfsp.com/" </w:instrText>
      </w:r>
      <w:r>
        <w:rPr>
          <w:rFonts w:hint="eastAsia" w:ascii="宋体" w:hAnsi="宋体" w:eastAsia="宋体" w:cs="宋体"/>
          <w:color w:val="auto"/>
          <w:highlight w:val="none"/>
        </w:rPr>
        <w:fldChar w:fldCharType="separate"/>
      </w:r>
      <w:r>
        <w:rPr>
          <w:rStyle w:val="36"/>
          <w:rFonts w:hint="eastAsia" w:ascii="宋体" w:hAnsi="宋体" w:eastAsia="宋体" w:cs="宋体"/>
          <w:color w:val="auto"/>
          <w:szCs w:val="21"/>
          <w:highlight w:val="none"/>
        </w:rPr>
        <w:t>https://www.crcrfsp.com/</w:t>
      </w:r>
      <w:r>
        <w:rPr>
          <w:rStyle w:val="3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，客服电话：400-009-0001）。</w:t>
      </w:r>
    </w:p>
    <w:p>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line="240" w:lineRule="auto"/>
        <w:jc w:val="center"/>
        <w:rPr>
          <w:rFonts w:hint="eastAsia" w:ascii="宋体" w:hAnsi="宋体" w:eastAsia="宋体" w:cs="宋体"/>
          <w:color w:val="auto"/>
          <w:highlight w:val="none"/>
        </w:rPr>
      </w:pPr>
      <w:bookmarkStart w:id="107" w:name="_Toc8412"/>
      <w:bookmarkStart w:id="108" w:name="_Toc28979"/>
      <w:bookmarkStart w:id="109" w:name="_Toc1088"/>
      <w:bookmarkStart w:id="110" w:name="_Toc3879"/>
      <w:bookmarkStart w:id="111" w:name="_Toc3976"/>
      <w:bookmarkStart w:id="112" w:name="_Toc80886937"/>
      <w:bookmarkStart w:id="113" w:name="_Toc8593"/>
      <w:bookmarkStart w:id="114" w:name="_Toc17511"/>
      <w:r>
        <w:rPr>
          <w:rFonts w:hint="eastAsia" w:ascii="宋体" w:hAnsi="宋体" w:eastAsia="宋体" w:cs="宋体"/>
          <w:color w:val="auto"/>
          <w:highlight w:val="none"/>
        </w:rPr>
        <w:t>第四章  评审程序、评审方法和评审标准</w:t>
      </w:r>
      <w:bookmarkEnd w:id="107"/>
      <w:bookmarkEnd w:id="108"/>
      <w:bookmarkEnd w:id="109"/>
      <w:bookmarkEnd w:id="110"/>
      <w:bookmarkEnd w:id="111"/>
      <w:bookmarkEnd w:id="112"/>
      <w:bookmarkEnd w:id="113"/>
      <w:bookmarkEnd w:id="114"/>
    </w:p>
    <w:p>
      <w:pPr>
        <w:pStyle w:val="4"/>
        <w:jc w:val="center"/>
        <w:rPr>
          <w:rFonts w:hint="eastAsia" w:ascii="宋体" w:hAnsi="宋体" w:eastAsia="宋体" w:cs="宋体"/>
          <w:b w:val="0"/>
          <w:color w:val="auto"/>
          <w:highlight w:val="none"/>
        </w:rPr>
      </w:pPr>
      <w:bookmarkStart w:id="115" w:name="_Toc17424"/>
      <w:bookmarkStart w:id="116" w:name="_Toc11607"/>
      <w:bookmarkStart w:id="117" w:name="_Toc80886938"/>
      <w:r>
        <w:rPr>
          <w:rFonts w:hint="eastAsia" w:ascii="宋体" w:hAnsi="宋体" w:eastAsia="宋体" w:cs="宋体"/>
          <w:b w:val="0"/>
          <w:color w:val="auto"/>
          <w:highlight w:val="none"/>
        </w:rPr>
        <w:t>第一节 评审程序和评审方法</w:t>
      </w:r>
      <w:bookmarkEnd w:id="115"/>
      <w:bookmarkEnd w:id="116"/>
      <w:bookmarkEnd w:id="117"/>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u w:val="none"/>
        </w:rPr>
        <w:t>www.creditchina.gov.cn</w:t>
      </w:r>
      <w:r>
        <w:rPr>
          <w:rStyle w:val="38"/>
          <w:rFonts w:hint="eastAsia" w:ascii="宋体" w:hAnsi="宋体" w:eastAsia="宋体" w:cs="宋体"/>
          <w:color w:val="auto"/>
          <w:highlight w:val="none"/>
          <w:u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highlight w:val="none"/>
          <w:u w:val="none"/>
        </w:rPr>
        <w:t>www.ccgp.gov.cn</w:t>
      </w:r>
      <w:r>
        <w:rPr>
          <w:rStyle w:val="38"/>
          <w:rFonts w:hint="eastAsia" w:ascii="宋体" w:hAnsi="宋体" w:eastAsia="宋体" w:cs="宋体"/>
          <w:color w:val="auto"/>
          <w:highlight w:val="none"/>
          <w:u w:val="non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118"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pPr>
        <w:pStyle w:val="16"/>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15）提交的磋商保证金无效的或者未按照磋商文件的规定提交磋商保证金；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4.6磋商小组应对磋商过程和重要磋商内容进行记录，作为评审报告一部分，磋商小组在记录上签字确认。</w:t>
      </w:r>
      <w:r>
        <w:rPr>
          <w:rFonts w:hint="eastAsia" w:ascii="宋体" w:hAnsi="宋体" w:eastAsia="宋体" w:cs="宋体"/>
          <w:b/>
          <w:color w:val="auto"/>
          <w:highlight w:val="none"/>
        </w:rPr>
        <w:t>主要内容包括：</w:t>
      </w:r>
    </w:p>
    <w:p>
      <w:pPr>
        <w:pStyle w:val="6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pPr>
        <w:pStyle w:val="6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pPr>
        <w:pStyle w:val="6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5.5供应商未在规定时间内提交最后报价的，视同退出磋商，其响应文件按无效处理。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5.8修正后的最后报价出现下列情形的，按无效响应处理：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pStyle w:val="2"/>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sz w:val="21"/>
          <w:szCs w:val="21"/>
          <w:highlight w:val="none"/>
        </w:rPr>
        <w:t>注：如磋商小组要求提供最后报价附件的，需按规定的时间提供。最后报价有时间限制，供应商可参照竞争性磋商文件“第五章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eastAsia="宋体" w:cs="宋体"/>
          <w:b/>
          <w:bCs/>
          <w:color w:val="auto"/>
          <w:sz w:val="21"/>
          <w:szCs w:val="21"/>
          <w:highlight w:val="none"/>
          <w:lang w:val="zh-CN"/>
        </w:rPr>
        <w:t>。</w:t>
      </w:r>
    </w:p>
    <w:p>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pPr>
        <w:pStyle w:val="16"/>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为供应商的最后报价进行政策性扣除后的价格，评审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审报告。符合本章第5.3条情形的，可以推荐2家成交候选供应商。评审得分相同的，</w:t>
      </w:r>
      <w:r>
        <w:rPr>
          <w:rFonts w:hint="eastAsia" w:ascii="宋体" w:hAnsi="宋体" w:eastAsia="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41"/>
        <w:gridCol w:w="662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441"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625"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86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2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w:t>
            </w:r>
          </w:p>
        </w:tc>
        <w:tc>
          <w:tcPr>
            <w:tcW w:w="1441"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报价分</w:t>
            </w:r>
            <w:r>
              <w:rPr>
                <w:rFonts w:hint="eastAsia" w:ascii="宋体" w:hAnsi="宋体" w:eastAsia="宋体" w:cs="宋体"/>
                <w:b/>
                <w:bCs/>
                <w:color w:val="auto"/>
                <w:szCs w:val="21"/>
                <w:highlight w:val="none"/>
              </w:rPr>
              <w:t>（满分10分）</w:t>
            </w:r>
          </w:p>
        </w:tc>
        <w:tc>
          <w:tcPr>
            <w:tcW w:w="6625" w:type="dxa"/>
          </w:tcPr>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1.本项目为专门面向小</w:t>
            </w:r>
            <w:r>
              <w:rPr>
                <w:rFonts w:hint="eastAsia" w:ascii="宋体" w:hAnsi="宋体" w:eastAsia="宋体" w:cs="宋体"/>
                <w:bCs/>
                <w:color w:val="auto"/>
                <w:szCs w:val="21"/>
                <w:highlight w:val="none"/>
                <w:lang w:eastAsia="zh-CN"/>
              </w:rPr>
              <w:t>微</w:t>
            </w:r>
            <w:r>
              <w:rPr>
                <w:rFonts w:hint="eastAsia" w:ascii="宋体" w:hAnsi="宋体" w:eastAsia="宋体" w:cs="宋体"/>
                <w:bCs/>
                <w:color w:val="auto"/>
                <w:szCs w:val="21"/>
                <w:highlight w:val="none"/>
              </w:rPr>
              <w:t>企业采购项目，按照《政府采购促进中小企业发展管理办法》（财库〔2020〕46号）的规定，对供应商最后报价不再执行价格评审优惠的扶持政策。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21"/>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（2）以进入比较与评价环节的最低的评审价为基准价，基准价得分为</w:t>
            </w:r>
            <w:r>
              <w:rPr>
                <w:rFonts w:hint="eastAsia" w:ascii="宋体" w:hAnsi="宋体" w:eastAsia="宋体" w:cs="宋体"/>
                <w:bCs/>
                <w:color w:val="auto"/>
                <w:kern w:val="2"/>
                <w:sz w:val="21"/>
                <w:highlight w:val="none"/>
                <w:u w:val="single"/>
              </w:rPr>
              <w:t>10分</w:t>
            </w:r>
            <w:r>
              <w:rPr>
                <w:rFonts w:hint="eastAsia" w:ascii="宋体" w:hAnsi="宋体" w:eastAsia="宋体" w:cs="宋体"/>
                <w:bCs/>
                <w:color w:val="auto"/>
                <w:kern w:val="2"/>
                <w:sz w:val="21"/>
                <w:highlight w:val="none"/>
              </w:rPr>
              <w:t>。</w:t>
            </w:r>
          </w:p>
          <w:p>
            <w:pPr>
              <w:pStyle w:val="21"/>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（3）价格分计算公式：</w:t>
            </w:r>
          </w:p>
          <w:p>
            <w:pPr>
              <w:pStyle w:val="21"/>
              <w:spacing w:line="360" w:lineRule="auto"/>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报价得分=（基准价/最后报价）×</w:t>
            </w:r>
            <w:r>
              <w:rPr>
                <w:rFonts w:hint="eastAsia" w:ascii="宋体" w:hAnsi="宋体" w:eastAsia="宋体" w:cs="宋体"/>
                <w:bCs/>
                <w:color w:val="auto"/>
                <w:kern w:val="2"/>
                <w:sz w:val="21"/>
                <w:highlight w:val="none"/>
                <w:u w:val="single"/>
              </w:rPr>
              <w:t>10分</w:t>
            </w:r>
          </w:p>
        </w:tc>
        <w:tc>
          <w:tcPr>
            <w:tcW w:w="86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p>
        </w:tc>
        <w:tc>
          <w:tcPr>
            <w:tcW w:w="1441" w:type="dxa"/>
            <w:vAlign w:val="center"/>
          </w:tcPr>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技术分</w:t>
            </w:r>
          </w:p>
        </w:tc>
        <w:tc>
          <w:tcPr>
            <w:tcW w:w="7491" w:type="dxa"/>
            <w:gridSpan w:val="2"/>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26" w:type="dxa"/>
            <w:vAlign w:val="center"/>
          </w:tcPr>
          <w:p>
            <w:pPr>
              <w:adjustRightInd w:val="0"/>
              <w:spacing w:line="360" w:lineRule="auto"/>
              <w:ind w:left="-105" w:leftChars="-50" w:right="-105" w:rightChars="-50"/>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w:t>
            </w:r>
          </w:p>
        </w:tc>
        <w:tc>
          <w:tcPr>
            <w:tcW w:w="1441" w:type="dxa"/>
            <w:vAlign w:val="center"/>
          </w:tcPr>
          <w:p>
            <w:pPr>
              <w:widowControl/>
              <w:spacing w:line="360" w:lineRule="auto"/>
              <w:jc w:val="center"/>
              <w:rPr>
                <w:rFonts w:hint="eastAsia" w:ascii="宋体" w:hAnsi="宋体" w:eastAsia="宋体" w:cs="宋体"/>
                <w:bCs/>
                <w:color w:val="auto"/>
                <w:kern w:val="0"/>
                <w:szCs w:val="21"/>
                <w:highlight w:val="none"/>
              </w:rPr>
            </w:pPr>
            <w:r>
              <w:rPr>
                <w:rFonts w:hint="eastAsia" w:ascii="宋体" w:hAnsi="宋体" w:eastAsia="宋体" w:cs="宋体"/>
                <w:b/>
                <w:bCs/>
                <w:color w:val="auto"/>
                <w:szCs w:val="21"/>
                <w:highlight w:val="none"/>
              </w:rPr>
              <w:t>技术服务方案（22分）</w:t>
            </w:r>
          </w:p>
        </w:tc>
        <w:tc>
          <w:tcPr>
            <w:tcW w:w="6625" w:type="dxa"/>
          </w:tcPr>
          <w:p>
            <w:p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技术服务方案（22分）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一档（0分）：未提供技术服务方案的不得分；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二档（7分）：响应文件中有技术服务方案，且包括系统运维服务方案、系统安全服务保障、系统支撑能力等简单说明，结合本项目的总体要求，针对匹配性、兼容性及稳定性综合评审方案为部分合理的；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档（14分）：响应文件中有较详细的技术服务方案，且包括系统运维服务方案、系统安全服务保障、系统支撑能力等较详细说明，结合本项目的总体要求，针对匹配性、兼容性及稳定性综合评审方案为基本合理的；</w:t>
            </w:r>
          </w:p>
          <w:p>
            <w:pPr>
              <w:widowControl/>
              <w:tabs>
                <w:tab w:val="left" w:pos="2054"/>
                <w:tab w:val="center" w:pos="2514"/>
              </w:tabs>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highlight w:val="none"/>
              </w:rPr>
              <w:t>四档（22分）：响应文件中有详细的技术服务方案，且包括系统运维服务方案、系统安全服务保障、系统支撑能力等详细说明，结合本项目的总体要求，针对匹配性、兼容性及稳定性综合评审方案为合理可行的。</w:t>
            </w:r>
          </w:p>
        </w:tc>
        <w:tc>
          <w:tcPr>
            <w:tcW w:w="866" w:type="dxa"/>
            <w:vAlign w:val="center"/>
          </w:tcPr>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626" w:type="dxa"/>
            <w:vAlign w:val="center"/>
          </w:tcPr>
          <w:p>
            <w:pPr>
              <w:adjustRightInd w:val="0"/>
              <w:spacing w:line="360" w:lineRule="auto"/>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2.2</w:t>
            </w:r>
          </w:p>
        </w:tc>
        <w:tc>
          <w:tcPr>
            <w:tcW w:w="1441" w:type="dxa"/>
            <w:vAlign w:val="center"/>
          </w:tcPr>
          <w:p>
            <w:pPr>
              <w:adjustRightInd w:val="0"/>
              <w:spacing w:line="360" w:lineRule="auto"/>
              <w:jc w:val="center"/>
              <w:textAlignment w:val="baseline"/>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运营服务方案分（20分）</w:t>
            </w:r>
          </w:p>
          <w:p>
            <w:pPr>
              <w:adjustRightInd w:val="0"/>
              <w:spacing w:line="360" w:lineRule="auto"/>
              <w:jc w:val="center"/>
              <w:textAlignment w:val="baseline"/>
              <w:rPr>
                <w:rFonts w:hint="eastAsia" w:ascii="宋体" w:hAnsi="宋体" w:eastAsia="宋体" w:cs="宋体"/>
                <w:b/>
                <w:bCs/>
                <w:color w:val="auto"/>
                <w:szCs w:val="21"/>
                <w:highlight w:val="none"/>
              </w:rPr>
            </w:pPr>
          </w:p>
        </w:tc>
        <w:tc>
          <w:tcPr>
            <w:tcW w:w="6625" w:type="dxa"/>
            <w:vAlign w:val="center"/>
          </w:tcPr>
          <w:p>
            <w:pPr>
              <w:widowControl/>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运营服务方案分（20分）</w:t>
            </w:r>
          </w:p>
          <w:p>
            <w:pPr>
              <w:widowControl/>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一档（0分）：未提供运营服务方案的不得分；</w:t>
            </w:r>
          </w:p>
          <w:p>
            <w:pPr>
              <w:widowControl/>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二档（7分）：响应文件中有运营服务方案，且包括对动态监测、数据报表、违规闭环处理、预警提示等简单说明，结合本项目的实际需求，综合评审方案为部分合理的；</w:t>
            </w:r>
          </w:p>
          <w:p>
            <w:pPr>
              <w:widowControl/>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三档（14分）：响应文件中有较详细的运营服务方案，且包括对动态监测、数据报表、违规闭环处理、预警提示等较详细说明，结合本项目的实际需求，综合评审方案为基本合理的；</w:t>
            </w:r>
          </w:p>
          <w:p>
            <w:pPr>
              <w:widowControl/>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四档（20分）：响应文件中有详细的运营服务方案，且包括对动态监测、数据报表、违规闭环处理、预警提示等详细说明，结合本项目的实际需求，综合评审方案为合理可行的。</w:t>
            </w:r>
          </w:p>
        </w:tc>
        <w:tc>
          <w:tcPr>
            <w:tcW w:w="866" w:type="dxa"/>
            <w:vAlign w:val="center"/>
          </w:tcPr>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26" w:type="dxa"/>
            <w:vAlign w:val="center"/>
          </w:tcPr>
          <w:p>
            <w:pPr>
              <w:adjustRightInd w:val="0"/>
              <w:spacing w:line="360" w:lineRule="auto"/>
              <w:ind w:left="-105" w:leftChars="-50" w:right="-105" w:rightChars="-50"/>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w:t>
            </w:r>
          </w:p>
        </w:tc>
        <w:tc>
          <w:tcPr>
            <w:tcW w:w="1441" w:type="dxa"/>
            <w:vAlign w:val="center"/>
          </w:tcPr>
          <w:p>
            <w:pPr>
              <w:adjustRightInd w:val="0"/>
              <w:spacing w:line="360" w:lineRule="auto"/>
              <w:jc w:val="center"/>
              <w:textAlignment w:val="baseline"/>
              <w:rPr>
                <w:rFonts w:hint="eastAsia" w:ascii="宋体" w:hAnsi="宋体" w:eastAsia="宋体" w:cs="宋体"/>
                <w:bCs/>
                <w:color w:val="auto"/>
                <w:szCs w:val="21"/>
                <w:highlight w:val="none"/>
                <w:lang w:bidi="ar"/>
              </w:rPr>
            </w:pPr>
            <w:r>
              <w:rPr>
                <w:rFonts w:hint="eastAsia" w:ascii="宋体" w:hAnsi="宋体" w:eastAsia="宋体" w:cs="宋体"/>
                <w:b/>
                <w:bCs/>
                <w:color w:val="auto"/>
                <w:highlight w:val="none"/>
              </w:rPr>
              <w:t>管理制度分（18分）</w:t>
            </w:r>
          </w:p>
        </w:tc>
        <w:tc>
          <w:tcPr>
            <w:tcW w:w="6625" w:type="dxa"/>
            <w:vAlign w:val="center"/>
          </w:tcPr>
          <w:p>
            <w:pPr>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管理制度分（18分）</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供应商针对本项目拟定管理制度，内容至少包括:</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①《第三方监测服务平台管理制度》</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②《第三方监测服务系统操作规程》</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③《第三方监测服务信息统计分析制度》</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④《第三方监测服务应急管理制度》</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⑤《第三方监测服务系统数据安全管理制度》</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⑥《第三方监测服务系统运行维护制度》</w:t>
            </w:r>
          </w:p>
          <w:p>
            <w:pPr>
              <w:widowControl/>
              <w:snapToGrid w:val="0"/>
              <w:spacing w:line="360" w:lineRule="auto"/>
              <w:rPr>
                <w:rFonts w:hint="eastAsia" w:ascii="宋体" w:hAnsi="宋体" w:eastAsia="宋体" w:cs="宋体"/>
                <w:bCs/>
                <w:color w:val="auto"/>
                <w:szCs w:val="21"/>
                <w:highlight w:val="none"/>
                <w:lang w:eastAsia="zh-CN" w:bidi="ar"/>
              </w:rPr>
            </w:pPr>
            <w:r>
              <w:rPr>
                <w:rFonts w:hint="eastAsia" w:ascii="宋体" w:hAnsi="宋体" w:eastAsia="宋体" w:cs="宋体"/>
                <w:b/>
                <w:bCs/>
                <w:color w:val="auto"/>
                <w:highlight w:val="none"/>
              </w:rPr>
              <w:t>制度健全完善，针对项目特性可操作性强，符合招标文件要求并满足实际工作需要的得18分；每缺</w:t>
            </w:r>
            <w:r>
              <w:rPr>
                <w:rFonts w:hint="eastAsia" w:ascii="宋体" w:hAnsi="宋体" w:eastAsia="宋体" w:cs="宋体"/>
                <w:b/>
                <w:bCs/>
                <w:color w:val="auto"/>
                <w:highlight w:val="none"/>
                <w:lang w:eastAsia="zh-CN"/>
              </w:rPr>
              <w:t>少</w:t>
            </w:r>
            <w:r>
              <w:rPr>
                <w:rFonts w:hint="eastAsia" w:ascii="宋体" w:hAnsi="宋体" w:eastAsia="宋体" w:cs="宋体"/>
                <w:b/>
                <w:bCs/>
                <w:color w:val="auto"/>
                <w:highlight w:val="none"/>
              </w:rPr>
              <w:t>有一项制度的扣3分,扣完为止</w:t>
            </w:r>
            <w:r>
              <w:rPr>
                <w:rFonts w:hint="eastAsia" w:ascii="宋体" w:hAnsi="宋体" w:eastAsia="宋体" w:cs="宋体"/>
                <w:b/>
                <w:bCs/>
                <w:color w:val="auto"/>
                <w:highlight w:val="none"/>
                <w:lang w:eastAsia="zh-CN"/>
              </w:rPr>
              <w:t>。</w:t>
            </w:r>
          </w:p>
        </w:tc>
        <w:tc>
          <w:tcPr>
            <w:tcW w:w="866" w:type="dxa"/>
            <w:vAlign w:val="center"/>
          </w:tcPr>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626" w:type="dxa"/>
            <w:vAlign w:val="center"/>
          </w:tcPr>
          <w:p>
            <w:pPr>
              <w:adjustRightInd w:val="0"/>
              <w:spacing w:line="360" w:lineRule="auto"/>
              <w:ind w:left="-105" w:leftChars="-50" w:right="-105" w:rightChars="-50"/>
              <w:jc w:val="center"/>
              <w:textAlignment w:val="baseline"/>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w:t>
            </w:r>
          </w:p>
        </w:tc>
        <w:tc>
          <w:tcPr>
            <w:tcW w:w="1441" w:type="dxa"/>
            <w:vAlign w:val="center"/>
          </w:tcPr>
          <w:p>
            <w:pPr>
              <w:adjustRightInd w:val="0"/>
              <w:spacing w:line="360" w:lineRule="auto"/>
              <w:jc w:val="center"/>
              <w:textAlignment w:val="baseline"/>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项目管理能力及电子地图</w:t>
            </w:r>
            <w:r>
              <w:rPr>
                <w:rFonts w:hint="eastAsia" w:ascii="宋体" w:hAnsi="宋体" w:eastAsia="宋体" w:cs="宋体"/>
                <w:b/>
                <w:bCs/>
                <w:color w:val="auto"/>
                <w:highlight w:val="none"/>
              </w:rPr>
              <w:t>分（16分）</w:t>
            </w:r>
          </w:p>
        </w:tc>
        <w:tc>
          <w:tcPr>
            <w:tcW w:w="6625" w:type="dxa"/>
            <w:vAlign w:val="center"/>
          </w:tcPr>
          <w:p>
            <w:pPr>
              <w:spacing w:line="360" w:lineRule="auto"/>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项目管理能力及电子地图</w:t>
            </w:r>
            <w:r>
              <w:rPr>
                <w:rFonts w:hint="eastAsia" w:ascii="宋体" w:hAnsi="宋体" w:eastAsia="宋体" w:cs="宋体"/>
                <w:b/>
                <w:bCs/>
                <w:color w:val="auto"/>
                <w:highlight w:val="none"/>
              </w:rPr>
              <w:t>分（16分）</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（1）项目管理能力（6分）</w:t>
            </w:r>
          </w:p>
          <w:p>
            <w:pPr>
              <w:spacing w:line="360" w:lineRule="auto"/>
              <w:ind w:firstLine="210" w:firstLineChars="100"/>
              <w:jc w:val="left"/>
              <w:rPr>
                <w:rFonts w:hint="eastAsia" w:ascii="宋体" w:hAnsi="宋体" w:eastAsia="宋体" w:cs="宋体"/>
                <w:color w:val="auto"/>
                <w:highlight w:val="none"/>
              </w:rPr>
            </w:pPr>
            <w:r>
              <w:rPr>
                <w:rFonts w:hint="eastAsia" w:ascii="宋体" w:hAnsi="宋体" w:eastAsia="宋体" w:cs="宋体"/>
                <w:color w:val="auto"/>
                <w:szCs w:val="21"/>
                <w:highlight w:val="none"/>
              </w:rPr>
              <w:t>供应商具备履行项目需求所必须的服务团队（包括但不限于项目负责人、研发人员、运维人员、运营管理人员、客服专员等），提供全部团队成员劳动合同复印件得3分；提供全部团队成员学历证明复印件得3分；未提供或提供不全的不得分。</w:t>
            </w:r>
          </w:p>
          <w:p>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（2）电子地图（10分）</w:t>
            </w:r>
          </w:p>
          <w:p>
            <w:pPr>
              <w:widowControl/>
              <w:snapToGrid w:val="0"/>
              <w:spacing w:line="360" w:lineRule="auto"/>
              <w:rPr>
                <w:rFonts w:hint="eastAsia" w:ascii="宋体" w:hAnsi="宋体" w:eastAsia="宋体" w:cs="宋体"/>
                <w:b/>
                <w:bCs/>
                <w:color w:val="auto"/>
                <w:highlight w:val="none"/>
              </w:rPr>
            </w:pPr>
            <w:r>
              <w:rPr>
                <w:rFonts w:hint="eastAsia" w:ascii="宋体" w:hAnsi="宋体" w:eastAsia="宋体" w:cs="宋体"/>
                <w:color w:val="auto"/>
                <w:highlight w:val="none"/>
              </w:rPr>
              <w:t>具有</w:t>
            </w:r>
            <w:r>
              <w:rPr>
                <w:rFonts w:hint="eastAsia" w:ascii="宋体" w:hAnsi="宋体" w:eastAsia="宋体" w:cs="宋体"/>
                <w:color w:val="auto"/>
                <w:szCs w:val="21"/>
                <w:highlight w:val="none"/>
              </w:rPr>
              <w:t>全国路网电子地图，满足分段限速功能得10分；否则不得分。（须提供授权使用证明和付款凭证并加盖竞标人公章。）</w:t>
            </w:r>
          </w:p>
        </w:tc>
        <w:tc>
          <w:tcPr>
            <w:tcW w:w="866" w:type="dxa"/>
            <w:vAlign w:val="center"/>
          </w:tcPr>
          <w:p>
            <w:pPr>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441" w:type="dxa"/>
            <w:vAlign w:val="center"/>
          </w:tcPr>
          <w:p>
            <w:pPr>
              <w:widowControl/>
              <w:spacing w:line="360" w:lineRule="auto"/>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商务分</w:t>
            </w:r>
          </w:p>
        </w:tc>
        <w:tc>
          <w:tcPr>
            <w:tcW w:w="7491" w:type="dxa"/>
            <w:gridSpan w:val="2"/>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2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3.1</w:t>
            </w:r>
          </w:p>
        </w:tc>
        <w:tc>
          <w:tcPr>
            <w:tcW w:w="1441" w:type="dxa"/>
            <w:vAlign w:val="center"/>
          </w:tcPr>
          <w:p>
            <w:pPr>
              <w:widowControl/>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项目人员资质分（4分）</w:t>
            </w:r>
          </w:p>
        </w:tc>
        <w:tc>
          <w:tcPr>
            <w:tcW w:w="6625" w:type="dxa"/>
            <w:vAlign w:val="center"/>
          </w:tcPr>
          <w:p>
            <w:pPr>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highlight w:val="none"/>
              </w:rPr>
              <w:t>供应商拟投入项目团队组成</w:t>
            </w:r>
            <w:r>
              <w:rPr>
                <w:rFonts w:hint="eastAsia" w:ascii="宋体" w:hAnsi="宋体" w:eastAsia="宋体" w:cs="宋体"/>
                <w:color w:val="auto"/>
                <w:szCs w:val="21"/>
                <w:highlight w:val="none"/>
              </w:rPr>
              <w:t>员中至少有2人具有PMP（项目管理专业人士资格认证）的，得4分。（须提供PMP证书复印件及证书对应成员的劳动合同并加盖公章。）</w:t>
            </w:r>
          </w:p>
        </w:tc>
        <w:tc>
          <w:tcPr>
            <w:tcW w:w="866" w:type="dxa"/>
            <w:vAlign w:val="center"/>
          </w:tcPr>
          <w:p>
            <w:pPr>
              <w:pStyle w:val="6"/>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26" w:type="dxa"/>
            <w:vAlign w:val="center"/>
          </w:tcPr>
          <w:p>
            <w:pPr>
              <w:widowControl/>
              <w:spacing w:line="360"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w:t>
            </w:r>
          </w:p>
        </w:tc>
        <w:tc>
          <w:tcPr>
            <w:tcW w:w="1441" w:type="dxa"/>
            <w:vAlign w:val="center"/>
          </w:tcPr>
          <w:p>
            <w:pPr>
              <w:widowControl/>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业绩（10分）</w:t>
            </w:r>
          </w:p>
        </w:tc>
        <w:tc>
          <w:tcPr>
            <w:tcW w:w="6625" w:type="dxa"/>
          </w:tcPr>
          <w:p>
            <w:pPr>
              <w:pStyle w:val="28"/>
              <w:spacing w:line="360" w:lineRule="auto"/>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供应商自2021年1月1日以来完成过类似项目的，每提供一个得2分，满分10分。（（须提供中标通知书及合同复印件并加盖竞标人公章））</w:t>
            </w:r>
          </w:p>
        </w:tc>
        <w:tc>
          <w:tcPr>
            <w:tcW w:w="866" w:type="dxa"/>
            <w:vAlign w:val="center"/>
          </w:tcPr>
          <w:p>
            <w:pPr>
              <w:widowControl/>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92" w:type="dxa"/>
            <w:gridSpan w:val="3"/>
          </w:tcPr>
          <w:p>
            <w:pPr>
              <w:widowControl/>
              <w:spacing w:line="360" w:lineRule="auto"/>
              <w:jc w:val="left"/>
              <w:rPr>
                <w:rFonts w:hint="eastAsia" w:ascii="宋体" w:hAnsi="宋体" w:eastAsia="宋体" w:cs="宋体"/>
                <w:b/>
                <w:bCs/>
                <w:color w:val="auto"/>
                <w:kern w:val="0"/>
                <w:szCs w:val="21"/>
                <w:highlight w:val="none"/>
              </w:rPr>
            </w:pPr>
            <w:r>
              <w:rPr>
                <w:rFonts w:hint="eastAsia" w:ascii="宋体" w:hAnsi="宋体" w:eastAsia="宋体" w:cs="宋体"/>
                <w:b/>
                <w:bCs/>
                <w:color w:val="auto"/>
                <w:highlight w:val="none"/>
              </w:rPr>
              <w:t>总得分＝1＋2＋3</w:t>
            </w:r>
          </w:p>
        </w:tc>
        <w:tc>
          <w:tcPr>
            <w:tcW w:w="866" w:type="dxa"/>
          </w:tcPr>
          <w:p>
            <w:pPr>
              <w:widowControl/>
              <w:spacing w:line="360" w:lineRule="auto"/>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100分</w:t>
            </w:r>
          </w:p>
        </w:tc>
      </w:tr>
    </w:tbl>
    <w:p>
      <w:pPr>
        <w:spacing w:line="360" w:lineRule="auto"/>
        <w:ind w:firstLine="420" w:firstLineChars="200"/>
        <w:rPr>
          <w:rFonts w:hint="eastAsia" w:ascii="宋体" w:hAnsi="宋体" w:eastAsia="宋体" w:cs="宋体"/>
          <w:color w:val="auto"/>
          <w:highlight w:val="none"/>
        </w:rPr>
      </w:pPr>
      <w:bookmarkStart w:id="119" w:name="_Toc80205935"/>
      <w:r>
        <w:rPr>
          <w:rFonts w:hint="eastAsia" w:ascii="宋体" w:hAnsi="宋体" w:eastAsia="宋体" w:cs="宋体"/>
          <w:color w:val="auto"/>
          <w:highlight w:val="none"/>
        </w:rPr>
        <w:t>7.2终止竞争性磋商采购活动</w:t>
      </w:r>
    </w:p>
    <w:p>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hint="eastAsia" w:ascii="宋体" w:hAnsi="宋体" w:eastAsia="宋体" w:cs="宋体"/>
          <w:b w:val="0"/>
          <w:color w:val="auto"/>
          <w:highlight w:val="none"/>
        </w:rPr>
      </w:pPr>
      <w:bookmarkStart w:id="120" w:name="_Toc11595"/>
      <w:bookmarkStart w:id="121" w:name="_Toc22545"/>
      <w:bookmarkStart w:id="122" w:name="_Toc80886939"/>
      <w:r>
        <w:rPr>
          <w:rFonts w:hint="eastAsia" w:ascii="宋体" w:hAnsi="宋体" w:eastAsia="宋体" w:cs="宋体"/>
          <w:b w:val="0"/>
          <w:color w:val="auto"/>
          <w:highlight w:val="none"/>
        </w:rPr>
        <w:t>第二节 评审报告</w:t>
      </w:r>
      <w:bookmarkEnd w:id="119"/>
      <w:bookmarkEnd w:id="120"/>
      <w:bookmarkEnd w:id="121"/>
      <w:bookmarkEnd w:id="122"/>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pPr>
        <w:pStyle w:val="6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67"/>
        <w:spacing w:before="0"/>
        <w:ind w:firstLine="420"/>
        <w:rPr>
          <w:rFonts w:hint="eastAsia" w:ascii="宋体" w:hAnsi="宋体" w:eastAsia="宋体" w:cs="宋体"/>
          <w:color w:val="auto"/>
          <w:kern w:val="2"/>
          <w:sz w:val="21"/>
          <w:szCs w:val="24"/>
          <w:highlight w:val="none"/>
        </w:rPr>
      </w:pPr>
    </w:p>
    <w:p>
      <w:pPr>
        <w:pStyle w:val="4"/>
        <w:spacing w:before="0" w:after="0" w:line="360" w:lineRule="auto"/>
        <w:ind w:firstLine="640" w:firstLineChars="200"/>
        <w:jc w:val="center"/>
        <w:rPr>
          <w:rFonts w:hint="eastAsia" w:ascii="宋体" w:hAnsi="宋体" w:eastAsia="宋体" w:cs="宋体"/>
          <w:b w:val="0"/>
          <w:color w:val="auto"/>
          <w:highlight w:val="none"/>
        </w:rPr>
      </w:pPr>
      <w:bookmarkStart w:id="123" w:name="_Toc20045"/>
      <w:bookmarkStart w:id="124" w:name="_Toc80205936"/>
      <w:bookmarkStart w:id="125" w:name="_Toc80886940"/>
      <w:bookmarkStart w:id="126" w:name="_Toc2025"/>
      <w:r>
        <w:rPr>
          <w:rFonts w:hint="eastAsia" w:ascii="宋体" w:hAnsi="宋体" w:eastAsia="宋体" w:cs="宋体"/>
          <w:b w:val="0"/>
          <w:color w:val="auto"/>
          <w:highlight w:val="none"/>
        </w:rPr>
        <w:t>第三节 评审过程的保密与录像</w:t>
      </w:r>
      <w:bookmarkEnd w:id="123"/>
      <w:bookmarkEnd w:id="124"/>
      <w:bookmarkEnd w:id="125"/>
      <w:bookmarkEnd w:id="126"/>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响应文件评审和比较、中标成交供应商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pPr>
        <w:pStyle w:val="4"/>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jc w:val="center"/>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pStyle w:val="4"/>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sectPr>
          <w:headerReference r:id="rId11" w:type="default"/>
          <w:footerReference r:id="rId12" w:type="default"/>
          <w:pgSz w:w="11911" w:h="16838"/>
          <w:pgMar w:top="1134" w:right="1134" w:bottom="1134" w:left="1134" w:header="720" w:footer="720" w:gutter="0"/>
          <w:cols w:space="720" w:num="1"/>
        </w:sectPr>
      </w:pPr>
      <w:bookmarkStart w:id="127" w:name="_Toc17404"/>
      <w:bookmarkStart w:id="128" w:name="_Toc5005"/>
      <w:bookmarkStart w:id="129" w:name="_Toc80886941"/>
      <w:bookmarkStart w:id="130" w:name="_Toc12890"/>
      <w:bookmarkStart w:id="131" w:name="_Toc27282"/>
      <w:bookmarkStart w:id="132" w:name="_Toc7776"/>
      <w:bookmarkStart w:id="133" w:name="_Toc22302"/>
      <w:bookmarkStart w:id="134" w:name="_Toc26272"/>
      <w:r>
        <w:rPr>
          <w:rFonts w:hint="eastAsia" w:ascii="宋体" w:hAnsi="宋体" w:eastAsia="宋体" w:cs="宋体"/>
          <w:color w:val="auto"/>
          <w:highlight w:val="none"/>
        </w:rPr>
        <w:t>第五章 响应文件格式</w:t>
      </w:r>
      <w:bookmarkEnd w:id="127"/>
      <w:bookmarkEnd w:id="128"/>
      <w:bookmarkEnd w:id="129"/>
      <w:bookmarkEnd w:id="130"/>
      <w:bookmarkEnd w:id="131"/>
      <w:bookmarkEnd w:id="132"/>
      <w:bookmarkEnd w:id="133"/>
      <w:bookmarkEnd w:id="134"/>
    </w:p>
    <w:p>
      <w:pPr>
        <w:pStyle w:val="4"/>
        <w:jc w:val="center"/>
        <w:rPr>
          <w:rFonts w:hint="eastAsia" w:ascii="宋体" w:hAnsi="宋体" w:eastAsia="宋体" w:cs="宋体"/>
          <w:bCs w:val="0"/>
          <w:color w:val="auto"/>
          <w:highlight w:val="none"/>
        </w:rPr>
      </w:pPr>
      <w:bookmarkStart w:id="135" w:name="_Toc22245"/>
      <w:bookmarkStart w:id="136" w:name="_Toc80205939"/>
      <w:bookmarkStart w:id="137" w:name="_Toc12994"/>
      <w:bookmarkStart w:id="138" w:name="_Toc80886943"/>
      <w:r>
        <w:rPr>
          <w:rFonts w:hint="eastAsia" w:ascii="宋体" w:hAnsi="宋体" w:eastAsia="宋体" w:cs="宋体"/>
          <w:bCs w:val="0"/>
          <w:color w:val="auto"/>
          <w:highlight w:val="none"/>
        </w:rPr>
        <w:t>第一节 资格证明文件格式</w:t>
      </w:r>
      <w:bookmarkEnd w:id="135"/>
      <w:bookmarkEnd w:id="136"/>
      <w:bookmarkEnd w:id="137"/>
      <w:bookmarkEnd w:id="138"/>
    </w:p>
    <w:p>
      <w:pPr>
        <w:snapToGrid w:val="0"/>
        <w:spacing w:before="120" w:beforeLines="50" w:after="50"/>
        <w:jc w:val="lef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1.资格证明文件封面的格式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rPr>
        <w:t>：</w:t>
      </w:r>
      <w:r>
        <w:rPr>
          <w:rFonts w:hint="eastAsia" w:ascii="宋体" w:hAnsi="宋体" w:eastAsia="宋体" w:cs="宋体"/>
          <w:color w:val="auto"/>
          <w:sz w:val="24"/>
          <w:highlight w:val="none"/>
        </w:rPr>
        <w:t xml:space="preserve">                                      </w:t>
      </w:r>
    </w:p>
    <w:p>
      <w:pPr>
        <w:snapToGrid w:val="0"/>
        <w:spacing w:before="120" w:beforeLines="50" w:after="50"/>
        <w:ind w:firstLine="6930" w:firstLineChars="33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lef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根据竞争性磋商文件规定及供应商提供的材料自行编写目录（部分格式后附）。</w:t>
      </w:r>
    </w:p>
    <w:p>
      <w:pPr>
        <w:spacing w:line="320" w:lineRule="exact"/>
        <w:jc w:val="left"/>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3.声明函的格式：</w:t>
      </w:r>
    </w:p>
    <w:p>
      <w:pPr>
        <w:spacing w:line="320" w:lineRule="exact"/>
        <w:jc w:val="center"/>
        <w:rPr>
          <w:rFonts w:hint="eastAsia" w:ascii="宋体" w:hAnsi="宋体" w:eastAsia="宋体" w:cs="宋体"/>
          <w:b/>
          <w:color w:val="auto"/>
          <w:sz w:val="32"/>
          <w:szCs w:val="32"/>
          <w:highlight w:val="none"/>
        </w:rPr>
      </w:pPr>
    </w:p>
    <w:p>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声明函</w:t>
      </w:r>
    </w:p>
    <w:p>
      <w:pPr>
        <w:spacing w:line="320" w:lineRule="exact"/>
        <w:jc w:val="center"/>
        <w:rPr>
          <w:rFonts w:hint="eastAsia" w:ascii="宋体" w:hAnsi="宋体" w:eastAsia="宋体" w:cs="宋体"/>
          <w:color w:val="auto"/>
          <w:sz w:val="24"/>
          <w:szCs w:val="20"/>
          <w:highlight w:val="none"/>
        </w:rPr>
      </w:pPr>
    </w:p>
    <w:p>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（2）已详细审查磋商文件的全部内容，包括澄清或者更正公告（如有）；</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19"/>
        <w:tabs>
          <w:tab w:val="left" w:pos="939"/>
        </w:tabs>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pPr>
        <w:pStyle w:val="19"/>
        <w:tabs>
          <w:tab w:val="left" w:pos="939"/>
        </w:tabs>
        <w:spacing w:line="440" w:lineRule="exact"/>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19"/>
        <w:tabs>
          <w:tab w:val="left" w:pos="939"/>
        </w:tabs>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color w:val="auto"/>
          <w:kern w:val="0"/>
          <w:sz w:val="24"/>
          <w:highlight w:val="none"/>
          <w:lang w:val="zh-CN"/>
        </w:rPr>
      </w:pPr>
    </w:p>
    <w:p>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4.</w:t>
      </w:r>
      <w:r>
        <w:rPr>
          <w:rFonts w:hint="eastAsia" w:ascii="宋体" w:hAnsi="宋体" w:eastAsia="宋体" w:cs="宋体"/>
          <w:b/>
          <w:color w:val="auto"/>
          <w:sz w:val="28"/>
          <w:szCs w:val="28"/>
          <w:highlight w:val="none"/>
        </w:rPr>
        <w:t>供应商直接控股股东信息表的格式</w:t>
      </w:r>
      <w:r>
        <w:rPr>
          <w:rFonts w:hint="eastAsia" w:ascii="宋体" w:hAnsi="宋体" w:eastAsia="宋体" w:cs="宋体"/>
          <w:color w:val="auto"/>
          <w:sz w:val="28"/>
          <w:szCs w:val="28"/>
          <w:highlight w:val="none"/>
        </w:rPr>
        <w:t>：</w:t>
      </w:r>
    </w:p>
    <w:p>
      <w:pPr>
        <w:snapToGrid w:val="0"/>
        <w:jc w:val="left"/>
        <w:rPr>
          <w:rFonts w:hint="eastAsia" w:ascii="宋体" w:hAnsi="宋体" w:eastAsia="宋体" w:cs="宋体"/>
          <w:color w:val="auto"/>
          <w:sz w:val="18"/>
          <w:szCs w:val="18"/>
          <w:highlight w:val="none"/>
        </w:rPr>
      </w:pPr>
    </w:p>
    <w:p>
      <w:pPr>
        <w:snapToGrid w:val="0"/>
        <w:spacing w:before="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pPr>
        <w:snapToGrid w:val="0"/>
        <w:spacing w:before="50" w:after="120" w:afterLines="50"/>
        <w:ind w:firstLine="180" w:firstLineChars="100"/>
        <w:jc w:val="left"/>
        <w:rPr>
          <w:rFonts w:hint="eastAsia" w:ascii="宋体" w:hAnsi="宋体" w:eastAsia="宋体" w:cs="宋体"/>
          <w:color w:val="auto"/>
          <w:sz w:val="18"/>
          <w:szCs w:val="18"/>
          <w:highlight w:val="none"/>
        </w:rPr>
      </w:pPr>
    </w:p>
    <w:p>
      <w:pPr>
        <w:snapToGrid w:val="0"/>
        <w:spacing w:before="50" w:after="240"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5.</w:t>
      </w:r>
      <w:r>
        <w:rPr>
          <w:rFonts w:hint="eastAsia" w:ascii="宋体" w:hAnsi="宋体" w:eastAsia="宋体" w:cs="宋体"/>
          <w:b/>
          <w:color w:val="auto"/>
          <w:sz w:val="28"/>
          <w:szCs w:val="28"/>
          <w:highlight w:val="none"/>
        </w:rPr>
        <w:t>供应商直接管理关系信息表的格式</w:t>
      </w:r>
      <w:r>
        <w:rPr>
          <w:rFonts w:hint="eastAsia" w:ascii="宋体" w:hAnsi="宋体" w:eastAsia="宋体" w:cs="宋体"/>
          <w:color w:val="auto"/>
          <w:sz w:val="28"/>
          <w:szCs w:val="28"/>
          <w:highlight w:val="none"/>
        </w:rPr>
        <w:t>：</w:t>
      </w:r>
    </w:p>
    <w:p>
      <w:pPr>
        <w:snapToGrid w:val="0"/>
        <w:jc w:val="left"/>
        <w:rPr>
          <w:rFonts w:hint="eastAsia" w:ascii="宋体" w:hAnsi="宋体" w:eastAsia="宋体" w:cs="宋体"/>
          <w:color w:val="auto"/>
          <w:sz w:val="18"/>
          <w:szCs w:val="18"/>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color w:val="auto"/>
                <w:kern w:val="0"/>
                <w:sz w:val="24"/>
                <w:highlight w:val="none"/>
              </w:rPr>
            </w:pPr>
          </w:p>
        </w:tc>
      </w:tr>
    </w:tbl>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pPr>
        <w:snapToGrid w:val="0"/>
        <w:spacing w:before="50" w:after="120" w:afterLines="50"/>
        <w:ind w:firstLine="180" w:firstLineChars="100"/>
        <w:jc w:val="left"/>
        <w:rPr>
          <w:rFonts w:hint="eastAsia" w:ascii="宋体" w:hAnsi="宋体" w:eastAsia="宋体" w:cs="宋体"/>
          <w:color w:val="auto"/>
          <w:sz w:val="18"/>
          <w:szCs w:val="18"/>
          <w:highlight w:val="none"/>
        </w:rPr>
      </w:pPr>
    </w:p>
    <w:p>
      <w:pPr>
        <w:snapToGrid w:val="0"/>
        <w:spacing w:before="50" w:after="240"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pPr>
        <w:pStyle w:val="4"/>
        <w:jc w:val="center"/>
        <w:rPr>
          <w:rFonts w:hint="eastAsia" w:ascii="宋体" w:hAnsi="宋体" w:eastAsia="宋体" w:cs="宋体"/>
          <w:b w:val="0"/>
          <w:color w:val="auto"/>
          <w:highlight w:val="none"/>
        </w:rPr>
      </w:pPr>
      <w:bookmarkStart w:id="139" w:name="_Toc80205940"/>
      <w:bookmarkStart w:id="140" w:name="_Toc20562"/>
      <w:bookmarkStart w:id="141" w:name="_Toc15951"/>
      <w:bookmarkStart w:id="142" w:name="_Toc80886944"/>
      <w:r>
        <w:rPr>
          <w:rFonts w:hint="eastAsia" w:ascii="宋体" w:hAnsi="宋体" w:eastAsia="宋体" w:cs="宋体"/>
          <w:b w:val="0"/>
          <w:bCs w:val="0"/>
          <w:color w:val="auto"/>
          <w:highlight w:val="none"/>
        </w:rPr>
        <w:t xml:space="preserve">第二节 </w:t>
      </w:r>
      <w:r>
        <w:rPr>
          <w:rFonts w:hint="eastAsia" w:ascii="宋体" w:hAnsi="宋体" w:eastAsia="宋体" w:cs="宋体"/>
          <w:b w:val="0"/>
          <w:color w:val="auto"/>
          <w:highlight w:val="none"/>
        </w:rPr>
        <w:t>商务技术文件格式</w:t>
      </w:r>
      <w:bookmarkEnd w:id="139"/>
      <w:bookmarkEnd w:id="140"/>
      <w:bookmarkEnd w:id="141"/>
      <w:bookmarkEnd w:id="142"/>
    </w:p>
    <w:p>
      <w:pPr>
        <w:snapToGrid w:val="0"/>
        <w:spacing w:before="120"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1.商务技术文件封面的格式（参照此格式自拟）：</w:t>
      </w: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120" w:beforeLines="50" w:after="50"/>
        <w:ind w:firstLine="6720" w:firstLineChars="32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1" w:h="16838"/>
          <w:pgMar w:top="1134" w:right="1134" w:bottom="1134" w:left="1134" w:header="720" w:footer="720" w:gutter="0"/>
          <w:cols w:space="720" w:num="1"/>
        </w:sectPr>
      </w:pPr>
    </w:p>
    <w:p>
      <w:pPr>
        <w:spacing w:line="360" w:lineRule="auto"/>
        <w:ind w:right="420"/>
        <w:rPr>
          <w:rFonts w:hint="eastAsia" w:ascii="宋体" w:hAnsi="宋体" w:eastAsia="宋体" w:cs="宋体"/>
          <w:color w:val="auto"/>
          <w:sz w:val="24"/>
          <w:szCs w:val="20"/>
          <w:highlight w:val="none"/>
        </w:rPr>
      </w:pPr>
      <w:r>
        <w:rPr>
          <w:rFonts w:hint="eastAsia" w:ascii="宋体" w:hAnsi="宋体" w:eastAsia="宋体" w:cs="宋体"/>
          <w:b/>
          <w:bCs/>
          <w:color w:val="auto"/>
          <w:sz w:val="28"/>
          <w:szCs w:val="28"/>
          <w:highlight w:val="none"/>
        </w:rPr>
        <w:t>2.商务技术文件目录</w:t>
      </w:r>
    </w:p>
    <w:p>
      <w:pPr>
        <w:spacing w:line="400" w:lineRule="exact"/>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rPr>
        <w:t xml:space="preserve">  根据竞争性磋商文件规定及供应商提供的材料自行编写目录（部分格式后附）。</w:t>
      </w:r>
    </w:p>
    <w:p>
      <w:pPr>
        <w:spacing w:line="5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pPr>
        <w:spacing w:line="520" w:lineRule="exact"/>
        <w:ind w:firstLine="640" w:firstLineChars="200"/>
        <w:rPr>
          <w:rFonts w:hint="eastAsia" w:ascii="宋体" w:hAnsi="宋体" w:eastAsia="宋体" w:cs="宋体"/>
          <w:color w:val="auto"/>
          <w:sz w:val="32"/>
          <w:szCs w:val="32"/>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1.不同供应商的响应文件由同一单位或者个人编制；或不同供应商报名的IP地址一致的；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pStyle w:val="16"/>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pStyle w:val="2"/>
        <w:rPr>
          <w:rFonts w:hint="eastAsia" w:ascii="宋体" w:hAnsi="宋体" w:eastAsia="宋体" w:cs="宋体"/>
          <w:b/>
          <w:bCs/>
          <w:color w:val="auto"/>
          <w:sz w:val="24"/>
          <w:highlight w:val="none"/>
        </w:rPr>
      </w:pPr>
    </w:p>
    <w:p>
      <w:pPr>
        <w:pStyle w:val="2"/>
        <w:rPr>
          <w:rFonts w:hint="eastAsia" w:ascii="宋体" w:hAnsi="宋体" w:eastAsia="宋体" w:cs="宋体"/>
          <w:b/>
          <w:bCs/>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spacing w:line="480" w:lineRule="auto"/>
        <w:ind w:firstLine="5040" w:firstLineChars="2100"/>
        <w:jc w:val="left"/>
        <w:rPr>
          <w:rFonts w:hint="eastAsia" w:ascii="宋体" w:hAnsi="宋体" w:eastAsia="宋体" w:cs="宋体"/>
          <w:b/>
          <w:bCs/>
          <w:color w:val="auto"/>
          <w:sz w:val="28"/>
          <w:szCs w:val="28"/>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28"/>
          <w:szCs w:val="28"/>
          <w:highlight w:val="none"/>
        </w:rPr>
        <w:t>4.法定代表人身份证明的格式：</w:t>
      </w: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法定代表人身份证明</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1.自然人竞标的无需提供，联合体竞标的只需牵头人出具。</w:t>
      </w:r>
    </w:p>
    <w:p>
      <w:pPr>
        <w:spacing w:line="360" w:lineRule="auto"/>
        <w:ind w:firstLine="420" w:firstLineChars="200"/>
        <w:contextualSpacing/>
        <w:jc w:val="left"/>
        <w:rPr>
          <w:rFonts w:hint="eastAsia" w:ascii="宋体" w:hAnsi="宋体" w:eastAsia="宋体" w:cs="宋体"/>
          <w:color w:val="auto"/>
          <w:szCs w:val="21"/>
          <w:highlight w:val="none"/>
        </w:rPr>
        <w:sectPr>
          <w:pgSz w:w="11911" w:h="16838"/>
          <w:pgMar w:top="1134" w:right="1134" w:bottom="1134" w:left="1134" w:header="720" w:footer="720" w:gutter="0"/>
          <w:cols w:space="720" w:num="1"/>
        </w:sect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法定代表人身份证复印件粘帖处（正、反面）</w:t>
            </w:r>
          </w:p>
        </w:tc>
      </w:tr>
    </w:tbl>
    <w:p>
      <w:pPr>
        <w:adjustRightInd w:val="0"/>
        <w:snapToGrid w:val="0"/>
        <w:spacing w:line="300" w:lineRule="auto"/>
        <w:jc w:val="left"/>
        <w:rPr>
          <w:rFonts w:hint="eastAsia" w:ascii="宋体" w:hAnsi="宋体" w:eastAsia="宋体" w:cs="宋体"/>
          <w:b/>
          <w:color w:val="auto"/>
          <w:szCs w:val="21"/>
          <w:highlight w:val="none"/>
        </w:rPr>
      </w:pPr>
    </w:p>
    <w:p>
      <w:pPr>
        <w:spacing w:line="520" w:lineRule="exact"/>
        <w:ind w:firstLine="880"/>
        <w:jc w:val="left"/>
        <w:rPr>
          <w:rFonts w:hint="eastAsia" w:ascii="宋体" w:hAnsi="宋体" w:eastAsia="宋体" w:cs="宋体"/>
          <w:color w:val="auto"/>
          <w:szCs w:val="21"/>
          <w:highlight w:val="none"/>
        </w:rPr>
      </w:pPr>
    </w:p>
    <w:p>
      <w:pPr>
        <w:spacing w:line="520" w:lineRule="exact"/>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bCs/>
          <w:color w:val="auto"/>
          <w:sz w:val="28"/>
          <w:szCs w:val="28"/>
          <w:highlight w:val="none"/>
        </w:rPr>
        <w:t>5.法定代表人授权委托书的格式：</w:t>
      </w:r>
    </w:p>
    <w:p>
      <w:pPr>
        <w:spacing w:line="50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授权委托书</w:t>
      </w:r>
    </w:p>
    <w:p>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（如有委托时）</w:t>
      </w:r>
    </w:p>
    <w:p>
      <w:pPr>
        <w:spacing w:line="520" w:lineRule="exact"/>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法定代表人和委托代理人必须在授权委托书上签字，</w:t>
      </w:r>
      <w:r>
        <w:rPr>
          <w:rFonts w:hint="eastAsia" w:ascii="宋体" w:hAnsi="宋体" w:eastAsia="宋体" w:cs="宋体"/>
          <w:b/>
          <w:color w:val="auto"/>
          <w:szCs w:val="21"/>
          <w:highlight w:val="none"/>
        </w:rPr>
        <w:t>否则其响应文件按无效响应处理。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法人、其他组织竞标时“我方”是指“我单位”，自然人竞标时“我方”是指“本人”。</w:t>
      </w:r>
    </w:p>
    <w:p>
      <w:pPr>
        <w:widowControl/>
        <w:shd w:val="clear" w:color="auto" w:fill="FFFFFF"/>
        <w:spacing w:line="480" w:lineRule="atLeas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、供应商认为有必要提供的其他文件 </w:t>
      </w:r>
    </w:p>
    <w:p>
      <w:pPr>
        <w:shd w:val="clear" w:color="auto" w:fill="FFFFFF"/>
        <w:spacing w:line="520" w:lineRule="exact"/>
        <w:jc w:val="center"/>
        <w:rPr>
          <w:rFonts w:hint="eastAsia" w:ascii="宋体" w:hAnsi="宋体" w:eastAsia="宋体" w:cs="宋体"/>
          <w:color w:val="auto"/>
          <w:sz w:val="24"/>
          <w:highlight w:val="none"/>
        </w:rPr>
      </w:pPr>
    </w:p>
    <w:p>
      <w:pPr>
        <w:spacing w:line="520" w:lineRule="exact"/>
        <w:jc w:val="center"/>
        <w:rPr>
          <w:rFonts w:hint="eastAsia" w:ascii="宋体" w:hAnsi="宋体" w:eastAsia="宋体" w:cs="宋体"/>
          <w:color w:val="auto"/>
          <w:sz w:val="24"/>
          <w:highlight w:val="none"/>
        </w:rPr>
      </w:pPr>
    </w:p>
    <w:p>
      <w:pPr>
        <w:spacing w:line="520" w:lineRule="exact"/>
        <w:jc w:val="left"/>
        <w:rPr>
          <w:rFonts w:hint="eastAsia" w:ascii="宋体" w:hAnsi="宋体" w:eastAsia="宋体" w:cs="宋体"/>
          <w:color w:val="auto"/>
          <w:sz w:val="32"/>
          <w:szCs w:val="32"/>
          <w:highlight w:val="none"/>
        </w:rPr>
      </w:pPr>
    </w:p>
    <w:p>
      <w:pPr>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rPr>
        <w:t>.商务条款偏离表的格式：</w:t>
      </w:r>
    </w:p>
    <w:p>
      <w:pPr>
        <w:pStyle w:val="2"/>
        <w:rPr>
          <w:rFonts w:hint="eastAsia" w:ascii="宋体" w:hAnsi="宋体" w:eastAsia="宋体" w:cs="宋体"/>
          <w:color w:val="auto"/>
          <w:highlight w:val="none"/>
        </w:rPr>
      </w:pP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pPr>
        <w:spacing w:line="520" w:lineRule="exact"/>
        <w:rPr>
          <w:rFonts w:hint="eastAsia" w:ascii="宋体" w:hAnsi="宋体" w:eastAsia="宋体" w:cs="宋体"/>
          <w:color w:val="auto"/>
          <w:sz w:val="32"/>
          <w:szCs w:val="32"/>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pStyle w:val="17"/>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pPr>
        <w:pStyle w:val="17"/>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w:t>
      </w:r>
      <w:r>
        <w:rPr>
          <w:rFonts w:hint="eastAsia" w:ascii="宋体" w:hAnsi="宋体" w:eastAsia="宋体" w:cs="宋体"/>
          <w:b/>
          <w:bCs/>
          <w:color w:val="auto"/>
          <w:kern w:val="0"/>
          <w:sz w:val="24"/>
          <w:highlight w:val="none"/>
        </w:rPr>
        <w:t>否则按竞标无效处理。</w:t>
      </w:r>
    </w:p>
    <w:p>
      <w:pPr>
        <w:spacing w:line="400" w:lineRule="exact"/>
        <w:ind w:firstLine="480" w:firstLineChars="200"/>
        <w:contextualSpacing/>
        <w:rPr>
          <w:rFonts w:hint="eastAsia" w:ascii="宋体" w:hAnsi="宋体" w:eastAsia="宋体" w:cs="宋体"/>
          <w:color w:val="auto"/>
          <w:kern w:val="0"/>
          <w:sz w:val="24"/>
          <w:highlight w:val="none"/>
        </w:rPr>
      </w:pP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供应商名称（盖公章）：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pStyle w:val="2"/>
        <w:rPr>
          <w:rFonts w:hint="eastAsia" w:ascii="宋体" w:hAnsi="宋体" w:eastAsia="宋体" w:cs="宋体"/>
          <w:color w:val="auto"/>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pStyle w:val="26"/>
        <w:snapToGrid w:val="0"/>
        <w:ind w:left="562" w:hanging="562"/>
        <w:rPr>
          <w:rFonts w:hint="eastAsia" w:ascii="宋体" w:hAnsi="宋体" w:eastAsia="宋体" w:cs="宋体"/>
          <w:i/>
          <w:iCs/>
          <w:color w:val="auto"/>
          <w:sz w:val="24"/>
          <w:highlight w:val="none"/>
        </w:rPr>
      </w:pP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p>
    <w:p>
      <w:pPr>
        <w:spacing w:line="360" w:lineRule="auto"/>
        <w:ind w:firstLine="2880" w:firstLineChars="900"/>
        <w:contextualSpacing/>
        <w:rPr>
          <w:rFonts w:hint="eastAsia" w:ascii="宋体" w:hAnsi="宋体" w:eastAsia="宋体" w:cs="宋体"/>
          <w:color w:val="auto"/>
          <w:sz w:val="32"/>
          <w:szCs w:val="32"/>
          <w:highlight w:val="none"/>
        </w:rPr>
      </w:pPr>
    </w:p>
    <w:p>
      <w:pPr>
        <w:spacing w:line="360" w:lineRule="auto"/>
        <w:ind w:firstLine="2880" w:firstLineChars="900"/>
        <w:contextualSpacing/>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合同或</w:t>
            </w:r>
            <w:r>
              <w:rPr>
                <w:rFonts w:hint="eastAsia" w:ascii="宋体" w:hAnsi="宋体" w:eastAsia="宋体" w:cs="宋体"/>
                <w:color w:val="auto"/>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color w:val="auto"/>
                <w:sz w:val="24"/>
                <w:highlight w:val="none"/>
              </w:rPr>
            </w:pPr>
          </w:p>
        </w:tc>
      </w:tr>
    </w:tbl>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24"/>
          <w:szCs w:val="20"/>
          <w:highlight w:val="none"/>
        </w:rPr>
        <w:t>注：在填写时，如本表格不适合供应商的实际情况，可参照本表格式自行制表填写，并附上相关证明材料</w:t>
      </w:r>
      <w:r>
        <w:rPr>
          <w:rFonts w:hint="eastAsia" w:ascii="宋体" w:hAnsi="宋体" w:eastAsia="宋体" w:cs="宋体"/>
          <w:color w:val="auto"/>
          <w:highlight w:val="none"/>
        </w:rPr>
        <w:t>。</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供应商名称(盖公章)：</w:t>
      </w:r>
    </w:p>
    <w:p>
      <w:pPr>
        <w:spacing w:line="500" w:lineRule="exact"/>
        <w:jc w:val="center"/>
        <w:rPr>
          <w:rFonts w:hint="eastAsia" w:ascii="宋体" w:hAnsi="宋体" w:eastAsia="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.服务需求偏离表的格式：</w:t>
      </w:r>
    </w:p>
    <w:p>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
          <w:color w:val="auto"/>
          <w:sz w:val="44"/>
          <w:szCs w:val="44"/>
          <w:highlight w:val="none"/>
        </w:rPr>
        <w:t>服务需求偏离表</w:t>
      </w:r>
    </w:p>
    <w:p>
      <w:pPr>
        <w:spacing w:line="360" w:lineRule="auto"/>
        <w:contextualSpacing/>
        <w:jc w:val="left"/>
        <w:rPr>
          <w:rFonts w:hint="eastAsia" w:ascii="宋体" w:hAnsi="宋体" w:eastAsia="宋体" w:cs="宋体"/>
          <w:color w:val="auto"/>
          <w:sz w:val="24"/>
          <w:highlight w:val="none"/>
        </w:rPr>
      </w:pPr>
    </w:p>
    <w:p>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highlight w:val="none"/>
              </w:rPr>
            </w:pPr>
          </w:p>
        </w:tc>
      </w:tr>
    </w:tbl>
    <w:p>
      <w:pPr>
        <w:pStyle w:val="17"/>
        <w:ind w:firstLine="845"/>
        <w:rPr>
          <w:rFonts w:hint="eastAsia" w:ascii="宋体" w:hAnsi="宋体" w:eastAsia="宋体" w:cs="宋体"/>
          <w:color w:val="auto"/>
          <w:sz w:val="24"/>
          <w:highlight w:val="none"/>
          <w:u w:val="single"/>
        </w:rPr>
      </w:pPr>
    </w:p>
    <w:p>
      <w:pPr>
        <w:pStyle w:val="15"/>
        <w:spacing w:after="0" w:line="360" w:lineRule="auto"/>
        <w:contextualSpacing/>
        <w:rPr>
          <w:rFonts w:hint="eastAsia" w:ascii="宋体" w:hAnsi="宋体" w:eastAsia="宋体" w:cs="宋体"/>
          <w:color w:val="auto"/>
          <w:kern w:val="0"/>
          <w:sz w:val="24"/>
          <w:szCs w:val="24"/>
          <w:highlight w:val="none"/>
        </w:rPr>
      </w:pPr>
    </w:p>
    <w:p>
      <w:pPr>
        <w:pStyle w:val="15"/>
        <w:spacing w:after="0" w:line="48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pStyle w:val="15"/>
        <w:spacing w:after="0" w:line="48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1.说明：应对照磋商文件“第二章  </w:t>
      </w:r>
      <w:r>
        <w:rPr>
          <w:rFonts w:hint="eastAsia" w:ascii="宋体" w:hAnsi="宋体" w:eastAsia="宋体" w:cs="宋体"/>
          <w:bCs/>
          <w:color w:val="auto"/>
          <w:sz w:val="21"/>
          <w:szCs w:val="21"/>
          <w:highlight w:val="none"/>
        </w:rPr>
        <w:t>采购需求</w:t>
      </w:r>
      <w:r>
        <w:rPr>
          <w:rFonts w:hint="eastAsia" w:ascii="宋体" w:hAnsi="宋体" w:eastAsia="宋体" w:cs="宋体"/>
          <w:color w:val="auto"/>
          <w:kern w:val="0"/>
          <w:sz w:val="21"/>
          <w:szCs w:val="21"/>
          <w:highlight w:val="none"/>
        </w:rPr>
        <w:t>”中“需求一览表”的技术要求条款逐条作出明确响应，并作出偏离说明。</w:t>
      </w:r>
    </w:p>
    <w:p>
      <w:pPr>
        <w:pStyle w:val="17"/>
        <w:spacing w:line="48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pStyle w:val="17"/>
        <w:spacing w:line="480" w:lineRule="auto"/>
        <w:ind w:firstLine="420" w:firstLineChars="200"/>
        <w:contextualSpacing/>
        <w:rPr>
          <w:rFonts w:hint="eastAsia" w:ascii="宋体" w:hAnsi="宋体" w:eastAsia="宋体" w:cs="宋体"/>
          <w:color w:val="auto"/>
          <w:sz w:val="21"/>
          <w:szCs w:val="21"/>
          <w:highlight w:val="none"/>
        </w:rPr>
      </w:pPr>
    </w:p>
    <w:p>
      <w:pPr>
        <w:snapToGrid w:val="0"/>
        <w:spacing w:line="360" w:lineRule="auto"/>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.服务方案</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3"/>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（格式自拟）</w:t>
      </w:r>
    </w:p>
    <w:p>
      <w:pPr>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3"/>
        <w:ind w:firstLine="3840" w:firstLineChars="16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供应商名称（盖公章）：</w:t>
      </w:r>
    </w:p>
    <w:p>
      <w:pPr>
        <w:pStyle w:val="3"/>
        <w:ind w:firstLine="6000" w:firstLineChars="25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日期：  年  月   日</w:t>
      </w:r>
    </w:p>
    <w:p>
      <w:pPr>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.项目质量保障措施</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3"/>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（格式自拟）</w:t>
      </w:r>
    </w:p>
    <w:p>
      <w:pPr>
        <w:rPr>
          <w:rFonts w:hint="eastAsia" w:ascii="宋体" w:hAnsi="宋体" w:eastAsia="宋体" w:cs="宋体"/>
          <w:color w:val="auto"/>
          <w:kern w:val="0"/>
          <w:sz w:val="24"/>
          <w:highlight w:val="none"/>
          <w:lang w:val="zh-CN"/>
        </w:rPr>
      </w:pPr>
    </w:p>
    <w:p>
      <w:pPr>
        <w:pStyle w:val="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3"/>
        <w:ind w:firstLine="3840" w:firstLineChars="16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供应商名称（盖公章）：</w:t>
      </w:r>
    </w:p>
    <w:p>
      <w:pPr>
        <w:pStyle w:val="3"/>
        <w:ind w:firstLine="6000" w:firstLineChars="25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日期：  年  月   日</w:t>
      </w:r>
    </w:p>
    <w:p>
      <w:pPr>
        <w:pStyle w:val="3"/>
        <w:rPr>
          <w:rFonts w:hint="eastAsia" w:ascii="宋体" w:hAnsi="宋体" w:eastAsia="宋体" w:cs="宋体"/>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p>
    <w:p>
      <w:pPr>
        <w:pStyle w:val="2"/>
        <w:rPr>
          <w:rFonts w:hint="eastAsia" w:ascii="宋体" w:hAnsi="宋体" w:eastAsia="宋体" w:cs="宋体"/>
          <w:b/>
          <w:color w:val="auto"/>
          <w:sz w:val="28"/>
          <w:szCs w:val="28"/>
          <w:highlight w:val="none"/>
        </w:rPr>
      </w:pPr>
    </w:p>
    <w:p>
      <w:pPr>
        <w:pStyle w:val="2"/>
        <w:rPr>
          <w:rFonts w:hint="eastAsia" w:ascii="宋体" w:hAnsi="宋体" w:eastAsia="宋体" w:cs="宋体"/>
          <w:b/>
          <w:color w:val="auto"/>
          <w:sz w:val="28"/>
          <w:szCs w:val="28"/>
          <w:highlight w:val="none"/>
        </w:rPr>
      </w:pPr>
    </w:p>
    <w:p>
      <w:pPr>
        <w:pStyle w:val="2"/>
        <w:rPr>
          <w:rFonts w:hint="eastAsia" w:ascii="宋体" w:hAnsi="宋体" w:eastAsia="宋体" w:cs="宋体"/>
          <w:b/>
          <w:color w:val="auto"/>
          <w:sz w:val="28"/>
          <w:szCs w:val="28"/>
          <w:highlight w:val="none"/>
        </w:rPr>
      </w:pPr>
    </w:p>
    <w:p>
      <w:pPr>
        <w:pStyle w:val="2"/>
        <w:rPr>
          <w:rFonts w:hint="eastAsia" w:ascii="宋体" w:hAnsi="宋体" w:eastAsia="宋体" w:cs="宋体"/>
          <w:b/>
          <w:color w:val="auto"/>
          <w:sz w:val="28"/>
          <w:szCs w:val="28"/>
          <w:highlight w:val="none"/>
        </w:rPr>
      </w:pP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.项目实施人员一览表（如有要求）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pPr>
        <w:pStyle w:val="2"/>
        <w:rPr>
          <w:rFonts w:hint="eastAsia" w:ascii="宋体" w:hAnsi="宋体" w:eastAsia="宋体" w:cs="宋体"/>
          <w:color w:val="auto"/>
          <w:highlight w:val="none"/>
        </w:rPr>
      </w:pP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keepNext/>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r>
    </w:tbl>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注：供应商可参照上述的格式自行编制，并注明所在响应技术文件页码。</w:t>
      </w:r>
    </w:p>
    <w:p>
      <w:pPr>
        <w:autoSpaceDE w:val="0"/>
        <w:autoSpaceDN w:val="0"/>
        <w:spacing w:line="360" w:lineRule="auto"/>
        <w:rPr>
          <w:rFonts w:hint="eastAsia" w:ascii="宋体" w:hAnsi="宋体" w:eastAsia="宋体" w:cs="宋体"/>
          <w:b/>
          <w:color w:val="auto"/>
          <w:sz w:val="24"/>
          <w:highlight w:val="none"/>
        </w:rPr>
      </w:pPr>
    </w:p>
    <w:p>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注：供应商可参照上述的格式自行编制，并注明所在响应技术文件页码。</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firstLine="6505" w:firstLineChars="2700"/>
        <w:rPr>
          <w:rFonts w:hint="eastAsia" w:ascii="宋体" w:hAnsi="宋体" w:eastAsia="宋体" w:cs="宋体"/>
          <w:b/>
          <w:bCs/>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pPr>
        <w:autoSpaceDE w:val="0"/>
        <w:autoSpaceDN w:val="0"/>
        <w:spacing w:line="360" w:lineRule="auto"/>
        <w:ind w:firstLine="8132" w:firstLineChars="2700"/>
        <w:rPr>
          <w:rFonts w:hint="eastAsia" w:ascii="宋体" w:hAnsi="宋体" w:eastAsia="宋体" w:cs="宋体"/>
          <w:b/>
          <w:bCs/>
          <w:color w:val="auto"/>
          <w:sz w:val="24"/>
          <w:highlight w:val="none"/>
        </w:rPr>
      </w:pPr>
      <w:r>
        <w:rPr>
          <w:rFonts w:hint="eastAsia" w:ascii="宋体" w:hAnsi="宋体" w:eastAsia="宋体" w:cs="宋体"/>
          <w:b/>
          <w:color w:val="auto"/>
          <w:sz w:val="30"/>
          <w:szCs w:val="30"/>
          <w:highlight w:val="none"/>
        </w:rPr>
        <w:br w:type="page"/>
      </w:r>
    </w:p>
    <w:p>
      <w:pPr>
        <w:pStyle w:val="4"/>
        <w:jc w:val="center"/>
        <w:rPr>
          <w:rFonts w:hint="eastAsia" w:ascii="宋体" w:hAnsi="宋体" w:eastAsia="宋体" w:cs="宋体"/>
          <w:color w:val="auto"/>
          <w:highlight w:val="none"/>
        </w:rPr>
      </w:pPr>
      <w:bookmarkStart w:id="143" w:name="_Toc80886945"/>
      <w:bookmarkStart w:id="144" w:name="_Toc31035"/>
      <w:bookmarkStart w:id="145" w:name="_Toc12611"/>
      <w:bookmarkStart w:id="146" w:name="_Toc80205941"/>
      <w:r>
        <w:rPr>
          <w:rFonts w:hint="eastAsia" w:ascii="宋体" w:hAnsi="宋体" w:eastAsia="宋体" w:cs="宋体"/>
          <w:color w:val="auto"/>
          <w:highlight w:val="none"/>
        </w:rPr>
        <w:t>第三节 报价文件格式</w:t>
      </w:r>
      <w:bookmarkEnd w:id="143"/>
      <w:bookmarkEnd w:id="144"/>
      <w:bookmarkEnd w:id="145"/>
      <w:bookmarkEnd w:id="146"/>
    </w:p>
    <w:p>
      <w:pPr>
        <w:pStyle w:val="2"/>
        <w:rPr>
          <w:rFonts w:hint="eastAsia" w:ascii="宋体" w:hAnsi="宋体" w:eastAsia="宋体" w:cs="宋体"/>
          <w:color w:val="auto"/>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8"/>
          <w:szCs w:val="28"/>
          <w:highlight w:val="none"/>
        </w:rPr>
        <w:t>1.报价文件封面的格式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rPr>
        <w:t>：</w:t>
      </w: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120" w:beforeLines="50" w:after="50"/>
        <w:ind w:firstLine="6720" w:firstLineChars="32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720" w:firstLineChars="225"/>
        <w:rPr>
          <w:rFonts w:hint="eastAsia" w:ascii="宋体" w:hAnsi="宋体" w:eastAsia="宋体" w:cs="宋体"/>
          <w:bCs/>
          <w:color w:val="auto"/>
          <w:sz w:val="32"/>
          <w:szCs w:val="32"/>
          <w:highlight w:val="none"/>
        </w:rPr>
      </w:pPr>
    </w:p>
    <w:p>
      <w:pPr>
        <w:pStyle w:val="8"/>
        <w:snapToGrid w:val="0"/>
        <w:spacing w:before="50" w:after="50"/>
        <w:ind w:firstLine="1280" w:firstLineChars="400"/>
        <w:rPr>
          <w:rFonts w:hint="eastAsia" w:ascii="宋体" w:hAnsi="宋体" w:eastAsia="宋体" w:cs="宋体"/>
          <w:bCs/>
          <w:color w:val="auto"/>
          <w:sz w:val="32"/>
          <w:szCs w:val="32"/>
          <w:highlight w:val="none"/>
        </w:rPr>
      </w:pPr>
    </w:p>
    <w:p>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根据竞争性磋商文件规定及供应商提供的材料自行编写目录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hint="eastAsia" w:ascii="宋体" w:hAnsi="宋体" w:eastAsia="宋体" w:cs="宋体"/>
          <w:color w:val="auto"/>
          <w:sz w:val="24"/>
          <w:highlight w:val="none"/>
        </w:rPr>
      </w:pPr>
    </w:p>
    <w:p>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pPr>
        <w:snapToGrid w:val="0"/>
        <w:spacing w:before="120" w:beforeLines="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响应函</w:t>
      </w:r>
    </w:p>
    <w:p>
      <w:pPr>
        <w:spacing w:line="460" w:lineRule="exact"/>
        <w:rPr>
          <w:rFonts w:hint="eastAsia" w:ascii="宋体" w:hAnsi="宋体" w:eastAsia="宋体" w:cs="宋体"/>
          <w:color w:val="auto"/>
          <w:kern w:val="0"/>
          <w:sz w:val="24"/>
          <w:highlight w:val="none"/>
        </w:rPr>
      </w:pPr>
    </w:p>
    <w:p>
      <w:pPr>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（采购代理机构名称）</w:t>
      </w:r>
    </w:p>
    <w:p>
      <w:pPr>
        <w:spacing w:line="460" w:lineRule="exact"/>
        <w:ind w:firstLine="480" w:firstLineChars="200"/>
        <w:rPr>
          <w:rFonts w:hint="eastAsia" w:ascii="宋体" w:hAnsi="宋体" w:eastAsia="宋体" w:cs="宋体"/>
          <w:color w:val="auto"/>
          <w:kern w:val="0"/>
          <w:sz w:val="24"/>
          <w:highlight w:val="none"/>
        </w:rPr>
      </w:pPr>
    </w:p>
    <w:p>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我方已仔细阅读了贵方组织的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一、首次报价文件电子版（包含按“第三章 供应商须知”提交的全部文件）；</w:t>
      </w:r>
    </w:p>
    <w:p>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三、资格证明文件电子版（包含按“第三章供应商须知”提交的全部文件）。</w:t>
      </w:r>
    </w:p>
    <w:p>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据此函，我方兹宣布：</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1、我方愿意以磋商时</w:t>
      </w:r>
      <w:r>
        <w:rPr>
          <w:rFonts w:hint="eastAsia" w:ascii="宋体" w:hAnsi="宋体" w:eastAsia="宋体" w:cs="宋体"/>
          <w:color w:val="auto"/>
          <w:sz w:val="24"/>
          <w:highlight w:val="none"/>
        </w:rPr>
        <w:t>提交的最后报价表中的竞标总报价，在承诺的</w:t>
      </w:r>
      <w:r>
        <w:rPr>
          <w:rFonts w:hint="eastAsia" w:ascii="宋体" w:hAnsi="宋体" w:eastAsia="宋体" w:cs="宋体"/>
          <w:color w:val="auto"/>
          <w:kern w:val="0"/>
          <w:sz w:val="24"/>
          <w:highlight w:val="none"/>
        </w:rPr>
        <w:t>服务期限</w:t>
      </w:r>
      <w:r>
        <w:rPr>
          <w:rFonts w:hint="eastAsia" w:ascii="宋体" w:hAnsi="宋体" w:eastAsia="宋体" w:cs="宋体"/>
          <w:color w:val="auto"/>
          <w:sz w:val="24"/>
          <w:highlight w:val="none"/>
        </w:rPr>
        <w:t>内</w:t>
      </w:r>
      <w:r>
        <w:rPr>
          <w:rFonts w:hint="eastAsia" w:ascii="宋体" w:hAnsi="宋体" w:eastAsia="宋体" w:cs="宋体"/>
          <w:color w:val="auto"/>
          <w:kern w:val="0"/>
          <w:sz w:val="24"/>
          <w:highlight w:val="none"/>
        </w:rPr>
        <w:t>提供本项目竞争性磋商文件第二章“采购需求”中相应的采购内容</w:t>
      </w:r>
      <w:r>
        <w:rPr>
          <w:rFonts w:hint="eastAsia" w:ascii="宋体" w:hAnsi="宋体" w:eastAsia="宋体" w:cs="宋体"/>
          <w:color w:val="auto"/>
          <w:sz w:val="24"/>
          <w:highlight w:val="none"/>
        </w:rPr>
        <w:t>，具体详见最后报价表</w:t>
      </w:r>
      <w:r>
        <w:rPr>
          <w:rFonts w:hint="eastAsia" w:ascii="宋体" w:hAnsi="宋体" w:eastAsia="宋体" w:cs="宋体"/>
          <w:color w:val="auto"/>
          <w:kern w:val="0"/>
          <w:sz w:val="24"/>
          <w:highlight w:val="none"/>
        </w:rPr>
        <w:t>。</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3、我方在此声明，所递交的响应文件及有关资料内容完整、真实和准确。</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4、如本项目采购内容涉及须符合国家强制规定的，我方承诺我方本次竞标均符合国家有关强制规定。</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6、我方已详细审核竞争性磋商文件，我方知道必须放弃提出含糊不清或误解问题的权利。</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7、我方承诺满足竞争性磋商文件第六章“合同文本”的条款，承担完成合同的责任和义务。</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8、我方同意应贵方要求提供与本竞标有关的任何数据或资料。若贵方需要，我方愿意提供我方作出的一切承诺的证明材料。</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9、我方完全理解贵方不一定接受响应报价最低的供应商为成交供应商的行为。</w:t>
      </w:r>
    </w:p>
    <w:p>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提供虚假材料谋取中标、成交的；</w:t>
      </w:r>
    </w:p>
    <w:p>
      <w:pPr>
        <w:numPr>
          <w:ilvl w:val="0"/>
          <w:numId w:val="3"/>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采取不正当手段诋毁、排挤其他供应商的；</w:t>
      </w:r>
    </w:p>
    <w:p>
      <w:pPr>
        <w:numPr>
          <w:ilvl w:val="0"/>
          <w:numId w:val="3"/>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与采购人、其他供应商或者采购代理机构恶意串通的；</w:t>
      </w:r>
    </w:p>
    <w:p>
      <w:pPr>
        <w:numPr>
          <w:ilvl w:val="0"/>
          <w:numId w:val="3"/>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向采购人、采购代理机构行贿或者提供其他不正当利益的；</w:t>
      </w:r>
    </w:p>
    <w:p>
      <w:pPr>
        <w:numPr>
          <w:ilvl w:val="0"/>
          <w:numId w:val="3"/>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在采购过程中与采购人进行协商磋商的；</w:t>
      </w:r>
    </w:p>
    <w:p>
      <w:pPr>
        <w:numPr>
          <w:ilvl w:val="0"/>
          <w:numId w:val="3"/>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拒绝有关部门监督检查或提供虚假情况的。</w:t>
      </w:r>
    </w:p>
    <w:p>
      <w:pPr>
        <w:spacing w:line="460" w:lineRule="exact"/>
        <w:ind w:firstLine="42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11、以上事项如有虚假或者隐瞒，我方愿意承担一切后果，并不再寻求任何旨在减轻或者免除法律责任的辩解。</w:t>
      </w:r>
    </w:p>
    <w:p>
      <w:pPr>
        <w:spacing w:line="460" w:lineRule="exact"/>
        <w:ind w:firstLine="42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12、与本磋商有关的一切正式往来信函请寄： </w:t>
      </w:r>
    </w:p>
    <w:p>
      <w:pPr>
        <w:spacing w:line="460" w:lineRule="exact"/>
        <w:ind w:firstLine="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xml:space="preserve">                                      　　　　　　　　　</w:t>
      </w:r>
    </w:p>
    <w:p>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rPr>
        <w:t>　　　　　　　　　　　　　　　　　　　　　　　　　　　　</w:t>
      </w:r>
    </w:p>
    <w:p>
      <w:pPr>
        <w:spacing w:line="460" w:lineRule="exact"/>
        <w:ind w:firstLine="4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电子邮箱：</w:t>
      </w:r>
      <w:r>
        <w:rPr>
          <w:rFonts w:hint="eastAsia" w:ascii="宋体" w:hAnsi="宋体" w:eastAsia="宋体" w:cs="宋体"/>
          <w:color w:val="auto"/>
          <w:kern w:val="0"/>
          <w:sz w:val="24"/>
          <w:highlight w:val="none"/>
          <w:u w:val="single"/>
        </w:rPr>
        <w:t>　　　　　　　　　　　　　　　　　　　　　　　　　　</w:t>
      </w:r>
    </w:p>
    <w:p>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邮政编码：</w:t>
      </w:r>
      <w:r>
        <w:rPr>
          <w:rFonts w:hint="eastAsia" w:ascii="宋体" w:hAnsi="宋体" w:eastAsia="宋体" w:cs="宋体"/>
          <w:color w:val="auto"/>
          <w:kern w:val="0"/>
          <w:sz w:val="24"/>
          <w:highlight w:val="none"/>
          <w:u w:val="single"/>
        </w:rPr>
        <w:t xml:space="preserve">                                                    </w:t>
      </w:r>
    </w:p>
    <w:p>
      <w:pPr>
        <w:spacing w:line="460" w:lineRule="exact"/>
        <w:ind w:firstLine="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纳税人识别号或统一社会信用代码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w:t>
      </w:r>
    </w:p>
    <w:p>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开户名称：</w:t>
      </w:r>
      <w:r>
        <w:rPr>
          <w:rFonts w:hint="eastAsia" w:ascii="宋体" w:hAnsi="宋体" w:eastAsia="宋体" w:cs="宋体"/>
          <w:color w:val="auto"/>
          <w:kern w:val="0"/>
          <w:sz w:val="24"/>
          <w:highlight w:val="none"/>
          <w:u w:val="single"/>
        </w:rPr>
        <w:t xml:space="preserve">                                                    </w:t>
      </w:r>
    </w:p>
    <w:p>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开户银行：</w:t>
      </w:r>
      <w:r>
        <w:rPr>
          <w:rFonts w:hint="eastAsia" w:ascii="宋体" w:hAnsi="宋体" w:eastAsia="宋体" w:cs="宋体"/>
          <w:color w:val="auto"/>
          <w:kern w:val="0"/>
          <w:sz w:val="24"/>
          <w:highlight w:val="none"/>
          <w:u w:val="single"/>
        </w:rPr>
        <w:t xml:space="preserve">                                                    </w:t>
      </w:r>
    </w:p>
    <w:p>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银行账号：</w:t>
      </w:r>
      <w:r>
        <w:rPr>
          <w:rFonts w:hint="eastAsia" w:ascii="宋体" w:hAnsi="宋体" w:eastAsia="宋体" w:cs="宋体"/>
          <w:color w:val="auto"/>
          <w:kern w:val="0"/>
          <w:sz w:val="24"/>
          <w:highlight w:val="none"/>
          <w:u w:val="single"/>
        </w:rPr>
        <w:t xml:space="preserve">                                                    </w:t>
      </w:r>
    </w:p>
    <w:p>
      <w:pPr>
        <w:pStyle w:val="19"/>
        <w:tabs>
          <w:tab w:val="left" w:pos="939"/>
        </w:tabs>
        <w:spacing w:line="460" w:lineRule="exact"/>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line="360" w:lineRule="auto"/>
        <w:contextualSpacing/>
        <w:jc w:val="left"/>
        <w:rPr>
          <w:rFonts w:hint="eastAsia" w:ascii="宋体" w:hAnsi="宋体" w:eastAsia="宋体" w:cs="宋体"/>
          <w:color w:val="auto"/>
          <w:szCs w:val="21"/>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500" w:lineRule="exact"/>
        <w:rPr>
          <w:rFonts w:hint="eastAsia" w:ascii="宋体" w:hAnsi="宋体" w:eastAsia="宋体" w:cs="宋体"/>
          <w:b/>
          <w:color w:val="auto"/>
          <w:sz w:val="28"/>
          <w:szCs w:val="28"/>
          <w:highlight w:val="none"/>
        </w:rPr>
      </w:pPr>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宋体" w:hAnsi="宋体" w:eastAsia="宋体" w:cs="宋体"/>
          <w:b/>
          <w:color w:val="auto"/>
          <w:sz w:val="30"/>
          <w:szCs w:val="30"/>
          <w:highlight w:val="none"/>
          <w:lang w:val="zh-CN"/>
        </w:rPr>
        <w:t xml:space="preserve"> </w:t>
      </w: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响应报价表</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682"/>
        <w:gridCol w:w="2580"/>
        <w:gridCol w:w="1009"/>
        <w:gridCol w:w="1660"/>
        <w:gridCol w:w="13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具体服务内容（含具体服务范围、服务时间、服务标准等内容）</w:t>
            </w:r>
          </w:p>
        </w:tc>
        <w:tc>
          <w:tcPr>
            <w:tcW w:w="100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数量及单位①</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单价(元)②</w:t>
            </w:r>
          </w:p>
        </w:tc>
        <w:tc>
          <w:tcPr>
            <w:tcW w:w="13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Cs w:val="22"/>
                <w:highlight w:val="none"/>
              </w:rPr>
              <w:t>③＝①×②</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8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广西道路运输第三方安全监测技术服务项目</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按服务需求偏离表中响应文件响应的技术要求提供服务，具体详见服务需求偏离表</w:t>
            </w:r>
          </w:p>
        </w:tc>
        <w:tc>
          <w:tcPr>
            <w:tcW w:w="100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w:t>
            </w:r>
          </w:p>
        </w:tc>
        <w:tc>
          <w:tcPr>
            <w:tcW w:w="1660"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color w:val="auto"/>
                <w:sz w:val="22"/>
                <w:szCs w:val="22"/>
                <w:highlight w:val="none"/>
              </w:rPr>
            </w:pPr>
          </w:p>
        </w:tc>
        <w:tc>
          <w:tcPr>
            <w:tcW w:w="1364"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color w:val="auto"/>
                <w:sz w:val="22"/>
                <w:szCs w:val="22"/>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r>
    </w:tbl>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w:t>
      </w:r>
      <w:r>
        <w:rPr>
          <w:rFonts w:hint="eastAsia" w:ascii="宋体" w:hAnsi="宋体" w:eastAsia="宋体" w:cs="宋体"/>
          <w:color w:val="auto"/>
          <w:sz w:val="24"/>
          <w:highlight w:val="none"/>
        </w:rPr>
        <w:t>备注除外</w:t>
      </w:r>
      <w:r>
        <w:rPr>
          <w:rFonts w:hint="eastAsia" w:ascii="宋体" w:hAnsi="宋体" w:eastAsia="宋体" w:cs="宋体"/>
          <w:color w:val="auto"/>
          <w:kern w:val="0"/>
          <w:sz w:val="24"/>
          <w:highlight w:val="none"/>
          <w:lang w:val="zh-CN"/>
        </w:rPr>
        <w:t>）, 如有多分标，按分标分别提供响应报价表，</w:t>
      </w:r>
      <w:r>
        <w:rPr>
          <w:rFonts w:hint="eastAsia" w:ascii="宋体" w:hAnsi="宋体" w:eastAsia="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请</w:t>
      </w:r>
      <w:r>
        <w:rPr>
          <w:rFonts w:hint="eastAsia" w:ascii="宋体" w:hAnsi="宋体" w:eastAsia="宋体" w:cs="宋体"/>
          <w:color w:val="auto"/>
          <w:sz w:val="24"/>
          <w:highlight w:val="none"/>
        </w:rPr>
        <w:t>根据所竞服务内容，逐条对应本项目竞争性磋商文件“第二章 采购需求”中“技术要求”的内容详细填写相应的具体内容。</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6、</w:t>
      </w:r>
      <w:r>
        <w:rPr>
          <w:rFonts w:hint="eastAsia" w:ascii="宋体" w:hAnsi="宋体" w:eastAsia="宋体" w:cs="宋体"/>
          <w:color w:val="auto"/>
          <w:kern w:val="0"/>
          <w:sz w:val="24"/>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spacing w:line="500" w:lineRule="exact"/>
        <w:ind w:firstLine="6360" w:firstLineChars="2650"/>
        <w:rPr>
          <w:rFonts w:hint="eastAsia" w:ascii="宋体" w:hAnsi="宋体" w:eastAsia="宋体" w:cs="宋体"/>
          <w:color w:val="auto"/>
          <w:kern w:val="0"/>
          <w:sz w:val="24"/>
          <w:szCs w:val="21"/>
          <w:highlight w:val="none"/>
          <w:lang w:val="zh-CN"/>
        </w:rPr>
      </w:pPr>
      <w:r>
        <w:rPr>
          <w:rFonts w:hint="eastAsia" w:ascii="宋体" w:hAnsi="宋体" w:eastAsia="宋体" w:cs="宋体"/>
          <w:color w:val="auto"/>
          <w:kern w:val="0"/>
          <w:sz w:val="24"/>
          <w:szCs w:val="21"/>
          <w:highlight w:val="none"/>
          <w:lang w:val="zh-CN"/>
        </w:rPr>
        <w:t>日期：  年  月   日</w:t>
      </w:r>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color w:val="auto"/>
          <w:kern w:val="0"/>
          <w:sz w:val="24"/>
          <w:szCs w:val="21"/>
          <w:highlight w:val="none"/>
          <w:lang w:val="zh-CN"/>
        </w:rPr>
        <w:br w:type="page"/>
      </w: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宋体" w:hAnsi="宋体" w:eastAsia="宋体" w:cs="宋体"/>
          <w:b/>
          <w:color w:val="auto"/>
          <w:sz w:val="30"/>
          <w:szCs w:val="30"/>
          <w:highlight w:val="none"/>
          <w:lang w:val="zh-CN"/>
        </w:rPr>
        <w:t xml:space="preserve"> </w:t>
      </w:r>
    </w:p>
    <w:p>
      <w:pPr>
        <w:spacing w:line="520" w:lineRule="exact"/>
        <w:ind w:firstLine="420" w:firstLineChars="200"/>
        <w:rPr>
          <w:rFonts w:hint="eastAsia" w:ascii="宋体" w:hAnsi="宋体" w:eastAsia="宋体" w:cs="宋体"/>
          <w:color w:val="auto"/>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最后报价表</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094"/>
        <w:gridCol w:w="1928"/>
        <w:gridCol w:w="1249"/>
        <w:gridCol w:w="1660"/>
        <w:gridCol w:w="13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具体服务内容（含具体服务范围、服务时间、服务标准等内容）</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数量及单位①</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单价(元)②</w:t>
            </w:r>
          </w:p>
        </w:tc>
        <w:tc>
          <w:tcPr>
            <w:tcW w:w="13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Cs w:val="22"/>
                <w:highlight w:val="none"/>
              </w:rPr>
              <w:t>③＝①×②</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0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广西道路运输第三方安全监测技术服务项目</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按服务需求偏离表中响应文件响应的技术要求提供服务，具体详见服务需求偏离表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w:t>
            </w:r>
          </w:p>
        </w:tc>
        <w:tc>
          <w:tcPr>
            <w:tcW w:w="1660"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color w:val="auto"/>
                <w:sz w:val="22"/>
                <w:szCs w:val="22"/>
                <w:highlight w:val="none"/>
              </w:rPr>
            </w:pPr>
          </w:p>
        </w:tc>
        <w:tc>
          <w:tcPr>
            <w:tcW w:w="1364"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color w:val="auto"/>
                <w:sz w:val="22"/>
                <w:szCs w:val="22"/>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r>
    </w:tbl>
    <w:p>
      <w:pPr>
        <w:rPr>
          <w:rFonts w:hint="eastAsia" w:ascii="宋体" w:hAnsi="宋体" w:eastAsia="宋体" w:cs="宋体"/>
          <w:color w:val="auto"/>
          <w:highlight w:val="none"/>
        </w:rPr>
      </w:pP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autoSpaceDE w:val="0"/>
        <w:autoSpaceDN w:val="0"/>
        <w:spacing w:line="360" w:lineRule="auto"/>
        <w:ind w:firstLine="4560" w:firstLineChars="1900"/>
        <w:rPr>
          <w:rFonts w:hint="eastAsia" w:ascii="宋体" w:hAnsi="宋体" w:eastAsia="宋体" w:cs="宋体"/>
          <w:color w:val="auto"/>
          <w:kern w:val="0"/>
          <w:sz w:val="24"/>
          <w:highlight w:val="none"/>
        </w:rPr>
      </w:pPr>
    </w:p>
    <w:p>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spacing w:line="500" w:lineRule="exact"/>
        <w:ind w:firstLine="6360" w:firstLineChars="2650"/>
        <w:rPr>
          <w:rFonts w:hint="eastAsia" w:ascii="宋体" w:hAnsi="宋体" w:eastAsia="宋体" w:cs="宋体"/>
          <w:color w:val="auto"/>
          <w:sz w:val="24"/>
          <w:highlight w:val="none"/>
          <w:lang w:val="zh-CN"/>
        </w:rPr>
        <w:sectPr>
          <w:pgSz w:w="11911" w:h="16838"/>
          <w:pgMar w:top="1134" w:right="1134" w:bottom="1134" w:left="1134" w:header="720" w:footer="720" w:gutter="0"/>
          <w:cols w:space="720" w:num="1"/>
        </w:sectPr>
      </w:pPr>
      <w:r>
        <w:rPr>
          <w:rFonts w:hint="eastAsia" w:ascii="宋体" w:hAnsi="宋体" w:eastAsia="宋体" w:cs="宋体"/>
          <w:color w:val="auto"/>
          <w:kern w:val="0"/>
          <w:sz w:val="24"/>
          <w:szCs w:val="21"/>
          <w:highlight w:val="none"/>
          <w:lang w:val="zh-CN"/>
        </w:rPr>
        <w:t>日期：</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年</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月</w:t>
      </w:r>
      <w:r>
        <w:rPr>
          <w:rFonts w:hint="eastAsia" w:ascii="宋体" w:hAnsi="宋体" w:eastAsia="宋体" w:cs="宋体"/>
          <w:color w:val="auto"/>
          <w:kern w:val="0"/>
          <w:sz w:val="24"/>
          <w:szCs w:val="21"/>
          <w:highlight w:val="none"/>
        </w:rPr>
        <w:t xml:space="preserve">    </w:t>
      </w:r>
      <w:r>
        <w:rPr>
          <w:rFonts w:hint="eastAsia" w:ascii="宋体" w:hAnsi="宋体" w:eastAsia="宋体" w:cs="宋体"/>
          <w:color w:val="auto"/>
          <w:kern w:val="0"/>
          <w:sz w:val="24"/>
          <w:szCs w:val="21"/>
          <w:highlight w:val="none"/>
          <w:lang w:val="zh-CN"/>
        </w:rPr>
        <w:t>日</w:t>
      </w:r>
    </w:p>
    <w:p>
      <w:pPr>
        <w:pStyle w:val="4"/>
        <w:jc w:val="center"/>
        <w:rPr>
          <w:rFonts w:hint="eastAsia" w:ascii="宋体" w:hAnsi="宋体" w:eastAsia="宋体" w:cs="宋体"/>
          <w:b w:val="0"/>
          <w:color w:val="auto"/>
          <w:highlight w:val="none"/>
        </w:rPr>
      </w:pPr>
      <w:bookmarkStart w:id="147" w:name="_Toc18482"/>
      <w:bookmarkStart w:id="148" w:name="_Toc80205942"/>
      <w:bookmarkStart w:id="149" w:name="_Toc80886946"/>
      <w:bookmarkStart w:id="150" w:name="_Toc13936"/>
      <w:r>
        <w:rPr>
          <w:rFonts w:hint="eastAsia" w:ascii="宋体" w:hAnsi="宋体" w:eastAsia="宋体" w:cs="宋体"/>
          <w:color w:val="auto"/>
          <w:highlight w:val="none"/>
        </w:rPr>
        <w:t>第四节 其他文书、文件格式</w:t>
      </w:r>
      <w:bookmarkEnd w:id="147"/>
      <w:bookmarkEnd w:id="148"/>
      <w:bookmarkEnd w:id="149"/>
      <w:bookmarkEnd w:id="150"/>
    </w:p>
    <w:p>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2"/>
        <w:rPr>
          <w:rFonts w:hint="eastAsia" w:ascii="宋体" w:hAnsi="宋体" w:eastAsia="宋体" w:cs="宋体"/>
          <w:color w:val="auto"/>
          <w:highlight w:val="none"/>
        </w:rPr>
      </w:pPr>
    </w:p>
    <w:p>
      <w:pPr>
        <w:spacing w:line="300" w:lineRule="auto"/>
        <w:ind w:firstLine="3520" w:firstLineChars="8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p>
    <w:p>
      <w:pPr>
        <w:pStyle w:val="16"/>
        <w:spacing w:after="0" w:line="360" w:lineRule="auto"/>
        <w:ind w:left="-426" w:right="142" w:firstLine="640"/>
        <w:contextualSpacing/>
        <w:rPr>
          <w:rFonts w:hint="eastAsia" w:ascii="宋体" w:hAnsi="宋体" w:eastAsia="宋体" w:cs="宋体"/>
          <w:color w:val="auto"/>
          <w:sz w:val="24"/>
          <w:highlight w:val="none"/>
        </w:rPr>
      </w:pPr>
    </w:p>
    <w:p>
      <w:pPr>
        <w:pStyle w:val="16"/>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采购活动，</w:t>
      </w:r>
      <w:r>
        <w:rPr>
          <w:rFonts w:hint="eastAsia" w:ascii="宋体" w:hAnsi="宋体" w:eastAsia="宋体" w:cs="宋体"/>
          <w:color w:val="auto"/>
          <w:kern w:val="0"/>
          <w:sz w:val="24"/>
          <w:highlight w:val="none"/>
        </w:rPr>
        <w:t>服务全部由符合政策要求的中小企业承接</w:t>
      </w:r>
      <w:r>
        <w:rPr>
          <w:rFonts w:hint="eastAsia" w:ascii="宋体" w:hAnsi="宋体" w:eastAsia="宋体" w:cs="宋体"/>
          <w:color w:val="auto"/>
          <w:sz w:val="24"/>
          <w:highlight w:val="none"/>
        </w:rPr>
        <w:t>。相关企业（含联合体中的</w:t>
      </w:r>
      <w:r>
        <w:rPr>
          <w:rFonts w:hint="eastAsia" w:ascii="宋体" w:hAnsi="宋体" w:eastAsia="宋体" w:cs="宋体"/>
          <w:color w:val="auto"/>
          <w:kern w:val="0"/>
          <w:sz w:val="24"/>
          <w:highlight w:val="none"/>
        </w:rPr>
        <w:t>中小</w:t>
      </w:r>
      <w:r>
        <w:rPr>
          <w:rFonts w:hint="eastAsia" w:ascii="宋体" w:hAnsi="宋体" w:eastAsia="宋体" w:cs="宋体"/>
          <w:color w:val="auto"/>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pStyle w:val="16"/>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16"/>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pStyle w:val="16"/>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16"/>
        <w:spacing w:after="0" w:line="360" w:lineRule="auto"/>
        <w:ind w:left="3960" w:right="1808"/>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16"/>
        <w:spacing w:after="0" w:line="360" w:lineRule="auto"/>
        <w:ind w:left="3960" w:right="1808"/>
        <w:contextualSpacing/>
        <w:rPr>
          <w:rFonts w:hint="eastAsia" w:ascii="宋体" w:hAnsi="宋体" w:eastAsia="宋体" w:cs="宋体"/>
          <w:color w:val="auto"/>
          <w:highlight w:val="none"/>
        </w:rPr>
      </w:pP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1" w:h="16838"/>
          <w:pgMar w:top="1134" w:right="1134" w:bottom="1134" w:left="1134" w:header="720" w:footer="720" w:gutter="0"/>
          <w:cols w:space="720" w:num="1"/>
        </w:sectPr>
      </w:pPr>
    </w:p>
    <w:p>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2.残疾人福利性单位声明函的格式：</w:t>
      </w:r>
    </w:p>
    <w:p>
      <w:pPr>
        <w:pStyle w:val="2"/>
        <w:rPr>
          <w:rFonts w:hint="eastAsia" w:ascii="宋体" w:hAnsi="宋体" w:eastAsia="宋体" w:cs="宋体"/>
          <w:color w:val="auto"/>
          <w:highlight w:val="none"/>
        </w:rPr>
      </w:pP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color w:val="auto"/>
          <w:sz w:val="44"/>
          <w:szCs w:val="44"/>
          <w:highlight w:val="none"/>
        </w:rPr>
      </w:pPr>
    </w:p>
    <w:p>
      <w:pPr>
        <w:spacing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残疾人福利性单位声明函</w:t>
      </w:r>
    </w:p>
    <w:p>
      <w:pPr>
        <w:spacing w:line="520" w:lineRule="exact"/>
        <w:rPr>
          <w:rFonts w:hint="eastAsia" w:ascii="宋体" w:hAnsi="宋体" w:eastAsia="宋体" w:cs="宋体"/>
          <w:color w:val="auto"/>
          <w:sz w:val="32"/>
          <w:szCs w:val="32"/>
          <w:highlight w:val="none"/>
        </w:rPr>
      </w:pP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供应商名称（盖公章）：</w:t>
      </w:r>
    </w:p>
    <w:p>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spacing w:line="360" w:lineRule="auto"/>
        <w:ind w:firstLine="480" w:firstLineChars="200"/>
        <w:contextualSpacing/>
        <w:rPr>
          <w:rFonts w:hint="eastAsia" w:ascii="宋体" w:hAnsi="宋体" w:eastAsia="宋体" w:cs="宋体"/>
          <w:color w:val="auto"/>
          <w:sz w:val="24"/>
          <w:highlight w:val="none"/>
        </w:rPr>
      </w:pPr>
    </w:p>
    <w:p>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宋体" w:hAnsi="宋体" w:eastAsia="宋体"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pP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szCs w:val="28"/>
          <w:highlight w:val="none"/>
        </w:rPr>
        <w:t>4.政府采购项目履约保证金退付意见书的格式：</w:t>
      </w:r>
    </w:p>
    <w:p>
      <w:pPr>
        <w:pStyle w:val="21"/>
        <w:snapToGrid w:val="0"/>
        <w:rPr>
          <w:rFonts w:hint="eastAsia" w:ascii="宋体" w:hAnsi="宋体" w:eastAsia="宋体" w:cs="宋体"/>
          <w:color w:val="auto"/>
          <w:sz w:val="32"/>
          <w:szCs w:val="32"/>
          <w:highlight w:val="none"/>
        </w:rPr>
      </w:pPr>
    </w:p>
    <w:p>
      <w:pPr>
        <w:pStyle w:val="11"/>
        <w:rPr>
          <w:rFonts w:hint="eastAsia" w:ascii="宋体" w:hAnsi="宋体" w:eastAsia="宋体" w:cs="宋体"/>
          <w:color w:val="auto"/>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政府采购项目履约保证金退付意见书（参考）</w:t>
      </w:r>
    </w:p>
    <w:p>
      <w:pPr>
        <w:jc w:val="center"/>
        <w:rPr>
          <w:rFonts w:hint="eastAsia" w:ascii="宋体" w:hAnsi="宋体" w:eastAsia="宋体" w:cs="宋体"/>
          <w:color w:val="auto"/>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00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color w:val="auto"/>
                <w:sz w:val="24"/>
                <w:highlight w:val="none"/>
              </w:rPr>
            </w:pPr>
          </w:p>
        </w:tc>
        <w:tc>
          <w:tcPr>
            <w:tcW w:w="8009"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color w:val="auto"/>
                <w:sz w:val="24"/>
                <w:highlight w:val="none"/>
              </w:rPr>
            </w:pPr>
          </w:p>
        </w:tc>
        <w:tc>
          <w:tcPr>
            <w:tcW w:w="8009" w:type="dxa"/>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人民币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退付到达以下账户。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供应商签章：</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位</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009" w:type="dxa"/>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联系人及电话：                                </w:t>
            </w:r>
          </w:p>
          <w:p>
            <w:pPr>
              <w:rPr>
                <w:rFonts w:hint="eastAsia" w:ascii="宋体" w:hAnsi="宋体" w:eastAsia="宋体" w:cs="宋体"/>
                <w:color w:val="auto"/>
                <w:sz w:val="24"/>
                <w:highlight w:val="none"/>
              </w:rPr>
            </w:pPr>
          </w:p>
          <w:p>
            <w:pPr>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采购人签章：</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009" w:type="dxa"/>
          </w:tcPr>
          <w:p>
            <w:pPr>
              <w:rPr>
                <w:rFonts w:hint="eastAsia" w:ascii="宋体" w:hAnsi="宋体" w:eastAsia="宋体" w:cs="宋体"/>
                <w:color w:val="auto"/>
                <w:sz w:val="24"/>
                <w:highlight w:val="none"/>
              </w:rPr>
            </w:pPr>
          </w:p>
        </w:tc>
      </w:tr>
    </w:tbl>
    <w:p>
      <w:pPr>
        <w:pStyle w:val="16"/>
        <w:ind w:left="1" w:firstLine="2" w:firstLineChars="1"/>
        <w:rPr>
          <w:rFonts w:hint="eastAsia" w:ascii="宋体" w:hAnsi="宋体" w:eastAsia="宋体" w:cs="宋体"/>
          <w:b/>
          <w:bCs/>
          <w:color w:val="auto"/>
          <w:sz w:val="18"/>
          <w:szCs w:val="18"/>
          <w:highlight w:val="none"/>
        </w:rPr>
      </w:pPr>
    </w:p>
    <w:p>
      <w:pPr>
        <w:pStyle w:val="16"/>
        <w:ind w:left="1" w:firstLine="2" w:firstLineChars="1"/>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rFonts w:hint="eastAsia" w:ascii="宋体" w:hAnsi="宋体" w:eastAsia="宋体" w:cs="宋体"/>
          <w:color w:val="auto"/>
          <w:sz w:val="24"/>
          <w:highlight w:val="none"/>
        </w:rPr>
      </w:pPr>
      <w:r>
        <w:rPr>
          <w:rFonts w:hint="eastAsia" w:ascii="宋体" w:hAnsi="宋体" w:eastAsia="宋体" w:cs="宋体"/>
          <w:b/>
          <w:bCs/>
          <w:color w:val="auto"/>
          <w:sz w:val="18"/>
          <w:szCs w:val="18"/>
          <w:highlight w:val="none"/>
        </w:rPr>
        <w:br w:type="page"/>
      </w:r>
    </w:p>
    <w:p>
      <w:pPr>
        <w:pStyle w:val="3"/>
        <w:jc w:val="center"/>
        <w:rPr>
          <w:rFonts w:hint="eastAsia" w:ascii="宋体" w:hAnsi="宋体" w:eastAsia="宋体" w:cs="宋体"/>
          <w:b w:val="0"/>
          <w:bCs w:val="0"/>
          <w:color w:val="auto"/>
          <w:highlight w:val="none"/>
        </w:rPr>
      </w:pPr>
      <w:bookmarkStart w:id="151" w:name="_Toc24786"/>
      <w:bookmarkStart w:id="152" w:name="_Toc80886947"/>
      <w:bookmarkStart w:id="153" w:name="_Toc15154"/>
      <w:bookmarkStart w:id="154" w:name="_Toc9343"/>
      <w:bookmarkStart w:id="155" w:name="_Toc15161"/>
      <w:bookmarkStart w:id="156" w:name="_Toc4005"/>
      <w:bookmarkStart w:id="157" w:name="_Toc18676"/>
      <w:bookmarkStart w:id="158" w:name="_Toc12748"/>
    </w:p>
    <w:p>
      <w:pPr>
        <w:pStyle w:val="3"/>
        <w:jc w:val="center"/>
        <w:rPr>
          <w:rFonts w:hint="eastAsia" w:ascii="宋体" w:hAnsi="宋体" w:eastAsia="宋体" w:cs="宋体"/>
          <w:b w:val="0"/>
          <w:bCs w:val="0"/>
          <w:color w:val="auto"/>
          <w:highlight w:val="none"/>
        </w:rPr>
      </w:pPr>
    </w:p>
    <w:p>
      <w:pPr>
        <w:pStyle w:val="3"/>
        <w:jc w:val="center"/>
        <w:rPr>
          <w:rFonts w:hint="eastAsia" w:ascii="宋体" w:hAnsi="宋体" w:eastAsia="宋体" w:cs="宋体"/>
          <w:b w:val="0"/>
          <w:bCs w:val="0"/>
          <w:color w:val="auto"/>
          <w:highlight w:val="none"/>
        </w:rPr>
      </w:pPr>
    </w:p>
    <w:p>
      <w:pPr>
        <w:pStyle w:val="3"/>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第六章  合同文本</w:t>
      </w:r>
      <w:bookmarkEnd w:id="151"/>
      <w:bookmarkEnd w:id="152"/>
      <w:bookmarkEnd w:id="153"/>
      <w:bookmarkEnd w:id="154"/>
      <w:bookmarkEnd w:id="155"/>
      <w:bookmarkEnd w:id="156"/>
      <w:bookmarkEnd w:id="157"/>
    </w:p>
    <w:p>
      <w:pPr>
        <w:snapToGrid w:val="0"/>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br w:type="page"/>
      </w:r>
      <w:bookmarkEnd w:id="158"/>
    </w:p>
    <w:p>
      <w:pPr>
        <w:snapToGrid w:val="0"/>
        <w:spacing w:line="480" w:lineRule="exact"/>
        <w:jc w:val="center"/>
        <w:rPr>
          <w:rFonts w:hint="eastAsia" w:ascii="宋体" w:hAnsi="宋体" w:eastAsia="宋体" w:cs="宋体"/>
          <w:b/>
          <w:bCs/>
          <w:color w:val="auto"/>
          <w:sz w:val="32"/>
          <w:szCs w:val="32"/>
          <w:highlight w:val="none"/>
        </w:rPr>
      </w:pPr>
    </w:p>
    <w:p>
      <w:pPr>
        <w:snapToGrid w:val="0"/>
        <w:spacing w:line="48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《广西壮族自治区政府采购合同》</w:t>
      </w:r>
    </w:p>
    <w:p>
      <w:pPr>
        <w:snapToGrid w:val="0"/>
        <w:spacing w:line="480" w:lineRule="exact"/>
        <w:ind w:right="480" w:firstLine="5250" w:firstLineChars="2500"/>
        <w:rPr>
          <w:rFonts w:hint="eastAsia" w:ascii="宋体" w:hAnsi="宋体" w:eastAsia="宋体" w:cs="宋体"/>
          <w:bCs/>
          <w:color w:val="auto"/>
          <w:szCs w:val="21"/>
          <w:highlight w:val="none"/>
        </w:rPr>
      </w:pPr>
    </w:p>
    <w:p>
      <w:pPr>
        <w:spacing w:line="500" w:lineRule="exact"/>
        <w:ind w:right="8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Cs w:val="21"/>
          <w:highlight w:val="none"/>
          <w:u w:val="single"/>
        </w:rPr>
        <w:t>（是）</w:t>
      </w:r>
      <w:r>
        <w:rPr>
          <w:rFonts w:hint="eastAsia" w:ascii="宋体" w:hAnsi="宋体" w:eastAsia="宋体" w:cs="宋体"/>
          <w:color w:val="auto"/>
          <w:szCs w:val="21"/>
          <w:highlight w:val="none"/>
        </w:rPr>
        <w:t>。</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根据《中华人民共和国政府采购法》、《中华人民共和国民法典》等法律、法规规定，按照采购文件规定条款和乙方响应文件及其承诺，甲乙双方签订本合同。</w:t>
      </w: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1、服务内容一览表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w:t>
            </w:r>
          </w:p>
        </w:tc>
        <w:tc>
          <w:tcPr>
            <w:tcW w:w="180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服务内容、标准</w:t>
            </w:r>
          </w:p>
        </w:tc>
        <w:tc>
          <w:tcPr>
            <w:tcW w:w="126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6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44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价</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1260"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snapToGrid w:val="0"/>
              <w:spacing w:line="360" w:lineRule="auto"/>
              <w:rPr>
                <w:rFonts w:hint="eastAsia" w:ascii="宋体" w:hAnsi="宋体" w:eastAsia="宋体" w:cs="宋体"/>
                <w:color w:val="auto"/>
                <w:szCs w:val="21"/>
                <w:highlight w:val="none"/>
              </w:rPr>
            </w:pPr>
          </w:p>
        </w:tc>
        <w:tc>
          <w:tcPr>
            <w:tcW w:w="1620" w:type="dxa"/>
            <w:vAlign w:val="center"/>
          </w:tcPr>
          <w:p>
            <w:pPr>
              <w:snapToGrid w:val="0"/>
              <w:spacing w:line="360" w:lineRule="auto"/>
              <w:rPr>
                <w:rFonts w:hint="eastAsia" w:ascii="宋体" w:hAnsi="宋体" w:eastAsia="宋体" w:cs="宋体"/>
                <w:color w:val="auto"/>
                <w:szCs w:val="21"/>
                <w:highlight w:val="none"/>
              </w:rPr>
            </w:pPr>
          </w:p>
        </w:tc>
        <w:tc>
          <w:tcPr>
            <w:tcW w:w="1800" w:type="dxa"/>
            <w:vAlign w:val="center"/>
          </w:tcPr>
          <w:p>
            <w:pPr>
              <w:snapToGrid w:val="0"/>
              <w:spacing w:line="360" w:lineRule="auto"/>
              <w:rPr>
                <w:rFonts w:hint="eastAsia" w:ascii="宋体" w:hAnsi="宋体" w:eastAsia="宋体" w:cs="宋体"/>
                <w:color w:val="auto"/>
                <w:szCs w:val="21"/>
                <w:highlight w:val="none"/>
              </w:rPr>
            </w:pPr>
          </w:p>
        </w:tc>
        <w:tc>
          <w:tcPr>
            <w:tcW w:w="1260" w:type="dxa"/>
          </w:tcPr>
          <w:p>
            <w:pPr>
              <w:snapToGrid w:val="0"/>
              <w:spacing w:line="360" w:lineRule="auto"/>
              <w:rPr>
                <w:rFonts w:hint="eastAsia" w:ascii="宋体" w:hAnsi="宋体" w:eastAsia="宋体" w:cs="宋体"/>
                <w:color w:val="auto"/>
                <w:szCs w:val="21"/>
                <w:highlight w:val="none"/>
              </w:rPr>
            </w:pPr>
          </w:p>
        </w:tc>
        <w:tc>
          <w:tcPr>
            <w:tcW w:w="1260" w:type="dxa"/>
          </w:tcPr>
          <w:p>
            <w:pPr>
              <w:snapToGrid w:val="0"/>
              <w:spacing w:line="360" w:lineRule="auto"/>
              <w:rPr>
                <w:rFonts w:hint="eastAsia" w:ascii="宋体" w:hAnsi="宋体" w:eastAsia="宋体" w:cs="宋体"/>
                <w:color w:val="auto"/>
                <w:szCs w:val="21"/>
                <w:highlight w:val="none"/>
              </w:rPr>
            </w:pPr>
          </w:p>
        </w:tc>
        <w:tc>
          <w:tcPr>
            <w:tcW w:w="1440" w:type="dxa"/>
            <w:vAlign w:val="center"/>
          </w:tcPr>
          <w:p>
            <w:pPr>
              <w:snapToGrid w:val="0"/>
              <w:spacing w:line="360" w:lineRule="auto"/>
              <w:rPr>
                <w:rFonts w:hint="eastAsia" w:ascii="宋体" w:hAnsi="宋体" w:eastAsia="宋体" w:cs="宋体"/>
                <w:color w:val="auto"/>
                <w:szCs w:val="21"/>
                <w:highlight w:val="none"/>
              </w:rPr>
            </w:pPr>
          </w:p>
        </w:tc>
        <w:tc>
          <w:tcPr>
            <w:tcW w:w="1260" w:type="dxa"/>
            <w:vAlign w:val="center"/>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snapToGrid w:val="0"/>
              <w:spacing w:line="360" w:lineRule="auto"/>
              <w:rPr>
                <w:rFonts w:hint="eastAsia" w:ascii="宋体" w:hAnsi="宋体" w:eastAsia="宋体" w:cs="宋体"/>
                <w:color w:val="auto"/>
                <w:szCs w:val="21"/>
                <w:highlight w:val="none"/>
              </w:rPr>
            </w:pPr>
          </w:p>
        </w:tc>
        <w:tc>
          <w:tcPr>
            <w:tcW w:w="1620" w:type="dxa"/>
            <w:vAlign w:val="center"/>
          </w:tcPr>
          <w:p>
            <w:pPr>
              <w:snapToGrid w:val="0"/>
              <w:spacing w:line="360" w:lineRule="auto"/>
              <w:rPr>
                <w:rFonts w:hint="eastAsia" w:ascii="宋体" w:hAnsi="宋体" w:eastAsia="宋体" w:cs="宋体"/>
                <w:color w:val="auto"/>
                <w:szCs w:val="21"/>
                <w:highlight w:val="none"/>
              </w:rPr>
            </w:pPr>
          </w:p>
        </w:tc>
        <w:tc>
          <w:tcPr>
            <w:tcW w:w="1800" w:type="dxa"/>
            <w:vAlign w:val="center"/>
          </w:tcPr>
          <w:p>
            <w:pPr>
              <w:snapToGrid w:val="0"/>
              <w:spacing w:line="360" w:lineRule="auto"/>
              <w:rPr>
                <w:rFonts w:hint="eastAsia" w:ascii="宋体" w:hAnsi="宋体" w:eastAsia="宋体" w:cs="宋体"/>
                <w:color w:val="auto"/>
                <w:szCs w:val="21"/>
                <w:highlight w:val="none"/>
              </w:rPr>
            </w:pPr>
          </w:p>
        </w:tc>
        <w:tc>
          <w:tcPr>
            <w:tcW w:w="1260" w:type="dxa"/>
          </w:tcPr>
          <w:p>
            <w:pPr>
              <w:snapToGrid w:val="0"/>
              <w:spacing w:line="360" w:lineRule="auto"/>
              <w:rPr>
                <w:rFonts w:hint="eastAsia" w:ascii="宋体" w:hAnsi="宋体" w:eastAsia="宋体" w:cs="宋体"/>
                <w:color w:val="auto"/>
                <w:szCs w:val="21"/>
                <w:highlight w:val="none"/>
              </w:rPr>
            </w:pPr>
          </w:p>
        </w:tc>
        <w:tc>
          <w:tcPr>
            <w:tcW w:w="1260" w:type="dxa"/>
          </w:tcPr>
          <w:p>
            <w:pPr>
              <w:snapToGrid w:val="0"/>
              <w:spacing w:line="360" w:lineRule="auto"/>
              <w:rPr>
                <w:rFonts w:hint="eastAsia" w:ascii="宋体" w:hAnsi="宋体" w:eastAsia="宋体" w:cs="宋体"/>
                <w:color w:val="auto"/>
                <w:szCs w:val="21"/>
                <w:highlight w:val="none"/>
              </w:rPr>
            </w:pPr>
          </w:p>
        </w:tc>
        <w:tc>
          <w:tcPr>
            <w:tcW w:w="1440" w:type="dxa"/>
            <w:vAlign w:val="center"/>
          </w:tcPr>
          <w:p>
            <w:pPr>
              <w:snapToGrid w:val="0"/>
              <w:spacing w:line="360" w:lineRule="auto"/>
              <w:rPr>
                <w:rFonts w:hint="eastAsia" w:ascii="宋体" w:hAnsi="宋体" w:eastAsia="宋体" w:cs="宋体"/>
                <w:color w:val="auto"/>
                <w:szCs w:val="21"/>
                <w:highlight w:val="none"/>
              </w:rPr>
            </w:pPr>
          </w:p>
        </w:tc>
        <w:tc>
          <w:tcPr>
            <w:tcW w:w="1260" w:type="dxa"/>
            <w:vAlign w:val="center"/>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0" w:type="dxa"/>
            <w:gridSpan w:val="7"/>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人民币合计金额（大写）                          （小写）                 </w:t>
            </w:r>
          </w:p>
        </w:tc>
      </w:tr>
    </w:tbl>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 质量保证</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所提供的服务及服务内容必须与投标文件承诺相一致，有研发、开发等相关实施团队驻场进行开发实施服务，有国家强制性标准的，还必须符合国家强制性标准的规定，没有国家强制性标准但有其他强制性标准的，必须符合其他强制性标准的规定。</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 权利保证</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1、乙方应保证所提供服务在使用时不会侵犯任何第三方的专利权、商标权、工业设计权等知识产权及其他合法权利，且所有权、处分权等没有受到任何限制。</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服务期间须按照国家网络安全及信息保密安全有关管理规定做好网络安全保密工作。指定具体网络安全责任人，建立独立的管理技术团队负责项目实施过程中的网络安全管理。网络安全责任人及工作人员有变更、乙方工作人员有业务转型或乙方因自身原因有合并重组等的须提前向甲方进行书面说明，未经甲方同意，乙方不得私自将在甲方工作期间的项目任务进行分包、转包。</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服务期间涉及的政务数据和其他数据须分开处理，不得自私将工作中处理的数据进行变更处理。成交供应商在服务期间处理数据，涉及到个人信息时，须按照国家个人信息保护相关管理规定，做好数据处理存储工作。甲方具有所有权、使用权和访问权，采购人不得私自更改、访问、利用和销毁服务期间涉及到的政务数据信息。</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5、做好网络安全漏洞检查，发现安全漏洞、缺陷及安全风险须及时通报甲方，并形成报告向区网信、公安部门报告，安全漏洞未经网信、公安部门同意，不得向第三人公开。</w:t>
      </w:r>
    </w:p>
    <w:p>
      <w:pPr>
        <w:widowControl/>
        <w:adjustRightInd w:val="0"/>
        <w:snapToGrid w:val="0"/>
        <w:spacing w:line="41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6、处理数据时优先使用国产安全可信的硬件软件产品，硬软件信息系统须按照国家密码管理要求设置不限于数字字母特殊字符组合的强口令的密码。</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 交付和验收</w:t>
      </w:r>
    </w:p>
    <w:p>
      <w:pPr>
        <w:widowControl/>
        <w:adjustRightInd w:val="0"/>
        <w:snapToGrid w:val="0"/>
        <w:spacing w:line="41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1、服务期限：</w:t>
      </w:r>
      <w:r>
        <w:rPr>
          <w:rFonts w:hint="eastAsia" w:ascii="宋体" w:hAnsi="宋体" w:eastAsia="宋体" w:cs="宋体"/>
          <w:color w:val="auto"/>
          <w:kern w:val="0"/>
          <w:szCs w:val="21"/>
          <w:highlight w:val="none"/>
          <w:u w:val="single"/>
        </w:rPr>
        <w:t xml:space="preserve">     年    月   日起至    年    月   日止。</w:t>
      </w:r>
    </w:p>
    <w:p>
      <w:pPr>
        <w:widowControl/>
        <w:adjustRightInd w:val="0"/>
        <w:snapToGrid w:val="0"/>
        <w:spacing w:line="41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2、服务地点：</w:t>
      </w:r>
      <w:r>
        <w:rPr>
          <w:rFonts w:hint="eastAsia" w:ascii="宋体" w:hAnsi="宋体" w:eastAsia="宋体" w:cs="宋体"/>
          <w:color w:val="auto"/>
          <w:szCs w:val="21"/>
          <w:highlight w:val="none"/>
        </w:rPr>
        <w:t>广西区内（甲方指定地点）</w:t>
      </w:r>
      <w:r>
        <w:rPr>
          <w:rFonts w:hint="eastAsia" w:ascii="宋体" w:hAnsi="宋体" w:eastAsia="宋体" w:cs="宋体"/>
          <w:color w:val="auto"/>
          <w:kern w:val="0"/>
          <w:szCs w:val="21"/>
          <w:highlight w:val="none"/>
        </w:rPr>
        <w:t>。</w:t>
      </w:r>
    </w:p>
    <w:p>
      <w:pPr>
        <w:widowControl/>
        <w:adjustRightInd w:val="0"/>
        <w:snapToGrid w:val="0"/>
        <w:spacing w:line="41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3、乙方应按投标文件的承诺向甲方提供相应的服务，并提供所服务内容的相关技术资料。</w:t>
      </w:r>
    </w:p>
    <w:p>
      <w:pPr>
        <w:widowControl/>
        <w:adjustRightInd w:val="0"/>
        <w:snapToGrid w:val="0"/>
        <w:spacing w:line="41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4、乙方提供不符合投标文件和本合同规定的服务成果，甲方有权拒绝接受。</w:t>
      </w:r>
    </w:p>
    <w:p>
      <w:pPr>
        <w:widowControl/>
        <w:adjustRightInd w:val="0"/>
        <w:snapToGrid w:val="0"/>
        <w:spacing w:line="41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5、乙方完成应及时书面通知甲方进行验收，甲方应在收到通知后七个工作日内进行验收，逾期不开始验收的，乙方可视同验收合格。验收合格后由甲乙双方签署验收单并加盖采购人公章，甲乙双方各执一份。</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6、甲乙双方应按照《广西壮族自治区政府采购项目履约验收管理办法》、双方合同、投标文件验收。</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甲方在初步验收或者最终验收过程中如发现乙方提供的服务成果不满足投标文件及本合同规定的，暂不退还乙方缴纳的履约保证金，直到乙方及时完善并提交相应的服务成果且经甲方验收合格后，方可办理履约保证金退还。</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8、甲方验收时以书面形式提出异议的，乙方应自收到甲方书面异议后五个工作日内及时予以解决，否则甲方有权不出具服务验收合格单。</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甲方可对系统平台对接、接口互通、数据上报、数据校验等功能进行验证，验证结果达不到招标文件预期效果及功能不满足的，经双方协商无效后按违约处理，同时甲方有权上报相关监督管理部门，由此造成甲方损失的由乙方负责承担全部赔偿责任。</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10、乙方交付物应包含但不限于平台系统开发的源代码、系统管理员账号、配置或操作文档、标准接口文档、数据库表结构等内容 。</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  售后服务及培训</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1、乙方应按照国家有关法律法规和本合同所附的《售后服务承诺》要求为甲方提供相应的售后服务。</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2、甲方应提供必要测试条件（如场地、电源、水源等）。</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3、乙方负责甲方有关人员的培训。培训时间、地点：</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widowControl/>
        <w:adjustRightInd w:val="0"/>
        <w:snapToGrid w:val="0"/>
        <w:spacing w:line="410" w:lineRule="exact"/>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第六条 付款方式</w:t>
      </w:r>
    </w:p>
    <w:p>
      <w:pPr>
        <w:widowControl/>
        <w:adjustRightInd w:val="0"/>
        <w:snapToGrid w:val="0"/>
        <w:spacing w:line="410" w:lineRule="exact"/>
        <w:ind w:firstLine="315" w:firstLineChars="150"/>
        <w:jc w:val="left"/>
        <w:outlineLvl w:val="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付款方式：本项目为一采多年项目，分两年共三笔支付，签订合同后十个工作日内，</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支付合同金额的第一笔款项80万元，完成服务能力验收后十个工作日内支付合同金额的第二笔款项29.77万元，剩余合同金额第三笔款项在2025年3月31日前支付，</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自收到合同价款之日起五个工作日内，开具发票给</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 履约保证金</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履约保证金金额：按中标金额的</w:t>
      </w:r>
      <w:r>
        <w:rPr>
          <w:rFonts w:hint="eastAsia" w:ascii="宋体" w:hAnsi="宋体" w:eastAsia="宋体" w:cs="宋体"/>
          <w:color w:val="auto"/>
          <w:kern w:val="0"/>
          <w:szCs w:val="21"/>
          <w:highlight w:val="none"/>
          <w:u w:val="single"/>
        </w:rPr>
        <w:t xml:space="preserve"> 2 </w:t>
      </w:r>
      <w:r>
        <w:rPr>
          <w:rFonts w:hint="eastAsia" w:ascii="宋体" w:hAnsi="宋体" w:eastAsia="宋体" w:cs="宋体"/>
          <w:color w:val="auto"/>
          <w:kern w:val="0"/>
          <w:szCs w:val="21"/>
          <w:highlight w:val="none"/>
        </w:rPr>
        <w:t>%，乙方在合同签订后3个工作日内支付给甲方。</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退付方式、时间及条件：由成交供应商向履约保证金收取单位提供《广西壮族自治区政府采购项目合同验收书》（详见桂财采〔2015〕22号），保证金收取单位在收到合格材料后5个工作日内办理退还手续（不计利息）。</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履约保证金指定账户：</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开户名称：广西壮族自治区道路运输发展中心</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银行账户：2102101109221017081</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开户银行：工行南宁市公园支行</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行号：102611010117</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  税费</w:t>
      </w:r>
    </w:p>
    <w:p>
      <w:pPr>
        <w:widowControl/>
        <w:adjustRightInd w:val="0"/>
        <w:snapToGrid w:val="0"/>
        <w:spacing w:line="41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本合同执行中相关的一切税费均由乙方负担，合同另有约定的除外。</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 违约责任</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2、乙方提供的服务如侵犯了第三方合法权益而引发的任何纠纷或者诉讼，均由乙方负责交涉并承担全部责任。</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3、甲方延期付款的，每天向乙方偿付延期款额3‰滞纳金，但滞纳金累计不得超过延期款额5%。</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  不可抗力事件处理</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1、在合同有效期内，任何一方因不可抗力事件导致不能履行合同，则合同履行期可延长，其延长期与不可抗力影响期相同。</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2、不可抗力事件发生后，应立即通知对方，并寄送有关权威机构出具的证明。</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3、不可抗力事件延续一百二十天以上，双方应通过友好协商，确定是否继续履行合同。</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  合同争议解决</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1、因服务质量问题发生争议的，应邀请国家认可的质量检测机构进行鉴定。服务符合标准的，鉴定费由甲方承担；服务不符合标准的，鉴定费由乙方承担。</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2、因履行本合同引起的或者与本合同有关的争议，甲乙双方应首先通过友好协商解决，如果协商不能解决，向甲方所在地有管辖权人民法院提起诉讼。</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3、诉讼期间，本合同继续履行。</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  合同生效及其它</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1、合同自双方法定代表人或者授权代表签字并加盖单位公章之日起生效（委托代理人签字的需后附法定代表人授权委托书，格式自拟）。</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2、合同执行中涉及采购资金和采购内容修改或者补充的，须经财政部门审批，并签书面补充协议报财政部门备案，方可作为主合同不可分割的一部分。</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3、本合同未尽事宜，遵照《中华人民共和国民法典》有关条文执行。</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 合同的变更、终止与转让</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1、除《中华人民共和国政府采购法》第五十条规定的情形外，本合同一经签订，甲乙双方不得擅自变更、中止或者终止。</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2、乙方不得擅自转让其应履行的合同义务。</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第十四条 签订本合同依据</w:t>
      </w:r>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bookmarkStart w:id="159" w:name="_Toc9541_WPSOffice_Level2"/>
      <w:bookmarkStart w:id="160" w:name="_Toc9624_WPSOffice_Level2"/>
      <w:r>
        <w:rPr>
          <w:rFonts w:hint="eastAsia" w:ascii="宋体" w:hAnsi="宋体" w:eastAsia="宋体" w:cs="宋体"/>
          <w:color w:val="auto"/>
          <w:kern w:val="0"/>
          <w:szCs w:val="21"/>
          <w:highlight w:val="none"/>
        </w:rPr>
        <w:t>1、政府采购竞争性磋商文件；</w:t>
      </w:r>
      <w:bookmarkEnd w:id="159"/>
      <w:bookmarkEnd w:id="160"/>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bookmarkStart w:id="161" w:name="_Toc25725_WPSOffice_Level2"/>
      <w:bookmarkStart w:id="162" w:name="_Toc16872_WPSOffice_Level2"/>
      <w:r>
        <w:rPr>
          <w:rFonts w:hint="eastAsia" w:ascii="宋体" w:hAnsi="宋体" w:eastAsia="宋体" w:cs="宋体"/>
          <w:color w:val="auto"/>
          <w:kern w:val="0"/>
          <w:szCs w:val="21"/>
          <w:highlight w:val="none"/>
        </w:rPr>
        <w:t>2、乙方提供的采购响应（或应答）文件；</w:t>
      </w:r>
      <w:bookmarkEnd w:id="161"/>
      <w:bookmarkEnd w:id="162"/>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bookmarkStart w:id="163" w:name="_Toc32077_WPSOffice_Level2"/>
      <w:bookmarkStart w:id="164" w:name="_Toc11025_WPSOffice_Level2"/>
      <w:r>
        <w:rPr>
          <w:rFonts w:hint="eastAsia" w:ascii="宋体" w:hAnsi="宋体" w:eastAsia="宋体" w:cs="宋体"/>
          <w:color w:val="auto"/>
          <w:kern w:val="0"/>
          <w:szCs w:val="21"/>
          <w:highlight w:val="none"/>
        </w:rPr>
        <w:t>3、成交通知书。</w:t>
      </w:r>
      <w:bookmarkEnd w:id="163"/>
      <w:bookmarkEnd w:id="164"/>
    </w:p>
    <w:p>
      <w:pPr>
        <w:widowControl/>
        <w:adjustRightInd w:val="0"/>
        <w:snapToGrid w:val="0"/>
        <w:spacing w:line="410" w:lineRule="exact"/>
        <w:ind w:firstLine="315" w:firstLineChars="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4、上述合同文件互相补充和解释。如果合同文件之间存在矛盾或者不一致之处，以上述文件的排列顺序在先者为准。</w:t>
      </w:r>
    </w:p>
    <w:p>
      <w:pPr>
        <w:widowControl/>
        <w:adjustRightInd w:val="0"/>
        <w:snapToGrid w:val="0"/>
        <w:spacing w:line="41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第十五条 本合同一式六份，具有同等法律效力，财政部门（政府采购监管部门）、采购代理机构各一份，甲乙双方各两份（可根据需要另增加）。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本合同自签订之日起2个工作日内，由采购代理机构将采购合同在广西壮族自治区财政厅指定的媒体上公告。</w:t>
      </w:r>
    </w:p>
    <w:tbl>
      <w:tblPr>
        <w:tblStyle w:val="31"/>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p>
          <w:p>
            <w:pPr>
              <w:snapToGrid w:val="0"/>
              <w:spacing w:line="360" w:lineRule="auto"/>
              <w:ind w:firstLine="945" w:firstLineChars="4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pPr>
              <w:snapToGrid w:val="0"/>
              <w:spacing w:line="360" w:lineRule="auto"/>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line="360" w:lineRule="auto"/>
              <w:jc w:val="right"/>
              <w:rPr>
                <w:rFonts w:hint="eastAsia" w:ascii="宋体" w:hAnsi="宋体" w:eastAsia="宋体" w:cs="宋体"/>
                <w:color w:val="auto"/>
                <w:szCs w:val="21"/>
                <w:highlight w:val="none"/>
              </w:rPr>
            </w:pP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bookmarkStart w:id="165" w:name="_Toc28283"/>
            <w:bookmarkStart w:id="166" w:name="_Toc80886951"/>
            <w:bookmarkStart w:id="167" w:name="_Toc8963"/>
            <w:bookmarkStart w:id="168" w:name="_Toc29624"/>
            <w:bookmarkStart w:id="169" w:name="_Toc178"/>
            <w:bookmarkStart w:id="170" w:name="_Toc610"/>
            <w:bookmarkStart w:id="171" w:name="_Toc20915"/>
            <w:bookmarkStart w:id="172" w:name="_Toc13011"/>
            <w:r>
              <w:rPr>
                <w:rFonts w:hint="eastAsia" w:ascii="宋体" w:hAnsi="宋体" w:eastAsia="宋体" w:cs="宋体"/>
                <w:color w:val="auto"/>
                <w:szCs w:val="21"/>
                <w:highlight w:val="none"/>
              </w:rPr>
              <w:t>纳税人识别号或统一社会信用代码</w:t>
            </w:r>
            <w:r>
              <w:rPr>
                <w:rFonts w:hint="eastAsia" w:ascii="宋体" w:hAnsi="宋体" w:eastAsia="宋体" w:cs="宋体"/>
                <w:color w:val="auto"/>
                <w:szCs w:val="21"/>
                <w:highlight w:val="none"/>
                <w:lang w:eastAsia="zh-CN"/>
              </w:rPr>
              <w:t>：</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r>
              <w:rPr>
                <w:rFonts w:hint="eastAsia" w:ascii="宋体" w:hAnsi="宋体" w:eastAsia="宋体" w:cs="宋体"/>
                <w:color w:val="auto"/>
                <w:szCs w:val="21"/>
                <w:highlight w:val="none"/>
                <w:lang w:eastAsia="zh-CN"/>
              </w:rPr>
              <w:t>：</w:t>
            </w:r>
          </w:p>
        </w:tc>
      </w:tr>
    </w:tbl>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jc w:val="center"/>
        <w:rPr>
          <w:rFonts w:hint="eastAsia" w:ascii="宋体" w:hAnsi="宋体" w:eastAsia="宋体" w:cs="宋体"/>
          <w:color w:val="auto"/>
          <w:highlight w:val="none"/>
        </w:rPr>
        <w:sectPr>
          <w:pgSz w:w="11911" w:h="16838"/>
          <w:pgMar w:top="1134" w:right="1134" w:bottom="1134" w:left="1134" w:header="720" w:footer="720" w:gutter="0"/>
          <w:cols w:space="720" w:num="1"/>
        </w:sectPr>
      </w:pPr>
      <w:r>
        <w:rPr>
          <w:rFonts w:hint="eastAsia" w:ascii="宋体" w:hAnsi="宋体" w:eastAsia="宋体" w:cs="宋体"/>
          <w:b w:val="0"/>
          <w:color w:val="auto"/>
          <w:highlight w:val="none"/>
        </w:rPr>
        <w:t>第七章 质疑、投诉材料格式</w:t>
      </w:r>
      <w:bookmarkEnd w:id="165"/>
      <w:bookmarkEnd w:id="166"/>
      <w:bookmarkEnd w:id="167"/>
      <w:bookmarkEnd w:id="168"/>
      <w:bookmarkEnd w:id="169"/>
      <w:bookmarkEnd w:id="170"/>
      <w:bookmarkEnd w:id="171"/>
      <w:bookmarkEnd w:id="172"/>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pPr>
        <w:spacing w:line="360" w:lineRule="auto"/>
        <w:ind w:left="25" w:leftChars="12" w:firstLine="352" w:firstLineChars="147"/>
        <w:contextualSpacing/>
        <w:rPr>
          <w:rFonts w:hint="eastAsia" w:ascii="宋体" w:hAnsi="宋体" w:eastAsia="宋体" w:cs="宋体"/>
          <w:color w:val="auto"/>
          <w:kern w:val="0"/>
          <w:sz w:val="24"/>
          <w:highlight w:val="none"/>
        </w:rPr>
      </w:pP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pPr>
        <w:spacing w:line="360" w:lineRule="auto"/>
        <w:ind w:left="25" w:leftChars="12" w:firstLine="352" w:firstLineChars="147"/>
        <w:contextualSpacing/>
        <w:rPr>
          <w:rFonts w:hint="eastAsia" w:ascii="宋体" w:hAnsi="宋体" w:eastAsia="宋体" w:cs="宋体"/>
          <w:color w:val="auto"/>
          <w:kern w:val="0"/>
          <w:sz w:val="24"/>
          <w:highlight w:val="none"/>
        </w:rPr>
      </w:pPr>
    </w:p>
    <w:p>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pPr>
        <w:spacing w:line="360" w:lineRule="auto"/>
        <w:contextualSpacing/>
        <w:rPr>
          <w:rFonts w:hint="eastAsia" w:ascii="宋体" w:hAnsi="宋体" w:eastAsia="宋体" w:cs="宋体"/>
          <w:b/>
          <w:color w:val="auto"/>
          <w:kern w:val="0"/>
          <w:sz w:val="24"/>
          <w:highlight w:val="none"/>
        </w:rPr>
      </w:pPr>
    </w:p>
    <w:p>
      <w:pPr>
        <w:spacing w:line="360" w:lineRule="auto"/>
        <w:contextualSpacing/>
        <w:rPr>
          <w:rFonts w:hint="eastAsia" w:ascii="宋体" w:hAnsi="宋体" w:eastAsia="宋体" w:cs="宋体"/>
          <w:b/>
          <w:color w:val="auto"/>
          <w:kern w:val="0"/>
          <w:sz w:val="24"/>
          <w:highlight w:val="none"/>
        </w:rPr>
      </w:pPr>
    </w:p>
    <w:p>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pPr>
        <w:snapToGrid w:val="0"/>
        <w:rPr>
          <w:rFonts w:hint="eastAsia" w:ascii="宋体" w:hAnsi="宋体" w:eastAsia="宋体" w:cs="宋体"/>
          <w:b/>
          <w:color w:val="auto"/>
          <w:kern w:val="0"/>
          <w:sz w:val="2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采购文件公告：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采购人/采购代理机构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pPr>
        <w:spacing w:line="360" w:lineRule="auto"/>
        <w:ind w:left="25" w:leftChars="12" w:firstLine="352" w:firstLineChars="147"/>
        <w:rPr>
          <w:rFonts w:hint="eastAsia" w:ascii="宋体" w:hAnsi="宋体" w:eastAsia="宋体" w:cs="宋体"/>
          <w:color w:val="auto"/>
          <w:kern w:val="0"/>
          <w:sz w:val="24"/>
          <w:highlight w:val="none"/>
        </w:rPr>
      </w:pP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pPr>
        <w:spacing w:line="360" w:lineRule="auto"/>
        <w:ind w:left="25" w:leftChars="12" w:firstLine="352" w:firstLineChars="147"/>
        <w:rPr>
          <w:rFonts w:hint="eastAsia" w:ascii="宋体" w:hAnsi="宋体" w:eastAsia="宋体" w:cs="宋体"/>
          <w:color w:val="auto"/>
          <w:kern w:val="0"/>
          <w:sz w:val="24"/>
          <w:highlight w:val="none"/>
        </w:rPr>
      </w:pP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pPr>
        <w:snapToGrid w:val="0"/>
        <w:spacing w:line="360" w:lineRule="auto"/>
        <w:rPr>
          <w:rFonts w:hint="eastAsia" w:ascii="宋体" w:hAnsi="宋体" w:eastAsia="宋体" w:cs="宋体"/>
          <w:b/>
          <w:color w:val="auto"/>
          <w:kern w:val="0"/>
          <w:sz w:val="24"/>
          <w:highlight w:val="none"/>
        </w:rPr>
      </w:pPr>
    </w:p>
    <w:p>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pPr>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pPr>
        <w:rPr>
          <w:rFonts w:hint="eastAsia" w:ascii="宋体" w:hAnsi="宋体" w:eastAsia="宋体" w:cs="宋体"/>
          <w:color w:val="auto"/>
          <w:highlight w:val="none"/>
        </w:rPr>
      </w:pPr>
    </w:p>
    <w:sectPr>
      <w:headerReference r:id="rId13" w:type="default"/>
      <w:footerReference r:id="rId14"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1654585-E031-4403-9B41-853AC243ABD8}"/>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embedRegular r:id="rId2" w:fontKey="{CB801888-D863-4CE4-9D92-8CC45B28FCC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pPr>
      <w:pStyle w:val="24"/>
      <w:pBdr>
        <w:bottom w:val="none" w:color="auto" w:sz="0" w:space="1"/>
      </w:pBdr>
      <w:rPr>
        <w:rFonts w:ascii="Calibri" w:hAnsi="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YjBmODIzN2YyMDMzMDU2MWRmZTlmNjAxYzk0Nj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296"/>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33F"/>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B798A"/>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6B0"/>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6A68"/>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3531"/>
    <w:rsid w:val="003E43D3"/>
    <w:rsid w:val="003E48E1"/>
    <w:rsid w:val="003E4B2A"/>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3995"/>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5AF2"/>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0AF"/>
    <w:rsid w:val="006942AE"/>
    <w:rsid w:val="00695421"/>
    <w:rsid w:val="00695D7E"/>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5B3"/>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2653"/>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3E48"/>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1718C"/>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6A70"/>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1DA3"/>
    <w:rsid w:val="0098243D"/>
    <w:rsid w:val="00982D26"/>
    <w:rsid w:val="00983B6E"/>
    <w:rsid w:val="00983FE5"/>
    <w:rsid w:val="009849E9"/>
    <w:rsid w:val="009859E4"/>
    <w:rsid w:val="00987812"/>
    <w:rsid w:val="0098789B"/>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8DA"/>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1E6"/>
    <w:rsid w:val="00BD5CD4"/>
    <w:rsid w:val="00BD65D9"/>
    <w:rsid w:val="00BD6DF3"/>
    <w:rsid w:val="00BD6E09"/>
    <w:rsid w:val="00BD6EF9"/>
    <w:rsid w:val="00BD7AFB"/>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298B"/>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67A0B"/>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2B8"/>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60B"/>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2F8"/>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286A"/>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5F4E"/>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0E6"/>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5E79"/>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63C42"/>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902A30"/>
    <w:rsid w:val="049570A7"/>
    <w:rsid w:val="04B74446"/>
    <w:rsid w:val="04BA414C"/>
    <w:rsid w:val="04C505BB"/>
    <w:rsid w:val="04CD2CEE"/>
    <w:rsid w:val="04E87914"/>
    <w:rsid w:val="04FA60EF"/>
    <w:rsid w:val="04FC24D4"/>
    <w:rsid w:val="05023BEB"/>
    <w:rsid w:val="050E5E84"/>
    <w:rsid w:val="05102192"/>
    <w:rsid w:val="051724C9"/>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26EFD"/>
    <w:rsid w:val="07966D78"/>
    <w:rsid w:val="07A5201F"/>
    <w:rsid w:val="07B72767"/>
    <w:rsid w:val="07C23DE6"/>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95246A"/>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01A19"/>
    <w:rsid w:val="0F620A17"/>
    <w:rsid w:val="0F7543D3"/>
    <w:rsid w:val="0F7A6CDB"/>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D60C87"/>
    <w:rsid w:val="15EE508B"/>
    <w:rsid w:val="160F4148"/>
    <w:rsid w:val="162A25EB"/>
    <w:rsid w:val="16473933"/>
    <w:rsid w:val="168B7C8B"/>
    <w:rsid w:val="169F56FE"/>
    <w:rsid w:val="16A267A7"/>
    <w:rsid w:val="16BD6398"/>
    <w:rsid w:val="16BD6B43"/>
    <w:rsid w:val="16D31DF9"/>
    <w:rsid w:val="16D67838"/>
    <w:rsid w:val="16FD2A55"/>
    <w:rsid w:val="17067C1A"/>
    <w:rsid w:val="1720040C"/>
    <w:rsid w:val="172045B4"/>
    <w:rsid w:val="172F08F7"/>
    <w:rsid w:val="17366761"/>
    <w:rsid w:val="17393A34"/>
    <w:rsid w:val="173A76F6"/>
    <w:rsid w:val="175A043F"/>
    <w:rsid w:val="17672074"/>
    <w:rsid w:val="177C01F0"/>
    <w:rsid w:val="177E17B7"/>
    <w:rsid w:val="17935082"/>
    <w:rsid w:val="17A1706E"/>
    <w:rsid w:val="17C50D78"/>
    <w:rsid w:val="17CE6630"/>
    <w:rsid w:val="17D32A08"/>
    <w:rsid w:val="17EB3722"/>
    <w:rsid w:val="17EF65A5"/>
    <w:rsid w:val="17FA1D25"/>
    <w:rsid w:val="180E6351"/>
    <w:rsid w:val="1810355D"/>
    <w:rsid w:val="181235D5"/>
    <w:rsid w:val="18750DB1"/>
    <w:rsid w:val="187B48A5"/>
    <w:rsid w:val="187C2A7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614813"/>
    <w:rsid w:val="1A782658"/>
    <w:rsid w:val="1A7D68F1"/>
    <w:rsid w:val="1A8573D4"/>
    <w:rsid w:val="1A867FDC"/>
    <w:rsid w:val="1AB74F63"/>
    <w:rsid w:val="1AC3132A"/>
    <w:rsid w:val="1AE94689"/>
    <w:rsid w:val="1AEA2BE5"/>
    <w:rsid w:val="1AF65A4C"/>
    <w:rsid w:val="1AFF0AFE"/>
    <w:rsid w:val="1B34103B"/>
    <w:rsid w:val="1B39650C"/>
    <w:rsid w:val="1B4F19F8"/>
    <w:rsid w:val="1B5C2F75"/>
    <w:rsid w:val="1B6B7470"/>
    <w:rsid w:val="1BAE3D4C"/>
    <w:rsid w:val="1BC81E14"/>
    <w:rsid w:val="1BEE7729"/>
    <w:rsid w:val="1C100CC6"/>
    <w:rsid w:val="1C1A42E7"/>
    <w:rsid w:val="1C1F28DB"/>
    <w:rsid w:val="1C226F03"/>
    <w:rsid w:val="1C3F670D"/>
    <w:rsid w:val="1C55025E"/>
    <w:rsid w:val="1C9A50D4"/>
    <w:rsid w:val="1CA823CD"/>
    <w:rsid w:val="1CB515F6"/>
    <w:rsid w:val="1CDE1F2F"/>
    <w:rsid w:val="1CE61E5F"/>
    <w:rsid w:val="1CF93E51"/>
    <w:rsid w:val="1D1C46B8"/>
    <w:rsid w:val="1D3943AC"/>
    <w:rsid w:val="1D7C700E"/>
    <w:rsid w:val="1D805CF0"/>
    <w:rsid w:val="1D8F637F"/>
    <w:rsid w:val="1D996796"/>
    <w:rsid w:val="1DA07F2F"/>
    <w:rsid w:val="1DCB6FE9"/>
    <w:rsid w:val="1DD106A3"/>
    <w:rsid w:val="1DE75398"/>
    <w:rsid w:val="1E0450B5"/>
    <w:rsid w:val="1E2734BD"/>
    <w:rsid w:val="1E375346"/>
    <w:rsid w:val="1E657FE9"/>
    <w:rsid w:val="1E6B39C7"/>
    <w:rsid w:val="1E72152A"/>
    <w:rsid w:val="1E842C7C"/>
    <w:rsid w:val="1E8C24F9"/>
    <w:rsid w:val="1EA7798B"/>
    <w:rsid w:val="1ECC44FA"/>
    <w:rsid w:val="1ECE7147"/>
    <w:rsid w:val="1EDD4E34"/>
    <w:rsid w:val="1EE53F41"/>
    <w:rsid w:val="1F002542"/>
    <w:rsid w:val="1F063325"/>
    <w:rsid w:val="1F066139"/>
    <w:rsid w:val="1F206483"/>
    <w:rsid w:val="1F4D240C"/>
    <w:rsid w:val="1F50678E"/>
    <w:rsid w:val="1F6A3BA7"/>
    <w:rsid w:val="1F80168B"/>
    <w:rsid w:val="1F843156"/>
    <w:rsid w:val="1F885ACE"/>
    <w:rsid w:val="1F91158B"/>
    <w:rsid w:val="1FBC5DF5"/>
    <w:rsid w:val="1FC16863"/>
    <w:rsid w:val="1FDF2302"/>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25B07"/>
    <w:rsid w:val="211041C1"/>
    <w:rsid w:val="212B4272"/>
    <w:rsid w:val="21781212"/>
    <w:rsid w:val="21833156"/>
    <w:rsid w:val="21AB0864"/>
    <w:rsid w:val="21B83F86"/>
    <w:rsid w:val="21E069CE"/>
    <w:rsid w:val="22106A4D"/>
    <w:rsid w:val="221178A8"/>
    <w:rsid w:val="221213CF"/>
    <w:rsid w:val="22327A92"/>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C7D19"/>
    <w:rsid w:val="24B34021"/>
    <w:rsid w:val="24BE0ABD"/>
    <w:rsid w:val="24CB4B0D"/>
    <w:rsid w:val="24E91BBE"/>
    <w:rsid w:val="25110A2A"/>
    <w:rsid w:val="251513DA"/>
    <w:rsid w:val="251569DF"/>
    <w:rsid w:val="252F3220"/>
    <w:rsid w:val="25647DF0"/>
    <w:rsid w:val="256C0944"/>
    <w:rsid w:val="25773D5F"/>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3F26BC"/>
    <w:rsid w:val="28785F5E"/>
    <w:rsid w:val="2895115B"/>
    <w:rsid w:val="28BA46FA"/>
    <w:rsid w:val="28BE38E2"/>
    <w:rsid w:val="28F14595"/>
    <w:rsid w:val="29063629"/>
    <w:rsid w:val="291137B2"/>
    <w:rsid w:val="2913753A"/>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2636F"/>
    <w:rsid w:val="2B9D1BD3"/>
    <w:rsid w:val="2BC83AB9"/>
    <w:rsid w:val="2BD33847"/>
    <w:rsid w:val="2BEA293F"/>
    <w:rsid w:val="2BF5056F"/>
    <w:rsid w:val="2C01411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E6873"/>
    <w:rsid w:val="31B46ACE"/>
    <w:rsid w:val="31F51115"/>
    <w:rsid w:val="32003808"/>
    <w:rsid w:val="32172470"/>
    <w:rsid w:val="321A6930"/>
    <w:rsid w:val="32432DA9"/>
    <w:rsid w:val="32453A27"/>
    <w:rsid w:val="3263064A"/>
    <w:rsid w:val="3265766A"/>
    <w:rsid w:val="327D2533"/>
    <w:rsid w:val="329842A9"/>
    <w:rsid w:val="329B7A68"/>
    <w:rsid w:val="32A43132"/>
    <w:rsid w:val="32AB00DA"/>
    <w:rsid w:val="32AC0C06"/>
    <w:rsid w:val="32AD0CCA"/>
    <w:rsid w:val="32C33CD3"/>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D3BF2"/>
    <w:rsid w:val="386A2AA2"/>
    <w:rsid w:val="389430F0"/>
    <w:rsid w:val="38AC3431"/>
    <w:rsid w:val="38B9690B"/>
    <w:rsid w:val="38C26745"/>
    <w:rsid w:val="38CD0AA7"/>
    <w:rsid w:val="38E67108"/>
    <w:rsid w:val="38F06097"/>
    <w:rsid w:val="38FE35D2"/>
    <w:rsid w:val="39226DE8"/>
    <w:rsid w:val="392F2E16"/>
    <w:rsid w:val="39406F09"/>
    <w:rsid w:val="396554F4"/>
    <w:rsid w:val="39791C92"/>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62A0C"/>
    <w:rsid w:val="3AD71232"/>
    <w:rsid w:val="3ADB1C7A"/>
    <w:rsid w:val="3AF74C02"/>
    <w:rsid w:val="3B0754C5"/>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727629"/>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C9706E"/>
    <w:rsid w:val="3ED818CD"/>
    <w:rsid w:val="3EE13701"/>
    <w:rsid w:val="3EE25742"/>
    <w:rsid w:val="3F0C5D2F"/>
    <w:rsid w:val="3F144FB4"/>
    <w:rsid w:val="3F1A4BB3"/>
    <w:rsid w:val="3F372168"/>
    <w:rsid w:val="3F4A64D9"/>
    <w:rsid w:val="3F5017C4"/>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3E53CC0"/>
    <w:rsid w:val="44107EE3"/>
    <w:rsid w:val="441E62C0"/>
    <w:rsid w:val="44380293"/>
    <w:rsid w:val="443E50E2"/>
    <w:rsid w:val="44406167"/>
    <w:rsid w:val="444901FE"/>
    <w:rsid w:val="44967985"/>
    <w:rsid w:val="44974521"/>
    <w:rsid w:val="44FB65C3"/>
    <w:rsid w:val="45147341"/>
    <w:rsid w:val="45192471"/>
    <w:rsid w:val="452802B4"/>
    <w:rsid w:val="452F1A92"/>
    <w:rsid w:val="45325D14"/>
    <w:rsid w:val="453A5298"/>
    <w:rsid w:val="454F4D0B"/>
    <w:rsid w:val="456A5852"/>
    <w:rsid w:val="456B6447"/>
    <w:rsid w:val="457D0B54"/>
    <w:rsid w:val="45811C7C"/>
    <w:rsid w:val="45906116"/>
    <w:rsid w:val="4597723C"/>
    <w:rsid w:val="45A0305D"/>
    <w:rsid w:val="45A03571"/>
    <w:rsid w:val="45B72BF8"/>
    <w:rsid w:val="45C96298"/>
    <w:rsid w:val="45E356FB"/>
    <w:rsid w:val="45F51AEF"/>
    <w:rsid w:val="460B016C"/>
    <w:rsid w:val="46263C87"/>
    <w:rsid w:val="46332D29"/>
    <w:rsid w:val="465219D4"/>
    <w:rsid w:val="465716AD"/>
    <w:rsid w:val="46745ABF"/>
    <w:rsid w:val="46830E83"/>
    <w:rsid w:val="468B3EFB"/>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5D2CD5"/>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E41E3"/>
    <w:rsid w:val="4DF21879"/>
    <w:rsid w:val="4DF71805"/>
    <w:rsid w:val="4E0A3FBD"/>
    <w:rsid w:val="4E17231F"/>
    <w:rsid w:val="4E257655"/>
    <w:rsid w:val="4E2670DE"/>
    <w:rsid w:val="4E352A01"/>
    <w:rsid w:val="4E8E7871"/>
    <w:rsid w:val="4EA85542"/>
    <w:rsid w:val="4EC4406A"/>
    <w:rsid w:val="4EC455C1"/>
    <w:rsid w:val="4EDB463D"/>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2B554C"/>
    <w:rsid w:val="515158DB"/>
    <w:rsid w:val="515A7AB7"/>
    <w:rsid w:val="516623C4"/>
    <w:rsid w:val="51B05107"/>
    <w:rsid w:val="51DA39DC"/>
    <w:rsid w:val="51E0241A"/>
    <w:rsid w:val="51F1394A"/>
    <w:rsid w:val="51F659F8"/>
    <w:rsid w:val="5201085F"/>
    <w:rsid w:val="522024E6"/>
    <w:rsid w:val="52314419"/>
    <w:rsid w:val="52395ECD"/>
    <w:rsid w:val="526D1B33"/>
    <w:rsid w:val="526D4E29"/>
    <w:rsid w:val="52735E8B"/>
    <w:rsid w:val="52B44696"/>
    <w:rsid w:val="52BB5DFD"/>
    <w:rsid w:val="52C10D75"/>
    <w:rsid w:val="52D55821"/>
    <w:rsid w:val="52EB2FB5"/>
    <w:rsid w:val="53376E09"/>
    <w:rsid w:val="53655BA8"/>
    <w:rsid w:val="53A303CC"/>
    <w:rsid w:val="53C27FF8"/>
    <w:rsid w:val="53D0274A"/>
    <w:rsid w:val="53EA1FF6"/>
    <w:rsid w:val="53EC03B2"/>
    <w:rsid w:val="540B5AE5"/>
    <w:rsid w:val="5411465D"/>
    <w:rsid w:val="54167271"/>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E822CC"/>
    <w:rsid w:val="5607446A"/>
    <w:rsid w:val="56081243"/>
    <w:rsid w:val="56182C00"/>
    <w:rsid w:val="56245CC2"/>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AA4EE2"/>
    <w:rsid w:val="5AC643F3"/>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D2C1215"/>
    <w:rsid w:val="5D4D4133"/>
    <w:rsid w:val="5D5C1E8F"/>
    <w:rsid w:val="5D857790"/>
    <w:rsid w:val="5D861815"/>
    <w:rsid w:val="5D8936D2"/>
    <w:rsid w:val="5D914004"/>
    <w:rsid w:val="5DD80331"/>
    <w:rsid w:val="5DD95E29"/>
    <w:rsid w:val="5DDD16DD"/>
    <w:rsid w:val="5DF41766"/>
    <w:rsid w:val="5E015F08"/>
    <w:rsid w:val="5E615889"/>
    <w:rsid w:val="5E727AB0"/>
    <w:rsid w:val="5E847BF7"/>
    <w:rsid w:val="5E897C12"/>
    <w:rsid w:val="5E936FAE"/>
    <w:rsid w:val="5EAA1124"/>
    <w:rsid w:val="5EC8520A"/>
    <w:rsid w:val="5ED25050"/>
    <w:rsid w:val="5F0341A4"/>
    <w:rsid w:val="5F0A7504"/>
    <w:rsid w:val="5F114CB9"/>
    <w:rsid w:val="5F174D94"/>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0C97884"/>
    <w:rsid w:val="611E12A8"/>
    <w:rsid w:val="61226064"/>
    <w:rsid w:val="61497909"/>
    <w:rsid w:val="614E0C9F"/>
    <w:rsid w:val="614F0CAD"/>
    <w:rsid w:val="6189448A"/>
    <w:rsid w:val="61A475B0"/>
    <w:rsid w:val="61A66546"/>
    <w:rsid w:val="61BD42A4"/>
    <w:rsid w:val="61BF10D9"/>
    <w:rsid w:val="61BF1193"/>
    <w:rsid w:val="61DA3D4C"/>
    <w:rsid w:val="61F215C9"/>
    <w:rsid w:val="62052E11"/>
    <w:rsid w:val="6265481D"/>
    <w:rsid w:val="626A5412"/>
    <w:rsid w:val="627D5CDF"/>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D06BA5"/>
    <w:rsid w:val="65F12154"/>
    <w:rsid w:val="661D63AD"/>
    <w:rsid w:val="6630196A"/>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767148"/>
    <w:rsid w:val="6A7F05D0"/>
    <w:rsid w:val="6AAB324D"/>
    <w:rsid w:val="6AB235AF"/>
    <w:rsid w:val="6ABD719F"/>
    <w:rsid w:val="6AC13E4D"/>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655563"/>
    <w:rsid w:val="6B7E2908"/>
    <w:rsid w:val="6B9156B3"/>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8B0FD6"/>
    <w:rsid w:val="6D915D95"/>
    <w:rsid w:val="6D94625C"/>
    <w:rsid w:val="6D9B53CB"/>
    <w:rsid w:val="6DB63374"/>
    <w:rsid w:val="6DE76850"/>
    <w:rsid w:val="6DF8337B"/>
    <w:rsid w:val="6E030A47"/>
    <w:rsid w:val="6E1A3980"/>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147BFE"/>
    <w:rsid w:val="713116FD"/>
    <w:rsid w:val="71370AC8"/>
    <w:rsid w:val="713D46C5"/>
    <w:rsid w:val="71434E47"/>
    <w:rsid w:val="71486F7F"/>
    <w:rsid w:val="715F2A54"/>
    <w:rsid w:val="71662A10"/>
    <w:rsid w:val="71926986"/>
    <w:rsid w:val="71982A8B"/>
    <w:rsid w:val="71A17BB2"/>
    <w:rsid w:val="72204649"/>
    <w:rsid w:val="722C5869"/>
    <w:rsid w:val="72450FB0"/>
    <w:rsid w:val="72487743"/>
    <w:rsid w:val="724A54B2"/>
    <w:rsid w:val="725E1213"/>
    <w:rsid w:val="72655E48"/>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F27930"/>
    <w:rsid w:val="74121260"/>
    <w:rsid w:val="743462D3"/>
    <w:rsid w:val="74365CEE"/>
    <w:rsid w:val="743E7D5E"/>
    <w:rsid w:val="7441374C"/>
    <w:rsid w:val="744149C3"/>
    <w:rsid w:val="74474E71"/>
    <w:rsid w:val="74A93E5A"/>
    <w:rsid w:val="74C633BB"/>
    <w:rsid w:val="74FA2C30"/>
    <w:rsid w:val="751D1A0B"/>
    <w:rsid w:val="753B09F7"/>
    <w:rsid w:val="754D5C4B"/>
    <w:rsid w:val="756C78B0"/>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D11708"/>
    <w:rsid w:val="7DD943F1"/>
    <w:rsid w:val="7DE5430C"/>
    <w:rsid w:val="7DE64899"/>
    <w:rsid w:val="7DF813B2"/>
    <w:rsid w:val="7DFC32D8"/>
    <w:rsid w:val="7DFD7978"/>
    <w:rsid w:val="7E0763E6"/>
    <w:rsid w:val="7E1202A7"/>
    <w:rsid w:val="7E156055"/>
    <w:rsid w:val="7E2D7872"/>
    <w:rsid w:val="7E522C19"/>
    <w:rsid w:val="7E5C0F61"/>
    <w:rsid w:val="7E7B37EB"/>
    <w:rsid w:val="7E8E6EBF"/>
    <w:rsid w:val="7EAA7A04"/>
    <w:rsid w:val="7EAD21C3"/>
    <w:rsid w:val="7EBD579E"/>
    <w:rsid w:val="7EC167BD"/>
    <w:rsid w:val="7ED56D33"/>
    <w:rsid w:val="7EFC345C"/>
    <w:rsid w:val="7F1A6960"/>
    <w:rsid w:val="7F272D9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8"/>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0"/>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55"/>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2"/>
    <w:autoRedefine/>
    <w:qFormat/>
    <w:uiPriority w:val="99"/>
    <w:pPr>
      <w:jc w:val="left"/>
    </w:pPr>
  </w:style>
  <w:style w:type="paragraph" w:styleId="15">
    <w:name w:val="Body Text 3"/>
    <w:basedOn w:val="1"/>
    <w:link w:val="51"/>
    <w:autoRedefine/>
    <w:unhideWhenUsed/>
    <w:qFormat/>
    <w:uiPriority w:val="99"/>
    <w:pPr>
      <w:spacing w:after="120"/>
    </w:pPr>
    <w:rPr>
      <w:sz w:val="16"/>
      <w:szCs w:val="16"/>
    </w:rPr>
  </w:style>
  <w:style w:type="paragraph" w:styleId="16">
    <w:name w:val="Body Text"/>
    <w:basedOn w:val="1"/>
    <w:next w:val="1"/>
    <w:link w:val="52"/>
    <w:autoRedefine/>
    <w:unhideWhenUsed/>
    <w:qFormat/>
    <w:uiPriority w:val="0"/>
    <w:pPr>
      <w:spacing w:after="120"/>
    </w:pPr>
  </w:style>
  <w:style w:type="paragraph" w:styleId="17">
    <w:name w:val="Body Text Indent"/>
    <w:basedOn w:val="1"/>
    <w:next w:val="18"/>
    <w:link w:val="41"/>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3"/>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6"/>
    <w:link w:val="53"/>
    <w:autoRedefine/>
    <w:qFormat/>
    <w:uiPriority w:val="0"/>
    <w:rPr>
      <w:rFonts w:ascii="宋体" w:hAnsi="Courier New"/>
      <w:kern w:val="0"/>
      <w:sz w:val="20"/>
      <w:szCs w:val="21"/>
    </w:rPr>
  </w:style>
  <w:style w:type="paragraph" w:styleId="22">
    <w:name w:val="Date"/>
    <w:basedOn w:val="1"/>
    <w:next w:val="1"/>
    <w:link w:val="54"/>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header"/>
    <w:basedOn w:val="1"/>
    <w:link w:val="5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Body Text First Indent"/>
    <w:basedOn w:val="16"/>
    <w:autoRedefine/>
    <w:qFormat/>
    <w:uiPriority w:val="0"/>
    <w:pPr>
      <w:ind w:firstLine="420" w:firstLineChars="100"/>
    </w:pPr>
  </w:style>
  <w:style w:type="paragraph" w:styleId="30">
    <w:name w:val="Body Text First Indent 2"/>
    <w:basedOn w:val="17"/>
    <w:link w:val="44"/>
    <w:autoRedefine/>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Emphasis"/>
    <w:basedOn w:val="33"/>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7"/>
    <w:autoRedefine/>
    <w:qFormat/>
    <w:uiPriority w:val="99"/>
    <w:rPr>
      <w:rFonts w:ascii="仿宋_GB2312" w:hAnsi="Times New Roman" w:eastAsia="仿宋_GB2312" w:cs="Times New Roman"/>
      <w:sz w:val="32"/>
      <w:szCs w:val="20"/>
    </w:rPr>
  </w:style>
  <w:style w:type="character" w:customStyle="1" w:styleId="42">
    <w:name w:val="批注文字 Char1"/>
    <w:link w:val="14"/>
    <w:autoRedefine/>
    <w:qFormat/>
    <w:uiPriority w:val="99"/>
    <w:rPr>
      <w:rFonts w:ascii="Times New Roman" w:hAnsi="Times New Roman"/>
      <w:kern w:val="2"/>
      <w:sz w:val="21"/>
      <w:szCs w:val="24"/>
    </w:rPr>
  </w:style>
  <w:style w:type="character" w:customStyle="1" w:styleId="43">
    <w:name w:val="批注主题 Char"/>
    <w:link w:val="18"/>
    <w:autoRedefine/>
    <w:qFormat/>
    <w:uiPriority w:val="99"/>
    <w:rPr>
      <w:rFonts w:ascii="Times New Roman" w:hAnsi="Times New Roman"/>
      <w:b/>
      <w:bCs/>
      <w:kern w:val="2"/>
      <w:sz w:val="21"/>
      <w:szCs w:val="24"/>
    </w:rPr>
  </w:style>
  <w:style w:type="character" w:customStyle="1" w:styleId="44">
    <w:name w:val="正文首行缩进 2 Char"/>
    <w:link w:val="30"/>
    <w:autoRedefine/>
    <w:qFormat/>
    <w:uiPriority w:val="99"/>
    <w:rPr>
      <w:kern w:val="2"/>
      <w:sz w:val="21"/>
      <w:szCs w:val="24"/>
    </w:rPr>
  </w:style>
  <w:style w:type="character" w:customStyle="1" w:styleId="45">
    <w:name w:val="标题 1 Char"/>
    <w:link w:val="3"/>
    <w:autoRedefine/>
    <w:qFormat/>
    <w:uiPriority w:val="99"/>
    <w:rPr>
      <w:b/>
      <w:bCs/>
      <w:kern w:val="44"/>
      <w:sz w:val="44"/>
      <w:szCs w:val="44"/>
    </w:rPr>
  </w:style>
  <w:style w:type="character" w:customStyle="1" w:styleId="46">
    <w:name w:val="标题 2 Char1"/>
    <w:link w:val="4"/>
    <w:autoRedefine/>
    <w:qFormat/>
    <w:uiPriority w:val="9"/>
    <w:rPr>
      <w:rFonts w:ascii="Cambria" w:hAnsi="Cambria" w:eastAsia="宋体" w:cs="Times New Roman"/>
      <w:b/>
      <w:bCs/>
      <w:kern w:val="2"/>
      <w:sz w:val="32"/>
      <w:szCs w:val="32"/>
    </w:rPr>
  </w:style>
  <w:style w:type="character" w:customStyle="1" w:styleId="47">
    <w:name w:val="标题 3 Char"/>
    <w:link w:val="5"/>
    <w:autoRedefine/>
    <w:qFormat/>
    <w:uiPriority w:val="99"/>
    <w:rPr>
      <w:b/>
      <w:bCs/>
      <w:kern w:val="2"/>
      <w:sz w:val="32"/>
      <w:szCs w:val="32"/>
    </w:rPr>
  </w:style>
  <w:style w:type="character" w:customStyle="1" w:styleId="48">
    <w:name w:val="标题 4 Char"/>
    <w:link w:val="6"/>
    <w:autoRedefine/>
    <w:qFormat/>
    <w:uiPriority w:val="9"/>
    <w:rPr>
      <w:rFonts w:ascii="Arial" w:hAnsi="Arial" w:eastAsia="黑体"/>
      <w:b/>
      <w:kern w:val="2"/>
      <w:sz w:val="28"/>
      <w:szCs w:val="24"/>
    </w:rPr>
  </w:style>
  <w:style w:type="character" w:customStyle="1" w:styleId="49">
    <w:name w:val="标题 5 Char"/>
    <w:link w:val="7"/>
    <w:autoRedefine/>
    <w:qFormat/>
    <w:uiPriority w:val="9"/>
    <w:rPr>
      <w:rFonts w:ascii="Times New Roman" w:hAnsi="Times New Roman"/>
      <w:b/>
      <w:bCs/>
      <w:kern w:val="2"/>
      <w:sz w:val="28"/>
      <w:szCs w:val="28"/>
    </w:rPr>
  </w:style>
  <w:style w:type="character" w:customStyle="1" w:styleId="50">
    <w:name w:val="标题 8 Char1"/>
    <w:link w:val="9"/>
    <w:autoRedefine/>
    <w:semiHidden/>
    <w:qFormat/>
    <w:uiPriority w:val="9"/>
    <w:rPr>
      <w:rFonts w:ascii="等线 Light" w:hAnsi="等线 Light" w:eastAsia="等线 Light" w:cs="Times New Roman"/>
      <w:kern w:val="2"/>
      <w:sz w:val="24"/>
      <w:szCs w:val="24"/>
    </w:rPr>
  </w:style>
  <w:style w:type="character" w:customStyle="1" w:styleId="51">
    <w:name w:val="正文文本 3 Char"/>
    <w:link w:val="15"/>
    <w:autoRedefine/>
    <w:semiHidden/>
    <w:qFormat/>
    <w:uiPriority w:val="99"/>
    <w:rPr>
      <w:kern w:val="2"/>
      <w:sz w:val="16"/>
      <w:szCs w:val="16"/>
    </w:rPr>
  </w:style>
  <w:style w:type="character" w:customStyle="1" w:styleId="52">
    <w:name w:val="正文文本 Char1"/>
    <w:link w:val="16"/>
    <w:autoRedefine/>
    <w:qFormat/>
    <w:uiPriority w:val="0"/>
    <w:rPr>
      <w:rFonts w:ascii="Times New Roman" w:hAnsi="Times New Roman"/>
      <w:kern w:val="2"/>
      <w:sz w:val="21"/>
      <w:szCs w:val="24"/>
    </w:rPr>
  </w:style>
  <w:style w:type="character" w:customStyle="1" w:styleId="53">
    <w:name w:val="纯文本 Char1"/>
    <w:link w:val="21"/>
    <w:autoRedefine/>
    <w:qFormat/>
    <w:uiPriority w:val="0"/>
    <w:rPr>
      <w:rFonts w:ascii="宋体" w:hAnsi="Courier New" w:eastAsia="宋体" w:cs="Courier New"/>
      <w:szCs w:val="21"/>
    </w:rPr>
  </w:style>
  <w:style w:type="character" w:customStyle="1" w:styleId="54">
    <w:name w:val="日期 Char"/>
    <w:link w:val="22"/>
    <w:autoRedefine/>
    <w:semiHidden/>
    <w:qFormat/>
    <w:uiPriority w:val="99"/>
    <w:rPr>
      <w:rFonts w:ascii="Times New Roman" w:hAnsi="Times New Roman"/>
      <w:kern w:val="2"/>
      <w:sz w:val="21"/>
      <w:szCs w:val="24"/>
    </w:rPr>
  </w:style>
  <w:style w:type="character" w:customStyle="1" w:styleId="55">
    <w:name w:val="页脚 Char"/>
    <w:link w:val="2"/>
    <w:autoRedefine/>
    <w:qFormat/>
    <w:uiPriority w:val="99"/>
    <w:rPr>
      <w:sz w:val="18"/>
      <w:szCs w:val="18"/>
    </w:rPr>
  </w:style>
  <w:style w:type="character" w:customStyle="1" w:styleId="56">
    <w:name w:val="页眉 Char"/>
    <w:link w:val="24"/>
    <w:autoRedefine/>
    <w:qFormat/>
    <w:uiPriority w:val="99"/>
    <w:rPr>
      <w:sz w:val="18"/>
      <w:szCs w:val="18"/>
    </w:rPr>
  </w:style>
  <w:style w:type="character" w:customStyle="1" w:styleId="57">
    <w:name w:val="textcontents"/>
    <w:autoRedefine/>
    <w:qFormat/>
    <w:uiPriority w:val="0"/>
  </w:style>
  <w:style w:type="character" w:customStyle="1" w:styleId="58">
    <w:name w:val="标题 2 Char"/>
    <w:autoRedefine/>
    <w:qFormat/>
    <w:uiPriority w:val="99"/>
    <w:rPr>
      <w:rFonts w:ascii="Cambria" w:hAnsi="Cambria" w:eastAsia="宋体" w:cs="Times New Roman"/>
      <w:b/>
      <w:bCs/>
      <w:kern w:val="2"/>
      <w:sz w:val="32"/>
      <w:szCs w:val="32"/>
    </w:rPr>
  </w:style>
  <w:style w:type="character" w:customStyle="1" w:styleId="5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正文文本 Char"/>
    <w:autoRedefine/>
    <w:qFormat/>
    <w:uiPriority w:val="99"/>
    <w:rPr>
      <w:rFonts w:ascii="Times New Roman" w:hAnsi="Times New Roman"/>
      <w:kern w:val="2"/>
      <w:sz w:val="21"/>
      <w:szCs w:val="24"/>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标题 1 字符1"/>
    <w:autoRedefine/>
    <w:qFormat/>
    <w:uiPriority w:val="0"/>
    <w:rPr>
      <w:b/>
      <w:bCs/>
      <w:kern w:val="44"/>
      <w:sz w:val="44"/>
      <w:szCs w:val="44"/>
    </w:rPr>
  </w:style>
  <w:style w:type="character" w:customStyle="1" w:styleId="66">
    <w:name w:val="正文2 Char Char"/>
    <w:link w:val="67"/>
    <w:autoRedefine/>
    <w:qFormat/>
    <w:uiPriority w:val="0"/>
    <w:rPr>
      <w:sz w:val="24"/>
    </w:rPr>
  </w:style>
  <w:style w:type="paragraph" w:customStyle="1" w:styleId="67">
    <w:name w:val="正文2"/>
    <w:basedOn w:val="1"/>
    <w:link w:val="66"/>
    <w:autoRedefine/>
    <w:qFormat/>
    <w:uiPriority w:val="0"/>
    <w:pPr>
      <w:adjustRightInd w:val="0"/>
      <w:spacing w:before="156" w:line="360" w:lineRule="auto"/>
      <w:ind w:firstLine="510" w:firstLineChars="200"/>
    </w:pPr>
    <w:rPr>
      <w:kern w:val="0"/>
      <w:sz w:val="24"/>
      <w:szCs w:val="20"/>
    </w:rPr>
  </w:style>
  <w:style w:type="character" w:customStyle="1" w:styleId="68">
    <w:name w:val="标题 8 Char"/>
    <w:autoRedefine/>
    <w:qFormat/>
    <w:uiPriority w:val="0"/>
    <w:rPr>
      <w:rFonts w:ascii="Arial" w:hAnsi="Arial" w:eastAsia="黑体"/>
      <w:kern w:val="2"/>
      <w:sz w:val="24"/>
      <w:szCs w:val="24"/>
    </w:rPr>
  </w:style>
  <w:style w:type="character" w:customStyle="1" w:styleId="69">
    <w:name w:val="纯文本 Char"/>
    <w:autoRedefine/>
    <w:qFormat/>
    <w:uiPriority w:val="99"/>
    <w:rPr>
      <w:rFonts w:ascii="宋体" w:hAnsi="Courier New" w:eastAsia="宋体" w:cs="Courier New"/>
      <w:szCs w:val="21"/>
    </w:rPr>
  </w:style>
  <w:style w:type="character" w:customStyle="1" w:styleId="70">
    <w:name w:val="批注文字 Char"/>
    <w:autoRedefine/>
    <w:qFormat/>
    <w:uiPriority w:val="99"/>
    <w:rPr>
      <w:rFonts w:ascii="Times New Roman" w:hAnsi="Times New Roman"/>
      <w:kern w:val="2"/>
      <w:sz w:val="21"/>
      <w:szCs w:val="24"/>
    </w:rPr>
  </w:style>
  <w:style w:type="character" w:customStyle="1" w:styleId="71">
    <w:name w:val="纯文本 字符1"/>
    <w:autoRedefine/>
    <w:qFormat/>
    <w:uiPriority w:val="0"/>
    <w:rPr>
      <w:rFonts w:ascii="宋体" w:hAnsi="Courier New"/>
    </w:rPr>
  </w:style>
  <w:style w:type="character" w:customStyle="1" w:styleId="72">
    <w:name w:val="未处理的提及"/>
    <w:autoRedefine/>
    <w:unhideWhenUsed/>
    <w:qFormat/>
    <w:uiPriority w:val="99"/>
    <w:rPr>
      <w:color w:val="605E5C"/>
      <w:shd w:val="clear" w:color="auto" w:fill="E1DFDD"/>
    </w:rPr>
  </w:style>
  <w:style w:type="character" w:customStyle="1" w:styleId="73">
    <w:name w:val="apple-style-span"/>
    <w:autoRedefine/>
    <w:qFormat/>
    <w:uiPriority w:val="0"/>
  </w:style>
  <w:style w:type="character" w:customStyle="1" w:styleId="74">
    <w:name w:val="批注文字 字符"/>
    <w:autoRedefine/>
    <w:qFormat/>
    <w:uiPriority w:val="0"/>
    <w:rPr>
      <w:rFonts w:ascii="Times New Roman" w:hAnsi="Times New Roman"/>
      <w:kern w:val="2"/>
      <w:sz w:val="21"/>
      <w:szCs w:val="24"/>
    </w:rPr>
  </w:style>
  <w:style w:type="paragraph" w:customStyle="1" w:styleId="7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autoRedefine/>
    <w:unhideWhenUsed/>
    <w:qFormat/>
    <w:uiPriority w:val="99"/>
    <w:pPr>
      <w:ind w:firstLine="420"/>
    </w:p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autoRedefine/>
    <w:qFormat/>
    <w:uiPriority w:val="0"/>
    <w:pPr>
      <w:widowControl/>
      <w:jc w:val="left"/>
    </w:pPr>
    <w:rPr>
      <w:rFonts w:ascii="仿宋_GB2312" w:hAnsi="宋体" w:cs="等线"/>
      <w:kern w:val="0"/>
      <w:sz w:val="24"/>
    </w:rPr>
  </w:style>
  <w:style w:type="paragraph" w:styleId="87">
    <w:name w:val="List Paragraph"/>
    <w:basedOn w:val="1"/>
    <w:autoRedefine/>
    <w:qFormat/>
    <w:uiPriority w:val="34"/>
    <w:pPr>
      <w:ind w:firstLine="420" w:firstLineChars="200"/>
    </w:pPr>
  </w:style>
  <w:style w:type="paragraph" w:customStyle="1" w:styleId="88">
    <w:name w:val="默认段落字体 Para Char Char Char Char Char Char Char Char Char1 Char Char Char Char"/>
    <w:basedOn w:val="1"/>
    <w:autoRedefine/>
    <w:qFormat/>
    <w:uiPriority w:val="0"/>
    <w:rPr>
      <w:rFonts w:ascii="Tahoma" w:hAnsi="Tahoma"/>
      <w:sz w:val="24"/>
      <w:szCs w:val="20"/>
    </w:rPr>
  </w:style>
  <w:style w:type="paragraph" w:customStyle="1" w:styleId="89">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autoRedefine/>
    <w:qFormat/>
    <w:uiPriority w:val="0"/>
    <w:pPr>
      <w:numPr>
        <w:ilvl w:val="2"/>
        <w:numId w:val="1"/>
      </w:numPr>
    </w:pPr>
  </w:style>
  <w:style w:type="paragraph" w:customStyle="1" w:styleId="92">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80</Pages>
  <Words>8252</Words>
  <Characters>47037</Characters>
  <Lines>391</Lines>
  <Paragraphs>110</Paragraphs>
  <TotalTime>4</TotalTime>
  <ScaleCrop>false</ScaleCrop>
  <LinksUpToDate>false</LinksUpToDate>
  <CharactersWithSpaces>55179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2024-03-07T07:24:00Z</dcterms:created>
  <dc:creator>唐冰</dc:creator>
  <cp:lastModifiedBy>江大羽</cp:lastModifiedBy>
  <cp:lastPrinted>2024-03-07T01:18:00Z</cp:lastPrinted>
  <dcterms:modified xsi:type="dcterms:W3CDTF">2024-03-19T07:36:54Z</dcterms:modified>
  <dc:title>竞争性谈判文件规范</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A626084CFE5D466EB191BEA984FBA992_13</vt:lpwstr>
  </property>
</Properties>
</file>