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pPr>
      <w:bookmarkStart w:id="0" w:name="_Toc183682338"/>
      <w:bookmarkStart w:id="1" w:name="_Toc217446030"/>
    </w:p>
    <w:p w14:paraId="508D889F">
      <w:pPr>
        <w:tabs>
          <w:tab w:val="left" w:pos="1710"/>
        </w:tabs>
      </w:pPr>
    </w:p>
    <w:p w14:paraId="59C0A9CC">
      <w:pPr>
        <w:tabs>
          <w:tab w:val="left" w:pos="1710"/>
        </w:tabs>
      </w:pPr>
    </w:p>
    <w:p w14:paraId="03088E18">
      <w:pPr>
        <w:tabs>
          <w:tab w:val="left" w:pos="1710"/>
        </w:tabs>
      </w:pPr>
    </w:p>
    <w:p w14:paraId="28724DCF">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snapToGrid w:val="0"/>
              <w:spacing w:line="240" w:lineRule="atLeast"/>
              <w:jc w:val="center"/>
              <w:rPr>
                <w:rFonts w:hint="eastAsia"/>
                <w:b/>
                <w:sz w:val="60"/>
                <w:szCs w:val="60"/>
              </w:rPr>
            </w:pPr>
            <w:r>
              <w:rPr>
                <w:rFonts w:hint="eastAsia"/>
                <w:b/>
                <w:sz w:val="60"/>
                <w:szCs w:val="60"/>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b/>
                <w:color w:val="auto"/>
                <w:sz w:val="32"/>
                <w:szCs w:val="32"/>
              </w:rPr>
            </w:pPr>
            <w:r>
              <w:rPr>
                <w:b/>
                <w:color w:val="auto"/>
                <w:sz w:val="32"/>
                <w:szCs w:val="32"/>
              </w:rPr>
              <w:t>项目名称：</w:t>
            </w:r>
          </w:p>
        </w:tc>
        <w:tc>
          <w:tcPr>
            <w:tcW w:w="5433" w:type="dxa"/>
            <w:noWrap w:val="0"/>
            <w:vAlign w:val="center"/>
          </w:tcPr>
          <w:p w14:paraId="5DE32A9D">
            <w:pPr>
              <w:rPr>
                <w:rFonts w:hint="eastAsia" w:eastAsia="宋体"/>
                <w:b/>
                <w:color w:val="auto"/>
                <w:sz w:val="32"/>
                <w:szCs w:val="32"/>
                <w:lang w:eastAsia="zh-CN"/>
              </w:rPr>
            </w:pPr>
            <w:r>
              <w:rPr>
                <w:rFonts w:hint="eastAsia"/>
                <w:b/>
                <w:color w:val="auto"/>
                <w:sz w:val="32"/>
                <w:szCs w:val="32"/>
                <w:lang w:eastAsia="zh-CN"/>
              </w:rPr>
              <w:t>梧州市临床病理诊断中心信息平台项目应用系统</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b/>
                <w:sz w:val="32"/>
                <w:szCs w:val="32"/>
              </w:rPr>
            </w:pPr>
            <w:r>
              <w:rPr>
                <w:b/>
                <w:sz w:val="32"/>
                <w:szCs w:val="32"/>
              </w:rPr>
              <w:t>项目编号：</w:t>
            </w:r>
          </w:p>
        </w:tc>
        <w:tc>
          <w:tcPr>
            <w:tcW w:w="5433" w:type="dxa"/>
            <w:noWrap w:val="0"/>
            <w:vAlign w:val="center"/>
          </w:tcPr>
          <w:p w14:paraId="77AC5259">
            <w:pPr>
              <w:rPr>
                <w:rFonts w:hint="eastAsia" w:eastAsia="宋体"/>
                <w:b/>
                <w:color w:val="4472C4"/>
                <w:sz w:val="32"/>
                <w:szCs w:val="32"/>
                <w:lang w:eastAsia="zh-CN"/>
              </w:rPr>
            </w:pPr>
            <w:r>
              <w:rPr>
                <w:rFonts w:hint="eastAsia"/>
                <w:b/>
                <w:color w:val="auto"/>
                <w:sz w:val="32"/>
                <w:szCs w:val="32"/>
                <w:lang w:eastAsia="zh-CN"/>
              </w:rPr>
              <w:t>WZZC2025-C3-990258-JDZB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b/>
                <w:sz w:val="32"/>
                <w:szCs w:val="32"/>
              </w:rPr>
            </w:pPr>
            <w:r>
              <w:rPr>
                <w:b/>
                <w:sz w:val="32"/>
                <w:szCs w:val="32"/>
              </w:rPr>
              <w:t>联系电话：</w:t>
            </w:r>
          </w:p>
        </w:tc>
        <w:tc>
          <w:tcPr>
            <w:tcW w:w="5433" w:type="dxa"/>
            <w:noWrap w:val="0"/>
            <w:vAlign w:val="center"/>
          </w:tcPr>
          <w:p w14:paraId="7316EC38">
            <w:pPr>
              <w:rPr>
                <w:rFonts w:hint="eastAsia" w:eastAsia="宋体"/>
                <w:b/>
                <w:color w:val="4472C4"/>
                <w:sz w:val="32"/>
                <w:szCs w:val="32"/>
                <w:lang w:eastAsia="zh-CN"/>
              </w:rPr>
            </w:pPr>
            <w:r>
              <w:rPr>
                <w:rFonts w:hint="eastAsia"/>
                <w:b/>
                <w:color w:val="auto"/>
                <w:sz w:val="32"/>
                <w:szCs w:val="32"/>
                <w:lang w:eastAsia="zh-CN"/>
              </w:rPr>
              <w:t>0774-5836662</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b/>
                <w:sz w:val="32"/>
                <w:szCs w:val="32"/>
              </w:rPr>
            </w:pPr>
            <w:r>
              <w:rPr>
                <w:rFonts w:hint="eastAsia"/>
                <w:b/>
                <w:sz w:val="32"/>
                <w:szCs w:val="32"/>
              </w:rPr>
              <w:t>采购方式：</w:t>
            </w:r>
          </w:p>
        </w:tc>
        <w:tc>
          <w:tcPr>
            <w:tcW w:w="5433" w:type="dxa"/>
            <w:noWrap w:val="0"/>
            <w:vAlign w:val="center"/>
          </w:tcPr>
          <w:p w14:paraId="245BBAE9">
            <w:pPr>
              <w:rPr>
                <w:b/>
                <w:sz w:val="32"/>
                <w:szCs w:val="32"/>
              </w:rPr>
            </w:pPr>
            <w:r>
              <w:rPr>
                <w:rFonts w:hint="eastAsia"/>
                <w:b/>
                <w:sz w:val="32"/>
                <w:szCs w:val="32"/>
              </w:rPr>
              <w:t>竞争性磋商</w:t>
            </w:r>
          </w:p>
        </w:tc>
      </w:tr>
    </w:tbl>
    <w:p w14:paraId="7D555355">
      <w:pPr>
        <w:tabs>
          <w:tab w:val="left" w:pos="1710"/>
        </w:tabs>
      </w:pPr>
    </w:p>
    <w:p w14:paraId="3E6B19FC"/>
    <w:p w14:paraId="4FAEDAC8"/>
    <w:p w14:paraId="07BDF0E7"/>
    <w:p w14:paraId="1058FB9D"/>
    <w:p w14:paraId="27AF00A1"/>
    <w:p w14:paraId="504CC4F1"/>
    <w:p w14:paraId="22B033DD"/>
    <w:p w14:paraId="564E11E1"/>
    <w:p w14:paraId="3AC7D40B"/>
    <w:p w14:paraId="5F5FEF00"/>
    <w:p w14:paraId="66B5FE37"/>
    <w:p w14:paraId="32C833C6"/>
    <w:p w14:paraId="62CDE003"/>
    <w:p w14:paraId="65AF281D"/>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b/>
                <w:sz w:val="32"/>
                <w:szCs w:val="32"/>
              </w:rPr>
            </w:pPr>
            <w:r>
              <w:rPr>
                <w:b/>
                <w:sz w:val="32"/>
                <w:szCs w:val="32"/>
              </w:rPr>
              <w:t xml:space="preserve">  采购人：</w:t>
            </w:r>
          </w:p>
        </w:tc>
        <w:tc>
          <w:tcPr>
            <w:tcW w:w="5577" w:type="dxa"/>
            <w:gridSpan w:val="2"/>
            <w:noWrap w:val="0"/>
            <w:vAlign w:val="center"/>
          </w:tcPr>
          <w:p w14:paraId="53D5B09C">
            <w:pPr>
              <w:autoSpaceDE w:val="0"/>
              <w:autoSpaceDN w:val="0"/>
              <w:adjustRightInd w:val="0"/>
              <w:jc w:val="left"/>
              <w:rPr>
                <w:rFonts w:hint="eastAsia" w:eastAsia="宋体"/>
                <w:b/>
                <w:color w:val="4472C4"/>
                <w:sz w:val="32"/>
                <w:szCs w:val="32"/>
                <w:lang w:eastAsia="zh-CN"/>
              </w:rPr>
            </w:pPr>
            <w:r>
              <w:rPr>
                <w:rFonts w:hint="eastAsia"/>
                <w:b/>
                <w:color w:val="auto"/>
                <w:sz w:val="32"/>
                <w:szCs w:val="32"/>
                <w:lang w:eastAsia="zh-CN"/>
              </w:rPr>
              <w:t>梧州市工人医院</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b/>
                <w:sz w:val="32"/>
                <w:szCs w:val="32"/>
              </w:rPr>
            </w:pPr>
            <w:r>
              <w:rPr>
                <w:b/>
                <w:sz w:val="32"/>
                <w:szCs w:val="32"/>
              </w:rPr>
              <w:t>采购代理机构：</w:t>
            </w:r>
          </w:p>
        </w:tc>
        <w:tc>
          <w:tcPr>
            <w:tcW w:w="5571" w:type="dxa"/>
            <w:noWrap w:val="0"/>
            <w:vAlign w:val="top"/>
          </w:tcPr>
          <w:p w14:paraId="5C205B34">
            <w:pPr>
              <w:autoSpaceDE w:val="0"/>
              <w:autoSpaceDN w:val="0"/>
              <w:adjustRightInd w:val="0"/>
              <w:rPr>
                <w:b/>
                <w:sz w:val="32"/>
                <w:szCs w:val="32"/>
                <w:u w:val="single"/>
              </w:rPr>
            </w:pPr>
            <w:r>
              <w:rPr>
                <w:b/>
                <w:sz w:val="32"/>
                <w:szCs w:val="32"/>
              </w:rPr>
              <w:t>广西机电设备招标有限公司</w:t>
            </w:r>
          </w:p>
        </w:tc>
      </w:tr>
    </w:tbl>
    <w:p w14:paraId="3C8F2CBA"/>
    <w:p w14:paraId="21192B5C">
      <w:pPr>
        <w:ind w:firstLine="321" w:firstLineChars="100"/>
        <w:jc w:val="center"/>
        <w:rPr>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b/>
          <w:color w:val="auto"/>
          <w:sz w:val="32"/>
          <w:szCs w:val="32"/>
          <w:lang w:eastAsia="zh-CN"/>
        </w:rPr>
        <w:t>2025</w:t>
      </w:r>
      <w:r>
        <w:rPr>
          <w:b/>
          <w:color w:val="auto"/>
          <w:sz w:val="32"/>
          <w:szCs w:val="32"/>
        </w:rPr>
        <w:t>年</w:t>
      </w:r>
      <w:r>
        <w:rPr>
          <w:rFonts w:hint="eastAsia"/>
          <w:b/>
          <w:color w:val="auto"/>
          <w:sz w:val="32"/>
          <w:szCs w:val="32"/>
          <w:lang w:val="en-US" w:eastAsia="zh-CN"/>
        </w:rPr>
        <w:t>10</w:t>
      </w:r>
      <w:r>
        <w:rPr>
          <w:b/>
          <w:color w:val="auto"/>
          <w:sz w:val="32"/>
          <w:szCs w:val="32"/>
        </w:rPr>
        <w:t>月</w:t>
      </w:r>
    </w:p>
    <w:p w14:paraId="1976DC1E">
      <w:pPr>
        <w:rPr>
          <w:sz w:val="32"/>
          <w:szCs w:val="32"/>
        </w:rPr>
      </w:pPr>
    </w:p>
    <w:p w14:paraId="3D2AB40E">
      <w:pPr>
        <w:pStyle w:val="26"/>
        <w:snapToGrid w:val="0"/>
        <w:spacing w:before="120" w:after="120" w:line="320" w:lineRule="exact"/>
        <w:jc w:val="center"/>
        <w:outlineLvl w:val="0"/>
        <w:rPr>
          <w:rFonts w:ascii="Times New Roman" w:hAnsi="Times New Roman" w:cs="Times New Roman"/>
          <w:sz w:val="32"/>
          <w:szCs w:val="32"/>
        </w:rPr>
      </w:pPr>
      <w:bookmarkStart w:id="2" w:name="_Toc17133"/>
      <w:r>
        <w:rPr>
          <w:rFonts w:ascii="Times New Roman" w:hAnsi="Times New Roman" w:cs="Times New Roman"/>
          <w:sz w:val="32"/>
          <w:szCs w:val="32"/>
        </w:rPr>
        <w:t>目    录</w:t>
      </w:r>
      <w:bookmarkEnd w:id="2"/>
      <w:bookmarkStart w:id="106" w:name="_GoBack"/>
      <w:bookmarkEnd w:id="106"/>
    </w:p>
    <w:p w14:paraId="6EAF5882">
      <w:pPr>
        <w:pStyle w:val="33"/>
        <w:tabs>
          <w:tab w:val="right" w:leader="dot" w:pos="9070"/>
          <w:tab w:val="clear" w:pos="8398"/>
        </w:tabs>
        <w:ind w:firstLine="241"/>
        <w:rPr>
          <w:rFonts w:ascii="Times New Roman" w:hAnsi="Times New Roman"/>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r>
        <w:rPr>
          <w:rFonts w:ascii="Times New Roman" w:hAnsi="Times New Roman"/>
          <w:szCs w:val="28"/>
        </w:rPr>
        <w:fldChar w:fldCharType="begin"/>
      </w:r>
      <w:r>
        <w:rPr>
          <w:rFonts w:ascii="Times New Roman" w:hAnsi="Times New Roman"/>
          <w:szCs w:val="28"/>
        </w:rPr>
        <w:instrText xml:space="preserve"> HYPERLINK \l _Toc21148 </w:instrText>
      </w:r>
      <w:r>
        <w:rPr>
          <w:rFonts w:ascii="Times New Roman" w:hAnsi="Times New Roman"/>
          <w:szCs w:val="28"/>
        </w:rPr>
        <w:fldChar w:fldCharType="separate"/>
      </w:r>
      <w:r>
        <w:rPr>
          <w:rFonts w:ascii="Times New Roman" w:hAnsi="Times New Roman"/>
          <w:szCs w:val="32"/>
        </w:rPr>
        <w:t>第一章  竞争性磋商公告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_Toc21148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szCs w:val="28"/>
        </w:rPr>
        <w:fldChar w:fldCharType="end"/>
      </w:r>
    </w:p>
    <w:p w14:paraId="63034B6F">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_Toc15694 </w:instrText>
      </w:r>
      <w:r>
        <w:rPr>
          <w:rFonts w:ascii="Times New Roman" w:hAnsi="Times New Roman"/>
          <w:szCs w:val="28"/>
        </w:rPr>
        <w:fldChar w:fldCharType="separate"/>
      </w:r>
      <w:r>
        <w:rPr>
          <w:rFonts w:ascii="Times New Roman" w:hAnsi="Times New Roman"/>
          <w:szCs w:val="32"/>
        </w:rPr>
        <w:t>第二章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_Toc15694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szCs w:val="28"/>
        </w:rPr>
        <w:fldChar w:fldCharType="end"/>
      </w:r>
    </w:p>
    <w:p w14:paraId="07777CD8">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_Toc31014 </w:instrText>
      </w:r>
      <w:r>
        <w:rPr>
          <w:rFonts w:ascii="Times New Roman" w:hAnsi="Times New Roman"/>
          <w:szCs w:val="28"/>
        </w:rPr>
        <w:fldChar w:fldCharType="separate"/>
      </w:r>
      <w:r>
        <w:rPr>
          <w:rFonts w:ascii="Times New Roman" w:hAnsi="Times New Roman"/>
          <w:szCs w:val="32"/>
        </w:rPr>
        <w:t>第三章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_Toc31014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szCs w:val="28"/>
        </w:rPr>
        <w:fldChar w:fldCharType="end"/>
      </w:r>
    </w:p>
    <w:p w14:paraId="7E1ED061">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_Toc13891 </w:instrText>
      </w:r>
      <w:r>
        <w:rPr>
          <w:rFonts w:ascii="Times New Roman" w:hAnsi="Times New Roman"/>
          <w:szCs w:val="28"/>
        </w:rPr>
        <w:fldChar w:fldCharType="separate"/>
      </w:r>
      <w:r>
        <w:rPr>
          <w:rFonts w:ascii="Times New Roman" w:hAnsi="Times New Roman"/>
          <w:szCs w:val="32"/>
        </w:rPr>
        <w:t>第四章  评审方法及标准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_Toc13891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szCs w:val="28"/>
        </w:rPr>
        <w:fldChar w:fldCharType="end"/>
      </w:r>
    </w:p>
    <w:p w14:paraId="67FF3829">
      <w:pPr>
        <w:pStyle w:val="33"/>
        <w:tabs>
          <w:tab w:val="right" w:leader="dot" w:pos="9070"/>
          <w:tab w:val="clear" w:pos="8398"/>
        </w:tabs>
        <w:ind w:firstLine="241"/>
        <w:rPr>
          <w:rFonts w:hint="eastAsia" w:ascii="Times New Roman" w:hAnsi="Times New Roman" w:eastAsia="宋体"/>
          <w:lang w:val="en-US" w:eastAsia="zh-CN"/>
        </w:rPr>
      </w:pPr>
      <w:r>
        <w:rPr>
          <w:rFonts w:ascii="Times New Roman" w:hAnsi="Times New Roman"/>
          <w:szCs w:val="28"/>
        </w:rPr>
        <w:fldChar w:fldCharType="begin"/>
      </w:r>
      <w:r>
        <w:rPr>
          <w:rFonts w:ascii="Times New Roman" w:hAnsi="Times New Roman"/>
          <w:szCs w:val="28"/>
        </w:rPr>
        <w:instrText xml:space="preserve"> HYPERLINK \l _Toc16303 </w:instrText>
      </w:r>
      <w:r>
        <w:rPr>
          <w:rFonts w:ascii="Times New Roman" w:hAnsi="Times New Roman"/>
          <w:szCs w:val="28"/>
        </w:rPr>
        <w:fldChar w:fldCharType="separate"/>
      </w:r>
      <w:r>
        <w:rPr>
          <w:rFonts w:ascii="Times New Roman" w:hAnsi="Times New Roman"/>
          <w:szCs w:val="32"/>
        </w:rPr>
        <w:t>第五章  合同主要条款格式</w:t>
      </w:r>
      <w:r>
        <w:rPr>
          <w:rFonts w:ascii="Times New Roman" w:hAnsi="Times New Roman"/>
        </w:rPr>
        <w:tab/>
      </w:r>
      <w:r>
        <w:rPr>
          <w:rFonts w:hint="eastAsia" w:ascii="Times New Roman" w:hAnsi="Times New Roman"/>
          <w:lang w:val="en-US" w:eastAsia="zh-CN"/>
        </w:rPr>
        <w:t>.................................4</w:t>
      </w:r>
      <w:r>
        <w:rPr>
          <w:rFonts w:ascii="Times New Roman" w:hAnsi="Times New Roman"/>
          <w:szCs w:val="28"/>
        </w:rPr>
        <w:fldChar w:fldCharType="end"/>
      </w:r>
      <w:r>
        <w:rPr>
          <w:rFonts w:hint="eastAsia" w:ascii="Times New Roman" w:hAnsi="Times New Roman"/>
          <w:szCs w:val="28"/>
          <w:lang w:val="en-US" w:eastAsia="zh-CN"/>
        </w:rPr>
        <w:t>0</w:t>
      </w:r>
    </w:p>
    <w:p w14:paraId="67B6C7F7">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_Toc26903 </w:instrText>
      </w:r>
      <w:r>
        <w:rPr>
          <w:rFonts w:ascii="Times New Roman" w:hAnsi="Times New Roman"/>
          <w:szCs w:val="28"/>
        </w:rPr>
        <w:fldChar w:fldCharType="separate"/>
      </w:r>
      <w:r>
        <w:rPr>
          <w:rFonts w:ascii="Times New Roman" w:hAnsi="Times New Roman"/>
          <w:szCs w:val="32"/>
        </w:rPr>
        <w:t>第六章  响应文件格式</w:t>
      </w:r>
      <w:r>
        <w:rPr>
          <w:rFonts w:ascii="Times New Roman" w:hAnsi="Times New Roman"/>
        </w:rPr>
        <w:tab/>
      </w:r>
      <w:r>
        <w:rPr>
          <w:rFonts w:hint="eastAsia" w:ascii="Times New Roman" w:hAnsi="Times New Roman"/>
          <w:lang w:val="en-US" w:eastAsia="zh-CN"/>
        </w:rPr>
        <w:t>....</w:t>
      </w:r>
      <w:r>
        <w:rPr>
          <w:rFonts w:ascii="Times New Roman" w:hAnsi="Times New Roman"/>
        </w:rPr>
        <w:fldChar w:fldCharType="begin"/>
      </w:r>
      <w:r>
        <w:rPr>
          <w:rFonts w:ascii="Times New Roman" w:hAnsi="Times New Roman"/>
        </w:rPr>
        <w:instrText xml:space="preserve"> PAGEREF _Toc26903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szCs w:val="28"/>
        </w:rPr>
        <w:fldChar w:fldCharType="end"/>
      </w:r>
    </w:p>
    <w:p w14:paraId="748B0B64">
      <w:pPr>
        <w:pStyle w:val="33"/>
        <w:ind w:firstLine="241"/>
        <w:rPr>
          <w:rFonts w:ascii="Times New Roman" w:hAnsi="Times New Roman"/>
          <w:sz w:val="28"/>
          <w:szCs w:val="28"/>
        </w:rPr>
      </w:pPr>
      <w:r>
        <w:rPr>
          <w:rFonts w:ascii="Times New Roman" w:hAnsi="Times New Roman"/>
          <w:szCs w:val="28"/>
        </w:rPr>
        <w:fldChar w:fldCharType="end"/>
      </w:r>
    </w:p>
    <w:p w14:paraId="06C5D85D">
      <w:pPr>
        <w:spacing w:before="120" w:beforeLines="50" w:line="480" w:lineRule="exact"/>
        <w:rPr>
          <w:sz w:val="28"/>
          <w:szCs w:val="28"/>
        </w:rPr>
      </w:pPr>
    </w:p>
    <w:p w14:paraId="6BE0D03E">
      <w:pPr>
        <w:spacing w:before="120" w:beforeLines="50" w:line="480" w:lineRule="exact"/>
        <w:rPr>
          <w:sz w:val="30"/>
        </w:rPr>
        <w:sectPr>
          <w:headerReference r:id="rId7" w:type="first"/>
          <w:pgSz w:w="11906" w:h="16838"/>
          <w:pgMar w:top="1418" w:right="1418" w:bottom="1246" w:left="1418" w:header="851" w:footer="992" w:gutter="0"/>
          <w:pgNumType w:start="0"/>
          <w:cols w:space="720" w:num="1"/>
          <w:titlePg/>
          <w:docGrid w:linePitch="312" w:charSpace="0"/>
        </w:sectPr>
      </w:pPr>
    </w:p>
    <w:p w14:paraId="70BF5AD6">
      <w:bookmarkStart w:id="3" w:name="_Toc254970489"/>
      <w:bookmarkStart w:id="4" w:name="_Toc254970630"/>
      <w:bookmarkStart w:id="5" w:name="_Toc21148"/>
    </w:p>
    <w:p w14:paraId="383DF5FD">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 xml:space="preserve">第一章  </w:t>
      </w:r>
      <w:bookmarkEnd w:id="3"/>
      <w:bookmarkEnd w:id="4"/>
      <w:r>
        <w:rPr>
          <w:rFonts w:ascii="Times New Roman" w:hAnsi="Times New Roman" w:cs="Times New Roman"/>
          <w:sz w:val="32"/>
          <w:szCs w:val="32"/>
        </w:rPr>
        <w:t>竞争性磋商公告</w:t>
      </w:r>
      <w:bookmarkEnd w:id="5"/>
    </w:p>
    <w:p w14:paraId="44C546F8">
      <w:pPr>
        <w:spacing w:line="400" w:lineRule="exact"/>
        <w:jc w:val="center"/>
        <w:rPr>
          <w:kern w:val="0"/>
          <w:sz w:val="24"/>
        </w:rPr>
      </w:pPr>
      <w:r>
        <w:rPr>
          <w:kern w:val="0"/>
          <w:sz w:val="24"/>
        </w:rPr>
        <w:t>广西机电设备招标有限公司关于</w:t>
      </w:r>
      <w:r>
        <w:rPr>
          <w:rFonts w:hint="eastAsia"/>
          <w:color w:val="auto"/>
          <w:kern w:val="0"/>
          <w:sz w:val="24"/>
          <w:lang w:eastAsia="zh-CN"/>
        </w:rPr>
        <w:t>梧州市临床病理诊断中心信息平台项目应用系统</w:t>
      </w:r>
      <w:r>
        <w:rPr>
          <w:color w:val="auto"/>
          <w:sz w:val="24"/>
        </w:rPr>
        <w:t>(</w:t>
      </w:r>
      <w:r>
        <w:rPr>
          <w:rFonts w:hint="eastAsia"/>
          <w:color w:val="auto"/>
          <w:sz w:val="24"/>
          <w:lang w:eastAsia="zh-CN"/>
        </w:rPr>
        <w:t>WZZC2025-C3-990258-JDZB</w:t>
      </w:r>
      <w:r>
        <w:rPr>
          <w:color w:val="auto"/>
          <w:sz w:val="24"/>
        </w:rPr>
        <w:t>)</w:t>
      </w:r>
      <w:r>
        <w:rPr>
          <w:color w:val="auto"/>
          <w:kern w:val="0"/>
          <w:sz w:val="24"/>
        </w:rPr>
        <w:t>竞</w:t>
      </w:r>
      <w:r>
        <w:rPr>
          <w:kern w:val="0"/>
          <w:sz w:val="24"/>
        </w:rPr>
        <w:t>争性磋商公告</w:t>
      </w:r>
    </w:p>
    <w:p w14:paraId="20E8B52B">
      <w:pPr>
        <w:spacing w:line="312" w:lineRule="auto"/>
        <w:jc w:val="left"/>
        <w:rPr>
          <w:rFonts w:hint="eastAsia"/>
          <w:b/>
          <w:bCs/>
          <w:kern w:val="0"/>
          <w:sz w:val="22"/>
          <w:szCs w:val="22"/>
        </w:rPr>
      </w:pPr>
    </w:p>
    <w:p w14:paraId="70D69A4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b/>
          <w:bCs/>
          <w:kern w:val="0"/>
          <w:sz w:val="22"/>
          <w:szCs w:val="22"/>
        </w:rPr>
      </w:pPr>
      <w:bookmarkStart w:id="6" w:name="_Hlk132795121"/>
      <w:r>
        <w:rPr>
          <w:rFonts w:hint="eastAsia"/>
          <w:szCs w:val="21"/>
        </w:rPr>
        <w:t>项目概况</w:t>
      </w:r>
      <w:r>
        <w:rPr>
          <w:rFonts w:hint="eastAsia"/>
          <w:color w:val="auto"/>
          <w:szCs w:val="21"/>
        </w:rPr>
        <w:t>：</w:t>
      </w:r>
      <w:r>
        <w:rPr>
          <w:rFonts w:hint="eastAsia"/>
          <w:color w:val="auto"/>
          <w:szCs w:val="21"/>
          <w:lang w:eastAsia="zh-CN"/>
        </w:rPr>
        <w:t>梧州市临床病理诊断中心信息平台项目应用系统</w:t>
      </w:r>
      <w:r>
        <w:rPr>
          <w:rFonts w:hint="eastAsia"/>
          <w:color w:val="auto"/>
          <w:szCs w:val="21"/>
        </w:rPr>
        <w:t>的潜在</w:t>
      </w:r>
      <w:r>
        <w:rPr>
          <w:rFonts w:hint="eastAsia"/>
          <w:szCs w:val="21"/>
        </w:rPr>
        <w:t>供应商应在广西政府采购云平台 （https://www.gcy.zfcg.gxzf.gov.cn/）获取采购文</w:t>
      </w:r>
      <w:r>
        <w:rPr>
          <w:rFonts w:hint="eastAsia"/>
          <w:color w:val="auto"/>
          <w:szCs w:val="21"/>
        </w:rPr>
        <w:t>件，并于</w:t>
      </w:r>
      <w:r>
        <w:rPr>
          <w:rFonts w:hint="eastAsia"/>
          <w:color w:val="auto"/>
          <w:szCs w:val="21"/>
          <w:lang w:val="en-US" w:eastAsia="zh-CN"/>
        </w:rPr>
        <w:t>2025</w:t>
      </w:r>
      <w:r>
        <w:rPr>
          <w:rFonts w:hint="eastAsia"/>
          <w:color w:val="auto"/>
          <w:szCs w:val="21"/>
        </w:rPr>
        <w:t>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23</w:t>
      </w:r>
      <w:r>
        <w:rPr>
          <w:rFonts w:hint="eastAsia"/>
          <w:color w:val="auto"/>
          <w:szCs w:val="21"/>
        </w:rPr>
        <w:t>日 09:</w:t>
      </w:r>
      <w:r>
        <w:rPr>
          <w:rFonts w:hint="eastAsia"/>
          <w:color w:val="auto"/>
          <w:szCs w:val="21"/>
          <w:lang w:val="en-US" w:eastAsia="zh-CN"/>
        </w:rPr>
        <w:t>00</w:t>
      </w:r>
      <w:r>
        <w:rPr>
          <w:rFonts w:hint="eastAsia"/>
          <w:color w:val="auto"/>
          <w:szCs w:val="21"/>
        </w:rPr>
        <w:t>（北京</w:t>
      </w:r>
      <w:r>
        <w:rPr>
          <w:rFonts w:hint="eastAsia"/>
          <w:szCs w:val="21"/>
        </w:rPr>
        <w:t>时间）前提交响应文件。</w:t>
      </w:r>
      <w:bookmarkEnd w:id="6"/>
    </w:p>
    <w:p w14:paraId="7F3DF175">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b/>
          <w:bCs/>
          <w:kern w:val="0"/>
          <w:sz w:val="22"/>
          <w:szCs w:val="22"/>
        </w:rPr>
      </w:pPr>
      <w:r>
        <w:rPr>
          <w:rFonts w:hint="eastAsia"/>
          <w:b/>
          <w:bCs/>
          <w:kern w:val="0"/>
          <w:sz w:val="22"/>
          <w:szCs w:val="22"/>
        </w:rPr>
        <w:t>一、项目基本情况</w:t>
      </w:r>
    </w:p>
    <w:p w14:paraId="0133D40C">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eastAsia="宋体"/>
          <w:color w:val="auto"/>
          <w:kern w:val="0"/>
          <w:szCs w:val="21"/>
          <w:lang w:eastAsia="zh-CN"/>
        </w:rPr>
      </w:pPr>
      <w:r>
        <w:rPr>
          <w:kern w:val="0"/>
          <w:szCs w:val="21"/>
        </w:rPr>
        <w:t>项目编号</w:t>
      </w:r>
      <w:r>
        <w:rPr>
          <w:color w:val="auto"/>
          <w:kern w:val="0"/>
          <w:szCs w:val="21"/>
        </w:rPr>
        <w:t>：</w:t>
      </w:r>
      <w:r>
        <w:rPr>
          <w:rFonts w:hint="eastAsia"/>
          <w:color w:val="auto"/>
          <w:kern w:val="0"/>
          <w:szCs w:val="21"/>
          <w:lang w:eastAsia="zh-CN"/>
        </w:rPr>
        <w:t>WZZC2025-C3-990258-JDZB</w:t>
      </w:r>
    </w:p>
    <w:p w14:paraId="32AD6E6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kern w:val="0"/>
          <w:szCs w:val="21"/>
        </w:rPr>
      </w:pPr>
      <w:r>
        <w:rPr>
          <w:kern w:val="0"/>
          <w:szCs w:val="21"/>
        </w:rPr>
        <w:t>项目名称：</w:t>
      </w:r>
      <w:r>
        <w:rPr>
          <w:rFonts w:hint="eastAsia"/>
          <w:kern w:val="0"/>
          <w:szCs w:val="21"/>
        </w:rPr>
        <w:t>梧州市临床病理诊断中心信息平台项目应用系统</w:t>
      </w:r>
    </w:p>
    <w:p w14:paraId="153E34A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rFonts w:hint="eastAsia"/>
          <w:color w:val="auto"/>
          <w:kern w:val="0"/>
          <w:szCs w:val="21"/>
        </w:rPr>
        <w:t xml:space="preserve">采购方式：竞争性磋商 </w:t>
      </w:r>
    </w:p>
    <w:p w14:paraId="3E4A98F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default" w:eastAsia="宋体"/>
          <w:kern w:val="0"/>
          <w:szCs w:val="21"/>
          <w:lang w:val="en-US" w:eastAsia="zh-CN"/>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rFonts w:hint="eastAsia"/>
          <w:color w:val="auto"/>
          <w:kern w:val="0"/>
          <w:szCs w:val="21"/>
          <w:lang w:eastAsia="zh-CN"/>
        </w:rPr>
        <w:t>1</w:t>
      </w:r>
      <w:r>
        <w:rPr>
          <w:rFonts w:hint="eastAsia"/>
          <w:color w:val="auto"/>
          <w:kern w:val="0"/>
          <w:szCs w:val="21"/>
          <w:lang w:val="en-US" w:eastAsia="zh-CN"/>
        </w:rPr>
        <w:t>6</w:t>
      </w:r>
      <w:r>
        <w:rPr>
          <w:rFonts w:hint="eastAsia"/>
          <w:color w:val="auto"/>
          <w:kern w:val="0"/>
          <w:szCs w:val="21"/>
          <w:lang w:eastAsia="zh-CN"/>
        </w:rPr>
        <w:t>67800</w:t>
      </w:r>
      <w:r>
        <w:rPr>
          <w:rFonts w:hint="eastAsia"/>
          <w:color w:val="auto"/>
          <w:kern w:val="0"/>
          <w:szCs w:val="21"/>
          <w:lang w:val="en-US" w:eastAsia="zh-CN"/>
        </w:rPr>
        <w:t>.00</w:t>
      </w:r>
    </w:p>
    <w:p w14:paraId="72C9DD5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kern w:val="0"/>
          <w:szCs w:val="21"/>
        </w:rPr>
      </w:pPr>
      <w:r>
        <w:rPr>
          <w:rFonts w:hint="eastAsia"/>
          <w:kern w:val="0"/>
          <w:szCs w:val="21"/>
        </w:rPr>
        <w:t>采购需求</w:t>
      </w:r>
      <w:r>
        <w:rPr>
          <w:kern w:val="0"/>
          <w:szCs w:val="21"/>
        </w:rPr>
        <w:t>：</w:t>
      </w:r>
      <w:bookmarkStart w:id="7" w:name="_Hlk77608065"/>
    </w:p>
    <w:p w14:paraId="7B886F40">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color w:val="auto"/>
          <w:kern w:val="0"/>
          <w:szCs w:val="21"/>
        </w:rPr>
      </w:pPr>
      <w:r>
        <w:rPr>
          <w:rFonts w:hint="eastAsia"/>
          <w:color w:val="auto"/>
          <w:kern w:val="0"/>
          <w:szCs w:val="21"/>
        </w:rPr>
        <w:t>标项名称：梧州市临床病理诊断中心信息平台项目应用系统</w:t>
      </w:r>
    </w:p>
    <w:p w14:paraId="062827D3">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rFonts w:hint="eastAsia" w:eastAsia="宋体"/>
          <w:color w:val="auto"/>
          <w:kern w:val="0"/>
          <w:szCs w:val="21"/>
          <w:lang w:val="en-US" w:eastAsia="zh-CN"/>
        </w:rPr>
      </w:pPr>
      <w:r>
        <w:rPr>
          <w:rFonts w:hint="eastAsia"/>
          <w:color w:val="auto"/>
          <w:kern w:val="0"/>
          <w:szCs w:val="21"/>
        </w:rPr>
        <w:t>数量：</w:t>
      </w:r>
      <w:r>
        <w:rPr>
          <w:rFonts w:hint="eastAsia"/>
          <w:color w:val="auto"/>
          <w:kern w:val="0"/>
          <w:szCs w:val="21"/>
          <w:lang w:val="en-US" w:eastAsia="zh-CN"/>
        </w:rPr>
        <w:t>1</w:t>
      </w:r>
    </w:p>
    <w:p w14:paraId="1AC8058B">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rFonts w:hint="eastAsia" w:eastAsia="宋体"/>
          <w:color w:val="auto"/>
          <w:kern w:val="0"/>
          <w:szCs w:val="21"/>
          <w:lang w:val="en-US" w:eastAsia="zh-CN"/>
        </w:rPr>
      </w:pPr>
      <w:r>
        <w:rPr>
          <w:rFonts w:hint="eastAsia"/>
          <w:color w:val="auto"/>
          <w:kern w:val="0"/>
          <w:szCs w:val="21"/>
        </w:rPr>
        <w:t>预算金额（元）：</w:t>
      </w:r>
      <w:r>
        <w:rPr>
          <w:rFonts w:hint="eastAsia"/>
          <w:color w:val="auto"/>
          <w:kern w:val="0"/>
          <w:szCs w:val="21"/>
          <w:lang w:eastAsia="zh-CN"/>
        </w:rPr>
        <w:t>1</w:t>
      </w:r>
      <w:r>
        <w:rPr>
          <w:rFonts w:hint="eastAsia"/>
          <w:color w:val="auto"/>
          <w:kern w:val="0"/>
          <w:szCs w:val="21"/>
          <w:lang w:val="en-US" w:eastAsia="zh-CN"/>
        </w:rPr>
        <w:t>6</w:t>
      </w:r>
      <w:r>
        <w:rPr>
          <w:rFonts w:hint="eastAsia"/>
          <w:color w:val="auto"/>
          <w:kern w:val="0"/>
          <w:szCs w:val="21"/>
          <w:lang w:eastAsia="zh-CN"/>
        </w:rPr>
        <w:t>67800</w:t>
      </w:r>
      <w:r>
        <w:rPr>
          <w:rFonts w:hint="eastAsia"/>
          <w:color w:val="auto"/>
          <w:kern w:val="0"/>
          <w:szCs w:val="21"/>
          <w:lang w:val="en-US" w:eastAsia="zh-CN"/>
        </w:rPr>
        <w:t>.00</w:t>
      </w:r>
    </w:p>
    <w:p w14:paraId="18014FAD">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color w:val="auto"/>
          <w:kern w:val="0"/>
          <w:szCs w:val="21"/>
        </w:rPr>
      </w:pPr>
      <w:r>
        <w:rPr>
          <w:rFonts w:hint="eastAsia"/>
          <w:color w:val="auto"/>
          <w:kern w:val="0"/>
          <w:szCs w:val="21"/>
        </w:rPr>
        <w:t>简要规格描述或项目基本概况介绍、用途：</w:t>
      </w:r>
      <w:r>
        <w:rPr>
          <w:rFonts w:hint="eastAsia"/>
          <w:color w:val="auto"/>
          <w:kern w:val="0"/>
          <w:szCs w:val="21"/>
          <w:lang w:val="en-US" w:eastAsia="zh-CN"/>
        </w:rPr>
        <w:t>拟采购梧州市工人医院梧州市临床病理诊断中心信息平台项目应用系统1套。</w:t>
      </w:r>
    </w:p>
    <w:p w14:paraId="0A4E0E09">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rFonts w:hint="eastAsia" w:eastAsia="宋体"/>
          <w:color w:val="auto"/>
          <w:kern w:val="0"/>
          <w:szCs w:val="21"/>
          <w:lang w:eastAsia="zh-CN"/>
        </w:rPr>
      </w:pPr>
      <w:r>
        <w:rPr>
          <w:rFonts w:hint="eastAsia"/>
          <w:color w:val="auto"/>
          <w:kern w:val="0"/>
          <w:szCs w:val="21"/>
        </w:rPr>
        <w:t>最高限价（如有）：</w:t>
      </w:r>
      <w:r>
        <w:rPr>
          <w:rFonts w:hint="eastAsia"/>
          <w:color w:val="auto"/>
          <w:kern w:val="0"/>
          <w:szCs w:val="21"/>
          <w:lang w:eastAsia="zh-CN"/>
        </w:rPr>
        <w:t>1667800.00</w:t>
      </w:r>
    </w:p>
    <w:p w14:paraId="5B09BE59">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color w:val="auto"/>
          <w:kern w:val="0"/>
          <w:szCs w:val="21"/>
        </w:rPr>
      </w:pPr>
      <w:r>
        <w:rPr>
          <w:rFonts w:hint="eastAsia"/>
          <w:color w:val="auto"/>
          <w:kern w:val="0"/>
          <w:szCs w:val="21"/>
        </w:rPr>
        <w:t>合同履约期限：签订合同之日起至付清合同全部款项当日</w:t>
      </w:r>
    </w:p>
    <w:p w14:paraId="32A61B10">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color w:val="auto"/>
          <w:kern w:val="0"/>
          <w:szCs w:val="21"/>
        </w:rPr>
      </w:pPr>
      <w:r>
        <w:rPr>
          <w:color w:val="auto"/>
          <w:kern w:val="0"/>
          <w:szCs w:val="21"/>
        </w:rPr>
        <w:t>本项目</w:t>
      </w:r>
      <w:r>
        <w:rPr>
          <w:rFonts w:hint="eastAsia"/>
          <w:color w:val="auto"/>
          <w:kern w:val="0"/>
          <w:szCs w:val="21"/>
        </w:rPr>
        <w:t>（</w:t>
      </w:r>
      <w:r>
        <w:rPr>
          <w:rFonts w:hint="eastAsia"/>
          <w:color w:val="auto"/>
          <w:szCs w:val="21"/>
        </w:rPr>
        <w:t>否</w:t>
      </w:r>
      <w:r>
        <w:rPr>
          <w:rFonts w:hint="eastAsia"/>
          <w:color w:val="auto"/>
          <w:kern w:val="0"/>
          <w:szCs w:val="21"/>
        </w:rPr>
        <w:t>）接受</w:t>
      </w:r>
      <w:r>
        <w:rPr>
          <w:color w:val="auto"/>
          <w:kern w:val="0"/>
          <w:szCs w:val="21"/>
        </w:rPr>
        <w:t>联合体。</w:t>
      </w:r>
    </w:p>
    <w:p w14:paraId="19E08BAF">
      <w:pPr>
        <w:keepNext w:val="0"/>
        <w:keepLines w:val="0"/>
        <w:pageBreakBefore w:val="0"/>
        <w:widowControl w:val="0"/>
        <w:kinsoku/>
        <w:wordWrap/>
        <w:overflowPunct/>
        <w:topLinePunct w:val="0"/>
        <w:autoSpaceDE/>
        <w:autoSpaceDN/>
        <w:bidi w:val="0"/>
        <w:adjustRightInd/>
        <w:spacing w:line="288" w:lineRule="auto"/>
        <w:ind w:firstLine="735" w:firstLineChars="350"/>
        <w:jc w:val="left"/>
        <w:textAlignment w:val="auto"/>
        <w:rPr>
          <w:rFonts w:hint="eastAsia" w:eastAsia="宋体"/>
          <w:color w:val="auto"/>
          <w:kern w:val="0"/>
          <w:szCs w:val="21"/>
          <w:lang w:val="en-US" w:eastAsia="zh-CN"/>
        </w:rPr>
      </w:pPr>
      <w:r>
        <w:rPr>
          <w:rFonts w:hint="eastAsia"/>
          <w:color w:val="auto"/>
          <w:kern w:val="0"/>
          <w:szCs w:val="21"/>
        </w:rPr>
        <w:t>备注：</w:t>
      </w:r>
      <w:r>
        <w:rPr>
          <w:rFonts w:hint="eastAsia"/>
          <w:color w:val="auto"/>
          <w:kern w:val="0"/>
          <w:szCs w:val="21"/>
          <w:lang w:val="en-US" w:eastAsia="zh-CN"/>
        </w:rPr>
        <w:t>/</w:t>
      </w:r>
    </w:p>
    <w:bookmarkEnd w:id="7"/>
    <w:p w14:paraId="3A103FC6">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rFonts w:hint="eastAsia"/>
          <w:b/>
          <w:bCs/>
          <w:kern w:val="0"/>
          <w:sz w:val="22"/>
          <w:szCs w:val="22"/>
        </w:rPr>
      </w:pPr>
      <w:r>
        <w:rPr>
          <w:rFonts w:hint="eastAsia"/>
          <w:b/>
          <w:bCs/>
          <w:kern w:val="0"/>
          <w:sz w:val="22"/>
          <w:szCs w:val="22"/>
        </w:rPr>
        <w:t>二、申请人的资格要求</w:t>
      </w:r>
    </w:p>
    <w:p w14:paraId="74680863">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szCs w:val="21"/>
        </w:rPr>
      </w:pPr>
      <w:r>
        <w:rPr>
          <w:kern w:val="0"/>
          <w:szCs w:val="21"/>
        </w:rPr>
        <w:t>1</w:t>
      </w:r>
      <w:r>
        <w:rPr>
          <w:rFonts w:hint="eastAsia"/>
          <w:color w:val="auto"/>
          <w:kern w:val="0"/>
          <w:szCs w:val="21"/>
        </w:rPr>
        <w:t>.满足</w:t>
      </w:r>
      <w:r>
        <w:rPr>
          <w:color w:val="auto"/>
          <w:kern w:val="0"/>
          <w:szCs w:val="21"/>
        </w:rPr>
        <w:t>《中华人民共和国政府采购法》第二十二条规定；</w:t>
      </w:r>
      <w:r>
        <w:rPr>
          <w:color w:val="auto"/>
          <w:szCs w:val="21"/>
        </w:rPr>
        <w:t xml:space="preserve"> </w:t>
      </w:r>
    </w:p>
    <w:p w14:paraId="3A117FA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color w:val="auto"/>
          <w:kern w:val="0"/>
          <w:szCs w:val="21"/>
        </w:rPr>
      </w:pPr>
      <w:r>
        <w:rPr>
          <w:rFonts w:hint="eastAsia"/>
          <w:color w:val="auto"/>
          <w:szCs w:val="21"/>
        </w:rPr>
        <w:t>2.落实政府采购政策需满足的资格要求：</w:t>
      </w:r>
      <w:r>
        <w:rPr>
          <w:rFonts w:hint="eastAsia"/>
          <w:color w:val="auto"/>
          <w:kern w:val="0"/>
          <w:szCs w:val="21"/>
        </w:rPr>
        <w:t>无</w:t>
      </w:r>
    </w:p>
    <w:p w14:paraId="3F4830A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color w:val="auto"/>
          <w:kern w:val="0"/>
          <w:szCs w:val="21"/>
        </w:rPr>
      </w:pPr>
      <w:r>
        <w:rPr>
          <w:color w:val="auto"/>
          <w:kern w:val="0"/>
          <w:szCs w:val="21"/>
        </w:rPr>
        <w:t>3</w:t>
      </w:r>
      <w:r>
        <w:rPr>
          <w:rFonts w:hint="eastAsia"/>
          <w:color w:val="auto"/>
          <w:kern w:val="0"/>
          <w:szCs w:val="21"/>
        </w:rPr>
        <w:t>.本项目的</w:t>
      </w:r>
      <w:r>
        <w:rPr>
          <w:color w:val="auto"/>
          <w:kern w:val="0"/>
          <w:szCs w:val="21"/>
        </w:rPr>
        <w:t>特定资格</w:t>
      </w:r>
      <w:r>
        <w:rPr>
          <w:rFonts w:hint="eastAsia"/>
          <w:color w:val="auto"/>
          <w:kern w:val="0"/>
          <w:szCs w:val="21"/>
        </w:rPr>
        <w:t>要求</w:t>
      </w:r>
      <w:r>
        <w:rPr>
          <w:color w:val="auto"/>
          <w:kern w:val="0"/>
          <w:szCs w:val="21"/>
        </w:rPr>
        <w:t>：</w:t>
      </w:r>
    </w:p>
    <w:p w14:paraId="411858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color w:val="auto"/>
          <w:kern w:val="0"/>
          <w:szCs w:val="21"/>
        </w:rPr>
        <w:t>（1）资质要求：无。</w:t>
      </w:r>
    </w:p>
    <w:p w14:paraId="2D6F445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color w:val="auto"/>
          <w:kern w:val="0"/>
          <w:szCs w:val="21"/>
        </w:rPr>
        <w:t>（2）业绩要求：无。</w:t>
      </w:r>
    </w:p>
    <w:p w14:paraId="41CA9CF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rFonts w:hint="eastAsia"/>
          <w:color w:val="auto"/>
          <w:kern w:val="0"/>
          <w:szCs w:val="21"/>
        </w:rPr>
        <w:t>（</w:t>
      </w:r>
      <w:r>
        <w:rPr>
          <w:color w:val="auto"/>
          <w:kern w:val="0"/>
          <w:szCs w:val="21"/>
        </w:rPr>
        <w:t>3</w:t>
      </w:r>
      <w:r>
        <w:rPr>
          <w:rFonts w:hint="eastAsia"/>
          <w:color w:val="auto"/>
          <w:kern w:val="0"/>
          <w:szCs w:val="21"/>
        </w:rPr>
        <w:t>）</w:t>
      </w: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r>
        <w:rPr>
          <w:rFonts w:hint="eastAsia"/>
          <w:color w:val="auto"/>
          <w:kern w:val="0"/>
          <w:szCs w:val="21"/>
        </w:rPr>
        <w:t>。</w:t>
      </w:r>
    </w:p>
    <w:p w14:paraId="2E82D1D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rFonts w:hint="eastAsia"/>
          <w:color w:val="auto"/>
          <w:kern w:val="0"/>
          <w:szCs w:val="21"/>
        </w:rPr>
        <w:t>（</w:t>
      </w:r>
      <w:r>
        <w:rPr>
          <w:rFonts w:hint="eastAsia"/>
          <w:color w:val="auto"/>
          <w:kern w:val="0"/>
          <w:szCs w:val="21"/>
          <w:lang w:val="en-US" w:eastAsia="zh-CN"/>
        </w:rPr>
        <w:t>4</w:t>
      </w:r>
      <w:r>
        <w:rPr>
          <w:rFonts w:hint="eastAsia"/>
          <w:color w:val="auto"/>
          <w:kern w:val="0"/>
          <w:szCs w:val="21"/>
        </w:rPr>
        <w:t>）</w:t>
      </w:r>
      <w:r>
        <w:rPr>
          <w:color w:val="auto"/>
          <w:kern w:val="0"/>
          <w:szCs w:val="21"/>
        </w:rPr>
        <w:t>未被列入失信被执行人、重大税收违法失信主体、政府采购严重违法失信行为记录名单。</w:t>
      </w:r>
    </w:p>
    <w:p w14:paraId="16B21E13">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color w:val="auto"/>
          <w:kern w:val="0"/>
          <w:szCs w:val="21"/>
        </w:rPr>
      </w:pPr>
      <w:r>
        <w:rPr>
          <w:rFonts w:hint="eastAsia"/>
          <w:color w:val="auto"/>
          <w:kern w:val="0"/>
          <w:szCs w:val="21"/>
        </w:rPr>
        <w:t>（</w:t>
      </w:r>
      <w:r>
        <w:rPr>
          <w:rFonts w:hint="eastAsia"/>
          <w:color w:val="auto"/>
          <w:kern w:val="0"/>
          <w:szCs w:val="21"/>
          <w:lang w:val="en-US" w:eastAsia="zh-CN"/>
        </w:rPr>
        <w:t>5</w:t>
      </w:r>
      <w:r>
        <w:rPr>
          <w:rFonts w:hint="eastAsia"/>
          <w:color w:val="auto"/>
          <w:kern w:val="0"/>
          <w:szCs w:val="21"/>
        </w:rPr>
        <w:t>）本项目不允许分公司参与响应。</w:t>
      </w:r>
    </w:p>
    <w:p w14:paraId="0C90BBBC">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rFonts w:hint="eastAsia"/>
          <w:color w:val="auto"/>
          <w:szCs w:val="21"/>
        </w:rPr>
        <w:t>（</w:t>
      </w:r>
      <w:r>
        <w:rPr>
          <w:rFonts w:hint="eastAsia"/>
          <w:color w:val="auto"/>
          <w:szCs w:val="21"/>
          <w:lang w:val="en-US" w:eastAsia="zh-CN"/>
        </w:rPr>
        <w:t>6</w:t>
      </w:r>
      <w:r>
        <w:rPr>
          <w:rFonts w:hint="eastAsia"/>
          <w:color w:val="auto"/>
          <w:szCs w:val="21"/>
        </w:rPr>
        <w:t>）</w:t>
      </w:r>
      <w:r>
        <w:rPr>
          <w:rFonts w:hint="eastAsia"/>
          <w:color w:val="auto"/>
          <w:kern w:val="0"/>
          <w:szCs w:val="21"/>
        </w:rPr>
        <w:t>本项目不允许分包。</w:t>
      </w:r>
    </w:p>
    <w:p w14:paraId="15F02A6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color w:val="auto"/>
          <w:kern w:val="0"/>
          <w:szCs w:val="21"/>
        </w:rPr>
      </w:pPr>
      <w:r>
        <w:rPr>
          <w:rFonts w:hint="eastAsia"/>
          <w:color w:val="auto"/>
          <w:kern w:val="0"/>
          <w:szCs w:val="21"/>
        </w:rPr>
        <w:t>（</w:t>
      </w:r>
      <w:r>
        <w:rPr>
          <w:rFonts w:hint="eastAsia"/>
          <w:color w:val="auto"/>
          <w:kern w:val="0"/>
          <w:szCs w:val="21"/>
          <w:lang w:val="en-US" w:eastAsia="zh-CN"/>
        </w:rPr>
        <w:t>7</w:t>
      </w:r>
      <w:r>
        <w:rPr>
          <w:color w:val="auto"/>
          <w:kern w:val="0"/>
          <w:szCs w:val="21"/>
        </w:rPr>
        <w:t>本项目不接受联合体。</w:t>
      </w:r>
    </w:p>
    <w:p w14:paraId="35B083F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kern w:val="0"/>
          <w:szCs w:val="21"/>
        </w:rPr>
      </w:pPr>
      <w:r>
        <w:rPr>
          <w:rFonts w:hint="eastAsia"/>
          <w:kern w:val="0"/>
          <w:szCs w:val="21"/>
        </w:rPr>
        <w:t>（</w:t>
      </w:r>
      <w:r>
        <w:rPr>
          <w:rFonts w:hint="eastAsia"/>
          <w:kern w:val="0"/>
          <w:szCs w:val="21"/>
          <w:lang w:val="en-US" w:eastAsia="zh-CN"/>
        </w:rPr>
        <w:t>8</w:t>
      </w:r>
      <w:r>
        <w:rPr>
          <w:rFonts w:hint="eastAsia"/>
          <w:kern w:val="0"/>
          <w:szCs w:val="21"/>
        </w:rPr>
        <w:t>）</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4C592B7A">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rFonts w:hint="eastAsia"/>
          <w:b/>
          <w:bCs/>
          <w:kern w:val="0"/>
          <w:sz w:val="22"/>
          <w:szCs w:val="22"/>
        </w:rPr>
      </w:pPr>
      <w:r>
        <w:rPr>
          <w:rFonts w:hint="eastAsia"/>
          <w:b/>
          <w:bCs/>
          <w:kern w:val="0"/>
          <w:sz w:val="22"/>
          <w:szCs w:val="22"/>
        </w:rPr>
        <w:t>三、获取采购文件</w:t>
      </w:r>
    </w:p>
    <w:p w14:paraId="35800AE3">
      <w:pPr>
        <w:keepNext w:val="0"/>
        <w:keepLines w:val="0"/>
        <w:pageBreakBefore w:val="0"/>
        <w:widowControl w:val="0"/>
        <w:kinsoku/>
        <w:wordWrap/>
        <w:overflowPunct/>
        <w:topLinePunct w:val="0"/>
        <w:autoSpaceDE/>
        <w:autoSpaceDN/>
        <w:bidi w:val="0"/>
        <w:adjustRightInd/>
        <w:snapToGrid w:val="0"/>
        <w:spacing w:line="288" w:lineRule="auto"/>
        <w:ind w:left="0" w:leftChars="0" w:right="0" w:firstLine="420" w:firstLineChars="200"/>
        <w:jc w:val="left"/>
        <w:textAlignment w:val="auto"/>
      </w:pPr>
      <w:bookmarkStart w:id="8" w:name="_Hlk46137393"/>
      <w:r>
        <w:rPr>
          <w:rFonts w:hint="eastAsia"/>
        </w:rPr>
        <w:t>时</w:t>
      </w:r>
      <w:r>
        <w:rPr>
          <w:rFonts w:hint="eastAsia"/>
          <w:color w:val="auto"/>
        </w:rPr>
        <w:t>间：</w:t>
      </w:r>
      <w:r>
        <w:rPr>
          <w:rFonts w:hint="eastAsia"/>
          <w:color w:val="auto"/>
          <w:u w:val="single"/>
        </w:rPr>
        <w:t>20</w:t>
      </w:r>
      <w:r>
        <w:rPr>
          <w:rFonts w:hint="eastAsia"/>
          <w:color w:val="auto"/>
          <w:u w:val="single"/>
          <w:lang w:val="en-US" w:eastAsia="zh-CN"/>
        </w:rPr>
        <w:t>25</w:t>
      </w:r>
      <w:r>
        <w:rPr>
          <w:rFonts w:hint="eastAsia"/>
          <w:color w:val="auto"/>
          <w:u w:val="single"/>
        </w:rPr>
        <w:t>年</w:t>
      </w:r>
      <w:r>
        <w:rPr>
          <w:rFonts w:hint="eastAsia"/>
          <w:color w:val="auto"/>
          <w:u w:val="single"/>
          <w:lang w:val="en-US" w:eastAsia="zh-CN"/>
        </w:rPr>
        <w:t>10</w:t>
      </w:r>
      <w:r>
        <w:rPr>
          <w:rFonts w:hint="eastAsia"/>
          <w:color w:val="auto"/>
          <w:u w:val="single"/>
        </w:rPr>
        <w:t>月</w:t>
      </w:r>
      <w:r>
        <w:rPr>
          <w:rFonts w:hint="eastAsia"/>
          <w:color w:val="auto"/>
          <w:u w:val="single"/>
          <w:lang w:val="en-US" w:eastAsia="zh-CN"/>
        </w:rPr>
        <w:t>10</w:t>
      </w:r>
      <w:r>
        <w:rPr>
          <w:rFonts w:hint="eastAsia"/>
          <w:color w:val="auto"/>
          <w:u w:val="single"/>
        </w:rPr>
        <w:t>日起至20</w:t>
      </w:r>
      <w:r>
        <w:rPr>
          <w:rFonts w:hint="eastAsia"/>
          <w:color w:val="auto"/>
          <w:u w:val="single"/>
          <w:lang w:val="en-US" w:eastAsia="zh-CN"/>
        </w:rPr>
        <w:t>25</w:t>
      </w:r>
      <w:r>
        <w:rPr>
          <w:rFonts w:hint="eastAsia"/>
          <w:color w:val="auto"/>
          <w:u w:val="single"/>
        </w:rPr>
        <w:t>年</w:t>
      </w:r>
      <w:r>
        <w:rPr>
          <w:rFonts w:hint="eastAsia"/>
          <w:color w:val="auto"/>
          <w:u w:val="single"/>
          <w:lang w:val="en-US" w:eastAsia="zh-CN"/>
        </w:rPr>
        <w:t>10</w:t>
      </w:r>
      <w:r>
        <w:rPr>
          <w:rFonts w:hint="eastAsia"/>
          <w:color w:val="auto"/>
          <w:u w:val="single"/>
        </w:rPr>
        <w:t>月</w:t>
      </w:r>
      <w:r>
        <w:rPr>
          <w:rFonts w:hint="eastAsia"/>
          <w:color w:val="auto"/>
          <w:u w:val="single"/>
          <w:lang w:val="en-US" w:eastAsia="zh-CN"/>
        </w:rPr>
        <w:t>16</w:t>
      </w:r>
      <w:r>
        <w:rPr>
          <w:rFonts w:hint="eastAsia"/>
          <w:color w:val="auto"/>
          <w:u w:val="single"/>
        </w:rPr>
        <w:t>日</w:t>
      </w:r>
      <w:r>
        <w:rPr>
          <w:rFonts w:hint="eastAsia"/>
          <w:color w:val="auto"/>
        </w:rPr>
        <w:t>，</w:t>
      </w:r>
      <w:r>
        <w:rPr>
          <w:color w:val="auto"/>
          <w:highlight w:val="none"/>
        </w:rPr>
        <w:t>每</w:t>
      </w:r>
      <w:r>
        <w:rPr>
          <w:highlight w:val="none"/>
        </w:rPr>
        <w:t>天上</w:t>
      </w:r>
      <w:r>
        <w:t>午</w:t>
      </w:r>
      <w:r>
        <w:rPr>
          <w:u w:val="single"/>
        </w:rPr>
        <w:t>08时30分至12时00分，下午14时30分至18时00分</w:t>
      </w:r>
      <w:r>
        <w:t>（北京时间，法定节假日除外）。</w:t>
      </w:r>
    </w:p>
    <w:p w14:paraId="469760A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ascii="Arial" w:hAnsi="Arial" w:cs="Arial"/>
          <w:color w:val="auto"/>
          <w:kern w:val="0"/>
          <w:szCs w:val="21"/>
        </w:rPr>
      </w:pPr>
      <w:r>
        <w:rPr>
          <w:rFonts w:hint="eastAsia"/>
        </w:rPr>
        <w:t>地点（网址）：</w:t>
      </w:r>
      <w:bookmarkEnd w:id="8"/>
      <w:r>
        <w:rPr>
          <w:rFonts w:ascii="Arial" w:hAnsi="Arial" w:cs="Arial"/>
          <w:color w:val="auto"/>
          <w:kern w:val="0"/>
          <w:szCs w:val="21"/>
        </w:rPr>
        <w:t>广西政府采购云平台</w:t>
      </w:r>
      <w:r>
        <w:rPr>
          <w:rFonts w:hint="eastAsia" w:ascii="Arial" w:hAnsi="Arial" w:cs="Arial"/>
          <w:color w:val="auto"/>
          <w:kern w:val="0"/>
          <w:szCs w:val="21"/>
        </w:rPr>
        <w:t>（https://www.gcy.zfcg.gxzf.gov.cn/）</w:t>
      </w:r>
    </w:p>
    <w:p w14:paraId="4844CA0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szCs w:val="21"/>
        </w:rPr>
      </w:pPr>
      <w:r>
        <w:rPr>
          <w:rFonts w:hint="eastAsia"/>
          <w:color w:val="auto"/>
          <w:szCs w:val="21"/>
        </w:rPr>
        <w:t>方式：供应商登录广西政府采购云平台在线申请获取采购文件（进入“项目采购”应用，在获取采购文件菜单中选择项目，申请获取采购文件）</w:t>
      </w:r>
    </w:p>
    <w:p w14:paraId="520A8F3D">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rPr>
      </w:pPr>
      <w:r>
        <w:rPr>
          <w:rFonts w:hint="eastAsia"/>
          <w:color w:val="auto"/>
        </w:rPr>
        <w:t>售价（元）：</w:t>
      </w:r>
      <w:r>
        <w:rPr>
          <w:color w:val="auto"/>
        </w:rPr>
        <w:t>0</w:t>
      </w:r>
    </w:p>
    <w:p w14:paraId="3FCC361E">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rFonts w:hint="eastAsia"/>
          <w:b/>
          <w:bCs/>
          <w:kern w:val="0"/>
          <w:sz w:val="22"/>
          <w:szCs w:val="22"/>
        </w:rPr>
      </w:pPr>
      <w:r>
        <w:rPr>
          <w:rFonts w:hint="eastAsia"/>
          <w:b/>
          <w:bCs/>
          <w:kern w:val="0"/>
          <w:sz w:val="22"/>
          <w:szCs w:val="22"/>
        </w:rPr>
        <w:t>四、响应文件提交</w:t>
      </w:r>
    </w:p>
    <w:p w14:paraId="4C2411C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kern w:val="0"/>
          <w:szCs w:val="21"/>
        </w:rPr>
      </w:pPr>
      <w:r>
        <w:rPr>
          <w:rFonts w:hint="eastAsia"/>
          <w:kern w:val="0"/>
          <w:szCs w:val="21"/>
        </w:rPr>
        <w:t>截止</w:t>
      </w:r>
      <w:r>
        <w:rPr>
          <w:rFonts w:hint="eastAsia"/>
          <w:color w:val="auto"/>
          <w:kern w:val="0"/>
          <w:szCs w:val="21"/>
        </w:rPr>
        <w:t>时间：</w:t>
      </w:r>
      <w:r>
        <w:rPr>
          <w:rFonts w:hint="eastAsia"/>
          <w:color w:val="auto"/>
          <w:kern w:val="0"/>
          <w:szCs w:val="21"/>
          <w:u w:val="single"/>
          <w:lang w:eastAsia="zh-CN"/>
        </w:rPr>
        <w:t>2025</w:t>
      </w:r>
      <w:r>
        <w:rPr>
          <w:color w:val="auto"/>
          <w:kern w:val="0"/>
          <w:szCs w:val="21"/>
          <w:u w:val="single"/>
        </w:rPr>
        <w:t>年</w:t>
      </w:r>
      <w:r>
        <w:rPr>
          <w:rFonts w:hint="eastAsia"/>
          <w:color w:val="auto"/>
          <w:kern w:val="0"/>
          <w:szCs w:val="21"/>
          <w:u w:val="single"/>
          <w:lang w:val="en-US" w:eastAsia="zh-CN"/>
        </w:rPr>
        <w:t>10</w:t>
      </w:r>
      <w:r>
        <w:rPr>
          <w:color w:val="auto"/>
          <w:kern w:val="0"/>
          <w:szCs w:val="21"/>
          <w:u w:val="single"/>
        </w:rPr>
        <w:t>月</w:t>
      </w:r>
      <w:r>
        <w:rPr>
          <w:rFonts w:hint="eastAsia"/>
          <w:color w:val="auto"/>
          <w:kern w:val="0"/>
          <w:szCs w:val="21"/>
          <w:u w:val="single"/>
          <w:lang w:val="en-US" w:eastAsia="zh-CN"/>
        </w:rPr>
        <w:t>23</w:t>
      </w:r>
      <w:r>
        <w:rPr>
          <w:color w:val="auto"/>
          <w:kern w:val="0"/>
          <w:szCs w:val="21"/>
          <w:u w:val="single"/>
        </w:rPr>
        <w:t>日</w:t>
      </w:r>
      <w:r>
        <w:rPr>
          <w:rFonts w:hint="eastAsia"/>
          <w:color w:val="auto"/>
          <w:kern w:val="0"/>
          <w:szCs w:val="21"/>
          <w:u w:val="single"/>
          <w:lang w:val="en-US" w:eastAsia="zh-CN"/>
        </w:rPr>
        <w:t>9:00</w:t>
      </w:r>
      <w:r>
        <w:rPr>
          <w:rFonts w:hint="eastAsia"/>
          <w:color w:val="auto"/>
          <w:kern w:val="0"/>
          <w:szCs w:val="21"/>
        </w:rPr>
        <w:t>（北京时间）</w:t>
      </w:r>
    </w:p>
    <w:p w14:paraId="2363892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auto"/>
          <w:szCs w:val="21"/>
        </w:rPr>
      </w:pPr>
      <w:r>
        <w:rPr>
          <w:rFonts w:hint="eastAsia"/>
          <w:color w:val="auto"/>
          <w:kern w:val="0"/>
          <w:szCs w:val="21"/>
        </w:rPr>
        <w:t>地点（网址）：</w:t>
      </w:r>
      <w:r>
        <w:rPr>
          <w:rFonts w:hint="eastAsia"/>
          <w:color w:val="auto"/>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rPr>
        <w:t>A</w:t>
      </w:r>
      <w:r>
        <w:rPr>
          <w:rFonts w:hint="eastAsia"/>
          <w:color w:val="auto"/>
          <w:szCs w:val="21"/>
        </w:rPr>
        <w:t>认证编制、加密响应文件后在响应截止时间前上传至广西政府采购云平台，供应商在广西政府采购云平台提交电子版响应文件时，请填写参加远程截标活动经办人联系方式。</w:t>
      </w:r>
    </w:p>
    <w:p w14:paraId="4C9ED6CB">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b/>
          <w:bCs/>
          <w:kern w:val="0"/>
          <w:sz w:val="22"/>
          <w:szCs w:val="22"/>
        </w:rPr>
      </w:pPr>
      <w:r>
        <w:rPr>
          <w:rFonts w:hint="eastAsia"/>
          <w:b/>
          <w:bCs/>
          <w:kern w:val="0"/>
          <w:sz w:val="22"/>
          <w:szCs w:val="22"/>
        </w:rPr>
        <w:t>五、开启</w:t>
      </w:r>
    </w:p>
    <w:p w14:paraId="5658442D">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kern w:val="0"/>
          <w:szCs w:val="21"/>
        </w:rPr>
      </w:pPr>
      <w:r>
        <w:rPr>
          <w:rFonts w:hint="eastAsia"/>
          <w:b/>
          <w:bCs/>
          <w:kern w:val="0"/>
          <w:sz w:val="22"/>
          <w:szCs w:val="22"/>
        </w:rPr>
        <w:t>开启时间</w:t>
      </w:r>
      <w:r>
        <w:rPr>
          <w:rFonts w:hint="eastAsia"/>
          <w:b/>
          <w:bCs/>
          <w:color w:val="auto"/>
          <w:kern w:val="0"/>
          <w:sz w:val="22"/>
          <w:szCs w:val="22"/>
        </w:rPr>
        <w:t>：</w:t>
      </w:r>
      <w:r>
        <w:rPr>
          <w:rFonts w:hint="eastAsia"/>
          <w:color w:val="auto"/>
          <w:kern w:val="0"/>
          <w:szCs w:val="21"/>
          <w:u w:val="single"/>
          <w:lang w:eastAsia="zh-CN"/>
        </w:rPr>
        <w:t>2025</w:t>
      </w:r>
      <w:r>
        <w:rPr>
          <w:color w:val="auto"/>
          <w:kern w:val="0"/>
          <w:szCs w:val="21"/>
          <w:u w:val="single"/>
        </w:rPr>
        <w:t>年</w:t>
      </w:r>
      <w:r>
        <w:rPr>
          <w:rFonts w:hint="eastAsia"/>
          <w:color w:val="auto"/>
          <w:kern w:val="0"/>
          <w:szCs w:val="21"/>
          <w:u w:val="single"/>
          <w:lang w:val="en-US" w:eastAsia="zh-CN"/>
        </w:rPr>
        <w:t>10</w:t>
      </w:r>
      <w:r>
        <w:rPr>
          <w:color w:val="auto"/>
          <w:kern w:val="0"/>
          <w:szCs w:val="21"/>
          <w:u w:val="single"/>
        </w:rPr>
        <w:t>月</w:t>
      </w:r>
      <w:r>
        <w:rPr>
          <w:rFonts w:hint="eastAsia"/>
          <w:color w:val="auto"/>
          <w:kern w:val="0"/>
          <w:szCs w:val="21"/>
          <w:u w:val="single"/>
          <w:lang w:val="en-US" w:eastAsia="zh-CN"/>
        </w:rPr>
        <w:t>23</w:t>
      </w:r>
      <w:r>
        <w:rPr>
          <w:color w:val="auto"/>
          <w:kern w:val="0"/>
          <w:szCs w:val="21"/>
          <w:u w:val="single"/>
        </w:rPr>
        <w:t>日</w:t>
      </w:r>
      <w:r>
        <w:rPr>
          <w:rFonts w:hint="eastAsia"/>
          <w:color w:val="auto"/>
          <w:kern w:val="0"/>
          <w:szCs w:val="21"/>
          <w:u w:val="single"/>
          <w:lang w:val="en-US" w:eastAsia="zh-CN"/>
        </w:rPr>
        <w:t>9:00</w:t>
      </w:r>
      <w:r>
        <w:rPr>
          <w:rFonts w:hint="eastAsia"/>
          <w:color w:val="auto"/>
          <w:kern w:val="0"/>
          <w:szCs w:val="21"/>
          <w:u w:val="single"/>
        </w:rPr>
        <w:t>（</w:t>
      </w:r>
      <w:r>
        <w:rPr>
          <w:rFonts w:hint="eastAsia"/>
          <w:color w:val="auto"/>
          <w:kern w:val="0"/>
          <w:szCs w:val="21"/>
        </w:rPr>
        <w:t>北京时间）</w:t>
      </w:r>
    </w:p>
    <w:p w14:paraId="3E2F529D">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rFonts w:hint="eastAsia"/>
          <w:b/>
          <w:bCs/>
          <w:color w:val="auto"/>
          <w:kern w:val="0"/>
          <w:sz w:val="22"/>
          <w:szCs w:val="22"/>
        </w:rPr>
      </w:pPr>
      <w:r>
        <w:rPr>
          <w:rFonts w:hint="eastAsia"/>
          <w:b/>
          <w:bCs/>
          <w:color w:val="auto"/>
          <w:kern w:val="0"/>
          <w:sz w:val="22"/>
          <w:szCs w:val="22"/>
        </w:rPr>
        <w:t>地点：</w:t>
      </w:r>
      <w:r>
        <w:rPr>
          <w:rFonts w:hint="eastAsia"/>
          <w:color w:val="auto"/>
          <w:szCs w:val="21"/>
        </w:rPr>
        <w:t>供应商登录广西政府采购云平台电子开标大厅截标。</w:t>
      </w:r>
    </w:p>
    <w:p w14:paraId="2CC6E204">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b/>
          <w:bCs/>
          <w:kern w:val="0"/>
          <w:sz w:val="22"/>
          <w:szCs w:val="22"/>
        </w:rPr>
      </w:pPr>
      <w:r>
        <w:rPr>
          <w:rFonts w:hint="eastAsia"/>
          <w:b/>
          <w:bCs/>
          <w:kern w:val="0"/>
          <w:sz w:val="22"/>
          <w:szCs w:val="22"/>
        </w:rPr>
        <w:t>六、公告期限</w:t>
      </w:r>
    </w:p>
    <w:p w14:paraId="5B343C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kern w:val="0"/>
          <w:szCs w:val="21"/>
        </w:rPr>
      </w:pPr>
      <w:r>
        <w:rPr>
          <w:rFonts w:hint="eastAsia"/>
          <w:kern w:val="0"/>
          <w:szCs w:val="21"/>
        </w:rPr>
        <w:t>自本公告发布之日起5个工作日。</w:t>
      </w:r>
    </w:p>
    <w:p w14:paraId="5F7E7FE2">
      <w:pPr>
        <w:keepNext w:val="0"/>
        <w:keepLines w:val="0"/>
        <w:pageBreakBefore w:val="0"/>
        <w:widowControl w:val="0"/>
        <w:kinsoku/>
        <w:wordWrap/>
        <w:overflowPunct/>
        <w:topLinePunct w:val="0"/>
        <w:autoSpaceDE/>
        <w:autoSpaceDN/>
        <w:bidi w:val="0"/>
        <w:adjustRightInd/>
        <w:spacing w:line="288" w:lineRule="auto"/>
        <w:ind w:firstLine="442" w:firstLineChars="200"/>
        <w:jc w:val="left"/>
        <w:textAlignment w:val="auto"/>
        <w:rPr>
          <w:b/>
          <w:bCs/>
          <w:kern w:val="0"/>
          <w:sz w:val="22"/>
          <w:szCs w:val="22"/>
        </w:rPr>
      </w:pPr>
      <w:r>
        <w:rPr>
          <w:rFonts w:hint="eastAsia"/>
          <w:b/>
          <w:bCs/>
          <w:kern w:val="0"/>
          <w:sz w:val="22"/>
          <w:szCs w:val="22"/>
        </w:rPr>
        <w:t>七、其他补充事宜</w:t>
      </w:r>
    </w:p>
    <w:p w14:paraId="2B1EEECC">
      <w:pPr>
        <w:keepNext w:val="0"/>
        <w:keepLines w:val="0"/>
        <w:pageBreakBefore w:val="0"/>
        <w:widowControl w:val="0"/>
        <w:kinsoku/>
        <w:wordWrap/>
        <w:overflowPunct/>
        <w:topLinePunct w:val="0"/>
        <w:autoSpaceDE/>
        <w:autoSpaceDN/>
        <w:bidi w:val="0"/>
        <w:adjustRightInd/>
        <w:snapToGrid w:val="0"/>
        <w:spacing w:line="288" w:lineRule="auto"/>
        <w:ind w:left="0" w:leftChars="0" w:right="0" w:firstLine="420" w:firstLineChars="200"/>
        <w:jc w:val="left"/>
        <w:textAlignment w:val="auto"/>
        <w:rPr>
          <w:color w:val="000000"/>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r>
        <w:rPr>
          <w:rFonts w:hint="eastAsia"/>
          <w:kern w:val="0"/>
          <w:szCs w:val="21"/>
          <w:lang w:eastAsia="zh-CN"/>
        </w:rPr>
        <w:t>、</w:t>
      </w:r>
      <w:r>
        <w:rPr>
          <w:kern w:val="0"/>
          <w:szCs w:val="21"/>
        </w:rPr>
        <w:t>梧州市政府采购网</w:t>
      </w:r>
    </w:p>
    <w:p w14:paraId="2012A5F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color w:val="000000"/>
          <w:kern w:val="0"/>
          <w:szCs w:val="21"/>
        </w:rPr>
      </w:pPr>
      <w:r>
        <w:rPr>
          <w:rFonts w:hint="eastAsia"/>
          <w:color w:val="000000"/>
          <w:kern w:val="0"/>
          <w:szCs w:val="21"/>
        </w:rPr>
        <w:t>2.需落实的政府采购政策：本项目适用政府采购促进中小企业、监狱企业发展、促进残疾人就业、节能环保等有关政策，具体详见采购文件。</w:t>
      </w:r>
    </w:p>
    <w:p w14:paraId="7D7B43FC">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rPr>
      </w:pPr>
      <w:r>
        <w:rPr>
          <w:color w:val="000000"/>
          <w:kern w:val="0"/>
          <w:szCs w:val="21"/>
        </w:rPr>
        <w:t>3</w:t>
      </w:r>
      <w:r>
        <w:rPr>
          <w:rFonts w:hint="eastAsia"/>
          <w:color w:val="000000"/>
          <w:kern w:val="0"/>
          <w:szCs w:val="21"/>
        </w:rPr>
        <w:t>.本项目供应商的产生方式：</w:t>
      </w:r>
      <w:r>
        <w:t>发布</w:t>
      </w:r>
      <w:r>
        <w:rPr>
          <w:rFonts w:hint="eastAsia"/>
        </w:rPr>
        <w:t>公告征集</w:t>
      </w:r>
    </w:p>
    <w:p w14:paraId="375998A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color w:val="000000"/>
          <w:kern w:val="0"/>
          <w:szCs w:val="21"/>
        </w:rPr>
      </w:pPr>
      <w:r>
        <w:rPr>
          <w:color w:val="000000"/>
          <w:kern w:val="0"/>
          <w:szCs w:val="21"/>
        </w:rPr>
        <w:t>4</w:t>
      </w:r>
      <w:r>
        <w:rPr>
          <w:rFonts w:hint="eastAsia"/>
          <w:color w:val="000000"/>
          <w:kern w:val="0"/>
          <w:szCs w:val="21"/>
        </w:rPr>
        <w:t>.注意事项：</w:t>
      </w:r>
    </w:p>
    <w:p w14:paraId="73EA00A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6A1EC110">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052ED601">
      <w:pPr>
        <w:keepNext w:val="0"/>
        <w:keepLines w:val="0"/>
        <w:pageBreakBefore w:val="0"/>
        <w:widowControl w:val="0"/>
        <w:kinsoku/>
        <w:wordWrap/>
        <w:overflowPunct/>
        <w:topLinePunct w:val="0"/>
        <w:autoSpaceDE/>
        <w:autoSpaceDN/>
        <w:bidi w:val="0"/>
        <w:adjustRightInd/>
        <w:spacing w:line="288" w:lineRule="auto"/>
        <w:ind w:firstLine="442" w:firstLineChars="200"/>
        <w:textAlignment w:val="auto"/>
        <w:rPr>
          <w:rFonts w:hint="eastAsia"/>
          <w:b/>
          <w:bCs/>
          <w:kern w:val="0"/>
          <w:sz w:val="22"/>
          <w:szCs w:val="22"/>
        </w:rPr>
      </w:pPr>
      <w:r>
        <w:rPr>
          <w:rFonts w:hint="eastAsia"/>
          <w:b/>
          <w:bCs/>
          <w:kern w:val="0"/>
          <w:sz w:val="22"/>
          <w:szCs w:val="22"/>
        </w:rPr>
        <w:t>八、对本次采购提出询问，请按以下方式联系</w:t>
      </w:r>
    </w:p>
    <w:p w14:paraId="2DF87D83">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kern w:val="0"/>
          <w:szCs w:val="21"/>
        </w:rPr>
      </w:pPr>
      <w:r>
        <w:rPr>
          <w:rFonts w:hint="eastAsia"/>
          <w:kern w:val="0"/>
          <w:szCs w:val="21"/>
        </w:rPr>
        <w:t>1.采购人信息</w:t>
      </w:r>
    </w:p>
    <w:p w14:paraId="27421C5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Cs w:val="21"/>
          <w:u w:val="single"/>
          <w:lang w:eastAsia="zh-CN"/>
        </w:rPr>
      </w:pPr>
      <w:bookmarkStart w:id="9" w:name="_Hlk19048373"/>
      <w:r>
        <w:rPr>
          <w:rFonts w:hint="eastAsia"/>
          <w:kern w:val="0"/>
          <w:szCs w:val="21"/>
        </w:rPr>
        <w:t>名称</w:t>
      </w:r>
      <w:r>
        <w:rPr>
          <w:kern w:val="0"/>
          <w:szCs w:val="21"/>
        </w:rPr>
        <w:t>：</w:t>
      </w:r>
      <w:r>
        <w:rPr>
          <w:rFonts w:hint="eastAsia" w:ascii="宋体" w:hAnsi="宋体" w:eastAsia="宋体" w:cs="宋体"/>
          <w:kern w:val="0"/>
          <w:szCs w:val="21"/>
          <w:u w:val="single"/>
          <w:lang w:eastAsia="zh-CN"/>
        </w:rPr>
        <w:t>梧州市工人医院</w:t>
      </w:r>
    </w:p>
    <w:p w14:paraId="3FA0D780">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Cs w:val="21"/>
          <w:u w:val="single"/>
        </w:rPr>
      </w:pPr>
      <w:r>
        <w:rPr>
          <w:kern w:val="0"/>
          <w:szCs w:val="21"/>
        </w:rPr>
        <w:t>地址：</w:t>
      </w:r>
      <w:r>
        <w:rPr>
          <w:rFonts w:hint="eastAsia" w:ascii="宋体" w:hAnsi="宋体" w:eastAsia="宋体" w:cs="宋体"/>
          <w:kern w:val="0"/>
          <w:szCs w:val="21"/>
          <w:u w:val="single"/>
        </w:rPr>
        <w:t>梧州市高地路南三巷一号</w:t>
      </w:r>
    </w:p>
    <w:p w14:paraId="7E5FC72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kern w:val="0"/>
          <w:szCs w:val="21"/>
          <w:u w:val="single"/>
        </w:rPr>
      </w:pPr>
      <w:r>
        <w:rPr>
          <w:rFonts w:hint="eastAsia"/>
          <w:kern w:val="0"/>
          <w:szCs w:val="21"/>
        </w:rPr>
        <w:t>项目联系人：</w:t>
      </w:r>
      <w:r>
        <w:rPr>
          <w:rFonts w:hint="eastAsia" w:ascii="宋体" w:hAnsi="宋体" w:eastAsia="宋体" w:cs="宋体"/>
          <w:kern w:val="0"/>
          <w:szCs w:val="21"/>
          <w:u w:val="single"/>
          <w:lang w:eastAsia="zh-CN"/>
        </w:rPr>
        <w:t>叶</w:t>
      </w:r>
      <w:r>
        <w:rPr>
          <w:rFonts w:hint="eastAsia" w:ascii="宋体" w:hAnsi="宋体" w:eastAsia="宋体" w:cs="宋体"/>
          <w:kern w:val="0"/>
          <w:szCs w:val="21"/>
          <w:u w:val="single"/>
        </w:rPr>
        <w:t>工</w:t>
      </w:r>
    </w:p>
    <w:p w14:paraId="73EBA6F4">
      <w:pPr>
        <w:keepNext w:val="0"/>
        <w:keepLines w:val="0"/>
        <w:pageBreakBefore w:val="0"/>
        <w:widowControl w:val="0"/>
        <w:kinsoku/>
        <w:wordWrap/>
        <w:overflowPunct/>
        <w:topLinePunct w:val="0"/>
        <w:autoSpaceDE/>
        <w:autoSpaceDN/>
        <w:bidi w:val="0"/>
        <w:adjustRightInd/>
        <w:spacing w:line="288" w:lineRule="auto"/>
        <w:ind w:left="0" w:leftChars="0" w:right="0" w:firstLine="420" w:firstLineChars="200"/>
        <w:jc w:val="left"/>
        <w:textAlignment w:val="auto"/>
        <w:rPr>
          <w:rFonts w:hint="eastAsia" w:ascii="宋体" w:hAnsi="宋体" w:eastAsia="宋体" w:cs="宋体"/>
          <w:kern w:val="0"/>
          <w:szCs w:val="21"/>
          <w:u w:val="single"/>
          <w:lang w:eastAsia="zh-CN"/>
        </w:rPr>
      </w:pPr>
      <w:r>
        <w:rPr>
          <w:rFonts w:hint="eastAsia"/>
          <w:kern w:val="0"/>
          <w:szCs w:val="21"/>
        </w:rPr>
        <w:t>项目联系方式：</w:t>
      </w:r>
      <w:bookmarkEnd w:id="9"/>
      <w:r>
        <w:rPr>
          <w:rFonts w:hint="eastAsia" w:ascii="宋体" w:hAnsi="宋体" w:eastAsia="宋体" w:cs="宋体"/>
          <w:kern w:val="0"/>
          <w:szCs w:val="21"/>
          <w:u w:val="single"/>
          <w:lang w:eastAsia="zh-CN"/>
        </w:rPr>
        <w:t>0774-2030686</w:t>
      </w:r>
    </w:p>
    <w:p w14:paraId="2BEC4397">
      <w:pPr>
        <w:keepNext w:val="0"/>
        <w:keepLines w:val="0"/>
        <w:pageBreakBefore w:val="0"/>
        <w:widowControl w:val="0"/>
        <w:kinsoku/>
        <w:wordWrap/>
        <w:overflowPunct/>
        <w:topLinePunct w:val="0"/>
        <w:autoSpaceDE/>
        <w:autoSpaceDN/>
        <w:bidi w:val="0"/>
        <w:adjustRightInd/>
        <w:spacing w:line="288" w:lineRule="auto"/>
        <w:ind w:left="0" w:leftChars="0" w:right="0" w:firstLine="420" w:firstLineChars="200"/>
        <w:jc w:val="left"/>
        <w:textAlignment w:val="auto"/>
        <w:rPr>
          <w:rFonts w:hint="eastAsia"/>
          <w:kern w:val="0"/>
          <w:szCs w:val="21"/>
          <w:u w:val="single"/>
        </w:rPr>
      </w:pPr>
      <w:r>
        <w:rPr>
          <w:rFonts w:hint="eastAsia"/>
          <w:kern w:val="0"/>
          <w:szCs w:val="21"/>
          <w:u w:val="single"/>
        </w:rPr>
        <w:t>2.采购代理机构信息</w:t>
      </w:r>
    </w:p>
    <w:p w14:paraId="0F7800A5">
      <w:pPr>
        <w:keepNext w:val="0"/>
        <w:keepLines w:val="0"/>
        <w:pageBreakBefore w:val="0"/>
        <w:widowControl w:val="0"/>
        <w:kinsoku/>
        <w:wordWrap/>
        <w:overflowPunct/>
        <w:topLinePunct w:val="0"/>
        <w:autoSpaceDE/>
        <w:autoSpaceDN/>
        <w:bidi w:val="0"/>
        <w:adjustRightInd/>
        <w:snapToGrid w:val="0"/>
        <w:spacing w:line="288" w:lineRule="auto"/>
        <w:ind w:left="0" w:leftChars="0" w:right="0" w:firstLine="420" w:firstLineChars="200"/>
        <w:jc w:val="left"/>
        <w:textAlignment w:val="auto"/>
        <w:rPr>
          <w:rFonts w:hint="eastAsia" w:ascii="宋体" w:hAnsi="宋体" w:cs="宋体"/>
          <w:kern w:val="0"/>
          <w:szCs w:val="21"/>
          <w:u w:val="single"/>
        </w:rPr>
      </w:pPr>
      <w:r>
        <w:rPr>
          <w:rFonts w:hint="eastAsia" w:ascii="宋体" w:hAnsi="宋体" w:cs="宋体"/>
          <w:kern w:val="0"/>
          <w:szCs w:val="21"/>
          <w:u w:val="single"/>
        </w:rPr>
        <w:t>名称：广西机电设备招标有限公司</w:t>
      </w:r>
    </w:p>
    <w:p w14:paraId="1939646E">
      <w:pPr>
        <w:keepNext w:val="0"/>
        <w:keepLines w:val="0"/>
        <w:pageBreakBefore w:val="0"/>
        <w:widowControl w:val="0"/>
        <w:kinsoku/>
        <w:wordWrap/>
        <w:overflowPunct/>
        <w:topLinePunct w:val="0"/>
        <w:autoSpaceDE/>
        <w:autoSpaceDN/>
        <w:bidi w:val="0"/>
        <w:adjustRightInd/>
        <w:snapToGrid w:val="0"/>
        <w:spacing w:line="288" w:lineRule="auto"/>
        <w:ind w:left="0" w:leftChars="0" w:right="0" w:firstLine="420" w:firstLineChars="200"/>
        <w:jc w:val="left"/>
        <w:textAlignment w:val="auto"/>
        <w:rPr>
          <w:rFonts w:hint="eastAsia" w:ascii="宋体" w:hAnsi="宋体" w:cs="宋体"/>
          <w:kern w:val="0"/>
          <w:szCs w:val="21"/>
          <w:u w:val="single"/>
        </w:rPr>
      </w:pPr>
      <w:r>
        <w:rPr>
          <w:rFonts w:hint="eastAsia" w:ascii="宋体" w:hAnsi="宋体" w:cs="宋体"/>
          <w:kern w:val="0"/>
          <w:szCs w:val="21"/>
          <w:u w:val="single"/>
        </w:rPr>
        <w:t>地址：</w:t>
      </w:r>
      <w:r>
        <w:rPr>
          <w:rFonts w:hint="eastAsia" w:ascii="宋体" w:hAnsi="宋体" w:cs="宋体"/>
          <w:szCs w:val="21"/>
          <w:u w:val="single"/>
        </w:rPr>
        <w:t>广西梧州市长洲区新兴三路30号神冠豪都B栋2单元24楼（梧州分公司）</w:t>
      </w:r>
    </w:p>
    <w:p w14:paraId="5A0A5391">
      <w:pPr>
        <w:keepNext w:val="0"/>
        <w:keepLines w:val="0"/>
        <w:pageBreakBefore w:val="0"/>
        <w:widowControl w:val="0"/>
        <w:kinsoku/>
        <w:wordWrap/>
        <w:overflowPunct/>
        <w:topLinePunct w:val="0"/>
        <w:autoSpaceDE/>
        <w:autoSpaceDN/>
        <w:bidi w:val="0"/>
        <w:adjustRightInd/>
        <w:snapToGrid w:val="0"/>
        <w:spacing w:line="288" w:lineRule="auto"/>
        <w:ind w:left="0" w:leftChars="0" w:right="0" w:firstLine="420" w:firstLineChars="200"/>
        <w:jc w:val="left"/>
        <w:textAlignment w:val="auto"/>
        <w:rPr>
          <w:rFonts w:hint="eastAsia" w:ascii="宋体" w:hAnsi="宋体" w:cs="宋体"/>
          <w:kern w:val="0"/>
          <w:szCs w:val="21"/>
          <w:u w:val="single"/>
        </w:rPr>
      </w:pPr>
      <w:r>
        <w:rPr>
          <w:rFonts w:hint="eastAsia" w:ascii="宋体" w:hAnsi="宋体" w:cs="宋体"/>
          <w:kern w:val="0"/>
          <w:szCs w:val="21"/>
          <w:u w:val="single"/>
        </w:rPr>
        <w:t>项目联系人：李艳兰</w:t>
      </w:r>
    </w:p>
    <w:p w14:paraId="0A498561">
      <w:pPr>
        <w:keepNext w:val="0"/>
        <w:keepLines w:val="0"/>
        <w:pageBreakBefore w:val="0"/>
        <w:widowControl w:val="0"/>
        <w:kinsoku/>
        <w:wordWrap/>
        <w:overflowPunct/>
        <w:topLinePunct w:val="0"/>
        <w:autoSpaceDE/>
        <w:autoSpaceDN/>
        <w:bidi w:val="0"/>
        <w:adjustRightInd/>
        <w:snapToGrid w:val="0"/>
        <w:spacing w:line="288" w:lineRule="auto"/>
        <w:ind w:left="0" w:leftChars="0" w:right="0" w:firstLine="420" w:firstLineChars="200"/>
        <w:textAlignment w:val="auto"/>
        <w:rPr>
          <w:rFonts w:hint="eastAsia" w:ascii="宋体" w:hAnsi="宋体" w:cs="宋体"/>
          <w:kern w:val="0"/>
          <w:szCs w:val="21"/>
          <w:u w:val="single"/>
        </w:rPr>
      </w:pPr>
      <w:r>
        <w:rPr>
          <w:rFonts w:hint="eastAsia" w:ascii="宋体" w:hAnsi="宋体" w:cs="宋体"/>
          <w:kern w:val="0"/>
          <w:szCs w:val="21"/>
          <w:u w:val="single"/>
        </w:rPr>
        <w:t xml:space="preserve">项目联系方式：0774-5836662  </w:t>
      </w:r>
    </w:p>
    <w:p w14:paraId="0698CAC2">
      <w:pPr>
        <w:keepNext w:val="0"/>
        <w:keepLines w:val="0"/>
        <w:pageBreakBefore w:val="0"/>
        <w:widowControl w:val="0"/>
        <w:kinsoku/>
        <w:wordWrap/>
        <w:overflowPunct/>
        <w:topLinePunct w:val="0"/>
        <w:autoSpaceDE/>
        <w:autoSpaceDN/>
        <w:bidi w:val="0"/>
        <w:adjustRightInd/>
        <w:spacing w:line="288" w:lineRule="auto"/>
        <w:ind w:firstLine="420" w:firstLineChars="200"/>
        <w:jc w:val="right"/>
        <w:textAlignment w:val="auto"/>
        <w:rPr>
          <w:kern w:val="0"/>
          <w:szCs w:val="21"/>
        </w:rPr>
      </w:pPr>
    </w:p>
    <w:p w14:paraId="2C3FD5AB">
      <w:pPr>
        <w:keepNext w:val="0"/>
        <w:keepLines w:val="0"/>
        <w:pageBreakBefore w:val="0"/>
        <w:widowControl w:val="0"/>
        <w:kinsoku/>
        <w:wordWrap/>
        <w:overflowPunct/>
        <w:topLinePunct w:val="0"/>
        <w:autoSpaceDE/>
        <w:autoSpaceDN/>
        <w:bidi w:val="0"/>
        <w:adjustRightInd/>
        <w:spacing w:line="288" w:lineRule="auto"/>
        <w:ind w:firstLine="420" w:firstLineChars="200"/>
        <w:jc w:val="right"/>
        <w:textAlignment w:val="auto"/>
        <w:rPr>
          <w:kern w:val="0"/>
          <w:szCs w:val="21"/>
        </w:rPr>
      </w:pPr>
    </w:p>
    <w:p w14:paraId="65273AD7">
      <w:pPr>
        <w:keepNext w:val="0"/>
        <w:keepLines w:val="0"/>
        <w:pageBreakBefore w:val="0"/>
        <w:widowControl w:val="0"/>
        <w:kinsoku/>
        <w:wordWrap/>
        <w:overflowPunct/>
        <w:topLinePunct w:val="0"/>
        <w:autoSpaceDE/>
        <w:autoSpaceDN/>
        <w:bidi w:val="0"/>
        <w:adjustRightInd/>
        <w:spacing w:line="288" w:lineRule="auto"/>
        <w:ind w:firstLine="420" w:firstLineChars="200"/>
        <w:jc w:val="right"/>
        <w:textAlignment w:val="auto"/>
        <w:rPr>
          <w:kern w:val="0"/>
          <w:szCs w:val="21"/>
        </w:rPr>
      </w:pPr>
    </w:p>
    <w:p w14:paraId="28665140">
      <w:pPr>
        <w:keepNext w:val="0"/>
        <w:keepLines w:val="0"/>
        <w:pageBreakBefore w:val="0"/>
        <w:widowControl w:val="0"/>
        <w:kinsoku/>
        <w:wordWrap/>
        <w:overflowPunct/>
        <w:topLinePunct w:val="0"/>
        <w:autoSpaceDE/>
        <w:autoSpaceDN/>
        <w:bidi w:val="0"/>
        <w:adjustRightInd/>
        <w:spacing w:line="288" w:lineRule="auto"/>
        <w:ind w:firstLine="420" w:firstLineChars="200"/>
        <w:jc w:val="right"/>
        <w:textAlignment w:val="auto"/>
        <w:rPr>
          <w:kern w:val="0"/>
          <w:szCs w:val="21"/>
        </w:rPr>
      </w:pPr>
      <w:r>
        <w:rPr>
          <w:kern w:val="0"/>
          <w:szCs w:val="21"/>
        </w:rPr>
        <w:t>广西机电设备招标有限公司</w:t>
      </w:r>
    </w:p>
    <w:p w14:paraId="65A46627">
      <w:pPr>
        <w:keepNext w:val="0"/>
        <w:keepLines w:val="0"/>
        <w:pageBreakBefore w:val="0"/>
        <w:widowControl w:val="0"/>
        <w:kinsoku/>
        <w:wordWrap/>
        <w:overflowPunct/>
        <w:topLinePunct w:val="0"/>
        <w:autoSpaceDE/>
        <w:autoSpaceDN/>
        <w:bidi w:val="0"/>
        <w:adjustRightInd/>
        <w:spacing w:line="288" w:lineRule="auto"/>
        <w:ind w:firstLine="420" w:firstLineChars="200"/>
        <w:jc w:val="right"/>
        <w:textAlignment w:val="auto"/>
        <w:rPr>
          <w:color w:val="auto"/>
          <w:kern w:val="0"/>
          <w:szCs w:val="21"/>
        </w:rPr>
      </w:pPr>
      <w:r>
        <w:rPr>
          <w:rFonts w:hint="eastAsia"/>
          <w:color w:val="auto"/>
          <w:kern w:val="0"/>
          <w:szCs w:val="21"/>
          <w:lang w:eastAsia="zh-CN"/>
        </w:rPr>
        <w:t>2025</w:t>
      </w:r>
      <w:r>
        <w:rPr>
          <w:color w:val="auto"/>
          <w:kern w:val="0"/>
          <w:szCs w:val="21"/>
        </w:rPr>
        <w:t>年</w:t>
      </w:r>
      <w:r>
        <w:rPr>
          <w:rFonts w:hint="eastAsia"/>
          <w:color w:val="auto"/>
          <w:kern w:val="0"/>
          <w:szCs w:val="21"/>
          <w:lang w:val="en-US" w:eastAsia="zh-CN"/>
        </w:rPr>
        <w:t>10</w:t>
      </w:r>
      <w:r>
        <w:rPr>
          <w:color w:val="auto"/>
          <w:kern w:val="0"/>
          <w:szCs w:val="21"/>
        </w:rPr>
        <w:t>月</w:t>
      </w:r>
      <w:r>
        <w:rPr>
          <w:rFonts w:hint="eastAsia"/>
          <w:color w:val="auto"/>
          <w:kern w:val="0"/>
          <w:szCs w:val="21"/>
          <w:lang w:val="en-US" w:eastAsia="zh-CN"/>
        </w:rPr>
        <w:t>10</w:t>
      </w:r>
      <w:r>
        <w:rPr>
          <w:color w:val="auto"/>
          <w:kern w:val="0"/>
          <w:szCs w:val="21"/>
        </w:rPr>
        <w:t>日</w:t>
      </w:r>
    </w:p>
    <w:p w14:paraId="35452B8C">
      <w:pPr>
        <w:spacing w:line="312" w:lineRule="auto"/>
        <w:ind w:right="105" w:firstLine="360" w:firstLineChars="200"/>
        <w:jc w:val="right"/>
        <w:rPr>
          <w:rFonts w:hint="eastAsia"/>
          <w:color w:val="4472C4"/>
          <w:kern w:val="0"/>
          <w:sz w:val="18"/>
          <w:szCs w:val="18"/>
        </w:rPr>
      </w:pPr>
    </w:p>
    <w:p w14:paraId="0532C0E0">
      <w:pPr>
        <w:pStyle w:val="26"/>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bookmarkStart w:id="10" w:name="_Toc15694"/>
    </w:p>
    <w:p w14:paraId="1DD2D873">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第二章  采购需求</w:t>
      </w:r>
      <w:bookmarkEnd w:id="10"/>
    </w:p>
    <w:p w14:paraId="2D9A36DD">
      <w:pPr>
        <w:spacing w:before="120"/>
        <w:rPr>
          <w:rFonts w:ascii="宋体" w:hAnsi="宋体" w:cs="宋体"/>
          <w:b/>
          <w:bCs/>
          <w:sz w:val="28"/>
          <w:szCs w:val="28"/>
        </w:rPr>
      </w:pPr>
      <w:bookmarkStart w:id="11" w:name="_Toc254970631"/>
      <w:bookmarkStart w:id="12" w:name="_Toc254970490"/>
    </w:p>
    <w:p w14:paraId="5A7B4B69">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255EB67C">
      <w:pPr>
        <w:spacing w:line="360" w:lineRule="auto"/>
        <w:rPr>
          <w:szCs w:val="21"/>
        </w:rPr>
      </w:pPr>
      <w:r>
        <w:rPr>
          <w:szCs w:val="21"/>
        </w:rPr>
        <w:t>1</w:t>
      </w:r>
      <w:r>
        <w:rPr>
          <w:rFonts w:hint="eastAsia"/>
          <w:szCs w:val="21"/>
        </w:rPr>
        <w:t>.政府采购政策的应用</w:t>
      </w:r>
    </w:p>
    <w:p w14:paraId="67AB628B">
      <w:pPr>
        <w:spacing w:line="360" w:lineRule="auto"/>
        <w:rPr>
          <w:color w:val="auto"/>
          <w:szCs w:val="21"/>
        </w:rPr>
      </w:pPr>
      <w:r>
        <w:rPr>
          <w:rFonts w:hint="eastAsia"/>
          <w:color w:val="auto"/>
          <w:szCs w:val="21"/>
        </w:rPr>
        <w:t>详见采购文件“评审方法及标准</w:t>
      </w:r>
      <w:r>
        <w:rPr>
          <w:color w:val="auto"/>
          <w:szCs w:val="21"/>
        </w:rPr>
        <w:t>/政府采购政策应用说明”。</w:t>
      </w:r>
    </w:p>
    <w:p w14:paraId="017B6F3F">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66E9BA1B">
      <w:pPr>
        <w:spacing w:line="360" w:lineRule="auto"/>
        <w:rPr>
          <w:color w:val="auto"/>
          <w:szCs w:val="21"/>
        </w:rPr>
      </w:pPr>
      <w:r>
        <w:rPr>
          <w:color w:val="auto"/>
          <w:szCs w:val="21"/>
        </w:rPr>
        <w:t>3</w:t>
      </w:r>
      <w:r>
        <w:rPr>
          <w:rFonts w:hint="eastAsia"/>
          <w:color w:val="auto"/>
          <w:szCs w:val="21"/>
        </w:rPr>
        <w:t>.</w:t>
      </w:r>
      <w:r>
        <w:rPr>
          <w:color w:val="auto"/>
          <w:szCs w:val="21"/>
        </w:rPr>
        <w:t>标注“▲”的条款或要求系指实质性条款或实质性要求，必须满足，如存在负偏离将导致响应被否决。</w:t>
      </w:r>
    </w:p>
    <w:p w14:paraId="74216FF2">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53DC9D9B">
      <w:pPr>
        <w:spacing w:line="360" w:lineRule="auto"/>
        <w:rPr>
          <w:szCs w:val="21"/>
        </w:rPr>
      </w:pPr>
      <w:r>
        <w:rPr>
          <w:rFonts w:hint="eastAsia"/>
          <w:szCs w:val="21"/>
        </w:rPr>
        <w:t>1.需实现的功能、目标及应用场景</w:t>
      </w:r>
    </w:p>
    <w:p w14:paraId="737525F3">
      <w:pPr>
        <w:spacing w:line="360" w:lineRule="auto"/>
        <w:rPr>
          <w:color w:val="auto"/>
          <w:szCs w:val="21"/>
        </w:rPr>
      </w:pPr>
      <w:r>
        <w:rPr>
          <w:rFonts w:hint="eastAsia"/>
          <w:color w:val="auto"/>
          <w:szCs w:val="21"/>
        </w:rPr>
        <w:t>满足采购文件要求，验收达到合格标准。</w:t>
      </w:r>
    </w:p>
    <w:p w14:paraId="2156AFE8">
      <w:pPr>
        <w:spacing w:line="360" w:lineRule="auto"/>
        <w:rPr>
          <w:szCs w:val="21"/>
        </w:rPr>
      </w:pPr>
      <w:bookmarkStart w:id="13" w:name="_Hlk89170486"/>
      <w:r>
        <w:rPr>
          <w:szCs w:val="21"/>
        </w:rPr>
        <w:t>2</w:t>
      </w:r>
      <w:r>
        <w:rPr>
          <w:rFonts w:hint="eastAsia"/>
          <w:szCs w:val="21"/>
        </w:rPr>
        <w:t>.</w:t>
      </w:r>
      <w:r>
        <w:rPr>
          <w:szCs w:val="21"/>
        </w:rPr>
        <w:t>需执行的国家相关标准、行业标准、地方标准或者其他标准、规范</w:t>
      </w:r>
    </w:p>
    <w:p w14:paraId="1FC797D7">
      <w:pPr>
        <w:spacing w:line="360" w:lineRule="auto"/>
        <w:rPr>
          <w:rFonts w:hint="eastAsia" w:ascii="Times New Roman" w:hAnsi="Times New Roman" w:eastAsia="宋体" w:cs="Times New Roman"/>
          <w:color w:val="auto"/>
          <w:szCs w:val="21"/>
        </w:rPr>
      </w:pPr>
      <w:r>
        <w:rPr>
          <w:rFonts w:hint="eastAsia"/>
          <w:szCs w:val="21"/>
        </w:rPr>
        <w:t>本项目应执行的国家相关标准、行业标准、地方标准或者其他标准、规范为：</w:t>
      </w:r>
      <w:r>
        <w:rPr>
          <w:rFonts w:hint="eastAsia" w:ascii="Times New Roman" w:hAnsi="Times New Roman" w:eastAsia="宋体" w:cs="Times New Roman"/>
          <w:color w:val="auto"/>
          <w:szCs w:val="21"/>
        </w:rPr>
        <w:t>详见技术指标要求</w:t>
      </w:r>
    </w:p>
    <w:bookmarkEnd w:id="13"/>
    <w:p w14:paraId="285BFA39">
      <w:pPr>
        <w:spacing w:line="360" w:lineRule="auto"/>
        <w:rPr>
          <w:szCs w:val="21"/>
        </w:rPr>
      </w:pPr>
      <w:r>
        <w:rPr>
          <w:szCs w:val="21"/>
        </w:rPr>
        <w:t>3</w:t>
      </w:r>
      <w:r>
        <w:rPr>
          <w:rFonts w:hint="eastAsia"/>
          <w:szCs w:val="21"/>
        </w:rPr>
        <w:t>.标的所属行业：软件和信息技术服务业</w:t>
      </w:r>
    </w:p>
    <w:p w14:paraId="743E9F96">
      <w:pPr>
        <w:spacing w:line="360" w:lineRule="auto"/>
        <w:rPr>
          <w:szCs w:val="21"/>
        </w:rPr>
      </w:pPr>
      <w:r>
        <w:rPr>
          <w:szCs w:val="21"/>
        </w:rPr>
        <w:t>4</w:t>
      </w:r>
      <w:r>
        <w:rPr>
          <w:rFonts w:hint="eastAsia"/>
          <w:szCs w:val="21"/>
        </w:rPr>
        <w:t>.核心产品</w:t>
      </w:r>
    </w:p>
    <w:p w14:paraId="3762EF00">
      <w:pPr>
        <w:spacing w:line="360" w:lineRule="auto"/>
        <w:rPr>
          <w:szCs w:val="21"/>
        </w:rPr>
      </w:pPr>
      <w:r>
        <w:rPr>
          <w:rFonts w:hint="eastAsia"/>
          <w:szCs w:val="21"/>
        </w:rPr>
        <w:t>本项目为服务项目，不适用核心产品规定。</w:t>
      </w:r>
    </w:p>
    <w:p w14:paraId="1B3E8D8B">
      <w:pPr>
        <w:numPr>
          <w:ilvl w:val="0"/>
          <w:numId w:val="1"/>
        </w:numPr>
        <w:spacing w:line="360" w:lineRule="auto"/>
        <w:rPr>
          <w:rFonts w:hint="eastAsia"/>
          <w:szCs w:val="21"/>
        </w:rPr>
      </w:pPr>
      <w:r>
        <w:rPr>
          <w:rFonts w:hint="eastAsia"/>
          <w:szCs w:val="21"/>
        </w:rPr>
        <w:t>服务内容和标准</w:t>
      </w:r>
    </w:p>
    <w:tbl>
      <w:tblPr>
        <w:tblStyle w:val="51"/>
        <w:tblW w:w="5341" w:type="pct"/>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9"/>
        <w:gridCol w:w="999"/>
        <w:gridCol w:w="726"/>
        <w:gridCol w:w="542"/>
        <w:gridCol w:w="7139"/>
      </w:tblGrid>
      <w:tr w14:paraId="02A6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309" w:type="pct"/>
            <w:noWrap w:val="0"/>
            <w:tcMar>
              <w:top w:w="15" w:type="dxa"/>
              <w:left w:w="15" w:type="dxa"/>
              <w:right w:w="15" w:type="dxa"/>
            </w:tcMar>
            <w:vAlign w:val="center"/>
          </w:tcPr>
          <w:p w14:paraId="53E1F362">
            <w:pPr>
              <w:widowControl/>
              <w:spacing w:line="3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498" w:type="pct"/>
            <w:noWrap w:val="0"/>
            <w:tcMar>
              <w:top w:w="15" w:type="dxa"/>
              <w:left w:w="15" w:type="dxa"/>
              <w:right w:w="15" w:type="dxa"/>
            </w:tcMar>
            <w:vAlign w:val="center"/>
          </w:tcPr>
          <w:p w14:paraId="08E554E6">
            <w:pPr>
              <w:widowControl/>
              <w:spacing w:line="3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服务名称</w:t>
            </w:r>
          </w:p>
        </w:tc>
        <w:tc>
          <w:tcPr>
            <w:tcW w:w="362" w:type="pct"/>
            <w:noWrap w:val="0"/>
            <w:tcMar>
              <w:top w:w="15" w:type="dxa"/>
              <w:left w:w="15" w:type="dxa"/>
              <w:right w:w="15" w:type="dxa"/>
            </w:tcMar>
            <w:vAlign w:val="center"/>
          </w:tcPr>
          <w:p w14:paraId="79D5FDFE">
            <w:pPr>
              <w:widowControl/>
              <w:spacing w:line="3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270" w:type="pct"/>
            <w:noWrap w:val="0"/>
            <w:tcMar>
              <w:top w:w="15" w:type="dxa"/>
              <w:left w:w="15" w:type="dxa"/>
              <w:right w:w="15" w:type="dxa"/>
            </w:tcMar>
            <w:vAlign w:val="center"/>
          </w:tcPr>
          <w:p w14:paraId="0D34A3BD">
            <w:pPr>
              <w:widowControl/>
              <w:spacing w:line="3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3559" w:type="pct"/>
            <w:noWrap w:val="0"/>
            <w:tcMar>
              <w:top w:w="15" w:type="dxa"/>
              <w:left w:w="15" w:type="dxa"/>
              <w:right w:w="15" w:type="dxa"/>
            </w:tcMar>
            <w:vAlign w:val="center"/>
          </w:tcPr>
          <w:p w14:paraId="04FCA294">
            <w:pPr>
              <w:widowControl/>
              <w:spacing w:line="3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服务内容或主要性能指标</w:t>
            </w:r>
          </w:p>
        </w:tc>
      </w:tr>
      <w:tr w14:paraId="3D73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309" w:type="pct"/>
            <w:vMerge w:val="restart"/>
            <w:noWrap w:val="0"/>
            <w:tcMar>
              <w:top w:w="15" w:type="dxa"/>
              <w:left w:w="15" w:type="dxa"/>
              <w:right w:w="15" w:type="dxa"/>
            </w:tcMar>
            <w:vAlign w:val="center"/>
          </w:tcPr>
          <w:p w14:paraId="2F37A894">
            <w:pPr>
              <w:widowControl/>
              <w:spacing w:line="32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498" w:type="pct"/>
            <w:vMerge w:val="restart"/>
            <w:noWrap w:val="0"/>
            <w:tcMar>
              <w:top w:w="15" w:type="dxa"/>
              <w:left w:w="15" w:type="dxa"/>
              <w:right w:w="15" w:type="dxa"/>
            </w:tcMar>
            <w:vAlign w:val="center"/>
          </w:tcPr>
          <w:p w14:paraId="36E68B7A">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病理信息管理系统</w:t>
            </w:r>
          </w:p>
        </w:tc>
        <w:tc>
          <w:tcPr>
            <w:tcW w:w="362" w:type="pct"/>
            <w:vMerge w:val="restart"/>
            <w:noWrap w:val="0"/>
            <w:tcMar>
              <w:top w:w="15" w:type="dxa"/>
              <w:left w:w="15" w:type="dxa"/>
              <w:right w:w="15" w:type="dxa"/>
            </w:tcMar>
            <w:vAlign w:val="center"/>
          </w:tcPr>
          <w:p w14:paraId="0E6F702B">
            <w:pPr>
              <w:widowControl/>
              <w:spacing w:line="32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270" w:type="pct"/>
            <w:vMerge w:val="restart"/>
            <w:noWrap w:val="0"/>
            <w:tcMar>
              <w:top w:w="15" w:type="dxa"/>
              <w:left w:w="15" w:type="dxa"/>
              <w:right w:w="15" w:type="dxa"/>
            </w:tcMar>
            <w:vAlign w:val="center"/>
          </w:tcPr>
          <w:p w14:paraId="027ECB4D">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套</w:t>
            </w:r>
          </w:p>
        </w:tc>
        <w:tc>
          <w:tcPr>
            <w:tcW w:w="3559" w:type="pct"/>
            <w:noWrap w:val="0"/>
            <w:tcMar>
              <w:top w:w="15" w:type="dxa"/>
              <w:left w:w="15" w:type="dxa"/>
              <w:right w:w="15" w:type="dxa"/>
            </w:tcMar>
            <w:vAlign w:val="center"/>
          </w:tcPr>
          <w:p w14:paraId="54328E22">
            <w:pPr>
              <w:widowControl/>
              <w:spacing w:line="320" w:lineRule="exact"/>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本系统</w:t>
            </w:r>
            <w:bookmarkStart w:id="14" w:name="OLE_LINK6"/>
            <w:r>
              <w:rPr>
                <w:rFonts w:hint="eastAsia" w:ascii="宋体" w:hAnsi="宋体" w:eastAsia="宋体" w:cs="宋体"/>
                <w:b/>
                <w:bCs/>
                <w:color w:val="auto"/>
                <w:sz w:val="21"/>
                <w:szCs w:val="21"/>
                <w:highlight w:val="none"/>
              </w:rPr>
              <w:t>主要</w:t>
            </w:r>
            <w:bookmarkEnd w:id="14"/>
            <w:r>
              <w:rPr>
                <w:rFonts w:hint="eastAsia" w:ascii="宋体" w:hAnsi="宋体" w:eastAsia="宋体" w:cs="宋体"/>
                <w:b/>
                <w:bCs/>
                <w:color w:val="auto"/>
                <w:sz w:val="21"/>
                <w:szCs w:val="21"/>
                <w:highlight w:val="none"/>
              </w:rPr>
              <w:t>对病理的工作全流程管理、样本管理、样本库管理、试剂耗材管理、数字化切片管理等进行全面的数字化建设，提升效率和质量，解决病理医生缺乏、工作效率低下、质控困难的问题，实现实验室管理标准化。通过数字化，记录病理样本处理过程、产物的数字化信息，挖掘和利用这些信息，实现过程可追溯可横向对比、质控数据自动汇总、科室运行状态直观反馈。本系统主要用于梧州市临床病理诊断中心业务开展，支持梧州市工人医院临床病理诊断中心（以下简称“中心”）和梧州市红十字会医院、梧州市人民医院、梧州市中医医院、苍梧县、岑溪市、蒙山县、藤县等分中心（以下简称“分中心”）的病理管理。</w:t>
            </w:r>
          </w:p>
          <w:p w14:paraId="00A8F625">
            <w:pPr>
              <w:widowControl/>
              <w:numPr>
                <w:ilvl w:val="0"/>
                <w:numId w:val="0"/>
              </w:numPr>
              <w:wordWrap w:val="0"/>
              <w:ind w:leftChars="0"/>
              <w:jc w:val="both"/>
              <w:textAlignment w:val="center"/>
              <w:rPr>
                <w:rStyle w:val="178"/>
                <w:rFonts w:hint="eastAsia" w:ascii="宋体" w:hAnsi="宋体" w:eastAsia="宋体" w:cs="宋体"/>
                <w:b/>
                <w:bCs/>
                <w:color w:val="auto"/>
                <w:sz w:val="21"/>
                <w:szCs w:val="21"/>
                <w:highlight w:val="none"/>
                <w:lang w:bidi="ar"/>
              </w:rPr>
            </w:pPr>
            <w:r>
              <w:rPr>
                <w:rFonts w:hint="eastAsia" w:ascii="宋体" w:hAnsi="宋体" w:eastAsia="宋体" w:cs="宋体"/>
                <w:b/>
                <w:bCs/>
                <w:color w:val="auto"/>
                <w:kern w:val="0"/>
                <w:sz w:val="21"/>
                <w:szCs w:val="21"/>
                <w:highlight w:val="none"/>
                <w:lang w:bidi="ar"/>
              </w:rPr>
              <w:t>1.1</w:t>
            </w:r>
            <w:r>
              <w:rPr>
                <w:rFonts w:hint="eastAsia" w:ascii="宋体" w:hAnsi="宋体" w:eastAsia="宋体" w:cs="宋体"/>
                <w:b/>
                <w:bCs/>
                <w:color w:val="auto"/>
                <w:sz w:val="21"/>
                <w:szCs w:val="21"/>
                <w:highlight w:val="none"/>
              </w:rPr>
              <w:t>多中心管理</w:t>
            </w:r>
          </w:p>
          <w:p w14:paraId="350E98EE">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支持配置不同中心/分中心功能模块；</w:t>
            </w:r>
          </w:p>
          <w:p w14:paraId="0D4CE5DD">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支持用户设置绑定不同中心/分中心；</w:t>
            </w:r>
          </w:p>
          <w:p w14:paraId="58A15708">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根据设置权限，用户仅可查看自己所属中心/分中心内的病例数据；</w:t>
            </w:r>
          </w:p>
          <w:p w14:paraId="26477288">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支持配置</w:t>
            </w:r>
            <w:bookmarkStart w:id="15" w:name="OLE_LINK5"/>
            <w:r>
              <w:rPr>
                <w:rStyle w:val="178"/>
                <w:rFonts w:hint="eastAsia" w:ascii="宋体" w:hAnsi="宋体" w:eastAsia="宋体" w:cs="宋体"/>
                <w:color w:val="auto"/>
                <w:sz w:val="21"/>
                <w:szCs w:val="21"/>
                <w:highlight w:val="none"/>
                <w:lang w:bidi="ar"/>
              </w:rPr>
              <w:t>分中心</w:t>
            </w:r>
            <w:bookmarkEnd w:id="15"/>
            <w:r>
              <w:rPr>
                <w:rStyle w:val="178"/>
                <w:rFonts w:hint="eastAsia" w:ascii="宋体" w:hAnsi="宋体" w:eastAsia="宋体" w:cs="宋体"/>
                <w:color w:val="auto"/>
                <w:sz w:val="21"/>
                <w:szCs w:val="21"/>
                <w:highlight w:val="none"/>
                <w:lang w:bidi="ar"/>
              </w:rPr>
              <w:t>单位和组织架构，并支持对分中心进行多级目录配置；</w:t>
            </w:r>
          </w:p>
          <w:p w14:paraId="4FEDCD35">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支持不同中心/分中心检查病例时按照病理号进行中心/分中心区分，可共用同一套编号规则；</w:t>
            </w:r>
          </w:p>
          <w:p w14:paraId="094A073C">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分中心签收标本时可记录并追溯标本的来源分中心和签收单位，并支持统计各成员单位标本数量；</w:t>
            </w:r>
          </w:p>
          <w:p w14:paraId="6B1779AC">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患者历史病例中，支持呈现该患者在分中心的病例信息；</w:t>
            </w:r>
          </w:p>
          <w:p w14:paraId="2FA6F79F">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查看质控和统计数据时，支持区分不同分中心查看数据，也支持联合查看所有分中心的数据；</w:t>
            </w:r>
          </w:p>
          <w:p w14:paraId="531CA2C4">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支持按照按照登记、取材、制片、诊断、初诊、复诊、审核、查询等多种角色设置不同权限，达到操作权限控制，数据隔离；</w:t>
            </w:r>
          </w:p>
          <w:p w14:paraId="235458E6">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w:t>
            </w:r>
            <w:r>
              <w:rPr>
                <w:rStyle w:val="178"/>
                <w:rFonts w:hint="eastAsia" w:ascii="宋体" w:hAnsi="宋体" w:eastAsia="宋体" w:cs="宋体"/>
                <w:color w:val="auto"/>
                <w:sz w:val="21"/>
                <w:szCs w:val="21"/>
                <w:highlight w:val="none"/>
                <w:lang w:bidi="ar"/>
              </w:rPr>
              <w:t>支持一套系统进行多分中心管理，用户可使用一个账号密码进行登录，无需账号退出或重新登录即可在系统内一键切换不同分中心并同步切换分中心数据；</w:t>
            </w:r>
          </w:p>
          <w:p w14:paraId="22770791">
            <w:pPr>
              <w:widowControl/>
              <w:numPr>
                <w:ilvl w:val="0"/>
                <w:numId w:val="2"/>
              </w:numPr>
              <w:wordWrap w:val="0"/>
              <w:jc w:val="both"/>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不同分中心病例支持按照前缀进行区分；</w:t>
            </w:r>
          </w:p>
          <w:p w14:paraId="6E3DF7BF">
            <w:pPr>
              <w:widowControl/>
              <w:numPr>
                <w:ilvl w:val="0"/>
                <w:numId w:val="2"/>
              </w:numPr>
              <w:wordWrap w:val="0"/>
              <w:jc w:val="both"/>
              <w:textAlignment w:val="center"/>
              <w:rPr>
                <w:rStyle w:val="179"/>
                <w:rFonts w:hint="eastAsia" w:ascii="宋体" w:hAnsi="宋体" w:eastAsia="宋体" w:cs="宋体"/>
                <w:color w:val="auto"/>
                <w:sz w:val="21"/>
                <w:szCs w:val="21"/>
                <w:highlight w:val="none"/>
                <w:lang w:bidi="ar"/>
              </w:rPr>
            </w:pPr>
            <w:r>
              <w:rPr>
                <w:rStyle w:val="179"/>
                <w:rFonts w:hint="eastAsia" w:ascii="宋体" w:hAnsi="宋体" w:eastAsia="宋体" w:cs="宋体"/>
                <w:color w:val="auto"/>
                <w:sz w:val="21"/>
                <w:szCs w:val="21"/>
                <w:highlight w:val="none"/>
                <w:lang w:bidi="ar"/>
              </w:rPr>
              <w:t>系统支持B/S架构，保证数据调阅稳定性和兼容性，支持国产主流浏览器的直接调用，不需要安装插件，提供该功能在登记界面、诊断界面、报告发放界面的操作截图</w:t>
            </w:r>
            <w:r>
              <w:rPr>
                <w:rStyle w:val="178"/>
                <w:rFonts w:hint="eastAsia" w:ascii="宋体" w:hAnsi="宋体" w:eastAsia="宋体" w:cs="宋体"/>
                <w:color w:val="auto"/>
                <w:sz w:val="21"/>
                <w:szCs w:val="21"/>
                <w:highlight w:val="none"/>
                <w:lang w:bidi="ar"/>
              </w:rPr>
              <w:t>；</w:t>
            </w:r>
          </w:p>
          <w:p w14:paraId="73026DD6">
            <w:pPr>
              <w:widowControl/>
              <w:spacing w:line="320" w:lineRule="exact"/>
              <w:jc w:val="both"/>
              <w:textAlignment w:val="center"/>
              <w:rPr>
                <w:rFonts w:hint="eastAsia" w:ascii="宋体" w:hAnsi="宋体" w:eastAsia="宋体" w:cs="宋体"/>
                <w:b/>
                <w:bCs/>
                <w:color w:val="auto"/>
                <w:sz w:val="21"/>
                <w:szCs w:val="21"/>
                <w:highlight w:val="none"/>
              </w:rPr>
            </w:pPr>
            <w:r>
              <w:rPr>
                <w:rStyle w:val="179"/>
                <w:rFonts w:hint="eastAsia" w:ascii="宋体" w:hAnsi="宋体" w:eastAsia="宋体" w:cs="宋体"/>
                <w:color w:val="auto"/>
                <w:sz w:val="21"/>
                <w:szCs w:val="21"/>
                <w:highlight w:val="none"/>
                <w:lang w:val="en-US" w:eastAsia="zh-CN" w:bidi="ar"/>
              </w:rPr>
              <w:t>13.</w:t>
            </w:r>
            <w:r>
              <w:rPr>
                <w:rStyle w:val="179"/>
                <w:rFonts w:hint="eastAsia" w:ascii="宋体" w:hAnsi="宋体" w:eastAsia="宋体" w:cs="宋体"/>
                <w:color w:val="auto"/>
                <w:sz w:val="21"/>
                <w:szCs w:val="21"/>
                <w:highlight w:val="none"/>
                <w:lang w:bidi="ar"/>
              </w:rPr>
              <w:t>系统包含病理信息管理、全流程追溯、数据质控、智能化诊断等完整功能，并符合国家对医疗数据管理与诊断过程管理的规范。</w:t>
            </w:r>
          </w:p>
        </w:tc>
      </w:tr>
      <w:tr w14:paraId="1A8C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8" w:hRule="atLeast"/>
        </w:trPr>
        <w:tc>
          <w:tcPr>
            <w:tcW w:w="309" w:type="pct"/>
            <w:vMerge w:val="continue"/>
            <w:noWrap w:val="0"/>
            <w:tcMar>
              <w:top w:w="15" w:type="dxa"/>
              <w:left w:w="15" w:type="dxa"/>
              <w:right w:w="15" w:type="dxa"/>
            </w:tcMar>
            <w:vAlign w:val="center"/>
          </w:tcPr>
          <w:p w14:paraId="1550E943">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498" w:type="pct"/>
            <w:vMerge w:val="continue"/>
            <w:noWrap w:val="0"/>
            <w:tcMar>
              <w:top w:w="15" w:type="dxa"/>
              <w:left w:w="15" w:type="dxa"/>
              <w:right w:w="15" w:type="dxa"/>
            </w:tcMar>
            <w:vAlign w:val="center"/>
          </w:tcPr>
          <w:p w14:paraId="5141748F">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6513EEE6">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0D2E6CE0">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559" w:type="pct"/>
            <w:noWrap w:val="0"/>
            <w:tcMar>
              <w:top w:w="15" w:type="dxa"/>
              <w:left w:w="15" w:type="dxa"/>
              <w:right w:w="15" w:type="dxa"/>
            </w:tcMar>
            <w:vAlign w:val="center"/>
          </w:tcPr>
          <w:p w14:paraId="2EDD643C">
            <w:pPr>
              <w:widowControl/>
              <w:numPr>
                <w:ilvl w:val="0"/>
                <w:numId w:val="0"/>
              </w:numPr>
              <w:wordWrap w:val="0"/>
              <w:ind w:left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病例登记</w:t>
            </w:r>
          </w:p>
          <w:p w14:paraId="40DE263C">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支持手工登记，也支持从HIS系统提取信息；</w:t>
            </w:r>
          </w:p>
          <w:p w14:paraId="5B715D77">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支持通过扫描标签识别标本种类，比如常规活检，冰冻，细胞学等；</w:t>
            </w:r>
          </w:p>
          <w:p w14:paraId="0F618A17">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支持按病理库登记，可自定义并指定默认的病理库；</w:t>
            </w:r>
          </w:p>
          <w:p w14:paraId="523869C9">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支持打印标签（二维码），能够单个或批量打印；</w:t>
            </w:r>
          </w:p>
          <w:p w14:paraId="5306403E">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支持记录不合格标本拒收及拒收原因、操作人员、时间等，并提供统计表；</w:t>
            </w:r>
          </w:p>
          <w:p w14:paraId="06F709AC">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支持记录送检标本的明细信息，包括标本名称、离体时间、固定时间、接收时间等；</w:t>
            </w:r>
          </w:p>
          <w:p w14:paraId="7AA546C7">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支持按照用户需求自定义病理号编码规则，需要保证编号的唯一性及连续性；</w:t>
            </w:r>
          </w:p>
          <w:p w14:paraId="594287DD">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支持按时间范围、来源范围、患者病历号、患者姓名等条件查询登记记录；</w:t>
            </w:r>
          </w:p>
          <w:p w14:paraId="5CFE7057">
            <w:pPr>
              <w:widowControl/>
              <w:numPr>
                <w:ilvl w:val="0"/>
                <w:numId w:val="3"/>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支持扫描标签时能够查询到患者的收费情况；</w:t>
            </w:r>
          </w:p>
          <w:p w14:paraId="6F3FA173">
            <w:pPr>
              <w:widowControl/>
              <w:spacing w:line="320" w:lineRule="exact"/>
              <w:jc w:val="left"/>
              <w:textAlignment w:val="center"/>
              <w:rPr>
                <w:rFonts w:hint="eastAsia" w:ascii="宋体" w:hAnsi="宋体" w:eastAsia="宋体" w:cs="宋体"/>
                <w:color w:val="auto"/>
                <w:sz w:val="21"/>
                <w:szCs w:val="21"/>
                <w:highlight w:val="none"/>
                <w:lang w:val="en-US" w:eastAsia="zh-CN"/>
              </w:rPr>
            </w:pPr>
            <w:r>
              <w:rPr>
                <w:rStyle w:val="178"/>
                <w:rFonts w:hint="eastAsia" w:ascii="宋体" w:hAnsi="宋体" w:eastAsia="宋体" w:cs="宋体"/>
                <w:color w:val="auto"/>
                <w:sz w:val="21"/>
                <w:szCs w:val="21"/>
                <w:highlight w:val="none"/>
                <w:lang w:val="en-US" w:eastAsia="zh-CN" w:bidi="ar"/>
              </w:rPr>
              <w:t>10.</w:t>
            </w:r>
            <w:r>
              <w:rPr>
                <w:rStyle w:val="178"/>
                <w:rFonts w:hint="eastAsia" w:ascii="宋体" w:hAnsi="宋体" w:eastAsia="宋体" w:cs="宋体"/>
                <w:color w:val="auto"/>
                <w:sz w:val="21"/>
                <w:szCs w:val="21"/>
                <w:highlight w:val="none"/>
                <w:lang w:bidi="ar"/>
              </w:rPr>
              <w:t>高拍仪拍摄纸质申请单（无需样本接收）。</w:t>
            </w:r>
          </w:p>
        </w:tc>
      </w:tr>
      <w:tr w14:paraId="5D112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309" w:type="pct"/>
            <w:vMerge w:val="continue"/>
            <w:noWrap w:val="0"/>
            <w:tcMar>
              <w:top w:w="15" w:type="dxa"/>
              <w:left w:w="15" w:type="dxa"/>
              <w:right w:w="15" w:type="dxa"/>
            </w:tcMar>
            <w:vAlign w:val="center"/>
          </w:tcPr>
          <w:p w14:paraId="6C5151C3">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598FC75C">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5850E8A9">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5AA414EE">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559" w:type="pct"/>
            <w:noWrap w:val="0"/>
            <w:tcMar>
              <w:top w:w="15" w:type="dxa"/>
              <w:left w:w="15" w:type="dxa"/>
              <w:right w:w="15" w:type="dxa"/>
            </w:tcMar>
            <w:vAlign w:val="center"/>
          </w:tcPr>
          <w:p w14:paraId="4078FE5B">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1.3取材管理</w:t>
            </w:r>
          </w:p>
          <w:p w14:paraId="6982E7D7">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支持提示所有未取材或补取列表，补取显示开单医生及补取医嘱。按常取材类型分类展示；</w:t>
            </w:r>
          </w:p>
          <w:p w14:paraId="367E6908">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取材时自动提示该病例是否做过冰冻，并能查看冰冻结果，根据冰冻结果确定取材要求；</w:t>
            </w:r>
          </w:p>
          <w:p w14:paraId="650FB8BB">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支持对于脱钙蜡块有特殊的处理流程；</w:t>
            </w:r>
          </w:p>
          <w:p w14:paraId="5E0834B5">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支持记录时间、医生、记录人等信息；支持材块核对，取材状态自动更新；</w:t>
            </w:r>
          </w:p>
          <w:p w14:paraId="28181BF1">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提供专用大/小标本取材结构化模板，规范化取材；</w:t>
            </w:r>
          </w:p>
          <w:p w14:paraId="0E4200E6">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支持取材明细记录、“附言”记录，“用完”“脱钙”“保留”等内容；</w:t>
            </w:r>
          </w:p>
          <w:p w14:paraId="38B43CEA">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可记录剩余标本的存放位置；</w:t>
            </w:r>
          </w:p>
          <w:p w14:paraId="5FAE32A0">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支持大体标本照相与病例关联保存；</w:t>
            </w:r>
          </w:p>
          <w:p w14:paraId="395DF7CC">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提供取材工作交接管理工具，区分当日取材和非当日取材，可按照取材医生分别整理；</w:t>
            </w:r>
          </w:p>
          <w:p w14:paraId="11160840">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取材支持语音输入，大体描述实时自动转成文字存储，并支持通过语音控制取材模块中的切换病例、打印包埋盒、录入蜡块信息操作，语音输入识别准确率高于99%；</w:t>
            </w:r>
          </w:p>
          <w:p w14:paraId="26F15529">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支持与包埋盒打号机连接，打印二维码，取材信息与包埋盒对应，取材明细给包埋盒打号机打印；</w:t>
            </w:r>
          </w:p>
          <w:p w14:paraId="71EAD369">
            <w:pPr>
              <w:widowControl/>
              <w:numPr>
                <w:ilvl w:val="0"/>
                <w:numId w:val="4"/>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可根据标本类型，自动选择包埋盒打号机打号通道，用于对不同标本包埋盒颜色的区分；</w:t>
            </w:r>
          </w:p>
          <w:p w14:paraId="3B1D1434">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Style w:val="179"/>
                <w:rFonts w:hint="eastAsia" w:ascii="宋体" w:hAnsi="宋体" w:eastAsia="宋体" w:cs="宋体"/>
                <w:color w:val="auto"/>
                <w:sz w:val="21"/>
                <w:szCs w:val="21"/>
                <w:highlight w:val="none"/>
                <w:lang w:val="en-US" w:eastAsia="zh-CN" w:bidi="ar"/>
              </w:rPr>
              <w:t>13.</w:t>
            </w:r>
            <w:r>
              <w:rPr>
                <w:rStyle w:val="179"/>
                <w:rFonts w:hint="eastAsia" w:ascii="宋体" w:hAnsi="宋体" w:eastAsia="宋体" w:cs="宋体"/>
                <w:color w:val="auto"/>
                <w:sz w:val="21"/>
                <w:szCs w:val="21"/>
                <w:highlight w:val="none"/>
                <w:lang w:bidi="ar"/>
              </w:rPr>
              <w:t>▲为保证样本从取材室准确交接到技术室，支持对接包埋盒批量识别设备。支持单次包埋盒批量识别数量≥100个，支持自动对比识别到的编号与系统原有编号，并通过颜色标记错误；支持选择对应上机脱水机；支持核对当天所有脱水样本进行统计，提示遗留样本。</w:t>
            </w:r>
          </w:p>
        </w:tc>
      </w:tr>
      <w:tr w14:paraId="2B816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309" w:type="pct"/>
            <w:vMerge w:val="continue"/>
            <w:noWrap w:val="0"/>
            <w:tcMar>
              <w:top w:w="15" w:type="dxa"/>
              <w:left w:w="15" w:type="dxa"/>
              <w:right w:w="15" w:type="dxa"/>
            </w:tcMar>
            <w:vAlign w:val="center"/>
          </w:tcPr>
          <w:p w14:paraId="3FDA3CB1">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3BCB73FB">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34EE0001">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1BCF037F">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65622B4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1.4脱水管理</w:t>
            </w:r>
          </w:p>
          <w:p w14:paraId="6B41BA7B">
            <w:pPr>
              <w:widowControl/>
              <w:numPr>
                <w:ilvl w:val="0"/>
                <w:numId w:val="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可以记录脱水的开始时间和结束时间；</w:t>
            </w:r>
          </w:p>
          <w:p w14:paraId="2EA2AF70">
            <w:pPr>
              <w:widowControl/>
              <w:numPr>
                <w:ilvl w:val="0"/>
                <w:numId w:val="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支持按脱水框进行批量脱水操作记录；</w:t>
            </w:r>
          </w:p>
          <w:p w14:paraId="776A11D1">
            <w:pPr>
              <w:widowControl/>
              <w:numPr>
                <w:ilvl w:val="0"/>
                <w:numId w:val="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支持按脱水筐批量转移至包埋操作员的记录；</w:t>
            </w:r>
          </w:p>
          <w:p w14:paraId="4621333B">
            <w:pPr>
              <w:widowControl/>
              <w:numPr>
                <w:ilvl w:val="0"/>
                <w:numId w:val="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病例脱水信息分状态统计，可以快速查看蜡块的脱水状态；</w:t>
            </w:r>
          </w:p>
          <w:p w14:paraId="1FE572FC">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支持通过包埋盒批量扫码装置对包埋盒批量识别。支持自动对比识别到的编号与系统原有编号，并通过颜色标记错误；支持选择对应上级脱水机；支持核对当天所有脱水样本进行统计，提示遗留样本；</w:t>
            </w:r>
          </w:p>
        </w:tc>
      </w:tr>
      <w:tr w14:paraId="38B57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309" w:type="pct"/>
            <w:vMerge w:val="continue"/>
            <w:noWrap w:val="0"/>
            <w:tcMar>
              <w:top w:w="15" w:type="dxa"/>
              <w:left w:w="15" w:type="dxa"/>
              <w:right w:w="15" w:type="dxa"/>
            </w:tcMar>
            <w:vAlign w:val="center"/>
          </w:tcPr>
          <w:p w14:paraId="05E526DC">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7FDE50D7">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0528F34D">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2F14218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19A84F54">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lang w:val="en-US" w:eastAsia="zh-CN"/>
              </w:rPr>
              <w:t>1.5包埋管理</w:t>
            </w:r>
          </w:p>
          <w:p w14:paraId="32B35C4B">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支持全程二维码，提供样本扫描，包埋盒扫描，信息显示界面，扫描包埋盒验证信息的准确性；</w:t>
            </w:r>
          </w:p>
          <w:p w14:paraId="1E5C56F1">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系统在扫描有特别说明的包埋盒二维码时，自动语音播报，播报的项目内容可由用户自定义；</w:t>
            </w:r>
          </w:p>
          <w:p w14:paraId="4CB155DF">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可进行取材质量评价，并可进行相应取材质量的查询统计；</w:t>
            </w:r>
          </w:p>
          <w:p w14:paraId="114170FF">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对已进行过质量评价的每一个蜡块记录处理结果；</w:t>
            </w:r>
          </w:p>
          <w:p w14:paraId="0E9C8668">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可以列表形式提示当前病理号所有其他材块的包埋情况；</w:t>
            </w:r>
          </w:p>
          <w:p w14:paraId="0A58524B">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系统可提示当前用户当日所有的已包埋蜡块列表；</w:t>
            </w:r>
          </w:p>
          <w:p w14:paraId="01129CE0">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系统可提示所有已取材但尚未包埋病例的取材明细列表；</w:t>
            </w:r>
          </w:p>
          <w:p w14:paraId="2739C865">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系统可提供包埋工作量统计报表；</w:t>
            </w:r>
          </w:p>
          <w:p w14:paraId="406E5D9F">
            <w:pPr>
              <w:widowControl/>
              <w:numPr>
                <w:ilvl w:val="0"/>
                <w:numId w:val="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系统可查询每一个蜡块或切片及同一病理号下相关蜡块或切片的历史记录信息；</w:t>
            </w:r>
          </w:p>
          <w:p w14:paraId="62D99B29">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进行全流程追踪时，支持通过安卓平板电脑对包埋环节进行管控，记录包埋开始结束状态及相关操作信息。</w:t>
            </w:r>
          </w:p>
        </w:tc>
      </w:tr>
      <w:tr w14:paraId="56A4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09" w:type="pct"/>
            <w:vMerge w:val="continue"/>
            <w:noWrap w:val="0"/>
            <w:tcMar>
              <w:top w:w="15" w:type="dxa"/>
              <w:left w:w="15" w:type="dxa"/>
              <w:right w:w="15" w:type="dxa"/>
            </w:tcMar>
            <w:vAlign w:val="center"/>
          </w:tcPr>
          <w:p w14:paraId="368056D6">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02E4784A">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35BADD25">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2ABEADF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3532A05B">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1.6切片管理</w:t>
            </w:r>
          </w:p>
          <w:p w14:paraId="3D0F1E2B">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支持制片医生（批量）扫描包埋盒，玻片打号机自动打印标签；批量打印切片条码；</w:t>
            </w:r>
          </w:p>
          <w:p w14:paraId="30519B0D">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支持以列表或卡片形式自动提示当前病理号的其他蜡块的切片情况；</w:t>
            </w:r>
          </w:p>
          <w:p w14:paraId="321CC774">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支持扫描包埋盒二维码标签，从技术医嘱中提取病例信息、医嘱名称等，并打印该蜡块所有技术医嘱的玻片二维码标签；</w:t>
            </w:r>
          </w:p>
          <w:p w14:paraId="74321D2C">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可以查看每一病例的肉眼所见和取材明细；</w:t>
            </w:r>
          </w:p>
          <w:p w14:paraId="462396BE">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支持异常的制片补打印；</w:t>
            </w:r>
          </w:p>
          <w:p w14:paraId="7B4BF7D6">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系统在扫描有特别说明的包埋盒二维码时，可自动语音播报，播报的项目内容可由用户自定义；</w:t>
            </w:r>
          </w:p>
          <w:p w14:paraId="31557D71">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支持对包埋蜡块进行质量评价，并可进行相应蜡块质量的查询统计；</w:t>
            </w:r>
          </w:p>
          <w:p w14:paraId="25D7C96D">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支持对已进行过质量评价的蜡块录处理结果；</w:t>
            </w:r>
          </w:p>
          <w:p w14:paraId="558A30A0">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提供信息查询，同一病理号相关蜡块或切片的历史记录信息、切片状态、历史制片情况、特检医嘱和技术急诊等查询；</w:t>
            </w:r>
          </w:p>
          <w:p w14:paraId="72F09033">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支持相关的统计信息，不限于提供切片工作量和工作时间的精确统计等；</w:t>
            </w:r>
          </w:p>
          <w:p w14:paraId="3016D809">
            <w:pPr>
              <w:widowControl/>
              <w:numPr>
                <w:ilvl w:val="0"/>
                <w:numId w:val="7"/>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进行全流程追踪时，支持通过平板电脑对接扫码枪和玻片打号机，扫描包埋盒后打印对应切片，同时在系统中可记录相关信息，预打印场景下支持包埋盒玻片扫码双核对校验；</w:t>
            </w:r>
          </w:p>
          <w:p w14:paraId="25246C7A">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Style w:val="179"/>
                <w:rFonts w:hint="eastAsia" w:ascii="宋体" w:hAnsi="宋体" w:eastAsia="宋体" w:cs="宋体"/>
                <w:color w:val="auto"/>
                <w:sz w:val="21"/>
                <w:szCs w:val="21"/>
                <w:highlight w:val="none"/>
                <w:lang w:val="en-US" w:eastAsia="zh-CN" w:bidi="ar"/>
              </w:rPr>
              <w:t>12.</w:t>
            </w:r>
            <w:r>
              <w:rPr>
                <w:rStyle w:val="179"/>
                <w:rFonts w:hint="eastAsia" w:ascii="宋体" w:hAnsi="宋体" w:eastAsia="宋体" w:cs="宋体"/>
                <w:color w:val="auto"/>
                <w:sz w:val="21"/>
                <w:szCs w:val="21"/>
                <w:highlight w:val="none"/>
                <w:lang w:bidi="ar"/>
              </w:rPr>
              <w:t>▲支持对数字切片进行分类管理服务，可按亚专科进行多层级分类管理。</w:t>
            </w:r>
          </w:p>
        </w:tc>
      </w:tr>
      <w:tr w14:paraId="009AC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09" w:type="pct"/>
            <w:vMerge w:val="continue"/>
            <w:noWrap w:val="0"/>
            <w:tcMar>
              <w:top w:w="15" w:type="dxa"/>
              <w:left w:w="15" w:type="dxa"/>
              <w:right w:w="15" w:type="dxa"/>
            </w:tcMar>
            <w:vAlign w:val="center"/>
          </w:tcPr>
          <w:p w14:paraId="5D96DF7D">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32A4168A">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3C3691D1">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6C9821E6">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7755159C">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1.7染封管理</w:t>
            </w:r>
          </w:p>
          <w:p w14:paraId="641425D9">
            <w:pPr>
              <w:widowControl/>
              <w:numPr>
                <w:ilvl w:val="0"/>
                <w:numId w:val="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支持扫描切片二维码标签，记录染色的操作者、上机与结束时间；</w:t>
            </w:r>
          </w:p>
          <w:p w14:paraId="4021A8E8">
            <w:pPr>
              <w:widowControl/>
              <w:numPr>
                <w:ilvl w:val="0"/>
                <w:numId w:val="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支持扫描连号切片来快速染色；</w:t>
            </w:r>
          </w:p>
          <w:p w14:paraId="5C9A9DAB">
            <w:pPr>
              <w:widowControl/>
              <w:numPr>
                <w:ilvl w:val="0"/>
                <w:numId w:val="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支持列表或卡片形式提示当前病理号的其他切片的染色情况；</w:t>
            </w:r>
          </w:p>
          <w:p w14:paraId="2993BEBB">
            <w:pPr>
              <w:widowControl/>
              <w:numPr>
                <w:ilvl w:val="0"/>
                <w:numId w:val="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支持自动提示当前登录用户当日所有的染色切片列表；</w:t>
            </w:r>
          </w:p>
          <w:p w14:paraId="65BFC253">
            <w:pPr>
              <w:widowControl/>
              <w:numPr>
                <w:ilvl w:val="0"/>
                <w:numId w:val="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支持染色工作量和染色确认时间的精确统计；</w:t>
            </w:r>
          </w:p>
          <w:p w14:paraId="592653D0">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bidi="ar"/>
              </w:rPr>
              <w:t>支持查询蜡块或切片及同一病理号下相关蜡块或切片的历史记录信息。</w:t>
            </w:r>
          </w:p>
        </w:tc>
      </w:tr>
      <w:tr w14:paraId="191A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9" w:type="pct"/>
            <w:vMerge w:val="continue"/>
            <w:noWrap w:val="0"/>
            <w:tcMar>
              <w:top w:w="15" w:type="dxa"/>
              <w:left w:w="15" w:type="dxa"/>
              <w:right w:w="15" w:type="dxa"/>
            </w:tcMar>
            <w:vAlign w:val="center"/>
          </w:tcPr>
          <w:p w14:paraId="4CCE650D">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05CB821A">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62D325A4">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0BFF26B4">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05FACE5D">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1.8冰冻制片</w:t>
            </w:r>
          </w:p>
          <w:p w14:paraId="5D76771D">
            <w:pPr>
              <w:widowControl/>
              <w:numPr>
                <w:ilvl w:val="0"/>
                <w:numId w:val="9"/>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提供独立的冰冻制片流程管理；</w:t>
            </w:r>
          </w:p>
          <w:p w14:paraId="05591F55">
            <w:pPr>
              <w:widowControl/>
              <w:numPr>
                <w:ilvl w:val="0"/>
                <w:numId w:val="9"/>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提供快速冰冻会诊方案，系统可打开冰冻切片的数字切片；</w:t>
            </w:r>
          </w:p>
          <w:p w14:paraId="56CE2690">
            <w:pPr>
              <w:widowControl/>
              <w:numPr>
                <w:ilvl w:val="0"/>
                <w:numId w:val="9"/>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冰冻病例自动加做常规，诊断结果自动关联；</w:t>
            </w:r>
          </w:p>
          <w:p w14:paraId="58B29AE4">
            <w:pPr>
              <w:widowControl/>
              <w:numPr>
                <w:ilvl w:val="0"/>
                <w:numId w:val="9"/>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自动统计冰冻常规符合率；</w:t>
            </w:r>
          </w:p>
          <w:p w14:paraId="46C0DC25">
            <w:pPr>
              <w:widowControl/>
              <w:numPr>
                <w:ilvl w:val="0"/>
                <w:numId w:val="9"/>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支持扫描冰冻头标签纸二维码自动核对标本信息；</w:t>
            </w:r>
          </w:p>
          <w:p w14:paraId="18D52260">
            <w:pPr>
              <w:widowControl/>
              <w:numPr>
                <w:ilvl w:val="0"/>
                <w:numId w:val="9"/>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支持冰冻待切片列表，显示切片基本信息，包括切片备注、取材评价；</w:t>
            </w:r>
          </w:p>
          <w:p w14:paraId="6B62FEE6">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bidi="ar"/>
              </w:rPr>
              <w:t>支持打印冰冻头专用小标签纸。</w:t>
            </w:r>
          </w:p>
        </w:tc>
      </w:tr>
      <w:tr w14:paraId="7B4A4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309" w:type="pct"/>
            <w:vMerge w:val="continue"/>
            <w:noWrap w:val="0"/>
            <w:tcMar>
              <w:top w:w="15" w:type="dxa"/>
              <w:left w:w="15" w:type="dxa"/>
              <w:right w:w="15" w:type="dxa"/>
            </w:tcMar>
            <w:vAlign w:val="center"/>
          </w:tcPr>
          <w:p w14:paraId="2EE04099">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A452853">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02BB6643">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1D527B01">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0E9A57C1">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1.9细胞制片</w:t>
            </w:r>
          </w:p>
          <w:p w14:paraId="7446DF59">
            <w:pPr>
              <w:widowControl/>
              <w:numPr>
                <w:ilvl w:val="0"/>
                <w:numId w:val="10"/>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提供独立的细胞制片流程管理，打印切片标签；</w:t>
            </w:r>
          </w:p>
          <w:p w14:paraId="5F4D81E1">
            <w:pPr>
              <w:widowControl/>
              <w:numPr>
                <w:ilvl w:val="0"/>
                <w:numId w:val="10"/>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支持对宫颈细胞诊断报告TBS分级统计；</w:t>
            </w:r>
          </w:p>
          <w:p w14:paraId="17B6B91A">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支持细胞蜡块制作流程，并支持对蜡块进行免疫组化等医嘱执行操作。</w:t>
            </w:r>
          </w:p>
        </w:tc>
      </w:tr>
      <w:tr w14:paraId="0D10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trPr>
        <w:tc>
          <w:tcPr>
            <w:tcW w:w="309" w:type="pct"/>
            <w:vMerge w:val="continue"/>
            <w:noWrap w:val="0"/>
            <w:tcMar>
              <w:top w:w="15" w:type="dxa"/>
              <w:left w:w="15" w:type="dxa"/>
              <w:right w:w="15" w:type="dxa"/>
            </w:tcMar>
            <w:vAlign w:val="center"/>
          </w:tcPr>
          <w:p w14:paraId="5E1F5E2C">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8153048">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126FD4EC">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6B4C701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495E7D3E">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1.10病理诊断</w:t>
            </w:r>
          </w:p>
          <w:p w14:paraId="6B6A58A0">
            <w:pPr>
              <w:widowControl/>
              <w:numPr>
                <w:ilvl w:val="0"/>
                <w:numId w:val="11"/>
              </w:numPr>
              <w:wordWrap w:val="0"/>
              <w:jc w:val="left"/>
              <w:textAlignment w:val="center"/>
              <w:rPr>
                <w:rStyle w:val="179"/>
                <w:rFonts w:hint="eastAsia" w:ascii="宋体" w:hAnsi="宋体" w:eastAsia="宋体" w:cs="宋体"/>
                <w:color w:val="auto"/>
                <w:sz w:val="21"/>
                <w:szCs w:val="21"/>
                <w:highlight w:val="none"/>
                <w:lang w:bidi="ar"/>
              </w:rPr>
            </w:pPr>
            <w:r>
              <w:rPr>
                <w:rStyle w:val="179"/>
                <w:rFonts w:hint="eastAsia" w:ascii="宋体" w:hAnsi="宋体" w:eastAsia="宋体" w:cs="宋体"/>
                <w:color w:val="auto"/>
                <w:sz w:val="21"/>
                <w:szCs w:val="21"/>
                <w:highlight w:val="none"/>
                <w:lang w:bidi="ar"/>
              </w:rPr>
              <w:t>▲支持用户通过移动端在异地实现病例诊断；</w:t>
            </w:r>
          </w:p>
          <w:p w14:paraId="39A5E93D">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可查看病例基本信息、临床诊断、大体标本照片和描述、取材明细记录等。录入镜下所见、病理诊断、免疫组化结果、液基细胞学等诊断报告项目；</w:t>
            </w:r>
          </w:p>
          <w:p w14:paraId="2981AB7F">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支持丰富的报告常用词，支持书写报告时随时增减常用词，并区分科室和个人类型；支持报告自定义；</w:t>
            </w:r>
          </w:p>
          <w:p w14:paraId="729126A8">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针对经典病例，支持收藏操作；</w:t>
            </w:r>
          </w:p>
          <w:p w14:paraId="3E0A4767">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提供同一病理号不限次数的独立冰冻报告，每一份冰冻报告单独记录制片和诊断报告信息，可单独进行审核并提供给临床进行查看；</w:t>
            </w:r>
          </w:p>
          <w:p w14:paraId="644A5DA5">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冰冻超时报告可提示医生进行“迟发原因”的输入，可自定义迟发原因并进行选择；</w:t>
            </w:r>
          </w:p>
          <w:p w14:paraId="110B5B43">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支持报告历史版本管理；</w:t>
            </w:r>
          </w:p>
          <w:p w14:paraId="1BEB941E">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病理诊断报告支持双签，支持实现可以法律效率的电子签名功能；</w:t>
            </w:r>
          </w:p>
          <w:p w14:paraId="483A1165">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系统提供包括细胞TBS、胃镜等专用诊断模板；</w:t>
            </w:r>
          </w:p>
          <w:p w14:paraId="5DD3CCB0">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支持快捷查询，模糊查询，多级搜索功能；</w:t>
            </w:r>
          </w:p>
          <w:p w14:paraId="68DB63BE">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报告打印时能设置病理库对“阴阳性”“临床符合”“冰冻符合”等描述进行检查，无内容不能打印；</w:t>
            </w:r>
          </w:p>
          <w:p w14:paraId="27730042">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具有报告质量管控功能，病理诊断结果与性别冲突监控提示：诊断结果智能预警功能：如病理诊断出现“癌”、 “瘤”、“阳性”，则字体将变红提醒等；</w:t>
            </w:r>
          </w:p>
          <w:p w14:paraId="62BC90D9">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可对报告质量进行评价；</w:t>
            </w:r>
          </w:p>
          <w:p w14:paraId="67761C49">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诊断时支持对切片进行评价，评价采用扣分制，默认为满分；</w:t>
            </w:r>
          </w:p>
          <w:p w14:paraId="430D9A82">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可发出内部技术医嘱要求，发出的内部医嘱在有相应提示，可查看内部医嘱相应的执行情况和结果；</w:t>
            </w:r>
          </w:p>
          <w:p w14:paraId="5EB2A3C3">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支持特检申请单打印，补打特检申请单，创建特检检查报告；</w:t>
            </w:r>
          </w:p>
          <w:p w14:paraId="4058A27D">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可发出特检医嘱要求，发出的特检医嘱有相应提示；</w:t>
            </w:r>
          </w:p>
          <w:p w14:paraId="58F5F476">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医生开免疫组化医嘱时，系统会自动匹配本科室已开展的标记物项目，如果无此标记物项目，则系统弹出相关提示并阻止开单；</w:t>
            </w:r>
          </w:p>
          <w:p w14:paraId="7C14A493">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支持诊断模板自定义，支持分子病理诊断报告中提供所见即所得的富文本编辑器，参考Word编辑器的工具栏、可调节字体、斜体、加粗、颜色等；</w:t>
            </w:r>
          </w:p>
          <w:p w14:paraId="259E255E">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提供乳腺癌等癌种新辅助治疗后病理评估体系的分级辅助工具，帮助医生进行更准确的诊断；</w:t>
            </w:r>
          </w:p>
          <w:p w14:paraId="52FFB757">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对即将超时的和已超时的病例，应给予提醒；超时报告并记录超时原因；</w:t>
            </w:r>
          </w:p>
          <w:p w14:paraId="003E800D">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诊断界面支持数字切片的深度集成与网页端、移动端在线浏览；</w:t>
            </w:r>
          </w:p>
          <w:p w14:paraId="55DAAAA2">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支持发起中心内会诊申请，系统会自动加入“中心内会诊”列表并进行提示，其他医生登录系统后可以快速定位会诊病例，可增加、修改、删除自己的中心内会诊意见；</w:t>
            </w:r>
          </w:p>
          <w:p w14:paraId="5FE65BBE">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可对病例进行随访标记，系统会自动加入“需随访病例”列表并进行提示，可录入并保存随访结果，并可继续随访或结束随访；</w:t>
            </w:r>
          </w:p>
          <w:p w14:paraId="13A84C84">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可对感兴趣的病例进行收藏管理，系统会自动加入到“我的收藏夹”列表并进行提示，医生可管理收藏夹病例列表；</w:t>
            </w:r>
          </w:p>
          <w:p w14:paraId="40C4FA2D">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诊断时可选择具有分子诊断价值的蜡块，作为分子病理默认执行蜡块，后续患者做分子病理时，默认执行此蜡块；</w:t>
            </w:r>
          </w:p>
          <w:p w14:paraId="362A7E7B">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支持WHO标准的病理诊断分类标签功能，系统能够选择肿瘤的一级与二级分类，生成标签后与病例关联，单击标签名称可自动查询在整体标签库内该标签的数量占比，支持后台进行标签的检索与统计；</w:t>
            </w:r>
          </w:p>
          <w:p w14:paraId="59FD60B5">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对即将超时的和已超时的病例，应给予提醒；</w:t>
            </w:r>
          </w:p>
          <w:p w14:paraId="5506282B">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能够通过扫描玻片快速进入对应病例的诊断界面；</w:t>
            </w:r>
          </w:p>
          <w:p w14:paraId="0B58E78B">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提供病理报告审核后的“犹豫期”自定义设定，并可自定义设定临床查看审核后的病理报告的“犹豫期”；</w:t>
            </w:r>
          </w:p>
          <w:p w14:paraId="6542359B">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支持诊断添加报告水印功能，开启报告水印后，临床查看的报告将增加“非正式报告”水印；</w:t>
            </w:r>
          </w:p>
          <w:p w14:paraId="1E0405BA">
            <w:pPr>
              <w:widowControl/>
              <w:numPr>
                <w:ilvl w:val="0"/>
                <w:numId w:val="11"/>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系统支持对病理各个工作流程进行流程配置，支持对流程“开启、分配、确认”的操作，支持对连续流程的拆分或合并。同时对病理各个流程的超时细节可进行自定义配置，针对小标本、大标本、冰冻、细胞、蜡块、玻片、外院蜡块、外院玻片等不同类型的业务，可自定义配置流程中各个环节的规定时长，并能配置与编辑超时原因；</w:t>
            </w:r>
          </w:p>
          <w:p w14:paraId="13C9CF0A">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Style w:val="178"/>
                <w:rFonts w:hint="eastAsia" w:ascii="宋体" w:hAnsi="宋体" w:eastAsia="宋体" w:cs="宋体"/>
                <w:color w:val="auto"/>
                <w:sz w:val="21"/>
                <w:szCs w:val="21"/>
                <w:highlight w:val="none"/>
                <w:lang w:val="en-US" w:eastAsia="zh-CN" w:bidi="ar"/>
              </w:rPr>
              <w:t>33.</w:t>
            </w:r>
            <w:r>
              <w:rPr>
                <w:rStyle w:val="178"/>
                <w:rFonts w:hint="eastAsia" w:ascii="宋体" w:hAnsi="宋体" w:eastAsia="宋体" w:cs="宋体"/>
                <w:color w:val="auto"/>
                <w:sz w:val="21"/>
                <w:szCs w:val="21"/>
                <w:highlight w:val="none"/>
                <w:lang w:bidi="ar"/>
              </w:rPr>
              <w:t>可向临床发送通知，告知延迟打印报告和缴费补费等信息；诊断界面可填写临床病理联系，并可导出。</w:t>
            </w:r>
          </w:p>
        </w:tc>
      </w:tr>
      <w:tr w14:paraId="6592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309" w:type="pct"/>
            <w:vMerge w:val="continue"/>
            <w:noWrap w:val="0"/>
            <w:tcMar>
              <w:top w:w="15" w:type="dxa"/>
              <w:left w:w="15" w:type="dxa"/>
              <w:right w:w="15" w:type="dxa"/>
            </w:tcMar>
            <w:vAlign w:val="center"/>
          </w:tcPr>
          <w:p w14:paraId="18464AD2">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430E7648">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76BE1405">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12C0DE7D">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47D4625E">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1.11危急值管</w:t>
            </w:r>
          </w:p>
          <w:p w14:paraId="23EC4D5E">
            <w:pPr>
              <w:widowControl/>
              <w:numPr>
                <w:ilvl w:val="0"/>
                <w:numId w:val="1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支持设定危急值，能够监测和识别危急值结果，并通过多种方式（如电话、短信系统）自动或者人工操作向相关医生发送通知；</w:t>
            </w:r>
          </w:p>
          <w:p w14:paraId="33DAF991">
            <w:pPr>
              <w:widowControl/>
              <w:numPr>
                <w:ilvl w:val="0"/>
                <w:numId w:val="1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提供危急值管理列表，可详细查看危急值内容、发送、处理时间及临床确认状态等重要信息，支持危急值列表数据以excel表格方式导出。诊断界面可填写与临床病理沟通记录；</w:t>
            </w:r>
          </w:p>
          <w:p w14:paraId="31052D40">
            <w:pPr>
              <w:widowControl/>
              <w:numPr>
                <w:ilvl w:val="0"/>
                <w:numId w:val="1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支持诊断界面填写病理与临床的沟通记录，内容需包含操作时间、说明内容、操作人员等信息；</w:t>
            </w:r>
          </w:p>
          <w:p w14:paraId="30DEE312">
            <w:pPr>
              <w:widowControl/>
              <w:numPr>
                <w:ilvl w:val="0"/>
                <w:numId w:val="1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提供系统后台对危急值的配置，支持新增、编辑、删除危急值内容；</w:t>
            </w:r>
          </w:p>
          <w:p w14:paraId="2D71C7E7">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支持对危急值病例进行特殊标识提醒，如病理号上带“危”字加以着重提醒。</w:t>
            </w:r>
          </w:p>
        </w:tc>
      </w:tr>
      <w:tr w14:paraId="50A8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trPr>
        <w:tc>
          <w:tcPr>
            <w:tcW w:w="309" w:type="pct"/>
            <w:vMerge w:val="continue"/>
            <w:noWrap w:val="0"/>
            <w:tcMar>
              <w:top w:w="15" w:type="dxa"/>
              <w:left w:w="15" w:type="dxa"/>
              <w:right w:w="15" w:type="dxa"/>
            </w:tcMar>
            <w:vAlign w:val="center"/>
          </w:tcPr>
          <w:p w14:paraId="428E985D">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82C736E">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693198D1">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1870D7A5">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1C7E3A07">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1.12分子病理检测中心</w:t>
            </w:r>
          </w:p>
          <w:p w14:paraId="1544F5EA">
            <w:pPr>
              <w:widowControl/>
              <w:numPr>
                <w:ilvl w:val="0"/>
                <w:numId w:val="1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提供完整的分子病理管理流程；</w:t>
            </w:r>
          </w:p>
          <w:p w14:paraId="5255D8F2">
            <w:pPr>
              <w:widowControl/>
              <w:numPr>
                <w:ilvl w:val="0"/>
                <w:numId w:val="1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支持分子检查项目独立管理，可根据科室需求增加新项目；</w:t>
            </w:r>
          </w:p>
          <w:p w14:paraId="3B2DC5EB">
            <w:pPr>
              <w:widowControl/>
              <w:numPr>
                <w:ilvl w:val="0"/>
                <w:numId w:val="1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支持根据申请单状态、病例ID、分子编号等信息进行分子项目搜索；</w:t>
            </w:r>
          </w:p>
          <w:p w14:paraId="7B524967">
            <w:pPr>
              <w:widowControl/>
              <w:numPr>
                <w:ilvl w:val="0"/>
                <w:numId w:val="1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支持分子检测全流程管理，对开始时间、结束时间进行记录；</w:t>
            </w:r>
          </w:p>
          <w:p w14:paraId="13FF59CE">
            <w:pPr>
              <w:widowControl/>
              <w:numPr>
                <w:ilvl w:val="0"/>
                <w:numId w:val="1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诊断列表可分待诊断、待复诊、待签发、已签发、加急、超时等；</w:t>
            </w:r>
          </w:p>
          <w:p w14:paraId="248D2EA6">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支持分子病理项目的数据统计。</w:t>
            </w:r>
          </w:p>
        </w:tc>
      </w:tr>
      <w:tr w14:paraId="11E2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trPr>
        <w:tc>
          <w:tcPr>
            <w:tcW w:w="309" w:type="pct"/>
            <w:vMerge w:val="continue"/>
            <w:noWrap w:val="0"/>
            <w:tcMar>
              <w:top w:w="15" w:type="dxa"/>
              <w:left w:w="15" w:type="dxa"/>
              <w:right w:w="15" w:type="dxa"/>
            </w:tcMar>
            <w:vAlign w:val="center"/>
          </w:tcPr>
          <w:p w14:paraId="0A6237F6">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3C622276">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3B2079D1">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1972B6B4">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4CDB5F25">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1.13特检管理</w:t>
            </w:r>
          </w:p>
          <w:p w14:paraId="426C3DFC">
            <w:pPr>
              <w:widowControl/>
              <w:numPr>
                <w:ilvl w:val="0"/>
                <w:numId w:val="1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系统自动提示已发出特检医嘱（免疫组化、特殊染色、分子病理等）要求但尚未执行的病例信息列表；</w:t>
            </w:r>
          </w:p>
          <w:p w14:paraId="71FEB8D2">
            <w:pPr>
              <w:widowControl/>
              <w:numPr>
                <w:ilvl w:val="0"/>
                <w:numId w:val="1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可从特检医嘱信息中提取病例信息、标记物名称等内容，来自动生成免疫组化切片等切片条码标签，并打印出来；</w:t>
            </w:r>
          </w:p>
          <w:p w14:paraId="7F9416BC">
            <w:pPr>
              <w:widowControl/>
              <w:numPr>
                <w:ilvl w:val="0"/>
                <w:numId w:val="1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免疫组化染色完成并确认后，状态体现在诊断界面；</w:t>
            </w:r>
          </w:p>
          <w:p w14:paraId="6D06C6BB">
            <w:pPr>
              <w:widowControl/>
              <w:numPr>
                <w:ilvl w:val="0"/>
                <w:numId w:val="1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支持展示病例标记物，非必要情况下默认收起标记物详情，必要时可展开列表查看标记物详情；</w:t>
            </w:r>
          </w:p>
          <w:p w14:paraId="6FA127F3">
            <w:pPr>
              <w:widowControl/>
              <w:numPr>
                <w:ilvl w:val="0"/>
                <w:numId w:val="1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支持系统内对特检医嘱的全流程管理，包括但不限对免疫组化、特殊染色等管理，可查看医嘱来源、申请医生及时间，收费状态等。对于未缴费病例通过系统对短信一键发送通知，短信内容支持自定义配置；</w:t>
            </w:r>
          </w:p>
          <w:p w14:paraId="76BEA5CD">
            <w:pPr>
              <w:widowControl/>
              <w:numPr>
                <w:ilvl w:val="0"/>
                <w:numId w:val="1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支持对特检进行全流程管理，包括开单、确认缴费、确认执行、打印标签、打印工作单、上机、打印工作单交接等；</w:t>
            </w:r>
          </w:p>
          <w:p w14:paraId="7891F9FF">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支持先做后补费、重复不收费、预收费，管理实收与应收金额，并可实现特检收费统计，查看实收与应收不一致明细。</w:t>
            </w:r>
          </w:p>
        </w:tc>
      </w:tr>
      <w:tr w14:paraId="5F26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309" w:type="pct"/>
            <w:vMerge w:val="continue"/>
            <w:noWrap w:val="0"/>
            <w:tcMar>
              <w:top w:w="15" w:type="dxa"/>
              <w:left w:w="15" w:type="dxa"/>
              <w:right w:w="15" w:type="dxa"/>
            </w:tcMar>
            <w:vAlign w:val="center"/>
          </w:tcPr>
          <w:p w14:paraId="55E2F37E">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0B843401">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42756F2D">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34736B72">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37CC9EFB">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1.14全流程质控管理</w:t>
            </w:r>
          </w:p>
          <w:p w14:paraId="5F0A5398">
            <w:pPr>
              <w:widowControl/>
              <w:numPr>
                <w:ilvl w:val="0"/>
                <w:numId w:val="1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提供精细到取材、制片各环节、诊断各环节的超时时间管理和提醒功能，支持通过手机短信方式通知科室管理人员及相关技术人员；</w:t>
            </w:r>
          </w:p>
          <w:p w14:paraId="26B7A345">
            <w:pPr>
              <w:widowControl/>
              <w:numPr>
                <w:ilvl w:val="0"/>
                <w:numId w:val="1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支持超时病例查看功能，支持按标本类型展示超时病例，展示超时时长及已用时长，可按制片步骤查看各步骤用时；</w:t>
            </w:r>
          </w:p>
          <w:p w14:paraId="03E993D1">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提供符合三甲医院复审要求的质控指标和科室管理的统计分析功能，并提供病理实验室十三项质控，质控指标包括：1)百张床位医师数、2)百张床位技师数、3)HE切片优良率、4)特检切片优良率、5)标本规范固定率、6)术中冰冻及时率、7)组织诊断及时率、8)细胞诊断及时率、9)分子室内合格率、10)分子室间合格率、11)免疫组化合格率、12)细胞诊断符合率、13)常规冰冻符合率、14)外院会诊符合率、支持选定时间段、统计时间维度、不达标病例详细信息，针对抽检项目可创建质控任务，质控结果可以一键导出，且支持持续追踪改进点。</w:t>
            </w:r>
          </w:p>
        </w:tc>
      </w:tr>
      <w:tr w14:paraId="224C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480CBCA5">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1D17626">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31A1106C">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09490D30">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097F5E5E">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1.15统计报表</w:t>
            </w:r>
          </w:p>
          <w:p w14:paraId="30AD4055">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统计报表满足并不限于以下功能：</w:t>
            </w:r>
          </w:p>
          <w:p w14:paraId="1DFEA63C">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支持统计一段时间内送检病理的数量，统计维度包括病理库、病理号；</w:t>
            </w:r>
          </w:p>
          <w:p w14:paraId="78DA4539">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报表支持通过多维度（包括并不限于市临床病理诊断中心、分中心、医疗机构）进行统计；</w:t>
            </w:r>
          </w:p>
          <w:p w14:paraId="06CA3949">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实时记录样本流转、操作人员、单件流原则，多种工作量统计报表，包括医生、技师、部门、标本统计表、技术医嘱量、特检医嘱量、临床送检量、外院送检量、染色机记录、标本移交表、制片汇总记录、根据评价切片的优片率等；</w:t>
            </w:r>
          </w:p>
          <w:p w14:paraId="4716D600">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提供科室管理统计分析，并提供病理科质控指标列表，并提供查询功能；制片各环节合格率；宫颈液基细胞学 ASC/SIL 比例、宫颈液基细胞学TBS 标准各级别诊断数量及占比等；</w:t>
            </w:r>
          </w:p>
          <w:p w14:paraId="6F6198C0">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支持统计一段时间内各取材医生所取材的材料数量，统计维度包括病例、标本、蜡块；</w:t>
            </w:r>
          </w:p>
          <w:p w14:paraId="02A73E5D">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支持统计诊断工作量，支持查看诊断明细，区分出初始诊断与补充诊断医生不一致的报告明细；</w:t>
            </w:r>
          </w:p>
          <w:p w14:paraId="4D31620F">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支持统计免疫组化、特殊染色各标记物开单数量；</w:t>
            </w:r>
          </w:p>
          <w:p w14:paraId="5AA69EE9">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支持统计一段时间内技术组工作量，统计维度包括蜡块数量、切片数量，可查看工作量分布情况；</w:t>
            </w:r>
          </w:p>
          <w:p w14:paraId="72429149">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支持会诊量统计；</w:t>
            </w:r>
          </w:p>
          <w:p w14:paraId="343AFABB">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肿瘤分级的统计，对不同的病理类型进行非瘤、交界、良性、恶性的准确数量统计，并可进行病理类型和肿瘤分级的组合筛选检索，以列表形式呈现检索的结果，可点击列表的查看按钮快速跳转至对应的病例详情页；</w:t>
            </w:r>
          </w:p>
          <w:p w14:paraId="5E94D7F7">
            <w:pPr>
              <w:widowControl/>
              <w:numPr>
                <w:ilvl w:val="0"/>
                <w:numId w:val="16"/>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提供收费、耗材、设备等相关统计管理，通过报表详细展示；</w:t>
            </w:r>
          </w:p>
          <w:p w14:paraId="1EE5DFFA">
            <w:pPr>
              <w:widowControl/>
              <w:numPr>
                <w:ilvl w:val="0"/>
                <w:numId w:val="16"/>
              </w:numPr>
              <w:wordWrap w:val="0"/>
              <w:jc w:val="left"/>
              <w:textAlignment w:val="center"/>
              <w:rPr>
                <w:rStyle w:val="179"/>
                <w:rFonts w:hint="eastAsia" w:ascii="宋体" w:hAnsi="宋体" w:eastAsia="宋体" w:cs="宋体"/>
                <w:color w:val="auto"/>
                <w:sz w:val="21"/>
                <w:szCs w:val="21"/>
                <w:highlight w:val="none"/>
                <w:lang w:bidi="ar"/>
              </w:rPr>
            </w:pPr>
            <w:r>
              <w:rPr>
                <w:rStyle w:val="179"/>
                <w:rFonts w:hint="eastAsia" w:ascii="宋体" w:hAnsi="宋体" w:eastAsia="宋体" w:cs="宋体"/>
                <w:color w:val="auto"/>
                <w:sz w:val="21"/>
                <w:szCs w:val="21"/>
                <w:highlight w:val="none"/>
                <w:lang w:bidi="ar"/>
              </w:rPr>
              <w:t>▲支持WHO标准的病理诊断分类标签功能，提供系统推荐标签与全部标签两种标签方式，全部标签支持选择肿瘤的一级与二级分类，生成标签后与病例关联，单击标签名称可自动查询在整体标签库内该标签的数量占比。同时支持诊断界面标签分布查看，进行标签的检索与统计，点击标签详情可直接查看该标签下所有病例详细诊断，</w:t>
            </w:r>
          </w:p>
          <w:p w14:paraId="38A8D0B8">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Style w:val="178"/>
                <w:rFonts w:hint="eastAsia" w:ascii="宋体" w:hAnsi="宋体" w:eastAsia="宋体" w:cs="宋体"/>
                <w:color w:val="auto"/>
                <w:sz w:val="21"/>
                <w:szCs w:val="21"/>
                <w:highlight w:val="none"/>
                <w:lang w:val="en-US" w:eastAsia="zh-CN" w:bidi="ar"/>
              </w:rPr>
              <w:t>13.</w:t>
            </w:r>
            <w:r>
              <w:rPr>
                <w:rStyle w:val="178"/>
                <w:rFonts w:hint="eastAsia" w:ascii="宋体" w:hAnsi="宋体" w:eastAsia="宋体" w:cs="宋体"/>
                <w:color w:val="auto"/>
                <w:sz w:val="21"/>
                <w:szCs w:val="21"/>
                <w:highlight w:val="none"/>
                <w:lang w:bidi="ar"/>
              </w:rPr>
              <w:t>提供各类质控指标的统计展示。</w:t>
            </w:r>
          </w:p>
        </w:tc>
      </w:tr>
      <w:tr w14:paraId="4875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47E60C97">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30A5E64">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044A0694">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3371D03B">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68AB20DE">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1.16借阅归档管理</w:t>
            </w:r>
          </w:p>
          <w:p w14:paraId="7C8A543C">
            <w:pPr>
              <w:widowControl/>
              <w:numPr>
                <w:ilvl w:val="0"/>
                <w:numId w:val="1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提供批量切片/蜡块借阅归档管理；</w:t>
            </w:r>
          </w:p>
          <w:p w14:paraId="02FD82C5">
            <w:pPr>
              <w:widowControl/>
              <w:numPr>
                <w:ilvl w:val="0"/>
                <w:numId w:val="1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支持按照病理号将蜡块、切片分别归档处理，录入具体的归档位置；</w:t>
            </w:r>
          </w:p>
          <w:p w14:paraId="557D7D38">
            <w:pPr>
              <w:widowControl/>
              <w:numPr>
                <w:ilvl w:val="0"/>
                <w:numId w:val="1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支持按照病理号、借阅状态等筛选条件进行查询，查看蜡块、切片借还状态；</w:t>
            </w:r>
          </w:p>
          <w:p w14:paraId="31F07100">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支持按照借阅类型，录入借阅内容等条件进行借阅操作。</w:t>
            </w:r>
          </w:p>
        </w:tc>
      </w:tr>
      <w:tr w14:paraId="5D1E6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0CA87593">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4C457AA2">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7C693A70">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7C9BA002">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78F58A0D">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1.17试剂耗材管理</w:t>
            </w:r>
          </w:p>
          <w:p w14:paraId="7B560249">
            <w:pPr>
              <w:widowControl/>
              <w:numPr>
                <w:ilvl w:val="0"/>
                <w:numId w:val="1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支持添加、编辑、试剂耗材。并管理试剂耗材名称、库存阈值、计量单位、品牌、规格型号等信息；</w:t>
            </w:r>
          </w:p>
          <w:p w14:paraId="05EB2032">
            <w:pPr>
              <w:widowControl/>
              <w:numPr>
                <w:ilvl w:val="0"/>
                <w:numId w:val="1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支持管理试剂耗材入库，对批次号、入库数量、入库价格等信息进行管理；</w:t>
            </w:r>
          </w:p>
          <w:p w14:paraId="7168803A">
            <w:pPr>
              <w:widowControl/>
              <w:numPr>
                <w:ilvl w:val="0"/>
                <w:numId w:val="1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试剂验证功能，支持对不同试剂、批次进行试剂验证；</w:t>
            </w:r>
          </w:p>
          <w:p w14:paraId="1D3E87A9">
            <w:pPr>
              <w:widowControl/>
              <w:numPr>
                <w:ilvl w:val="0"/>
                <w:numId w:val="1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支持管理试剂耗材出库，对出库数量、剩余数量、领用部门等信息进行管理；</w:t>
            </w:r>
          </w:p>
          <w:p w14:paraId="10687AE5">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试剂验证功能，支持对不同试剂、批次进行试剂验证。</w:t>
            </w:r>
          </w:p>
        </w:tc>
      </w:tr>
      <w:tr w14:paraId="483A8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3C0DAF00">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53A4D180">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7E904778">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6B58E468">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2289AC37">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1.18数据查询</w:t>
            </w:r>
          </w:p>
          <w:p w14:paraId="65D3F87F">
            <w:pPr>
              <w:widowControl/>
              <w:numPr>
                <w:ilvl w:val="0"/>
                <w:numId w:val="19"/>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可根据多个条件来组合查询或统计病例、可以进行模糊查询，也可以进行精确查询。查询或统计出的结果可以导出EXCEL表格文件；</w:t>
            </w:r>
          </w:p>
          <w:p w14:paraId="2F442EA0">
            <w:pPr>
              <w:widowControl/>
              <w:numPr>
                <w:ilvl w:val="0"/>
                <w:numId w:val="19"/>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支持根据病例所处状态筛选病例，病例状态包括取材、制片、初诊、草稿、待打印、已打印；</w:t>
            </w:r>
          </w:p>
          <w:p w14:paraId="06260436">
            <w:pPr>
              <w:widowControl/>
              <w:numPr>
                <w:ilvl w:val="0"/>
                <w:numId w:val="19"/>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病例查询列表应支持自定义展示列；为临床医生提供多种报告查询方式（病历系统、手机等）；</w:t>
            </w:r>
          </w:p>
          <w:p w14:paraId="239D25AC">
            <w:pPr>
              <w:widowControl/>
              <w:numPr>
                <w:ilvl w:val="0"/>
                <w:numId w:val="19"/>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提供历史病例查询记录，便于快捷查询；</w:t>
            </w:r>
          </w:p>
          <w:p w14:paraId="5FA6FFAE">
            <w:pPr>
              <w:widowControl/>
              <w:numPr>
                <w:ilvl w:val="0"/>
                <w:numId w:val="19"/>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支持按照特检试剂及其结果进行查询；</w:t>
            </w:r>
          </w:p>
          <w:p w14:paraId="193722E1">
            <w:pPr>
              <w:widowControl/>
              <w:numPr>
                <w:ilvl w:val="0"/>
                <w:numId w:val="19"/>
              </w:numPr>
              <w:wordWrap w:val="0"/>
              <w:jc w:val="left"/>
              <w:textAlignment w:val="center"/>
              <w:rPr>
                <w:rStyle w:val="178"/>
                <w:rFonts w:hint="eastAsia" w:ascii="宋体" w:hAnsi="宋体" w:eastAsia="宋体" w:cs="宋体"/>
                <w:color w:val="auto"/>
                <w:sz w:val="21"/>
                <w:szCs w:val="21"/>
                <w:highlight w:val="none"/>
                <w:lang w:bidi="ar"/>
              </w:rPr>
            </w:pPr>
            <w:r>
              <w:rPr>
                <w:rStyle w:val="178"/>
                <w:rFonts w:hint="eastAsia" w:ascii="宋体" w:hAnsi="宋体" w:eastAsia="宋体" w:cs="宋体"/>
                <w:color w:val="auto"/>
                <w:sz w:val="21"/>
                <w:szCs w:val="21"/>
                <w:highlight w:val="none"/>
                <w:lang w:bidi="ar"/>
              </w:rPr>
              <w:t>支持保存一组查询条件为用户个性查询配置；</w:t>
            </w:r>
          </w:p>
          <w:p w14:paraId="596FC068">
            <w:pPr>
              <w:widowControl/>
              <w:numPr>
                <w:ilvl w:val="0"/>
                <w:numId w:val="19"/>
              </w:numPr>
              <w:wordWrap w:val="0"/>
              <w:jc w:val="left"/>
              <w:textAlignment w:val="center"/>
              <w:rPr>
                <w:rStyle w:val="179"/>
                <w:rFonts w:hint="eastAsia" w:ascii="宋体" w:hAnsi="宋体" w:eastAsia="宋体" w:cs="宋体"/>
                <w:color w:val="auto"/>
                <w:sz w:val="21"/>
                <w:szCs w:val="21"/>
                <w:highlight w:val="none"/>
                <w:lang w:bidi="ar"/>
              </w:rPr>
            </w:pPr>
            <w:r>
              <w:rPr>
                <w:rStyle w:val="179"/>
                <w:rFonts w:hint="eastAsia" w:ascii="宋体" w:hAnsi="宋体" w:eastAsia="宋体" w:cs="宋体"/>
                <w:color w:val="auto"/>
                <w:sz w:val="21"/>
                <w:szCs w:val="21"/>
                <w:highlight w:val="none"/>
                <w:lang w:bidi="ar"/>
              </w:rPr>
              <w:t>▲诊断界面支持数字切片集成，进行数字化阅片，数字切片截图可导入到诊断界面，通过网包含电脑、平板等工具的浏览；</w:t>
            </w:r>
          </w:p>
          <w:p w14:paraId="0B23A862">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Style w:val="179"/>
                <w:rFonts w:hint="eastAsia" w:ascii="宋体" w:hAnsi="宋体" w:eastAsia="宋体" w:cs="宋体"/>
                <w:color w:val="auto"/>
                <w:sz w:val="21"/>
                <w:szCs w:val="21"/>
                <w:highlight w:val="none"/>
                <w:lang w:val="en-US" w:eastAsia="zh-CN" w:bidi="ar"/>
              </w:rPr>
              <w:t>8.</w:t>
            </w:r>
            <w:r>
              <w:rPr>
                <w:rStyle w:val="179"/>
                <w:rFonts w:hint="eastAsia" w:ascii="宋体" w:hAnsi="宋体" w:eastAsia="宋体" w:cs="宋体"/>
                <w:color w:val="auto"/>
                <w:sz w:val="21"/>
                <w:szCs w:val="21"/>
                <w:highlight w:val="none"/>
                <w:lang w:bidi="ar"/>
              </w:rPr>
              <w:t>▲支持系统内对数字切片进行标注，标注工具包括但不限于线段、矩形、椭圆、旗帜等。</w:t>
            </w:r>
          </w:p>
        </w:tc>
      </w:tr>
      <w:tr w14:paraId="1178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5143A34C">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44AD4D58">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2779F51F">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1384B9C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02B1318F">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1.19病理数据可视化驾驶舱</w:t>
            </w:r>
          </w:p>
          <w:p w14:paraId="52AAA0A2">
            <w:pPr>
              <w:widowControl/>
              <w:numPr>
                <w:ilvl w:val="0"/>
                <w:numId w:val="20"/>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提供可视化的业务运行驾驶舱数据，展示登记、取材、制片、诊断等环节工作量，并提供可视化图表反应各检查项目对比情况；</w:t>
            </w:r>
          </w:p>
          <w:p w14:paraId="503FBC71">
            <w:pPr>
              <w:widowControl/>
              <w:numPr>
                <w:ilvl w:val="0"/>
                <w:numId w:val="20"/>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支持提供不同业务的数据看板，如常规、细胞等；</w:t>
            </w:r>
          </w:p>
          <w:p w14:paraId="0BEC4285">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提供多种动态可视化图表展现方式，如折线图、柱状图、饼图等。</w:t>
            </w:r>
          </w:p>
        </w:tc>
      </w:tr>
      <w:tr w14:paraId="5249B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7EEE37E3">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4F641FC">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673B8AA9">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74E14426">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51E460D1">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1.20业务连续性</w:t>
            </w:r>
          </w:p>
          <w:p w14:paraId="2D10372C">
            <w:pPr>
              <w:widowControl/>
              <w:numPr>
                <w:ilvl w:val="0"/>
                <w:numId w:val="21"/>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支持负载均衡与多机备份，当系统出现单节点故障时，系统依然可以正常运行；</w:t>
            </w:r>
          </w:p>
          <w:p w14:paraId="5E2913E5">
            <w:pPr>
              <w:widowControl/>
              <w:numPr>
                <w:ilvl w:val="0"/>
                <w:numId w:val="21"/>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支持数据自动备份，且备份策略支持全量和增量备份功能，同时可设置自动保留指定时长数据；</w:t>
            </w:r>
          </w:p>
          <w:p w14:paraId="01913833">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系统支持容器化运行，各业务模块独立运行，单个模块异常，不影响其它业务模块正常运行。</w:t>
            </w:r>
          </w:p>
        </w:tc>
      </w:tr>
      <w:tr w14:paraId="421B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09" w:type="pct"/>
            <w:vMerge w:val="continue"/>
            <w:noWrap w:val="0"/>
            <w:tcMar>
              <w:top w:w="15" w:type="dxa"/>
              <w:left w:w="15" w:type="dxa"/>
              <w:right w:w="15" w:type="dxa"/>
            </w:tcMar>
            <w:vAlign w:val="center"/>
          </w:tcPr>
          <w:p w14:paraId="2164A968">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36A82935">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018522B6">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26A1C63E">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5D3E4664">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1.21智能结构化诊断报告</w:t>
            </w:r>
          </w:p>
          <w:p w14:paraId="251B8580">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提供病理诊断的结构化模板,包含CAP、WHO、TNM分期的结构化报告模板；</w:t>
            </w:r>
          </w:p>
          <w:p w14:paraId="14E5894E">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支持诊断界面便捷切换结构化报告模板与常规通用报告模版；</w:t>
            </w:r>
          </w:p>
          <w:p w14:paraId="1B31719A">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提供包括细胞TBS、胃镜、AI辅助诊断等专用诊断模板；</w:t>
            </w:r>
          </w:p>
          <w:p w14:paraId="6C8BA4B8">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支持40余种结构化报告模板，并可在后台进行配置修改该结构化报告模板，报告模板的编写界面和预览界面应展示友好；</w:t>
            </w:r>
          </w:p>
          <w:p w14:paraId="4EAB4EBB">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支持分子病理报告模版，包括但不限于CTC、FISH、一代测序、二代测序</w:t>
            </w:r>
          </w:p>
          <w:p w14:paraId="2A4D6381">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结构化模板可实现下拉选择词库，导入当前病例的免疫组化结果</w:t>
            </w:r>
          </w:p>
          <w:p w14:paraId="6C798A29">
            <w:pPr>
              <w:widowControl/>
              <w:numPr>
                <w:ilvl w:val="0"/>
                <w:numId w:val="22"/>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支持结构化报告在诊断界面报告发放预览功能；</w:t>
            </w:r>
          </w:p>
          <w:p w14:paraId="5516825C">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支持常规组织结构化报告模板包括但不限于如下：胃肠道间质瘤、乳腺新辅、胃肿瘤、乳腺癌、食管癌、卵巢癌、肝癌、肾癌、前列腺癌、膀胱癌、肺癌、淋巴组织、小肠肿瘤、消化道ESD。</w:t>
            </w:r>
          </w:p>
        </w:tc>
      </w:tr>
      <w:tr w14:paraId="3C08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614F21C7">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6CAEE87D">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6947DB26">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329ED164">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78CE43A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1.22疑难病理读片会</w:t>
            </w:r>
          </w:p>
          <w:p w14:paraId="3AC6FC1F">
            <w:pPr>
              <w:widowControl/>
              <w:numPr>
                <w:ilvl w:val="0"/>
                <w:numId w:val="2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支持新增、编辑、删除读片会；</w:t>
            </w:r>
          </w:p>
          <w:p w14:paraId="46E63532">
            <w:pPr>
              <w:widowControl/>
              <w:numPr>
                <w:ilvl w:val="0"/>
                <w:numId w:val="23"/>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可以设置读片会的名称、会议封面、起止时间、会议地点、主持人、联系地点、联系电话等；</w:t>
            </w:r>
          </w:p>
          <w:p w14:paraId="68C22784">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可以在读片会中添加切片。</w:t>
            </w:r>
          </w:p>
        </w:tc>
      </w:tr>
      <w:tr w14:paraId="2618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09" w:type="pct"/>
            <w:vMerge w:val="continue"/>
            <w:noWrap w:val="0"/>
            <w:tcMar>
              <w:top w:w="15" w:type="dxa"/>
              <w:left w:w="15" w:type="dxa"/>
              <w:right w:w="15" w:type="dxa"/>
            </w:tcMar>
            <w:vAlign w:val="center"/>
          </w:tcPr>
          <w:p w14:paraId="6F1C0B6B">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40E0D7CB">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3B42787E">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09595E83">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2793AE50">
            <w:pPr>
              <w:widowControl/>
              <w:numPr>
                <w:ilvl w:val="0"/>
                <w:numId w:val="0"/>
              </w:numPr>
              <w:wordWrap w:val="0"/>
              <w:ind w:leftChars="0"/>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▲1.23软件接口</w:t>
            </w:r>
          </w:p>
          <w:p w14:paraId="0705441F">
            <w:pPr>
              <w:widowControl/>
              <w:wordWrap w:val="0"/>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需与梧州市临床病理诊断中心牵头单位梧州市工人医院</w:t>
            </w:r>
            <w:r>
              <w:rPr>
                <w:rFonts w:hint="eastAsia" w:ascii="宋体" w:hAnsi="宋体" w:eastAsia="宋体" w:cs="宋体"/>
                <w:b/>
                <w:bCs/>
                <w:color w:val="auto"/>
                <w:sz w:val="21"/>
                <w:szCs w:val="21"/>
                <w:highlight w:val="none"/>
              </w:rPr>
              <w:t>临床病理诊断中心</w:t>
            </w:r>
            <w:r>
              <w:rPr>
                <w:rFonts w:hint="eastAsia" w:ascii="宋体" w:hAnsi="宋体" w:eastAsia="宋体" w:cs="宋体"/>
                <w:b/>
                <w:bCs/>
                <w:color w:val="auto"/>
                <w:kern w:val="0"/>
                <w:sz w:val="21"/>
                <w:szCs w:val="21"/>
                <w:highlight w:val="none"/>
                <w:lang w:bidi="ar"/>
              </w:rPr>
              <w:t>及梧州市红十字会医院、梧州市人民医院、梧州市中医医院、岑溪市、苍梧县、藤县、蒙山县等分中心业务系统对接，包括并不限于以下接口：</w:t>
            </w:r>
          </w:p>
          <w:p w14:paraId="2A0A9603">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HIS系统双向接口：从HIS系统中提取病人基本信息或电子申请单信息；将审核过的病理报告或未发报告原因发送到HIS中，供临床查看；</w:t>
            </w:r>
          </w:p>
          <w:p w14:paraId="4D1191B6">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集成平台接口：对接集成平台，同步病理检查信息至集成平台，同时可获取平台中患者相关信息，实现病理互联互通；</w:t>
            </w:r>
          </w:p>
          <w:p w14:paraId="6D40E043">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PACS系统接口：调阅PACS系统的浏览端，让病理医生能够及时调阅影像检查信息；</w:t>
            </w:r>
          </w:p>
          <w:p w14:paraId="43D3F358">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电子病历系统接口：对接电子病历，从电子病历中调取病人完整数据，同时将PIS中的数据返回至病历；</w:t>
            </w:r>
          </w:p>
          <w:p w14:paraId="3B5BDB24">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手术麻醉系统接口：对接手术麻醉系统，病理诊断申请可由手术室直接提交，报告可直接返回至手术室；</w:t>
            </w:r>
          </w:p>
          <w:p w14:paraId="10039987">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体检系统接口：从体检系统中提取体检人员基本信息；将审核后的体检 病理报告结果发送到体检系统，供体检系统统一打印包 含病理结果的体检报告；</w:t>
            </w:r>
          </w:p>
          <w:p w14:paraId="0BF56E62">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CA电子签名接口：对接CA接口，签发报告可直接获取电子签名；</w:t>
            </w:r>
          </w:p>
          <w:p w14:paraId="66ACF6D5">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自助打印报告系统接口：与自助打印系统对接，实现病理报告自助打印；</w:t>
            </w:r>
          </w:p>
          <w:p w14:paraId="01896936">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360视图对接：查询病人临床基本信息，病理报告回传360视图，支持临床查询；</w:t>
            </w:r>
          </w:p>
          <w:p w14:paraId="75121EF4">
            <w:pPr>
              <w:widowControl/>
              <w:numPr>
                <w:ilvl w:val="0"/>
                <w:numId w:val="24"/>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与梧州市全民健康信息平台对接</w:t>
            </w:r>
            <w:r>
              <w:rPr>
                <w:rFonts w:hint="eastAsia" w:ascii="宋体" w:hAnsi="宋体" w:eastAsia="宋体" w:cs="宋体"/>
                <w:color w:val="auto"/>
                <w:kern w:val="0"/>
                <w:sz w:val="21"/>
                <w:szCs w:val="21"/>
                <w:highlight w:val="none"/>
                <w:lang w:eastAsia="zh-CN" w:bidi="ar"/>
              </w:rPr>
              <w:t>；</w:t>
            </w:r>
          </w:p>
          <w:p w14:paraId="5BA08AF4">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bidi="ar"/>
              </w:rPr>
              <w:t>软件接口遵循现有统一数据标准，接口标准规范。</w:t>
            </w:r>
          </w:p>
        </w:tc>
      </w:tr>
      <w:tr w14:paraId="167A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309" w:type="pct"/>
            <w:vMerge w:val="continue"/>
            <w:noWrap w:val="0"/>
            <w:tcMar>
              <w:top w:w="15" w:type="dxa"/>
              <w:left w:w="15" w:type="dxa"/>
              <w:right w:w="15" w:type="dxa"/>
            </w:tcMar>
            <w:vAlign w:val="center"/>
          </w:tcPr>
          <w:p w14:paraId="5F4C3361">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E14971C">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58EDBCD5">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2370C66C">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624D7708">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1.24硬件接口</w:t>
            </w:r>
          </w:p>
          <w:p w14:paraId="78B4FA8A">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包埋盒打号机接口：对接包埋盒打号机，可通过系统发起包埋盒打号；</w:t>
            </w:r>
          </w:p>
          <w:p w14:paraId="68A803CC">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玻片打号机接口：对接玻片打号机，可通过系统发起玻片打号；</w:t>
            </w:r>
          </w:p>
          <w:p w14:paraId="1EC9B96A">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高拍仪接口：对接高拍仪，可将获取图像传入系统；</w:t>
            </w:r>
          </w:p>
          <w:p w14:paraId="4EDD8A62">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大体拍摄系统对接：对接大体拍摄，可在系统中操作设备进行录像、拍照，并查看实时图像；</w:t>
            </w:r>
          </w:p>
          <w:p w14:paraId="1FF3DF59">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显微镜摄像头接口：显微镜摄像头设备对接，方便进行诊断采图；</w:t>
            </w:r>
          </w:p>
          <w:p w14:paraId="3BBACE00">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免疫组化制片设备接口：可对接免疫组化制片设备，发起条码打印；</w:t>
            </w:r>
          </w:p>
          <w:p w14:paraId="723CC053">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HPV检测设备接口：可对接HPV检测设备，获取检测结果；</w:t>
            </w:r>
          </w:p>
          <w:p w14:paraId="1E536E12">
            <w:pPr>
              <w:widowControl/>
              <w:numPr>
                <w:ilvl w:val="0"/>
                <w:numId w:val="25"/>
              </w:numPr>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分子检测设备接口：对接分子病理管理系统，或调取分子病理检测结果，能够实现分子检测结果的互联互通；</w:t>
            </w:r>
          </w:p>
          <w:p w14:paraId="58A0B6F6">
            <w:pPr>
              <w:widowControl/>
              <w:numPr>
                <w:ilvl w:val="0"/>
                <w:numId w:val="25"/>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▲免费对接梧州市临床病理诊断中心牵头单位梧州市工人医院</w:t>
            </w:r>
            <w:r>
              <w:rPr>
                <w:rFonts w:hint="eastAsia" w:ascii="宋体" w:hAnsi="宋体" w:eastAsia="宋体" w:cs="宋体"/>
                <w:color w:val="auto"/>
                <w:sz w:val="21"/>
                <w:szCs w:val="21"/>
                <w:highlight w:val="none"/>
              </w:rPr>
              <w:t>临床病理诊断中心</w:t>
            </w:r>
            <w:r>
              <w:rPr>
                <w:rFonts w:hint="eastAsia" w:ascii="宋体" w:hAnsi="宋体" w:eastAsia="宋体" w:cs="宋体"/>
                <w:color w:val="auto"/>
                <w:kern w:val="0"/>
                <w:sz w:val="21"/>
                <w:szCs w:val="21"/>
                <w:highlight w:val="none"/>
                <w:lang w:bidi="ar"/>
              </w:rPr>
              <w:t>和梧州市红十字会医院、梧州市人民医院、梧州市中医医院、岑溪市、苍梧县、藤县、蒙山县等分中心的现有的设备及系统验收前新增的设备；</w:t>
            </w:r>
          </w:p>
          <w:p w14:paraId="5902047A">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硬件接口遵循现有统一数据标准，接口标准规范。</w:t>
            </w:r>
          </w:p>
        </w:tc>
      </w:tr>
      <w:tr w14:paraId="02AC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309" w:type="pct"/>
            <w:vMerge w:val="continue"/>
            <w:noWrap w:val="0"/>
            <w:tcMar>
              <w:top w:w="15" w:type="dxa"/>
              <w:left w:w="15" w:type="dxa"/>
              <w:right w:w="15" w:type="dxa"/>
            </w:tcMar>
            <w:vAlign w:val="center"/>
          </w:tcPr>
          <w:p w14:paraId="586BF492">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3F756FA">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01959DEF">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3DCD7FFE">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1C7A405F">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1.25操作系统</w:t>
            </w:r>
          </w:p>
          <w:p w14:paraId="57333DEB">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提供系统部署所需的符合信创要求的自主可控操作系统。</w:t>
            </w:r>
          </w:p>
        </w:tc>
      </w:tr>
      <w:tr w14:paraId="5424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09" w:type="pct"/>
            <w:vMerge w:val="continue"/>
            <w:noWrap w:val="0"/>
            <w:tcMar>
              <w:top w:w="15" w:type="dxa"/>
              <w:left w:w="15" w:type="dxa"/>
              <w:right w:w="15" w:type="dxa"/>
            </w:tcMar>
            <w:vAlign w:val="center"/>
          </w:tcPr>
          <w:p w14:paraId="1BEE2C7A">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09652D05">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55875B4E">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240EBC5A">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6588D311">
            <w:pPr>
              <w:widowControl/>
              <w:numPr>
                <w:ilvl w:val="0"/>
                <w:numId w:val="0"/>
              </w:numPr>
              <w:wordWrap w:val="0"/>
              <w:ind w:leftChars="0"/>
              <w:jc w:val="left"/>
              <w:textAlignment w:val="center"/>
              <w:rPr>
                <w:rFonts w:hint="eastAsia" w:ascii="宋体" w:hAnsi="宋体" w:eastAsia="宋体" w:cs="宋体"/>
                <w:b/>
                <w:bCs/>
                <w:color w:val="auto"/>
                <w:kern w:val="0"/>
                <w:sz w:val="21"/>
                <w:szCs w:val="21"/>
                <w:highlight w:val="none"/>
                <w:lang w:bidi="ar"/>
              </w:rPr>
            </w:pPr>
            <w:bookmarkStart w:id="16" w:name="OLE_LINK1"/>
            <w:r>
              <w:rPr>
                <w:rFonts w:hint="eastAsia" w:ascii="宋体" w:hAnsi="宋体" w:eastAsia="宋体" w:cs="宋体"/>
                <w:b/>
                <w:bCs/>
                <w:color w:val="auto"/>
                <w:kern w:val="0"/>
                <w:sz w:val="21"/>
                <w:szCs w:val="21"/>
                <w:highlight w:val="none"/>
                <w:lang w:bidi="ar"/>
              </w:rPr>
              <w:t>1.26</w:t>
            </w:r>
            <w:bookmarkEnd w:id="16"/>
            <w:r>
              <w:rPr>
                <w:rFonts w:hint="eastAsia" w:ascii="宋体" w:hAnsi="宋体" w:eastAsia="宋体" w:cs="宋体"/>
                <w:b/>
                <w:bCs/>
                <w:color w:val="auto"/>
                <w:kern w:val="0"/>
                <w:sz w:val="21"/>
                <w:szCs w:val="21"/>
                <w:highlight w:val="none"/>
                <w:lang w:bidi="ar"/>
              </w:rPr>
              <w:t>数据库软件</w:t>
            </w:r>
          </w:p>
          <w:p w14:paraId="4CBD7D4D">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提供系统部署所需的符合信创要求的数据库软件。</w:t>
            </w:r>
          </w:p>
        </w:tc>
      </w:tr>
      <w:tr w14:paraId="1917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09" w:type="pct"/>
            <w:vMerge w:val="continue"/>
            <w:noWrap w:val="0"/>
            <w:tcMar>
              <w:top w:w="15" w:type="dxa"/>
              <w:left w:w="15" w:type="dxa"/>
              <w:right w:w="15" w:type="dxa"/>
            </w:tcMar>
            <w:vAlign w:val="center"/>
          </w:tcPr>
          <w:p w14:paraId="20F2220D">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3DE6287A">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p>
        </w:tc>
        <w:tc>
          <w:tcPr>
            <w:tcW w:w="362" w:type="pct"/>
            <w:vMerge w:val="continue"/>
            <w:noWrap w:val="0"/>
            <w:tcMar>
              <w:top w:w="15" w:type="dxa"/>
              <w:left w:w="15" w:type="dxa"/>
              <w:right w:w="15" w:type="dxa"/>
            </w:tcMar>
            <w:vAlign w:val="center"/>
          </w:tcPr>
          <w:p w14:paraId="18479C33">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270" w:type="pct"/>
            <w:vMerge w:val="continue"/>
            <w:noWrap w:val="0"/>
            <w:tcMar>
              <w:top w:w="15" w:type="dxa"/>
              <w:left w:w="15" w:type="dxa"/>
              <w:right w:w="15" w:type="dxa"/>
            </w:tcMar>
            <w:vAlign w:val="center"/>
          </w:tcPr>
          <w:p w14:paraId="50F4EA80">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02FDFCE8">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1.27中间件</w:t>
            </w:r>
          </w:p>
          <w:p w14:paraId="0EFF4B48">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提供系统部署所需的符合信创要求的中间件。</w:t>
            </w:r>
          </w:p>
        </w:tc>
      </w:tr>
      <w:tr w14:paraId="55A92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309" w:type="pct"/>
            <w:vMerge w:val="restart"/>
            <w:noWrap w:val="0"/>
            <w:tcMar>
              <w:top w:w="15" w:type="dxa"/>
              <w:left w:w="15" w:type="dxa"/>
              <w:right w:w="15" w:type="dxa"/>
            </w:tcMar>
            <w:vAlign w:val="center"/>
          </w:tcPr>
          <w:p w14:paraId="43E01344">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w:t>
            </w:r>
          </w:p>
        </w:tc>
        <w:tc>
          <w:tcPr>
            <w:tcW w:w="498" w:type="pct"/>
            <w:vMerge w:val="restart"/>
            <w:noWrap w:val="0"/>
            <w:tcMar>
              <w:top w:w="15" w:type="dxa"/>
              <w:left w:w="15" w:type="dxa"/>
              <w:right w:w="15" w:type="dxa"/>
            </w:tcMar>
            <w:vAlign w:val="center"/>
          </w:tcPr>
          <w:p w14:paraId="284A5302">
            <w:pPr>
              <w:widowControl/>
              <w:spacing w:line="32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疑难病理远程会诊系统</w:t>
            </w:r>
          </w:p>
        </w:tc>
        <w:tc>
          <w:tcPr>
            <w:tcW w:w="362" w:type="pct"/>
            <w:vMerge w:val="restart"/>
            <w:noWrap w:val="0"/>
            <w:tcMar>
              <w:top w:w="15" w:type="dxa"/>
              <w:left w:w="15" w:type="dxa"/>
              <w:right w:w="15" w:type="dxa"/>
            </w:tcMar>
            <w:vAlign w:val="center"/>
          </w:tcPr>
          <w:p w14:paraId="669A36A6">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p>
        </w:tc>
        <w:tc>
          <w:tcPr>
            <w:tcW w:w="270" w:type="pct"/>
            <w:vMerge w:val="restart"/>
            <w:noWrap w:val="0"/>
            <w:tcMar>
              <w:top w:w="15" w:type="dxa"/>
              <w:left w:w="15" w:type="dxa"/>
              <w:right w:w="15" w:type="dxa"/>
            </w:tcMar>
            <w:vAlign w:val="center"/>
          </w:tcPr>
          <w:p w14:paraId="315D6B97">
            <w:pPr>
              <w:widowControl/>
              <w:numPr>
                <w:ilvl w:val="0"/>
                <w:numId w:val="0"/>
              </w:numPr>
              <w:wordWrap w:val="0"/>
              <w:ind w:left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3559" w:type="pct"/>
            <w:noWrap w:val="0"/>
            <w:tcMar>
              <w:top w:w="15" w:type="dxa"/>
              <w:left w:w="15" w:type="dxa"/>
              <w:right w:w="15" w:type="dxa"/>
            </w:tcMar>
            <w:vAlign w:val="center"/>
          </w:tcPr>
          <w:p w14:paraId="7620BD1F">
            <w:pPr>
              <w:widowControl/>
              <w:numPr>
                <w:ilvl w:val="0"/>
                <w:numId w:val="0"/>
              </w:numPr>
              <w:wordWrap w:val="0"/>
              <w:ind w:leftChars="0"/>
              <w:jc w:val="left"/>
              <w:textAlignment w:val="center"/>
              <w:rPr>
                <w:rFonts w:hint="eastAsia" w:ascii="宋体" w:hAnsi="宋体" w:eastAsia="宋体" w:cs="宋体"/>
                <w:color w:val="auto"/>
                <w:sz w:val="21"/>
                <w:szCs w:val="21"/>
                <w:highlight w:val="none"/>
              </w:rPr>
            </w:pPr>
            <w:bookmarkStart w:id="17" w:name="OLE_LINK4"/>
            <w:r>
              <w:rPr>
                <w:rFonts w:hint="eastAsia" w:ascii="宋体" w:hAnsi="宋体" w:eastAsia="宋体" w:cs="宋体"/>
                <w:b/>
                <w:bCs/>
                <w:color w:val="auto"/>
                <w:sz w:val="21"/>
                <w:szCs w:val="21"/>
                <w:highlight w:val="none"/>
                <w:lang w:val="en-US" w:eastAsia="zh-CN"/>
              </w:rPr>
              <w:t>本系统旨在建设完善的病理分级诊疗网络，形成以梧州市工人医院为中心，覆盖到每一家分中心内医疗机构的病理科。系统主要包含申请端、专家端、管理端三个功能模块</w:t>
            </w:r>
            <w:bookmarkEnd w:id="17"/>
            <w:r>
              <w:rPr>
                <w:rFonts w:hint="eastAsia" w:ascii="宋体" w:hAnsi="宋体" w:eastAsia="宋体" w:cs="宋体"/>
                <w:b/>
                <w:bCs/>
                <w:color w:val="auto"/>
                <w:sz w:val="21"/>
                <w:szCs w:val="21"/>
                <w:highlight w:val="none"/>
                <w:lang w:val="en-US" w:eastAsia="zh-CN"/>
              </w:rPr>
              <w:t>。</w:t>
            </w:r>
          </w:p>
        </w:tc>
      </w:tr>
      <w:tr w14:paraId="00A3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309" w:type="pct"/>
            <w:vMerge w:val="continue"/>
            <w:noWrap w:val="0"/>
            <w:tcMar>
              <w:top w:w="15" w:type="dxa"/>
              <w:left w:w="15" w:type="dxa"/>
              <w:right w:w="15" w:type="dxa"/>
            </w:tcMar>
            <w:vAlign w:val="center"/>
          </w:tcPr>
          <w:p w14:paraId="062A9629">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5F4E1C21">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62" w:type="pct"/>
            <w:vMerge w:val="continue"/>
            <w:noWrap w:val="0"/>
            <w:tcMar>
              <w:top w:w="15" w:type="dxa"/>
              <w:left w:w="15" w:type="dxa"/>
              <w:right w:w="15" w:type="dxa"/>
            </w:tcMar>
            <w:vAlign w:val="center"/>
          </w:tcPr>
          <w:p w14:paraId="289E4A9E">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270" w:type="pct"/>
            <w:vMerge w:val="continue"/>
            <w:noWrap w:val="0"/>
            <w:tcMar>
              <w:top w:w="15" w:type="dxa"/>
              <w:left w:w="15" w:type="dxa"/>
              <w:right w:w="15" w:type="dxa"/>
            </w:tcMar>
            <w:vAlign w:val="center"/>
          </w:tcPr>
          <w:p w14:paraId="0DACE3F9">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0959B687">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2.1申请端</w:t>
            </w:r>
          </w:p>
          <w:p w14:paraId="7316CB8E">
            <w:pPr>
              <w:widowControl/>
              <w:numPr>
                <w:ilvl w:val="0"/>
                <w:numId w:val="2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申请端可上传完整病人资料：病人基本信息、临床病史、数字切片、检验报告单、影像图像、大体照片；系统可对接各分中心病理科信息系统，自动调取病理号对应的病人完整资料；可根据病理号快速筛选出对应的数字切片，提高操作效率，避免切片选择错误造成误诊；</w:t>
            </w:r>
          </w:p>
          <w:p w14:paraId="733AE97C">
            <w:pPr>
              <w:widowControl/>
              <w:numPr>
                <w:ilvl w:val="0"/>
                <w:numId w:val="2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申请提交的资料中数字病理切片、影像图像的文件较大，配置专用的断点续传功能，保证数据的稳定传输；</w:t>
            </w:r>
          </w:p>
          <w:p w14:paraId="65905410">
            <w:pPr>
              <w:widowControl/>
              <w:numPr>
                <w:ilvl w:val="0"/>
                <w:numId w:val="26"/>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申请端可选择会诊专家或直接由会诊中心分配专家会诊，可查看专家的简介、擅长领域、联系方式。</w:t>
            </w:r>
          </w:p>
          <w:p w14:paraId="2FFF9AAE">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▲支持扫描后的数字切片的云平台服务，支持自行注册账号，实现数字病理切片及其他数据上传，并以网页或二维码方式分享切片、病例等。</w:t>
            </w:r>
          </w:p>
        </w:tc>
      </w:tr>
      <w:tr w14:paraId="5B563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309" w:type="pct"/>
            <w:vMerge w:val="continue"/>
            <w:noWrap w:val="0"/>
            <w:tcMar>
              <w:top w:w="15" w:type="dxa"/>
              <w:left w:w="15" w:type="dxa"/>
              <w:right w:w="15" w:type="dxa"/>
            </w:tcMar>
            <w:vAlign w:val="center"/>
          </w:tcPr>
          <w:p w14:paraId="69580897">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584A3E50">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62" w:type="pct"/>
            <w:vMerge w:val="continue"/>
            <w:noWrap w:val="0"/>
            <w:tcMar>
              <w:top w:w="15" w:type="dxa"/>
              <w:left w:w="15" w:type="dxa"/>
              <w:right w:w="15" w:type="dxa"/>
            </w:tcMar>
            <w:vAlign w:val="center"/>
          </w:tcPr>
          <w:p w14:paraId="57EC5E74">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270" w:type="pct"/>
            <w:vMerge w:val="continue"/>
            <w:noWrap w:val="0"/>
            <w:tcMar>
              <w:top w:w="15" w:type="dxa"/>
              <w:left w:w="15" w:type="dxa"/>
              <w:right w:w="15" w:type="dxa"/>
            </w:tcMar>
            <w:vAlign w:val="center"/>
          </w:tcPr>
          <w:p w14:paraId="24C4119B">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30C2E196">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2.2专家端</w:t>
            </w:r>
          </w:p>
          <w:p w14:paraId="3A00C5EF">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专家诊断过程中可调用诊断模板，直接调取模板并做相应修改，减少医生的报告录入时间；诊断模板分为公有与私有，私有模板为专家在自己账户内定制修改，以适合自己的诊断习惯；对于系统性诊断的大标本，可调用结构化诊断模板；</w:t>
            </w:r>
          </w:p>
          <w:p w14:paraId="5931328F">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实现多级审核，初级医生可提交给高级专家审核，复审专家需在报告上签署姓名；也可邀请专家咨询诊断意见，被邀请专家仅提供诊断意见，不在报告上签署电子签名；</w:t>
            </w:r>
          </w:p>
          <w:p w14:paraId="04A4A394">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可转诊至同级别区域会诊中心，由其他专家出具最终报告；也可转诊至更高级别的国内会诊平台；</w:t>
            </w:r>
          </w:p>
          <w:p w14:paraId="438CC881">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具有免疫组化和分子的开单系统，专家可快速选择套餐发布给各分中心，套餐内容可自定义修改；开单完成后，申请各分中心可在申请端查看医嘱；</w:t>
            </w:r>
          </w:p>
          <w:p w14:paraId="700C70DA">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专家可对每一个上传的病例进行切片制片评价和诊断符合度评价；对不满足诊断要求的病例，可直接退回申请端；</w:t>
            </w:r>
          </w:p>
          <w:p w14:paraId="785B0C5E">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专家端可实时呼叫各分中心端进行音视频会诊交流，音视频功能支持在系统内直接运行，非弹出插件或安装程序；</w:t>
            </w:r>
          </w:p>
          <w:p w14:paraId="42D2102F">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专家端可将浏览操作同步至各分中心端，同步浏览数字切片，达到多头显微镜共揽的效果，提高沟通效率，并兼具教学功能；</w:t>
            </w:r>
          </w:p>
          <w:p w14:paraId="7FA31D38">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有移动端系统的APP，支持微信小程序直接诊断，非手机网页浏览；能通过手机APP进行病例的分配、转诊、退回、查询报告、专家诊断等操作；</w:t>
            </w:r>
          </w:p>
          <w:p w14:paraId="39A7DC71">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冰冻报告实现两位专家异地同时签名，随机的安排两位专家（非预约）可同时进行会诊，异地同步签名并出具报告；</w:t>
            </w:r>
          </w:p>
          <w:p w14:paraId="4E71AC8F">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病人信息、数字切片、诊断书写均可在同一界面完成，不需要跳转页面；</w:t>
            </w:r>
          </w:p>
          <w:p w14:paraId="12E64AAA">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在会诊系统内多张切片可同时同步进行对比浏览，最多可打开10张；</w:t>
            </w:r>
          </w:p>
          <w:p w14:paraId="722C1F1D">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支持直接打开DICOM文件进行影像文件浏览；</w:t>
            </w:r>
          </w:p>
          <w:p w14:paraId="70C9D669">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设置管理专家权限，可对所有平台会诊的诊断符合度进行评价；</w:t>
            </w:r>
          </w:p>
          <w:p w14:paraId="1D7209E4">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实现远程冰冻快速会诊，从病理科制片完成后，扫描切片到专家出具正式报告，时间不超过15分钟；</w:t>
            </w:r>
          </w:p>
          <w:p w14:paraId="23DE21B7">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术中冰冻会诊采用预约机制，预约时可输入病人资料、联系方式、申请单附件；</w:t>
            </w:r>
          </w:p>
          <w:p w14:paraId="2EDBF042">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会诊提交后，专家可马上浏览还未完全上传的图像数据，不需等待所有数据完全上传；</w:t>
            </w:r>
          </w:p>
          <w:p w14:paraId="569C972C">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冰冻报告需两位专家同时签名，专家不必在同一台电脑浏览，可异地会诊后，异地签署电子签名；</w:t>
            </w:r>
          </w:p>
          <w:p w14:paraId="5B95B6A3">
            <w:pPr>
              <w:widowControl/>
              <w:numPr>
                <w:ilvl w:val="0"/>
                <w:numId w:val="27"/>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包含音视频功能，非外接独立软件，专家和各分中心可实现音视频实时交流；</w:t>
            </w:r>
          </w:p>
          <w:p w14:paraId="000AF1D4">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19</w:t>
            </w:r>
            <w:r>
              <w:rPr>
                <w:rFonts w:hint="eastAsia" w:ascii="宋体" w:hAnsi="宋体" w:eastAsia="宋体" w:cs="宋体"/>
                <w:color w:val="auto"/>
                <w:kern w:val="0"/>
                <w:sz w:val="21"/>
                <w:szCs w:val="21"/>
                <w:highlight w:val="none"/>
                <w:lang w:bidi="ar"/>
              </w:rPr>
              <w:t>设置质控专家权限，可对所有平台会诊的诊断符合度进行评价。支持对所有诊断结论进行统计分析，可根据诊断标准度、结论确切性对报告质量进行智能评分，对于报告质量进行统计。支持对会诊及时率、会诊工作量进行统计。</w:t>
            </w:r>
          </w:p>
        </w:tc>
      </w:tr>
      <w:tr w14:paraId="45F1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309" w:type="pct"/>
            <w:vMerge w:val="continue"/>
            <w:noWrap w:val="0"/>
            <w:tcMar>
              <w:top w:w="15" w:type="dxa"/>
              <w:left w:w="15" w:type="dxa"/>
              <w:right w:w="15" w:type="dxa"/>
            </w:tcMar>
            <w:vAlign w:val="center"/>
          </w:tcPr>
          <w:p w14:paraId="52B1673F">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976D9AC">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62" w:type="pct"/>
            <w:vMerge w:val="continue"/>
            <w:noWrap w:val="0"/>
            <w:tcMar>
              <w:top w:w="15" w:type="dxa"/>
              <w:left w:w="15" w:type="dxa"/>
              <w:right w:w="15" w:type="dxa"/>
            </w:tcMar>
            <w:vAlign w:val="center"/>
          </w:tcPr>
          <w:p w14:paraId="009B3C8A">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270" w:type="pct"/>
            <w:vMerge w:val="continue"/>
            <w:noWrap w:val="0"/>
            <w:tcMar>
              <w:top w:w="15" w:type="dxa"/>
              <w:left w:w="15" w:type="dxa"/>
              <w:right w:w="15" w:type="dxa"/>
            </w:tcMar>
            <w:vAlign w:val="center"/>
          </w:tcPr>
          <w:p w14:paraId="5C18AF8B">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21E09826">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2.3管理端</w:t>
            </w:r>
          </w:p>
          <w:p w14:paraId="30C9ED30">
            <w:pPr>
              <w:widowControl/>
              <w:numPr>
                <w:ilvl w:val="0"/>
                <w:numId w:val="2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病理数据中心可对所辖各级医疗机构病例数据进行查询与统计。可按照筛选条件进行查询，如：病理医生、会诊申请机构、诊断时间段、所属亚专科、会诊类别等进行详细的统计，通过表格与图表两种方式汇总展示并打印报表；</w:t>
            </w:r>
          </w:p>
          <w:p w14:paraId="110FF08B">
            <w:pPr>
              <w:widowControl/>
              <w:numPr>
                <w:ilvl w:val="0"/>
                <w:numId w:val="2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数据存储支持DICOM、TIFF标准格式，也兼容目前国内主流的病理扫描设备扫描的图像文件，包括但不限于以下品牌：滨松、3DHISTECH、莱卡、江丰、优纳、帝麦克斯、麦克奥迪、蔡司；</w:t>
            </w:r>
          </w:p>
          <w:p w14:paraId="2DA77C1B">
            <w:pPr>
              <w:widowControl/>
              <w:numPr>
                <w:ilvl w:val="0"/>
                <w:numId w:val="2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有移动端系统的APP，支持微信小程序直接诊断，非手机网页浏览。能通过手机APP进行病例的分配、转诊、退回、查询报告、专家诊断等；</w:t>
            </w:r>
          </w:p>
          <w:p w14:paraId="0F8EB6CB">
            <w:pPr>
              <w:widowControl/>
              <w:numPr>
                <w:ilvl w:val="0"/>
                <w:numId w:val="2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后台可统计会诊专家的会诊量，可查看各地区病理会诊收费标准；</w:t>
            </w:r>
          </w:p>
          <w:p w14:paraId="44FB84C4">
            <w:pPr>
              <w:widowControl/>
              <w:numPr>
                <w:ilvl w:val="0"/>
                <w:numId w:val="28"/>
              </w:numPr>
              <w:wordWrap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热更新，无缝升级：在系统工作状态下可同时升级，不影响系统使用；</w:t>
            </w:r>
          </w:p>
          <w:p w14:paraId="5C401F9B">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系统支持与病理信息系统无缝对接集成，支持在信息系统“诊断页面”一键发起远程会诊，可快速在诊断页面选择会诊平台与会诊专家，无需跳转页面。且支持在会诊平台发起会诊申请，可在病理系统内查看到申请病例并进行诊断，诊断结果可回传到远程会诊平台。</w:t>
            </w:r>
          </w:p>
        </w:tc>
      </w:tr>
      <w:tr w14:paraId="056B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309" w:type="pct"/>
            <w:vMerge w:val="continue"/>
            <w:noWrap w:val="0"/>
            <w:tcMar>
              <w:top w:w="15" w:type="dxa"/>
              <w:left w:w="15" w:type="dxa"/>
              <w:right w:w="15" w:type="dxa"/>
            </w:tcMar>
            <w:vAlign w:val="center"/>
          </w:tcPr>
          <w:p w14:paraId="0549A784">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1ED0DA4B">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62" w:type="pct"/>
            <w:vMerge w:val="continue"/>
            <w:noWrap w:val="0"/>
            <w:tcMar>
              <w:top w:w="15" w:type="dxa"/>
              <w:left w:w="15" w:type="dxa"/>
              <w:right w:w="15" w:type="dxa"/>
            </w:tcMar>
            <w:vAlign w:val="center"/>
          </w:tcPr>
          <w:p w14:paraId="400FA4ED">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270" w:type="pct"/>
            <w:vMerge w:val="continue"/>
            <w:noWrap w:val="0"/>
            <w:tcMar>
              <w:top w:w="15" w:type="dxa"/>
              <w:left w:w="15" w:type="dxa"/>
              <w:right w:w="15" w:type="dxa"/>
            </w:tcMar>
            <w:vAlign w:val="center"/>
          </w:tcPr>
          <w:p w14:paraId="21AA06C2">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566C9CAF">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2.4操作系统</w:t>
            </w:r>
          </w:p>
          <w:p w14:paraId="71192F54">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提供系统部署所需的符合信创要求的自主可控操作系统。</w:t>
            </w:r>
          </w:p>
        </w:tc>
      </w:tr>
      <w:tr w14:paraId="2C07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09" w:type="pct"/>
            <w:vMerge w:val="continue"/>
            <w:noWrap w:val="0"/>
            <w:tcMar>
              <w:top w:w="15" w:type="dxa"/>
              <w:left w:w="15" w:type="dxa"/>
              <w:right w:w="15" w:type="dxa"/>
            </w:tcMar>
            <w:vAlign w:val="center"/>
          </w:tcPr>
          <w:p w14:paraId="1FF40672">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27FA6F4B">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62" w:type="pct"/>
            <w:vMerge w:val="continue"/>
            <w:noWrap w:val="0"/>
            <w:tcMar>
              <w:top w:w="15" w:type="dxa"/>
              <w:left w:w="15" w:type="dxa"/>
              <w:right w:w="15" w:type="dxa"/>
            </w:tcMar>
            <w:vAlign w:val="center"/>
          </w:tcPr>
          <w:p w14:paraId="0076EF67">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270" w:type="pct"/>
            <w:vMerge w:val="continue"/>
            <w:noWrap w:val="0"/>
            <w:tcMar>
              <w:top w:w="15" w:type="dxa"/>
              <w:left w:w="15" w:type="dxa"/>
              <w:right w:w="15" w:type="dxa"/>
            </w:tcMar>
            <w:vAlign w:val="center"/>
          </w:tcPr>
          <w:p w14:paraId="4AF5D544">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7380BE87">
            <w:pPr>
              <w:widowControl/>
              <w:numPr>
                <w:ilvl w:val="0"/>
                <w:numId w:val="0"/>
              </w:numPr>
              <w:wordWrap w:val="0"/>
              <w:ind w:leftChars="0"/>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2.5</w:t>
            </w:r>
            <w:r>
              <w:rPr>
                <w:rFonts w:hint="eastAsia" w:ascii="宋体" w:hAnsi="宋体" w:eastAsia="宋体" w:cs="宋体"/>
                <w:b/>
                <w:bCs/>
                <w:color w:val="auto"/>
                <w:kern w:val="0"/>
                <w:sz w:val="21"/>
                <w:szCs w:val="21"/>
                <w:highlight w:val="none"/>
                <w:lang w:bidi="ar"/>
              </w:rPr>
              <w:t>数据库软件</w:t>
            </w:r>
          </w:p>
          <w:p w14:paraId="4B2C152B">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提供系统部署所需的符合信创要求的数据库软件。</w:t>
            </w:r>
          </w:p>
        </w:tc>
      </w:tr>
      <w:tr w14:paraId="26949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309" w:type="pct"/>
            <w:vMerge w:val="continue"/>
            <w:noWrap w:val="0"/>
            <w:tcMar>
              <w:top w:w="15" w:type="dxa"/>
              <w:left w:w="15" w:type="dxa"/>
              <w:right w:w="15" w:type="dxa"/>
            </w:tcMar>
            <w:vAlign w:val="center"/>
          </w:tcPr>
          <w:p w14:paraId="169D9665">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498" w:type="pct"/>
            <w:vMerge w:val="continue"/>
            <w:noWrap w:val="0"/>
            <w:tcMar>
              <w:top w:w="15" w:type="dxa"/>
              <w:left w:w="15" w:type="dxa"/>
              <w:right w:w="15" w:type="dxa"/>
            </w:tcMar>
            <w:vAlign w:val="center"/>
          </w:tcPr>
          <w:p w14:paraId="3EEB56AF">
            <w:pPr>
              <w:widowControl/>
              <w:spacing w:line="320" w:lineRule="exact"/>
              <w:jc w:val="center"/>
              <w:textAlignment w:val="center"/>
              <w:rPr>
                <w:rFonts w:hint="eastAsia" w:ascii="宋体" w:hAnsi="宋体" w:eastAsia="宋体" w:cs="宋体"/>
                <w:b/>
                <w:bCs/>
                <w:color w:val="auto"/>
                <w:kern w:val="0"/>
                <w:sz w:val="21"/>
                <w:szCs w:val="21"/>
                <w:highlight w:val="none"/>
                <w:lang w:bidi="ar"/>
              </w:rPr>
            </w:pPr>
          </w:p>
        </w:tc>
        <w:tc>
          <w:tcPr>
            <w:tcW w:w="362" w:type="pct"/>
            <w:vMerge w:val="continue"/>
            <w:noWrap w:val="0"/>
            <w:tcMar>
              <w:top w:w="15" w:type="dxa"/>
              <w:left w:w="15" w:type="dxa"/>
              <w:right w:w="15" w:type="dxa"/>
            </w:tcMar>
            <w:vAlign w:val="center"/>
          </w:tcPr>
          <w:p w14:paraId="04FF2EA9">
            <w:pPr>
              <w:widowControl/>
              <w:spacing w:line="320" w:lineRule="exact"/>
              <w:jc w:val="center"/>
              <w:textAlignment w:val="center"/>
              <w:rPr>
                <w:rFonts w:hint="eastAsia" w:ascii="宋体" w:hAnsi="宋体" w:eastAsia="宋体" w:cs="宋体"/>
                <w:b/>
                <w:bCs/>
                <w:color w:val="auto"/>
                <w:kern w:val="0"/>
                <w:sz w:val="21"/>
                <w:szCs w:val="21"/>
                <w:highlight w:val="none"/>
                <w:lang w:val="en-US" w:eastAsia="zh-CN" w:bidi="ar"/>
              </w:rPr>
            </w:pPr>
          </w:p>
        </w:tc>
        <w:tc>
          <w:tcPr>
            <w:tcW w:w="270" w:type="pct"/>
            <w:vMerge w:val="continue"/>
            <w:noWrap w:val="0"/>
            <w:tcMar>
              <w:top w:w="15" w:type="dxa"/>
              <w:left w:w="15" w:type="dxa"/>
              <w:right w:w="15" w:type="dxa"/>
            </w:tcMar>
            <w:vAlign w:val="center"/>
          </w:tcPr>
          <w:p w14:paraId="29CE753C">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p>
        </w:tc>
        <w:tc>
          <w:tcPr>
            <w:tcW w:w="3559" w:type="pct"/>
            <w:noWrap w:val="0"/>
            <w:tcMar>
              <w:top w:w="15" w:type="dxa"/>
              <w:left w:w="15" w:type="dxa"/>
              <w:right w:w="15" w:type="dxa"/>
            </w:tcMar>
            <w:vAlign w:val="center"/>
          </w:tcPr>
          <w:p w14:paraId="3CCEACE0">
            <w:pPr>
              <w:widowControl/>
              <w:numPr>
                <w:ilvl w:val="0"/>
                <w:numId w:val="0"/>
              </w:numPr>
              <w:wordWrap w:val="0"/>
              <w:ind w:leftChars="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2.6中间件</w:t>
            </w:r>
          </w:p>
          <w:p w14:paraId="675541CD">
            <w:pPr>
              <w:widowControl/>
              <w:numPr>
                <w:ilvl w:val="0"/>
                <w:numId w:val="0"/>
              </w:numPr>
              <w:wordWrap w:val="0"/>
              <w:ind w:lef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提供系统部署所需的符合信创要求的中间件。</w:t>
            </w:r>
          </w:p>
        </w:tc>
      </w:tr>
    </w:tbl>
    <w:p w14:paraId="5E9E1274">
      <w:pPr>
        <w:numPr>
          <w:ilvl w:val="0"/>
          <w:numId w:val="0"/>
        </w:numPr>
        <w:spacing w:line="360" w:lineRule="auto"/>
        <w:rPr>
          <w:rFonts w:hint="eastAsia"/>
          <w:szCs w:val="21"/>
        </w:rPr>
      </w:pPr>
    </w:p>
    <w:p w14:paraId="1698C8E0">
      <w:pPr>
        <w:spacing w:line="360" w:lineRule="auto"/>
        <w:rPr>
          <w:rFonts w:ascii="黑体" w:hAnsi="黑体" w:eastAsia="黑体" w:cs="Arial"/>
          <w:b/>
          <w:kern w:val="0"/>
          <w:sz w:val="28"/>
          <w:szCs w:val="28"/>
        </w:rPr>
      </w:pPr>
      <w:r>
        <w:rPr>
          <w:szCs w:val="21"/>
        </w:rPr>
        <w:t>▲</w:t>
      </w:r>
      <w:r>
        <w:rPr>
          <w:rFonts w:hint="eastAsia" w:ascii="黑体" w:hAnsi="黑体" w:eastAsia="黑体" w:cs="Arial"/>
          <w:b/>
          <w:kern w:val="0"/>
          <w:sz w:val="28"/>
          <w:szCs w:val="28"/>
        </w:rPr>
        <w:t>三、商务要求</w:t>
      </w:r>
    </w:p>
    <w:p w14:paraId="2C42B21A">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1．报价要求</w:t>
      </w:r>
    </w:p>
    <w:p w14:paraId="474E10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报价应包括完成项目实施所需的所有费用，包含但不限于软件、运维、劳务、制作、保险、税费、人员工资、交通、食宿、加班、验收、培训、安装调试、后期维护服务、医院各信息系统对接费用、</w:t>
      </w:r>
      <w:r>
        <w:rPr>
          <w:rFonts w:hint="eastAsia" w:ascii="宋体" w:hAnsi="宋体" w:eastAsia="宋体" w:cs="宋体"/>
          <w:color w:val="auto"/>
          <w:sz w:val="21"/>
          <w:szCs w:val="21"/>
          <w:highlight w:val="none"/>
          <w:lang w:eastAsia="zh-CN"/>
        </w:rPr>
        <w:t>设备对接费用、</w:t>
      </w:r>
      <w:r>
        <w:rPr>
          <w:rFonts w:hint="eastAsia" w:ascii="宋体" w:hAnsi="宋体" w:eastAsia="宋体" w:cs="宋体"/>
          <w:color w:val="auto"/>
          <w:sz w:val="21"/>
          <w:szCs w:val="21"/>
          <w:highlight w:val="none"/>
        </w:rPr>
        <w:t>政策性文件规定及合同包含的所有风险、责任等各项应有费用。在合同实施时，采购人将不予支付成交供应商没有列入的项目费用，并认为此项目的费用已包括在响应总报价中。</w:t>
      </w:r>
    </w:p>
    <w:p w14:paraId="1ED306F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2.合同签订日期</w:t>
      </w:r>
    </w:p>
    <w:p w14:paraId="6935FA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成交通知书发出后15日内，凭成交通知书与采购人签订政府采购合同</w:t>
      </w:r>
      <w:r>
        <w:rPr>
          <w:rFonts w:hint="eastAsia" w:ascii="宋体" w:hAnsi="宋体" w:eastAsia="宋体" w:cs="宋体"/>
          <w:color w:val="auto"/>
          <w:sz w:val="21"/>
          <w:szCs w:val="21"/>
          <w:highlight w:val="none"/>
        </w:rPr>
        <w:t>。</w:t>
      </w:r>
    </w:p>
    <w:p w14:paraId="69DC756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3.交货（实施）时间</w:t>
      </w:r>
    </w:p>
    <w:p w14:paraId="19828EB4">
      <w:pPr>
        <w:spacing w:line="360" w:lineRule="auto"/>
        <w:ind w:firstLine="420"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sz w:val="21"/>
          <w:szCs w:val="21"/>
          <w:highlight w:val="none"/>
          <w:lang w:val="en-US" w:eastAsia="zh-CN"/>
        </w:rPr>
        <w:t>自签订合同之日起90天内完成安装、调试、培训完毕等全部工作，并经最终验收合格后交付使用。</w:t>
      </w:r>
    </w:p>
    <w:p w14:paraId="1FA9033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4.交货地点或服务地点</w:t>
      </w:r>
    </w:p>
    <w:p w14:paraId="4E240C0D">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梧州市内采购人指定地点</w:t>
      </w:r>
    </w:p>
    <w:p w14:paraId="1DB22FA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5.验收</w:t>
      </w:r>
      <w:r>
        <w:rPr>
          <w:rFonts w:hint="eastAsia" w:ascii="宋体" w:hAnsi="宋体" w:eastAsia="宋体" w:cs="宋体"/>
          <w:b/>
          <w:bCs/>
          <w:color w:val="auto"/>
          <w:sz w:val="21"/>
          <w:szCs w:val="21"/>
          <w:highlight w:val="none"/>
          <w:lang w:val="en-US" w:eastAsia="zh-CN"/>
        </w:rPr>
        <w:t>方式及标准</w:t>
      </w:r>
    </w:p>
    <w:p w14:paraId="32B5EC9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5.1采购人和成交供应商双方按照国家强制性标准的规定（没有国家强制性标准但有其他强制性标准的，按照其他强制性标准的规定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若相关标准存在冲突的情况，则以较高标准为准</w:t>
      </w:r>
      <w:r>
        <w:rPr>
          <w:rFonts w:hint="eastAsia" w:ascii="宋体" w:hAnsi="宋体" w:eastAsia="宋体" w:cs="宋体"/>
          <w:color w:val="auto"/>
          <w:sz w:val="21"/>
          <w:szCs w:val="21"/>
          <w:highlight w:val="none"/>
        </w:rPr>
        <w:t>）、双方合同、响应文件验收。验收时成交供应商必须在现场，验收完毕后作出验收结果报告，验收时成交供应商需提供包括且不限于系统文档（数据字典、表结构等）、操作手册、数据库超级管理账号、系统运行环境搭建文档、系统业务流程说明（有详细的业务走向涉及到表结构）、系统运行常见问题处理等资料，汇集成册一式二套交予采购人（包括纸质版和电子版）。</w:t>
      </w:r>
    </w:p>
    <w:p w14:paraId="6F9AF944">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购人委托政府采购代理机构组织的验收项目，其验收时间以该项目验收方案确定的验收时间为准，验收结果以该项目验收报告结论为准。在验收过程中发现成交供应商有违约问题，可暂缓资金结算，待违约问题解决后，方可办理资金结算事宜。</w:t>
      </w:r>
    </w:p>
    <w:p w14:paraId="46761EA0">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验收结束后，应当出具验收报告，列明各项标准的验收情况及项目总体评价，由验收各方共同签署。对不符合要求或有质量问题的货物（系统）或服务视为验收不合格的，可立即要求退换，成交供应商不得拒绝和延误。</w:t>
      </w:r>
    </w:p>
    <w:p w14:paraId="3D490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系统验收合格后，项目进入维护期，成交供应商应提供</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年质保（质保期从本项目整体验收之日算起）</w:t>
      </w:r>
      <w:r>
        <w:rPr>
          <w:rFonts w:hint="eastAsia" w:ascii="宋体" w:hAnsi="宋体" w:eastAsia="宋体" w:cs="宋体"/>
          <w:color w:val="auto"/>
          <w:sz w:val="21"/>
          <w:szCs w:val="21"/>
          <w:highlight w:val="none"/>
          <w:lang w:eastAsia="zh-CN"/>
        </w:rPr>
        <w:t>，以上全部内容相关费用应包含在报价中，</w:t>
      </w:r>
      <w:r>
        <w:rPr>
          <w:rFonts w:hint="eastAsia" w:ascii="宋体" w:hAnsi="宋体" w:eastAsia="宋体" w:cs="宋体"/>
          <w:color w:val="auto"/>
          <w:sz w:val="21"/>
          <w:szCs w:val="21"/>
          <w:highlight w:val="none"/>
          <w:lang w:val="en-US" w:eastAsia="zh-CN"/>
        </w:rPr>
        <w:t>质保期满后系统的维修质保服务内容应在响应文件中详细提出。以上全部内容相关费用应包含在报价中，采购人不另外支付。</w:t>
      </w:r>
    </w:p>
    <w:p w14:paraId="73C49B9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以实现系统完整功能为目的，如系统需与医院现有的系统进行数据交互的，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须承担对接所需的接口开发工作及相关费用。</w:t>
      </w:r>
    </w:p>
    <w:p w14:paraId="076386C3">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6.服务标准、期限、效率</w:t>
      </w:r>
    </w:p>
    <w:p w14:paraId="74B03D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成交供应商在质量保证期内应当为采购人提供以下技术支持和服务：</w:t>
      </w:r>
    </w:p>
    <w:p w14:paraId="4A2DD5C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b/>
          <w:bCs/>
          <w:caps w:val="0"/>
          <w:color w:val="auto"/>
          <w:spacing w:val="0"/>
          <w:sz w:val="21"/>
          <w:szCs w:val="21"/>
          <w:highlight w:val="none"/>
          <w:lang w:val="en-US" w:eastAsia="zh-CN"/>
        </w:rPr>
        <w:t>6.1电话咨询</w:t>
      </w:r>
    </w:p>
    <w:p w14:paraId="406E9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成交供应商应当为采购人提供技术援助电话，解答采购人在使用中遇到的问题，及时为采购人提出解决问题的建议。</w:t>
      </w:r>
    </w:p>
    <w:p w14:paraId="0B97D6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b/>
          <w:bCs/>
          <w:caps w:val="0"/>
          <w:color w:val="auto"/>
          <w:spacing w:val="0"/>
          <w:sz w:val="21"/>
          <w:szCs w:val="21"/>
          <w:highlight w:val="none"/>
          <w:lang w:val="en-US" w:eastAsia="zh-CN"/>
        </w:rPr>
        <w:t>6.2现场响应</w:t>
      </w:r>
    </w:p>
    <w:p w14:paraId="1B5E40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采购人遇到使用或技术问题，电话咨询不能解决的，成交供应商应在24小时内到达现场进行处理，到达现场后24小时内排除故障，恢复正常使用。</w:t>
      </w:r>
    </w:p>
    <w:p w14:paraId="4E2B37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b/>
          <w:bCs/>
          <w:caps w:val="0"/>
          <w:color w:val="auto"/>
          <w:spacing w:val="0"/>
          <w:sz w:val="21"/>
          <w:szCs w:val="21"/>
          <w:highlight w:val="none"/>
          <w:lang w:val="en-US" w:eastAsia="zh-CN"/>
        </w:rPr>
        <w:t>6.3技术升级</w:t>
      </w:r>
    </w:p>
    <w:p w14:paraId="1BB943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在质保期内，如果成交供应商的产品或服务升级，成交供应商应及时</w:t>
      </w:r>
      <w:r>
        <w:rPr>
          <w:rFonts w:hint="eastAsia" w:ascii="宋体" w:hAnsi="宋体" w:eastAsia="宋体" w:cs="宋体"/>
          <w:caps w:val="0"/>
          <w:color w:val="auto"/>
          <w:spacing w:val="0"/>
          <w:sz w:val="21"/>
          <w:szCs w:val="21"/>
          <w:highlight w:val="none"/>
          <w:lang w:val="en-US" w:eastAsia="zh-CN"/>
        </w:rPr>
        <w:t>书面</w:t>
      </w:r>
      <w:r>
        <w:rPr>
          <w:rFonts w:hint="eastAsia" w:ascii="宋体" w:hAnsi="宋体" w:eastAsia="宋体" w:cs="宋体"/>
          <w:caps w:val="0"/>
          <w:color w:val="auto"/>
          <w:spacing w:val="0"/>
          <w:sz w:val="21"/>
          <w:szCs w:val="21"/>
          <w:highlight w:val="none"/>
        </w:rPr>
        <w:t>通知采购人，如采购人有相应要求，成交供应商应对采购人购买的产品或服务进行升级。</w:t>
      </w:r>
    </w:p>
    <w:p w14:paraId="64627EC4">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7.培训</w:t>
      </w:r>
    </w:p>
    <w:p w14:paraId="7D048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成交供应商基于系统软件的功能特性与用户实际操作能力，提供详尽的系统培训方案。旨在通过系统化的培训，确保系统管理人员能够独立胜任对成交供应商所供系统软件的全面管理以及日常维护工作，同时促使各级业务人员熟练掌握系统软件的操作技巧，进而确保应用系统得以充分、有效地应用。</w:t>
      </w:r>
    </w:p>
    <w:p w14:paraId="43DD95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7.1.成交供应商自行准备培训方案，对采购人各类人员进行相关的培训，明确培训的内容、次数和方式等。</w:t>
      </w:r>
    </w:p>
    <w:p w14:paraId="09FFB1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7.2.培训对象可以分为普通业务操作员、系统管理员，成交供应商可以针对不同的对象制定不同的培训计划，并分别培训。所提供的培训课程表随响应文件一起提交。</w:t>
      </w:r>
    </w:p>
    <w:p w14:paraId="25AE8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7.3.成交供应商可以提供有经验的教员，使采购人相关人员在培训后能够独立地对系统进行管理、维护，而不需成交供应商的人员在场指导。</w:t>
      </w:r>
    </w:p>
    <w:p w14:paraId="6129DF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7.4.培训内容包括应用软件操作、操作系统、后台数据库管理等培训。</w:t>
      </w:r>
    </w:p>
    <w:p w14:paraId="3F0BE2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7.5.成交供应商应为所有被培训人员进行现场培训。</w:t>
      </w:r>
    </w:p>
    <w:p w14:paraId="1376E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7.6.业务系统操作培训工作应在系统安装之前结束。</w:t>
      </w:r>
    </w:p>
    <w:p w14:paraId="7D0E9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7.7.采购人仅负责提供培训场地、培训电脑和培训人员的召集。</w:t>
      </w:r>
    </w:p>
    <w:p w14:paraId="4DB2E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7.8.成交供应商负责培训环境的搭建、培训文档的准备、培训的实施、培训人员的考核等。</w:t>
      </w:r>
    </w:p>
    <w:p w14:paraId="064636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7.9.与培训相关的费用由成交供应商自行承担，相关费用应包含在报价中，采购人不另外支付。</w:t>
      </w:r>
    </w:p>
    <w:p w14:paraId="37C61A3E">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8.付款方式、时间及条件</w:t>
      </w:r>
    </w:p>
    <w:p w14:paraId="430A0D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本项目采用分期付款方式结算。首期款：签订合同后，采购人支付30%合同款至成交商指定对公银行帐户。二期款：项目验收合格后，成交商开立发票（发票类型根据采购人要求提供）和付款申请给采购人，采购人收到前述资料后10个工作日内支付70%合同款至成交商指定对公银行帐户。因成交商未向采购人提供发票致使采购人迟延付款的，采购人不承担违约责任。</w:t>
      </w:r>
    </w:p>
    <w:p w14:paraId="680E5111">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9.履约保证金</w:t>
      </w:r>
    </w:p>
    <w:p w14:paraId="1423A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eastAsia="zh-CN"/>
        </w:rPr>
      </w:pPr>
      <w:r>
        <w:rPr>
          <w:rFonts w:hint="eastAsia" w:ascii="宋体" w:hAnsi="宋体" w:eastAsia="宋体" w:cs="宋体"/>
          <w:caps w:val="0"/>
          <w:color w:val="auto"/>
          <w:spacing w:val="0"/>
          <w:sz w:val="21"/>
          <w:szCs w:val="21"/>
          <w:highlight w:val="none"/>
          <w:lang w:eastAsia="zh-CN"/>
        </w:rPr>
        <w:t>无。</w:t>
      </w:r>
    </w:p>
    <w:p w14:paraId="3DC1CA06">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10.包装和运输要求</w:t>
      </w:r>
    </w:p>
    <w:p w14:paraId="6662F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运输要求详见采购文件合同主要条款格式部分</w:t>
      </w:r>
    </w:p>
    <w:p w14:paraId="63D16023">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11.售后服务</w:t>
      </w:r>
    </w:p>
    <w:p w14:paraId="089E20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11.1成交供应商需为本项目提供一年质保，一年质保期从本项目整体验收之日算起。</w:t>
      </w:r>
    </w:p>
    <w:p w14:paraId="00CAE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11.2成交供应商应提供7×24小时热线电话、远程网络、现场等服务方式。热线电话和远程网络应立即响应。如电话、远程未能处理的，成交供应商应当在收到首次通知后24小时内到现场解决。</w:t>
      </w:r>
    </w:p>
    <w:p w14:paraId="7FA4E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11.3提供软件部分验收后每年升级服务；硬件部分在维保期间，如需更换新配件或整个设备更换不再收取任何费用。</w:t>
      </w:r>
    </w:p>
    <w:p w14:paraId="5D860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11.4上门例行服务：项目经理每月至少1次，由成交供应商委派项目经理到现场了解系统的运行状况，为系统定期维护保养，使系统处于最佳运行状态。</w:t>
      </w:r>
    </w:p>
    <w:p w14:paraId="37821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11.5以上全部内容相关费用应包含在报价中，采购人不另外支付。</w:t>
      </w:r>
    </w:p>
    <w:p w14:paraId="44609BF4">
      <w:pPr>
        <w:spacing w:line="360" w:lineRule="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12.保险</w:t>
      </w:r>
    </w:p>
    <w:p w14:paraId="3C325C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供应商负责办理运输和保险，将货物运抵交货地点。与运输、保险相关的费用由供应商承担。</w:t>
      </w:r>
    </w:p>
    <w:p w14:paraId="311C5C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13.知识产权</w:t>
      </w:r>
    </w:p>
    <w:p w14:paraId="585AF8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采购人在中华人民共和国境内使用</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供应商提供的产品及服务时免受第三方提出的侵犯其专利权或其它知识产权的起诉。如果第三方提出侵权指控，成交供应商承担由此而引起的一切法律责任和费用。</w:t>
      </w:r>
    </w:p>
    <w:p w14:paraId="5B412D1F">
      <w:pPr>
        <w:rPr>
          <w:rStyle w:val="59"/>
          <w:rFonts w:hint="eastAsia" w:ascii="仿宋" w:hAnsi="仿宋" w:eastAsia="仿宋" w:cs="仿宋"/>
          <w:b/>
          <w:bCs/>
          <w:sz w:val="28"/>
          <w:szCs w:val="28"/>
        </w:rPr>
      </w:pPr>
    </w:p>
    <w:p w14:paraId="7C930328">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62B48B18">
      <w:pPr>
        <w:pStyle w:val="26"/>
        <w:snapToGrid w:val="0"/>
        <w:rPr>
          <w:rFonts w:ascii="Times New Roman" w:hAnsi="Times New Roman" w:cs="Times New Roman"/>
          <w:b/>
          <w:color w:val="auto"/>
        </w:rPr>
      </w:pPr>
      <w:r>
        <w:rPr>
          <w:rFonts w:hint="eastAsia" w:ascii="Times New Roman" w:hAnsi="Times New Roman" w:cs="Times New Roman"/>
          <w:b/>
          <w:color w:val="auto"/>
        </w:rPr>
        <w:t>无</w:t>
      </w:r>
    </w:p>
    <w:p w14:paraId="1D81A9BD">
      <w:pPr>
        <w:spacing w:line="528" w:lineRule="exact"/>
        <w:ind w:firstLine="210" w:firstLineChars="100"/>
        <w:rPr>
          <w:sz w:val="28"/>
          <w:szCs w:val="28"/>
        </w:rPr>
      </w:pPr>
      <w:r>
        <w:rPr>
          <w:color w:val="auto"/>
          <w:szCs w:val="21"/>
        </w:rPr>
        <w:br w:type="page"/>
      </w:r>
      <w:r>
        <w:rPr>
          <w:rFonts w:hint="eastAsia"/>
          <w:sz w:val="28"/>
          <w:szCs w:val="28"/>
        </w:rPr>
        <w:t xml:space="preserve">附件1： </w:t>
      </w:r>
      <w:r>
        <w:rPr>
          <w:sz w:val="28"/>
          <w:szCs w:val="28"/>
        </w:rPr>
        <w:t xml:space="preserve">               </w:t>
      </w:r>
    </w:p>
    <w:p w14:paraId="026DCAFA">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szCs w:val="21"/>
              </w:rPr>
            </w:pPr>
            <w:r>
              <w:rPr>
                <w:rFonts w:hint="eastAsia"/>
                <w:szCs w:val="21"/>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szCs w:val="21"/>
              </w:rPr>
            </w:pPr>
            <w:r>
              <w:rPr>
                <w:rFonts w:hint="eastAsia"/>
                <w:szCs w:val="21"/>
              </w:rPr>
              <w:t>Y＜50</w:t>
            </w:r>
          </w:p>
        </w:tc>
      </w:tr>
      <w:tr w14:paraId="5690BA95">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szCs w:val="21"/>
              </w:rPr>
            </w:pPr>
            <w:r>
              <w:rPr>
                <w:rFonts w:hint="eastAsia"/>
                <w:szCs w:val="21"/>
              </w:rPr>
              <w:t>X＜20</w:t>
            </w:r>
          </w:p>
        </w:tc>
      </w:tr>
      <w:tr w14:paraId="28B695A5">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szCs w:val="21"/>
              </w:rPr>
            </w:pPr>
            <w:r>
              <w:rPr>
                <w:rFonts w:hint="eastAsia"/>
                <w:szCs w:val="21"/>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szCs w:val="21"/>
              </w:rPr>
            </w:pPr>
            <w:r>
              <w:rPr>
                <w:rFonts w:hint="eastAsia"/>
                <w:szCs w:val="21"/>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szCs w:val="21"/>
              </w:rPr>
            </w:pPr>
            <w:r>
              <w:rPr>
                <w:rFonts w:hint="eastAsia"/>
                <w:szCs w:val="21"/>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szCs w:val="21"/>
              </w:rPr>
            </w:pPr>
            <w:r>
              <w:rPr>
                <w:rFonts w:hint="eastAsia"/>
                <w:szCs w:val="21"/>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szCs w:val="21"/>
              </w:rPr>
            </w:pPr>
            <w:r>
              <w:rPr>
                <w:rFonts w:hint="eastAsia"/>
                <w:szCs w:val="21"/>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szCs w:val="21"/>
              </w:rPr>
            </w:pPr>
            <w:r>
              <w:rPr>
                <w:rFonts w:hint="eastAsia"/>
                <w:szCs w:val="21"/>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szCs w:val="21"/>
              </w:rPr>
            </w:pPr>
            <w:r>
              <w:rPr>
                <w:rFonts w:hint="eastAsia"/>
                <w:szCs w:val="21"/>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szCs w:val="21"/>
              </w:rPr>
            </w:pPr>
            <w:r>
              <w:rPr>
                <w:rFonts w:hint="eastAsia"/>
                <w:szCs w:val="21"/>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szCs w:val="21"/>
              </w:rPr>
            </w:pPr>
            <w:r>
              <w:rPr>
                <w:rFonts w:hint="eastAsia"/>
                <w:szCs w:val="21"/>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szCs w:val="21"/>
              </w:rPr>
            </w:pPr>
            <w:r>
              <w:rPr>
                <w:rFonts w:hint="eastAsia"/>
                <w:szCs w:val="21"/>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szCs w:val="21"/>
              </w:rPr>
            </w:pPr>
            <w:r>
              <w:rPr>
                <w:rFonts w:hint="eastAsia"/>
                <w:szCs w:val="21"/>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szCs w:val="21"/>
              </w:rPr>
            </w:pPr>
            <w:r>
              <w:rPr>
                <w:rFonts w:hint="eastAsia"/>
                <w:szCs w:val="21"/>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szCs w:val="21"/>
              </w:rPr>
            </w:pPr>
            <w:r>
              <w:rPr>
                <w:rFonts w:hint="eastAsia"/>
                <w:szCs w:val="21"/>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szCs w:val="21"/>
              </w:rPr>
            </w:pPr>
            <w:r>
              <w:rPr>
                <w:rFonts w:hint="eastAsia"/>
                <w:szCs w:val="21"/>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szCs w:val="21"/>
              </w:rPr>
            </w:pPr>
            <w:r>
              <w:rPr>
                <w:rFonts w:hint="eastAsia"/>
                <w:szCs w:val="21"/>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szCs w:val="21"/>
              </w:rPr>
            </w:pPr>
            <w:r>
              <w:rPr>
                <w:rFonts w:hint="eastAsia"/>
                <w:szCs w:val="21"/>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szCs w:val="21"/>
              </w:rPr>
            </w:pPr>
            <w:r>
              <w:rPr>
                <w:rFonts w:hint="eastAsia"/>
                <w:szCs w:val="21"/>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szCs w:val="21"/>
              </w:rPr>
            </w:pPr>
            <w:r>
              <w:rPr>
                <w:rFonts w:hint="eastAsia"/>
                <w:szCs w:val="21"/>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szCs w:val="21"/>
              </w:rPr>
            </w:pPr>
            <w:r>
              <w:rPr>
                <w:rFonts w:hint="eastAsia"/>
                <w:szCs w:val="21"/>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szCs w:val="21"/>
              </w:rPr>
            </w:pPr>
            <w:r>
              <w:rPr>
                <w:rFonts w:hint="eastAsia"/>
                <w:szCs w:val="21"/>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szCs w:val="21"/>
              </w:rPr>
            </w:pPr>
            <w:r>
              <w:rPr>
                <w:rFonts w:hint="eastAsia"/>
                <w:szCs w:val="21"/>
              </w:rPr>
              <w:t>Y＜50</w:t>
            </w:r>
          </w:p>
        </w:tc>
      </w:tr>
      <w:tr w14:paraId="11C6BA4A">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szCs w:val="21"/>
              </w:rPr>
            </w:pPr>
            <w:r>
              <w:rPr>
                <w:rFonts w:hint="eastAsia"/>
                <w:szCs w:val="21"/>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szCs w:val="21"/>
              </w:rPr>
            </w:pPr>
            <w:r>
              <w:rPr>
                <w:rFonts w:hint="eastAsia"/>
                <w:szCs w:val="21"/>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szCs w:val="21"/>
              </w:rPr>
            </w:pPr>
            <w:r>
              <w:rPr>
                <w:rFonts w:hint="eastAsia"/>
                <w:szCs w:val="21"/>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szCs w:val="21"/>
              </w:rPr>
            </w:pPr>
            <w:r>
              <w:rPr>
                <w:rFonts w:hint="eastAsia"/>
                <w:szCs w:val="21"/>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szCs w:val="21"/>
              </w:rPr>
            </w:pPr>
            <w:r>
              <w:rPr>
                <w:rFonts w:hint="eastAsia"/>
                <w:szCs w:val="21"/>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szCs w:val="21"/>
              </w:rPr>
            </w:pPr>
            <w:r>
              <w:rPr>
                <w:rFonts w:hint="eastAsia"/>
                <w:szCs w:val="21"/>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szCs w:val="21"/>
              </w:rPr>
            </w:pPr>
            <w:r>
              <w:rPr>
                <w:rFonts w:hint="eastAsia"/>
                <w:szCs w:val="21"/>
              </w:rPr>
              <w:t>X＜10</w:t>
            </w:r>
          </w:p>
        </w:tc>
      </w:tr>
    </w:tbl>
    <w:p w14:paraId="3C0158BD">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0DC7ADB">
      <w:pPr>
        <w:spacing w:line="360" w:lineRule="auto"/>
        <w:rPr>
          <w:sz w:val="28"/>
          <w:szCs w:val="28"/>
        </w:rPr>
      </w:pPr>
      <w:r>
        <w:rPr>
          <w:szCs w:val="21"/>
        </w:rPr>
        <w:br w:type="page"/>
      </w:r>
      <w:r>
        <w:rPr>
          <w:rFonts w:hint="eastAsia"/>
          <w:sz w:val="28"/>
          <w:szCs w:val="28"/>
        </w:rPr>
        <w:t>附件2：</w:t>
      </w:r>
    </w:p>
    <w:p w14:paraId="79CD0C0D">
      <w:pPr>
        <w:spacing w:line="360" w:lineRule="auto"/>
        <w:rPr>
          <w:rFonts w:hint="eastAsia"/>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5"/>
                    <a:stretch>
                      <a:fillRect/>
                    </a:stretch>
                  </pic:blipFill>
                  <pic:spPr>
                    <a:xfrm>
                      <a:off x="0" y="0"/>
                      <a:ext cx="5573395" cy="8125460"/>
                    </a:xfrm>
                    <a:prstGeom prst="rect">
                      <a:avLst/>
                    </a:prstGeom>
                    <a:noFill/>
                    <a:ln>
                      <a:noFill/>
                    </a:ln>
                  </pic:spPr>
                </pic:pic>
              </a:graphicData>
            </a:graphic>
          </wp:anchor>
        </w:drawing>
      </w:r>
    </w:p>
    <w:bookmarkEnd w:id="11"/>
    <w:bookmarkEnd w:id="12"/>
    <w:p w14:paraId="4ADA1E14">
      <w:pPr>
        <w:pStyle w:val="26"/>
        <w:snapToGrid w:val="0"/>
        <w:spacing w:before="120" w:after="120" w:line="320" w:lineRule="exact"/>
        <w:jc w:val="center"/>
        <w:outlineLvl w:val="0"/>
        <w:rPr>
          <w:rFonts w:ascii="Times New Roman" w:hAnsi="Times New Roman" w:cs="Times New Roman"/>
          <w:sz w:val="32"/>
          <w:szCs w:val="32"/>
        </w:rPr>
      </w:pPr>
      <w:bookmarkStart w:id="18" w:name="_Toc31014"/>
      <w:r>
        <w:rPr>
          <w:rFonts w:ascii="Times New Roman" w:hAnsi="Times New Roman" w:cs="Times New Roman"/>
          <w:sz w:val="32"/>
          <w:szCs w:val="32"/>
        </w:rPr>
        <w:t>第三章  供应商须知</w:t>
      </w:r>
      <w:bookmarkEnd w:id="18"/>
      <w:bookmarkStart w:id="19" w:name="_Toc254970526"/>
      <w:bookmarkStart w:id="20" w:name="_Toc254970667"/>
    </w:p>
    <w:p w14:paraId="043203FE">
      <w:pPr>
        <w:pStyle w:val="4"/>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19"/>
      <w:bookmarkEnd w:id="20"/>
      <w:bookmarkStart w:id="21" w:name="_投标人须知前附表"/>
      <w:bookmarkEnd w:id="21"/>
      <w:bookmarkStart w:id="22"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szCs w:val="21"/>
              </w:rPr>
            </w:pPr>
            <w:r>
              <w:rPr>
                <w:b/>
                <w:szCs w:val="21"/>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eastAsia"/>
                <w:szCs w:val="21"/>
              </w:rPr>
            </w:pPr>
            <w:r>
              <w:rPr>
                <w:szCs w:val="21"/>
              </w:rPr>
              <w:t>项目名称：</w:t>
            </w:r>
            <w:r>
              <w:rPr>
                <w:rFonts w:hint="eastAsia"/>
                <w:szCs w:val="21"/>
              </w:rPr>
              <w:t>梧州市临床病理诊断中心信息平台项目应用系统</w:t>
            </w:r>
          </w:p>
          <w:p w14:paraId="171A92C2">
            <w:pPr>
              <w:spacing w:line="300" w:lineRule="exact"/>
              <w:jc w:val="left"/>
              <w:rPr>
                <w:color w:val="auto"/>
                <w:szCs w:val="21"/>
              </w:rPr>
            </w:pPr>
            <w:r>
              <w:rPr>
                <w:color w:val="auto"/>
                <w:szCs w:val="21"/>
              </w:rPr>
              <w:t>项目编号：</w:t>
            </w:r>
            <w:r>
              <w:rPr>
                <w:rFonts w:hint="eastAsia"/>
                <w:color w:val="auto"/>
                <w:szCs w:val="21"/>
              </w:rPr>
              <w:t>WZZC2025-C3-990258-JDZB</w:t>
            </w:r>
          </w:p>
          <w:p w14:paraId="16312B31">
            <w:pPr>
              <w:spacing w:line="300" w:lineRule="exact"/>
              <w:jc w:val="left"/>
              <w:rPr>
                <w:szCs w:val="21"/>
              </w:rPr>
            </w:pPr>
            <w:r>
              <w:rPr>
                <w:rFonts w:hint="eastAsia"/>
                <w:color w:val="auto"/>
                <w:szCs w:val="21"/>
              </w:rPr>
              <w:t>采购计划号：WZZC2025-C3-02406</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szCs w:val="21"/>
              </w:rPr>
            </w:pPr>
            <w:r>
              <w:rPr>
                <w:rFonts w:hint="eastAsia"/>
                <w:szCs w:val="21"/>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FF0000"/>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spacing w:line="300" w:lineRule="exact"/>
              <w:jc w:val="left"/>
              <w:rPr>
                <w:rFonts w:hint="eastAsia"/>
                <w:color w:val="4472C4"/>
                <w:szCs w:val="21"/>
              </w:rPr>
            </w:pPr>
            <w:r>
              <w:rPr>
                <w:rFonts w:hint="eastAsia"/>
                <w:color w:val="auto"/>
                <w:szCs w:val="21"/>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szCs w:val="21"/>
              </w:rPr>
            </w:pPr>
            <w:bookmarkStart w:id="23" w:name="_Hlk85555568"/>
            <w:r>
              <w:rPr>
                <w:b/>
                <w:szCs w:val="21"/>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color w:val="auto"/>
                <w:szCs w:val="21"/>
              </w:rPr>
            </w:pPr>
            <w:r>
              <w:rPr>
                <w:rFonts w:hint="eastAsia"/>
                <w:color w:val="auto"/>
                <w:szCs w:val="21"/>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rPr>
            </w:pPr>
            <w:r>
              <w:rPr>
                <w:rFonts w:hint="eastAsia"/>
                <w:color w:val="auto"/>
                <w:szCs w:val="21"/>
              </w:rPr>
              <w:t>是否接受联合体详见磋商公告</w:t>
            </w:r>
          </w:p>
        </w:tc>
      </w:tr>
      <w:bookmarkEnd w:id="23"/>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838363">
            <w:pPr>
              <w:pStyle w:val="17"/>
              <w:rPr>
                <w:color w:val="auto"/>
                <w:szCs w:val="21"/>
              </w:rPr>
            </w:pPr>
            <w:r>
              <w:rPr>
                <w:rFonts w:hint="eastAsia"/>
                <w:color w:val="auto"/>
                <w:szCs w:val="21"/>
                <w:lang w:val="en-US" w:eastAsia="zh-CN"/>
              </w:rPr>
              <w:t>不组织</w:t>
            </w:r>
            <w:r>
              <w:rPr>
                <w:rFonts w:hint="eastAsia"/>
                <w:color w:val="auto"/>
                <w:szCs w:val="21"/>
              </w:rPr>
              <w:t xml:space="preserve">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FF0000"/>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FF0000"/>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FF0000"/>
                <w:szCs w:val="21"/>
              </w:rPr>
            </w:pPr>
            <w:r>
              <w:rPr>
                <w:rFonts w:hint="eastAsia"/>
                <w:szCs w:val="21"/>
              </w:rPr>
              <w:t>是否接受分包详见磋商公告</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szCs w:val="21"/>
              </w:rPr>
            </w:pPr>
            <w:r>
              <w:rPr>
                <w:b/>
                <w:bCs/>
                <w:szCs w:val="21"/>
              </w:rPr>
              <w:t>响应截止之日</w:t>
            </w:r>
            <w:r>
              <w:rPr>
                <w:b/>
                <w:bCs/>
                <w:color w:val="auto"/>
                <w:szCs w:val="21"/>
              </w:rPr>
              <w:t>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3A1ECBE">
            <w:pPr>
              <w:spacing w:line="312" w:lineRule="auto"/>
              <w:jc w:val="left"/>
              <w:rPr>
                <w:rFonts w:hint="eastAsia"/>
                <w:color w:val="auto"/>
                <w:kern w:val="0"/>
                <w:szCs w:val="21"/>
              </w:rPr>
            </w:pPr>
            <w:r>
              <w:rPr>
                <w:rFonts w:hint="eastAsia"/>
                <w:szCs w:val="21"/>
              </w:rPr>
              <w:t>磋商</w:t>
            </w:r>
            <w:r>
              <w:rPr>
                <w:szCs w:val="21"/>
              </w:rPr>
              <w:t>保证</w:t>
            </w:r>
            <w:r>
              <w:rPr>
                <w:rFonts w:hint="eastAsia"/>
                <w:szCs w:val="21"/>
              </w:rPr>
              <w:t>金金额：</w:t>
            </w:r>
            <w:r>
              <w:rPr>
                <w:rFonts w:hint="eastAsia"/>
                <w:color w:val="auto"/>
                <w:sz w:val="21"/>
                <w:szCs w:val="21"/>
              </w:rPr>
              <w:t>人民币</w:t>
            </w:r>
            <w:r>
              <w:rPr>
                <w:rFonts w:hint="eastAsia"/>
                <w:color w:val="auto"/>
                <w:sz w:val="21"/>
                <w:szCs w:val="21"/>
                <w:lang w:val="en-US" w:eastAsia="zh-CN"/>
              </w:rPr>
              <w:t>壹万陆仟</w:t>
            </w:r>
            <w:r>
              <w:rPr>
                <w:rFonts w:hint="eastAsia"/>
                <w:color w:val="auto"/>
                <w:sz w:val="21"/>
                <w:szCs w:val="21"/>
              </w:rPr>
              <w:t>元整（</w:t>
            </w:r>
            <w:r>
              <w:rPr>
                <w:color w:val="auto"/>
                <w:sz w:val="21"/>
                <w:szCs w:val="21"/>
              </w:rPr>
              <w:t>¥</w:t>
            </w:r>
            <w:r>
              <w:rPr>
                <w:rFonts w:hint="eastAsia"/>
                <w:color w:val="auto"/>
                <w:sz w:val="21"/>
                <w:szCs w:val="21"/>
                <w:lang w:val="en-US" w:eastAsia="zh-CN"/>
              </w:rPr>
              <w:t>16</w:t>
            </w:r>
            <w:r>
              <w:rPr>
                <w:color w:val="auto"/>
                <w:sz w:val="21"/>
                <w:szCs w:val="21"/>
              </w:rPr>
              <w:t>,000.00</w:t>
            </w:r>
            <w:r>
              <w:rPr>
                <w:rFonts w:hint="eastAsia"/>
                <w:color w:val="auto"/>
                <w:sz w:val="21"/>
                <w:szCs w:val="21"/>
              </w:rPr>
              <w:t>）。</w:t>
            </w:r>
          </w:p>
          <w:p w14:paraId="7FAC9DAA">
            <w:pPr>
              <w:spacing w:line="300" w:lineRule="exact"/>
              <w:jc w:val="left"/>
              <w:rPr>
                <w:szCs w:val="21"/>
              </w:rPr>
            </w:pPr>
            <w:r>
              <w:rPr>
                <w:rFonts w:hint="eastAsia"/>
                <w:szCs w:val="21"/>
              </w:rPr>
              <w:t>1、缴纳方式一：</w:t>
            </w:r>
          </w:p>
          <w:p w14:paraId="3133F841">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）对应的专用虚拟账号，所交纳的磋商保证金仅限当次项目（</w:t>
            </w:r>
            <w:r>
              <w:rPr>
                <w:rFonts w:hint="eastAsia"/>
                <w:szCs w:val="21"/>
              </w:rPr>
              <w:t>分标</w:t>
            </w:r>
            <w:r>
              <w:rPr>
                <w:szCs w:val="21"/>
              </w:rPr>
              <w:t>）有效，不得重复替代使用。本项目磋商保证金</w:t>
            </w:r>
            <w:r>
              <w:rPr>
                <w:rFonts w:hint="eastAsia"/>
                <w:szCs w:val="21"/>
              </w:rPr>
              <w:t>缴</w:t>
            </w:r>
            <w:r>
              <w:rPr>
                <w:szCs w:val="21"/>
              </w:rPr>
              <w:t>纳专用虚拟账号信息</w:t>
            </w:r>
            <w:r>
              <w:rPr>
                <w:rFonts w:hint="eastAsia"/>
                <w:szCs w:val="21"/>
              </w:rPr>
              <w:t>如下：</w:t>
            </w:r>
          </w:p>
          <w:p w14:paraId="45688D82">
            <w:pPr>
              <w:spacing w:line="300" w:lineRule="exact"/>
              <w:jc w:val="left"/>
              <w:rPr>
                <w:rFonts w:hint="eastAsia"/>
                <w:b/>
                <w:bCs/>
                <w:color w:val="auto"/>
                <w:sz w:val="21"/>
                <w:szCs w:val="21"/>
              </w:rPr>
            </w:pPr>
            <w:r>
              <w:rPr>
                <w:rFonts w:hint="eastAsia"/>
                <w:b/>
                <w:bCs/>
                <w:color w:val="auto"/>
                <w:sz w:val="21"/>
                <w:szCs w:val="21"/>
              </w:rPr>
              <w:t>开户银行：平安银行南宁分行营业部</w:t>
            </w:r>
          </w:p>
          <w:p w14:paraId="00517625">
            <w:pPr>
              <w:spacing w:line="300" w:lineRule="exact"/>
              <w:jc w:val="left"/>
              <w:rPr>
                <w:rFonts w:hint="eastAsia"/>
                <w:b/>
                <w:bCs/>
                <w:color w:val="auto"/>
                <w:sz w:val="21"/>
                <w:szCs w:val="21"/>
              </w:rPr>
            </w:pPr>
            <w:r>
              <w:rPr>
                <w:rFonts w:hint="eastAsia"/>
                <w:b/>
                <w:bCs/>
                <w:color w:val="auto"/>
                <w:sz w:val="21"/>
                <w:szCs w:val="21"/>
              </w:rPr>
              <w:t>开户名称：广西机电设备招标有限公司</w:t>
            </w:r>
          </w:p>
          <w:p w14:paraId="3AF0B55D">
            <w:pPr>
              <w:spacing w:line="300" w:lineRule="exact"/>
              <w:jc w:val="left"/>
              <w:rPr>
                <w:rFonts w:hint="eastAsia"/>
                <w:b/>
                <w:bCs/>
                <w:color w:val="auto"/>
                <w:sz w:val="21"/>
                <w:szCs w:val="21"/>
              </w:rPr>
            </w:pPr>
            <w:r>
              <w:rPr>
                <w:rFonts w:hint="eastAsia"/>
                <w:b/>
                <w:bCs/>
                <w:color w:val="auto"/>
                <w:sz w:val="21"/>
                <w:szCs w:val="21"/>
              </w:rPr>
              <w:t>开户账户：30210485990130</w:t>
            </w:r>
          </w:p>
          <w:p w14:paraId="074340B8">
            <w:pPr>
              <w:spacing w:line="300" w:lineRule="exact"/>
              <w:jc w:val="left"/>
              <w:rPr>
                <w:szCs w:val="21"/>
              </w:rPr>
            </w:pPr>
            <w:r>
              <w:rPr>
                <w:szCs w:val="21"/>
              </w:rPr>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6C19DB44">
            <w:pPr>
              <w:spacing w:line="300" w:lineRule="exact"/>
              <w:jc w:val="left"/>
              <w:rPr>
                <w:szCs w:val="21"/>
              </w:rPr>
            </w:pPr>
            <w:r>
              <w:rPr>
                <w:rFonts w:hint="eastAsia" w:ascii="宋体" w:hAnsi="宋体"/>
                <w:szCs w:val="21"/>
              </w:rPr>
              <w:t>（2）</w:t>
            </w:r>
            <w:r>
              <w:rPr>
                <w:szCs w:val="21"/>
              </w:rPr>
              <w:t>磋商保证金币种应与响应报价币种相同。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3E10D04C">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交纳保证金后未参加响应活动或磋商保证金缴纳错误而</w:t>
            </w:r>
            <w:r>
              <w:rPr>
                <w:szCs w:val="21"/>
              </w:rPr>
              <w:t>导致</w:t>
            </w:r>
            <w:r>
              <w:rPr>
                <w:rFonts w:hint="eastAsia"/>
                <w:szCs w:val="21"/>
              </w:rPr>
              <w:t>磋商保证金</w:t>
            </w:r>
            <w:r>
              <w:rPr>
                <w:szCs w:val="21"/>
              </w:rPr>
              <w:t>无法及时退还的责任</w:t>
            </w:r>
            <w:r>
              <w:rPr>
                <w:rFonts w:hint="eastAsia"/>
                <w:szCs w:val="21"/>
              </w:rPr>
              <w:t>。</w:t>
            </w:r>
          </w:p>
          <w:p w14:paraId="2C6D9BA3">
            <w:pPr>
              <w:spacing w:line="300" w:lineRule="exact"/>
              <w:jc w:val="left"/>
              <w:rPr>
                <w:szCs w:val="21"/>
              </w:rPr>
            </w:pPr>
            <w:r>
              <w:rPr>
                <w:rFonts w:hint="eastAsia"/>
                <w:szCs w:val="21"/>
              </w:rPr>
              <w:t>2、缴纳方式二：</w:t>
            </w:r>
          </w:p>
          <w:p w14:paraId="2025B642">
            <w:pPr>
              <w:spacing w:line="300" w:lineRule="exact"/>
              <w:jc w:val="left"/>
              <w:rPr>
                <w:rFonts w:hint="eastAsia"/>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pPr>
              <w:spacing w:line="300" w:lineRule="exact"/>
              <w:jc w:val="left"/>
              <w:rPr>
                <w:rFonts w:hint="eastAsia"/>
                <w:szCs w:val="21"/>
              </w:rPr>
            </w:pPr>
            <w:r>
              <w:rPr>
                <w:rFonts w:hint="eastAsia"/>
                <w:szCs w:val="21"/>
              </w:rPr>
              <w:t>3、响应保证金有下列情形之一的，视为保证金无效：</w:t>
            </w:r>
          </w:p>
          <w:p w14:paraId="2ADEF9FB">
            <w:pPr>
              <w:spacing w:line="300" w:lineRule="exact"/>
              <w:jc w:val="left"/>
              <w:rPr>
                <w:rFonts w:hint="eastAsia"/>
                <w:szCs w:val="21"/>
              </w:rPr>
            </w:pPr>
            <w:r>
              <w:rPr>
                <w:rFonts w:hint="eastAsia"/>
                <w:szCs w:val="21"/>
              </w:rPr>
              <w:t>（1）保证金在响应截止时间后提交的，或者不按规定交纳方式交纳的，或者未足额交纳的（包含保函额度不足的）的；</w:t>
            </w:r>
          </w:p>
          <w:p w14:paraId="7E1AC7CF">
            <w:pPr>
              <w:spacing w:line="300" w:lineRule="exact"/>
              <w:jc w:val="left"/>
              <w:rPr>
                <w:rFonts w:hint="eastAsia"/>
                <w:szCs w:val="21"/>
              </w:rPr>
            </w:pPr>
            <w:r>
              <w:rPr>
                <w:rFonts w:hint="eastAsia"/>
                <w:szCs w:val="21"/>
              </w:rPr>
              <w:t>（2）支票、汇票或者本票出现无效或者背书情形的；</w:t>
            </w:r>
          </w:p>
          <w:p w14:paraId="55CB5C29">
            <w:pPr>
              <w:spacing w:line="300" w:lineRule="exact"/>
              <w:jc w:val="left"/>
              <w:rPr>
                <w:rFonts w:hint="eastAsia"/>
                <w:szCs w:val="21"/>
              </w:rPr>
            </w:pPr>
            <w:r>
              <w:rPr>
                <w:rFonts w:hint="eastAsia"/>
                <w:szCs w:val="21"/>
              </w:rPr>
              <w:t>（3）保函有效期低于响应有效期的；</w:t>
            </w:r>
          </w:p>
          <w:p w14:paraId="161674F3">
            <w:pPr>
              <w:spacing w:line="300" w:lineRule="exact"/>
              <w:jc w:val="left"/>
              <w:rPr>
                <w:rFonts w:hint="eastAsia"/>
                <w:szCs w:val="21"/>
              </w:rPr>
            </w:pPr>
            <w:r>
              <w:rPr>
                <w:rFonts w:hint="eastAsia"/>
                <w:szCs w:val="21"/>
              </w:rPr>
              <w:t>（4）非金融机构、担保机构出具保函的、非无条件保函的。</w:t>
            </w:r>
          </w:p>
          <w:p w14:paraId="200E0D92">
            <w:pPr>
              <w:spacing w:line="300" w:lineRule="exact"/>
              <w:jc w:val="left"/>
              <w:rPr>
                <w:szCs w:val="21"/>
              </w:rPr>
            </w:pPr>
            <w:r>
              <w:rPr>
                <w:rFonts w:hint="eastAsia"/>
                <w:szCs w:val="21"/>
              </w:rPr>
              <w:t>4、财务部联系电话：0771-2821398</w:t>
            </w:r>
          </w:p>
          <w:p w14:paraId="68CFABB6">
            <w:pPr>
              <w:spacing w:line="300" w:lineRule="exact"/>
              <w:jc w:val="left"/>
              <w:rPr>
                <w:b/>
                <w:bCs/>
                <w:szCs w:val="21"/>
              </w:rPr>
            </w:pPr>
            <w:r>
              <w:rPr>
                <w:rFonts w:hint="eastAsia"/>
                <w:b/>
                <w:bCs/>
                <w:szCs w:val="21"/>
              </w:rPr>
              <w:t>注：为保证磋商保证金退还的及时性与便利性，鼓励优先采用方式一递交磋商保证金。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rFonts w:hint="eastAsia" w:hAnsi="宋体"/>
                <w:szCs w:val="21"/>
              </w:rPr>
            </w:pPr>
            <w:r>
              <w:rPr>
                <w:rFonts w:hint="eastAsia" w:hAnsi="宋体"/>
                <w:szCs w:val="21"/>
              </w:rPr>
              <w:t>响应文件应按第六章响应文件格式分别编制并使用下载的广西政府采购云平台新版客户端制作并上传。</w:t>
            </w:r>
          </w:p>
          <w:p w14:paraId="3F605AB1">
            <w:pPr>
              <w:spacing w:line="300" w:lineRule="exact"/>
              <w:jc w:val="left"/>
              <w:rPr>
                <w:rFonts w:hint="eastAsia" w:hAnsi="宋体"/>
                <w:szCs w:val="21"/>
              </w:rPr>
            </w:pPr>
            <w:r>
              <w:rPr>
                <w:rFonts w:hint="eastAsia" w:hAnsi="宋体"/>
                <w:b/>
                <w:bCs/>
                <w:color w:val="auto"/>
                <w:szCs w:val="21"/>
              </w:rPr>
              <w:t>供应商在广西政府采购云平台新版客户端上传投标文件时，建议将整份投标文件上传至商务技术部分，避免上传错漏。</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szCs w:val="21"/>
              </w:rPr>
            </w:pPr>
            <w:r>
              <w:rPr>
                <w:rFonts w:hint="eastAsia"/>
                <w:kern w:val="0"/>
                <w:szCs w:val="21"/>
              </w:rPr>
              <w:t>见磋商公告要求</w:t>
            </w:r>
            <w:r>
              <w:rPr>
                <w:rFonts w:hint="eastAsia"/>
                <w:szCs w:val="21"/>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r>
              <w:rPr>
                <w:color w:val="000000" w:themeColor="text1"/>
                <w:sz w:val="22"/>
                <w:szCs w:val="22"/>
                <w14:textFill>
                  <w14:solidFill>
                    <w14:schemeClr w14:val="tx1"/>
                  </w14:solidFill>
                </w14:textFill>
              </w:rPr>
              <w:sym w:font="Wingdings 2" w:char="F052"/>
            </w:r>
            <w:r>
              <w:rPr>
                <w:rFonts w:hint="eastAsia"/>
                <w:color w:val="000000" w:themeColor="text1"/>
                <w:szCs w:val="21"/>
                <w14:textFill>
                  <w14:solidFill>
                    <w14:schemeClr w14:val="tx1"/>
                  </w14:solidFill>
                </w14:textFill>
              </w:rPr>
              <w:t>接受   □不接受</w:t>
            </w:r>
            <w:r>
              <w:rPr>
                <w:rFonts w:hint="eastAsia" w:ascii="宋体" w:hAnsi="宋体"/>
                <w:color w:val="000000" w:themeColor="text1"/>
                <w:szCs w:val="21"/>
                <w14:textFill>
                  <w14:solidFill>
                    <w14:schemeClr w14:val="tx1"/>
                  </w14:solidFill>
                </w14:textFill>
              </w:rPr>
              <w:t>备份响应文件</w:t>
            </w:r>
          </w:p>
          <w:p w14:paraId="58D946A3">
            <w:pPr>
              <w:spacing w:line="276" w:lineRule="auto"/>
              <w:rPr>
                <w:rFonts w:hint="eastAsia"/>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CE0EFD">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否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6F6CF42">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否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kern w:val="2"/>
                <w:sz w:val="21"/>
                <w:szCs w:val="21"/>
                <w:lang w:val="en-US" w:eastAsia="zh-CN" w:bidi="ar-SA"/>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eastAsia"/>
                <w:szCs w:val="21"/>
                <w:lang w:val="en-US" w:eastAsia="zh-CN"/>
              </w:rPr>
            </w:pPr>
            <w:r>
              <w:rPr>
                <w:rFonts w:hint="eastAsia"/>
                <w:szCs w:val="21"/>
                <w:lang w:val="en-US" w:eastAsia="zh-CN"/>
              </w:rPr>
              <w:t>异常低价审查</w:t>
            </w:r>
          </w:p>
          <w:p w14:paraId="3B634E2F">
            <w:pPr>
              <w:spacing w:line="300" w:lineRule="exact"/>
              <w:jc w:val="center"/>
              <w:rPr>
                <w:rFonts w:hint="eastAsia" w:ascii="Times New Roman" w:hAnsi="Times New Roman" w:eastAsia="宋体" w:cs="Times New Roman"/>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CF258">
            <w:pPr>
              <w:spacing w:before="120" w:line="320" w:lineRule="atLeast"/>
              <w:rPr>
                <w:rFonts w:hint="eastAsia"/>
                <w:color w:val="000000" w:themeColor="text1"/>
                <w:szCs w:val="21"/>
                <w:lang w:val="en-US" w:eastAsia="zh-CN"/>
                <w14:textFill>
                  <w14:solidFill>
                    <w14:schemeClr w14:val="tx1"/>
                  </w14:solidFill>
                </w14:textFill>
              </w:rPr>
            </w:pPr>
            <w:r>
              <w:rPr>
                <w:color w:val="000000" w:themeColor="text1"/>
                <w:sz w:val="22"/>
                <w:szCs w:val="22"/>
                <w14:textFill>
                  <w14:solidFill>
                    <w14:schemeClr w14:val="tx1"/>
                  </w14:solidFill>
                </w14:textFill>
              </w:rPr>
              <w:sym w:font="Wingdings 2" w:char="F052"/>
            </w:r>
            <w:r>
              <w:rPr>
                <w:rFonts w:hint="eastAsia"/>
                <w:color w:val="000000" w:themeColor="text1"/>
                <w:szCs w:val="21"/>
                <w14:textFill>
                  <w14:solidFill>
                    <w14:schemeClr w14:val="tx1"/>
                  </w14:solidFill>
                </w14:textFill>
              </w:rPr>
              <w:t>评审委员会认为</w:t>
            </w:r>
            <w:r>
              <w:rPr>
                <w:rFonts w:hint="eastAsia"/>
                <w:color w:val="000000" w:themeColor="text1"/>
                <w:szCs w:val="21"/>
                <w:lang w:eastAsia="zh-CN"/>
                <w14:textFill>
                  <w14:solidFill>
                    <w14:schemeClr w14:val="tx1"/>
                  </w14:solidFill>
                </w14:textFill>
              </w:rPr>
              <w:t>投标人</w:t>
            </w:r>
            <w:r>
              <w:rPr>
                <w:rFonts w:hint="eastAsia"/>
                <w:color w:val="000000" w:themeColor="text1"/>
                <w:szCs w:val="21"/>
                <w14:textFill>
                  <w14:solidFill>
                    <w14:schemeClr w14:val="tx1"/>
                  </w14:solidFill>
                </w14:textFill>
              </w:rPr>
              <w:t>的报价明显低于其他通过符合性审查</w:t>
            </w:r>
            <w:r>
              <w:rPr>
                <w:rFonts w:hint="eastAsia"/>
                <w:color w:val="000000" w:themeColor="text1"/>
                <w:szCs w:val="21"/>
                <w:lang w:eastAsia="zh-CN"/>
                <w14:textFill>
                  <w14:solidFill>
                    <w14:schemeClr w14:val="tx1"/>
                  </w14:solidFill>
                </w14:textFill>
              </w:rPr>
              <w:t>投标人</w:t>
            </w:r>
            <w:r>
              <w:rPr>
                <w:rFonts w:hint="eastAsia"/>
                <w:color w:val="000000" w:themeColor="text1"/>
                <w:szCs w:val="21"/>
                <w14:textFill>
                  <w14:solidFill>
                    <w14:schemeClr w14:val="tx1"/>
                  </w14:solidFill>
                </w14:textFill>
              </w:rPr>
              <w:t>的报价，有可能影响产品质量或者不能诚信履约的；</w:t>
            </w:r>
          </w:p>
          <w:p w14:paraId="00B62143">
            <w:pPr>
              <w:spacing w:line="300" w:lineRule="exact"/>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评审中出现下列情形之一的，评审委员会应当启动异常低价响应审查程序：</w:t>
            </w:r>
          </w:p>
          <w:p w14:paraId="12678A51">
            <w:pPr>
              <w:spacing w:line="300" w:lineRule="exact"/>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（1）响应报价低于全部通过符合性审查供应商响应报价平均值50%的，即响应报价&lt;全部通过符合性审查供应商响应报价平均值×50%；</w:t>
            </w:r>
          </w:p>
          <w:p w14:paraId="0B63B537">
            <w:pPr>
              <w:spacing w:line="300" w:lineRule="exact"/>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（2）响应报价低于通过符合性审查且报价次低供应商响应报价50%的，即响应报价&lt;通过符合性审查且报价次低供应商响应报价×50%；</w:t>
            </w:r>
          </w:p>
          <w:p w14:paraId="0E6290DB">
            <w:pPr>
              <w:spacing w:line="300" w:lineRule="exact"/>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（3）响应报价低于采购项目最高限价45%的，即响应报价&lt;采购项目最高限价×45%；</w:t>
            </w:r>
          </w:p>
          <w:p w14:paraId="073F41B2">
            <w:pPr>
              <w:spacing w:line="276" w:lineRule="auto"/>
              <w:rPr>
                <w:color w:val="000000" w:themeColor="text1"/>
                <w:kern w:val="2"/>
                <w:sz w:val="22"/>
                <w:szCs w:val="22"/>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（4）其他评审委员会认为供应商报价过低，有可能影响产品质量或者不能诚信履约的情形。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szCs w:val="21"/>
              </w:rPr>
            </w:pPr>
            <w:r>
              <w:rPr>
                <w:rFonts w:hint="eastAsia"/>
                <w:szCs w:val="21"/>
              </w:rPr>
              <w:t>采购代理机构通过广西政府采购云平台发出</w:t>
            </w:r>
            <w:r>
              <w:rPr>
                <w:szCs w:val="21"/>
              </w:rPr>
              <w:t>成交通知书。</w:t>
            </w:r>
          </w:p>
          <w:p w14:paraId="2B83F004">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1C1E1907">
            <w:pPr>
              <w:spacing w:line="300" w:lineRule="exact"/>
              <w:jc w:val="left"/>
              <w:rPr>
                <w:rFonts w:hint="eastAsia"/>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color w:val="000000" w:themeColor="text1"/>
                <w:szCs w:val="21"/>
                <w14:textFill>
                  <w14:solidFill>
                    <w14:schemeClr w14:val="tx1"/>
                  </w14:solidFill>
                </w14:textFill>
              </w:rPr>
            </w:pPr>
            <w:r>
              <w:rPr>
                <w:szCs w:val="21"/>
              </w:rPr>
              <w:t>（</w:t>
            </w:r>
            <w:r>
              <w:rPr>
                <w:color w:val="000000" w:themeColor="text1"/>
                <w:szCs w:val="21"/>
                <w14:textFill>
                  <w14:solidFill>
                    <w14:schemeClr w14:val="tx1"/>
                  </w14:solidFill>
                </w14:textFill>
              </w:rPr>
              <w:t>1）</w:t>
            </w:r>
            <w:r>
              <w:rPr>
                <w:color w:val="000000" w:themeColor="text1"/>
                <w:szCs w:val="20"/>
                <w14:textFill>
                  <w14:solidFill>
                    <w14:schemeClr w14:val="tx1"/>
                  </w14:solidFill>
                </w14:textFill>
              </w:rPr>
              <w:t>代理服务费</w:t>
            </w:r>
          </w:p>
          <w:p w14:paraId="79360631">
            <w:pPr>
              <w:spacing w:line="30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采购代理机构向成交供应商收取代理服务费。本项目代理服务费</w:t>
            </w:r>
            <w:r>
              <w:rPr>
                <w:rFonts w:hint="eastAsia"/>
                <w:color w:val="000000" w:themeColor="text1"/>
                <w:szCs w:val="21"/>
                <w14:textFill>
                  <w14:solidFill>
                    <w14:schemeClr w14:val="tx1"/>
                  </w14:solidFill>
                </w14:textFill>
              </w:rPr>
              <w:t>按照</w:t>
            </w:r>
            <w:r>
              <w:rPr>
                <w:color w:val="000000" w:themeColor="text1"/>
                <w:szCs w:val="21"/>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规定</w:t>
            </w:r>
            <w:r>
              <w:rPr>
                <w:rFonts w:hint="eastAsia"/>
                <w:color w:val="000000" w:themeColor="text1"/>
                <w:szCs w:val="21"/>
                <w14:textFill>
                  <w14:solidFill>
                    <w14:schemeClr w14:val="tx1"/>
                  </w14:solidFill>
                </w14:textFill>
              </w:rPr>
              <w:t>采用</w:t>
            </w:r>
            <w:r>
              <w:rPr>
                <w:color w:val="000000" w:themeColor="text1"/>
                <w:szCs w:val="21"/>
                <w14:textFill>
                  <w14:solidFill>
                    <w14:schemeClr w14:val="tx1"/>
                  </w14:solidFill>
                </w14:textFill>
              </w:rPr>
              <w:t>差额定率累进</w:t>
            </w:r>
            <w:r>
              <w:rPr>
                <w:rFonts w:hint="eastAsia"/>
                <w:color w:val="000000" w:themeColor="text1"/>
                <w:szCs w:val="21"/>
                <w14:textFill>
                  <w14:solidFill>
                    <w14:schemeClr w14:val="tx1"/>
                  </w14:solidFill>
                </w14:textFill>
              </w:rPr>
              <w:t>法</w:t>
            </w:r>
            <w:r>
              <w:rPr>
                <w:color w:val="000000" w:themeColor="text1"/>
                <w:szCs w:val="21"/>
                <w14:textFill>
                  <w14:solidFill>
                    <w14:schemeClr w14:val="tx1"/>
                  </w14:solidFill>
                </w14:textFill>
              </w:rPr>
              <w:t>计算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具体费率</w:t>
            </w:r>
            <w:r>
              <w:rPr>
                <w:rFonts w:hint="eastAsia"/>
                <w:color w:val="000000" w:themeColor="text1"/>
                <w:szCs w:val="21"/>
                <w14:textFill>
                  <w14:solidFill>
                    <w14:schemeClr w14:val="tx1"/>
                  </w14:solidFill>
                </w14:textFill>
              </w:rPr>
              <w:t>如下：</w:t>
            </w:r>
          </w:p>
          <w:p w14:paraId="2421DCA7">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①成交金额在1</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万元以下的：</w:t>
            </w:r>
          </w:p>
          <w:p w14:paraId="73499B63">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服务招标1.5％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工程招标1.0％</w:t>
            </w:r>
            <w:r>
              <w:rPr>
                <w:rFonts w:hint="eastAsia"/>
                <w:color w:val="000000" w:themeColor="text1"/>
                <w:szCs w:val="21"/>
                <w14:textFill>
                  <w14:solidFill>
                    <w14:schemeClr w14:val="tx1"/>
                  </w14:solidFill>
                </w14:textFill>
              </w:rPr>
              <w:t>；</w:t>
            </w:r>
          </w:p>
          <w:p w14:paraId="08E08702">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②成交金额在</w:t>
            </w:r>
            <w:r>
              <w:rPr>
                <w:color w:val="000000" w:themeColor="text1"/>
                <w:szCs w:val="21"/>
                <w14:textFill>
                  <w14:solidFill>
                    <w14:schemeClr w14:val="tx1"/>
                  </w14:solidFill>
                </w14:textFill>
              </w:rPr>
              <w:t>100-500</w:t>
            </w:r>
            <w:r>
              <w:rPr>
                <w:rFonts w:hint="eastAsia"/>
                <w:color w:val="000000" w:themeColor="text1"/>
                <w:szCs w:val="21"/>
                <w14:textFill>
                  <w14:solidFill>
                    <w14:schemeClr w14:val="tx1"/>
                  </w14:solidFill>
                </w14:textFill>
              </w:rPr>
              <w:t>万元之间：</w:t>
            </w:r>
          </w:p>
          <w:p w14:paraId="1FB80A87">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服务招标0.8％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工程招标0.7％</w:t>
            </w:r>
            <w:r>
              <w:rPr>
                <w:rFonts w:hint="eastAsia"/>
                <w:color w:val="000000" w:themeColor="text1"/>
                <w:szCs w:val="21"/>
                <w14:textFill>
                  <w14:solidFill>
                    <w14:schemeClr w14:val="tx1"/>
                  </w14:solidFill>
                </w14:textFill>
              </w:rPr>
              <w:t>；</w:t>
            </w:r>
          </w:p>
          <w:p w14:paraId="5746C03D">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③成交金额在</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r>
              <w:rPr>
                <w:rFonts w:hint="eastAsia"/>
                <w:color w:val="000000" w:themeColor="text1"/>
                <w:szCs w:val="21"/>
                <w14:textFill>
                  <w14:solidFill>
                    <w14:schemeClr w14:val="tx1"/>
                  </w14:solidFill>
                </w14:textFill>
              </w:rPr>
              <w:t>00</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万元之间：</w:t>
            </w:r>
          </w:p>
          <w:p w14:paraId="12EF95C0">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0.8％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服务招标0.45％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工程招标0.55％</w:t>
            </w:r>
            <w:r>
              <w:rPr>
                <w:rFonts w:hint="eastAsia"/>
                <w:color w:val="000000" w:themeColor="text1"/>
                <w:szCs w:val="21"/>
                <w14:textFill>
                  <w14:solidFill>
                    <w14:schemeClr w14:val="tx1"/>
                  </w14:solidFill>
                </w14:textFill>
              </w:rPr>
              <w:t>；</w:t>
            </w:r>
          </w:p>
          <w:p w14:paraId="32F870E5">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④成交金额在</w:t>
            </w:r>
            <w:r>
              <w:rPr>
                <w:color w:val="000000" w:themeColor="text1"/>
                <w:szCs w:val="21"/>
                <w14:textFill>
                  <w14:solidFill>
                    <w14:schemeClr w14:val="tx1"/>
                  </w14:solidFill>
                </w14:textFill>
              </w:rPr>
              <w:t>1000-5000</w:t>
            </w:r>
            <w:r>
              <w:rPr>
                <w:rFonts w:hint="eastAsia"/>
                <w:color w:val="000000" w:themeColor="text1"/>
                <w:szCs w:val="21"/>
                <w14:textFill>
                  <w14:solidFill>
                    <w14:schemeClr w14:val="tx1"/>
                  </w14:solidFill>
                </w14:textFill>
              </w:rPr>
              <w:t>万元之间：</w:t>
            </w:r>
          </w:p>
          <w:p w14:paraId="38145330">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0.5％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服务招标0.25％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工程招标0.35％</w:t>
            </w:r>
            <w:r>
              <w:rPr>
                <w:rFonts w:hint="eastAsia"/>
                <w:color w:val="000000" w:themeColor="text1"/>
                <w:szCs w:val="21"/>
                <w14:textFill>
                  <w14:solidFill>
                    <w14:schemeClr w14:val="tx1"/>
                  </w14:solidFill>
                </w14:textFill>
              </w:rPr>
              <w:t>；</w:t>
            </w:r>
          </w:p>
          <w:p w14:paraId="5A71CF0D">
            <w:pPr>
              <w:spacing w:line="30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14:paraId="2AF23ECE">
            <w:pPr>
              <w:spacing w:line="30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差额定率累进</w:t>
            </w:r>
            <w:r>
              <w:rPr>
                <w:rFonts w:hint="eastAsia"/>
                <w:color w:val="000000" w:themeColor="text1"/>
                <w:szCs w:val="21"/>
                <w14:textFill>
                  <w14:solidFill>
                    <w14:schemeClr w14:val="tx1"/>
                  </w14:solidFill>
                </w14:textFill>
              </w:rPr>
              <w:t>法</w:t>
            </w:r>
            <w:r>
              <w:rPr>
                <w:color w:val="000000" w:themeColor="text1"/>
                <w:szCs w:val="21"/>
                <w14:textFill>
                  <w14:solidFill>
                    <w14:schemeClr w14:val="tx1"/>
                  </w14:solidFill>
                </w14:textFill>
              </w:rPr>
              <w:t>计算</w:t>
            </w:r>
            <w:r>
              <w:rPr>
                <w:rFonts w:hint="eastAsia"/>
                <w:color w:val="000000" w:themeColor="text1"/>
                <w:szCs w:val="21"/>
                <w14:textFill>
                  <w14:solidFill>
                    <w14:schemeClr w14:val="tx1"/>
                  </w14:solidFill>
                </w14:textFill>
              </w:rPr>
              <w:t>过程示例：</w:t>
            </w:r>
          </w:p>
          <w:p w14:paraId="0CCF0EC4">
            <w:pPr>
              <w:spacing w:line="300" w:lineRule="exact"/>
              <w:jc w:val="left"/>
              <w:rPr>
                <w:szCs w:val="21"/>
              </w:rPr>
            </w:pPr>
            <w:r>
              <w:rPr>
                <w:szCs w:val="21"/>
              </w:rPr>
              <w:t>例如：某货物招标代理业务成交金额为300万元，招标代理服务费金额按如下计算：</w:t>
            </w:r>
          </w:p>
          <w:p w14:paraId="0613FC5F">
            <w:pPr>
              <w:spacing w:line="300" w:lineRule="exact"/>
              <w:jc w:val="left"/>
              <w:rPr>
                <w:szCs w:val="21"/>
              </w:rPr>
            </w:pPr>
            <w:r>
              <w:rPr>
                <w:szCs w:val="21"/>
              </w:rPr>
              <w:t>100万元×1.5%＝1.5万元</w:t>
            </w:r>
          </w:p>
          <w:p w14:paraId="0543C495">
            <w:pPr>
              <w:spacing w:line="300" w:lineRule="exact"/>
              <w:jc w:val="left"/>
              <w:rPr>
                <w:szCs w:val="21"/>
              </w:rPr>
            </w:pPr>
            <w:r>
              <w:rPr>
                <w:szCs w:val="21"/>
              </w:rPr>
              <w:t>（300－100）万元×1.1%＝2.2万元</w:t>
            </w:r>
          </w:p>
          <w:p w14:paraId="14B803B6">
            <w:pPr>
              <w:spacing w:line="300" w:lineRule="exact"/>
              <w:jc w:val="left"/>
              <w:rPr>
                <w:szCs w:val="21"/>
              </w:rPr>
            </w:pPr>
            <w:r>
              <w:rPr>
                <w:szCs w:val="21"/>
              </w:rPr>
              <w:t>合计收费＝1.5＋2.2=3.7万元</w:t>
            </w:r>
          </w:p>
          <w:p w14:paraId="131514C7">
            <w:pPr>
              <w:keepNext w:val="0"/>
              <w:keepLines w:val="0"/>
              <w:pageBreakBefore w:val="0"/>
              <w:widowControl w:val="0"/>
              <w:kinsoku/>
              <w:wordWrap w:val="0"/>
              <w:overflowPunct/>
              <w:topLinePunct w:val="0"/>
              <w:autoSpaceDE/>
              <w:autoSpaceDN/>
              <w:bidi w:val="0"/>
              <w:adjustRightInd/>
              <w:snapToGrid/>
              <w:spacing w:line="300" w:lineRule="exact"/>
              <w:jc w:val="left"/>
              <w:textAlignment w:val="auto"/>
              <w:rPr>
                <w:color w:val="auto"/>
                <w:szCs w:val="21"/>
                <w:u w:val="single"/>
              </w:rPr>
            </w:pPr>
            <w:r>
              <w:rPr>
                <w:color w:val="auto"/>
                <w:szCs w:val="21"/>
              </w:rPr>
              <w:sym w:font="Wingdings 2" w:char="0052"/>
            </w:r>
            <w:r>
              <w:rPr>
                <w:color w:val="auto"/>
                <w:szCs w:val="21"/>
              </w:rPr>
              <w:t>采购代理机构</w:t>
            </w:r>
            <w:r>
              <w:rPr>
                <w:color w:val="auto"/>
                <w:szCs w:val="20"/>
              </w:rPr>
              <w:t>向成交供应商收取代理服务费</w:t>
            </w:r>
            <w:r>
              <w:rPr>
                <w:rFonts w:hint="eastAsia"/>
                <w:color w:val="auto"/>
                <w:szCs w:val="20"/>
              </w:rPr>
              <w:t>，</w:t>
            </w:r>
            <w:r>
              <w:rPr>
                <w:color w:val="auto"/>
                <w:szCs w:val="20"/>
              </w:rPr>
              <w:t>具体金额为</w:t>
            </w:r>
            <w:r>
              <w:rPr>
                <w:rFonts w:hint="eastAsia"/>
                <w:color w:val="auto"/>
                <w:szCs w:val="20"/>
                <w:u w:val="single"/>
              </w:rPr>
              <w:t xml:space="preserve"> </w:t>
            </w:r>
            <w:r>
              <w:rPr>
                <w:rFonts w:hint="eastAsia"/>
                <w:color w:val="auto"/>
                <w:szCs w:val="20"/>
                <w:u w:val="single"/>
                <w:lang w:eastAsia="zh-CN"/>
              </w:rPr>
              <w:t>人民币贰万贰仟叁佰肆拾陆元整</w:t>
            </w:r>
            <w:r>
              <w:rPr>
                <w:rFonts w:hint="eastAsia" w:ascii="宋体" w:hAnsi="宋体" w:eastAsia="宋体" w:cs="宋体"/>
                <w:color w:val="auto"/>
                <w:szCs w:val="20"/>
                <w:highlight w:val="none"/>
                <w:u w:val="single"/>
              </w:rPr>
              <w:t>（¥</w:t>
            </w:r>
            <w:r>
              <w:rPr>
                <w:rFonts w:hint="eastAsia" w:ascii="宋体" w:hAnsi="宋体" w:cs="宋体"/>
                <w:color w:val="auto"/>
                <w:szCs w:val="20"/>
                <w:highlight w:val="none"/>
                <w:u w:val="single"/>
                <w:lang w:val="en-US" w:eastAsia="zh-CN"/>
              </w:rPr>
              <w:t>22346</w:t>
            </w:r>
            <w:r>
              <w:rPr>
                <w:rFonts w:hint="eastAsia" w:ascii="宋体" w:hAnsi="宋体" w:eastAsia="宋体" w:cs="宋体"/>
                <w:color w:val="auto"/>
                <w:szCs w:val="20"/>
                <w:highlight w:val="none"/>
                <w:u w:val="single"/>
              </w:rPr>
              <w:t>.00</w:t>
            </w:r>
            <w:r>
              <w:rPr>
                <w:rFonts w:hint="eastAsia" w:ascii="宋体" w:hAnsi="宋体" w:eastAsia="宋体" w:cs="宋体"/>
                <w:color w:val="auto"/>
                <w:szCs w:val="20"/>
                <w:highlight w:val="none"/>
                <w:u w:val="single"/>
                <w:lang w:eastAsia="zh-CN"/>
              </w:rPr>
              <w:t>）</w:t>
            </w:r>
            <w:r>
              <w:rPr>
                <w:rFonts w:hint="eastAsia" w:ascii="宋体" w:hAnsi="宋体" w:eastAsia="宋体" w:cs="宋体"/>
                <w:color w:val="auto"/>
                <w:szCs w:val="20"/>
                <w:highlight w:val="none"/>
              </w:rPr>
              <w:t>。</w:t>
            </w:r>
          </w:p>
          <w:p w14:paraId="67932184">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rFonts w:hint="eastAsia"/>
                <w:kern w:val="0"/>
                <w:szCs w:val="21"/>
              </w:rPr>
            </w:pPr>
            <w:r>
              <w:rPr>
                <w:rFonts w:hint="eastAsia"/>
                <w:kern w:val="0"/>
                <w:szCs w:val="21"/>
              </w:rPr>
              <w:t>开户银行：广西北部湾银行南宁市金湖支行</w:t>
            </w:r>
          </w:p>
          <w:p w14:paraId="497146F2">
            <w:pPr>
              <w:spacing w:line="300" w:lineRule="exact"/>
              <w:jc w:val="left"/>
              <w:rPr>
                <w:rFonts w:hint="eastAsia"/>
                <w:kern w:val="0"/>
                <w:szCs w:val="21"/>
              </w:rPr>
            </w:pPr>
            <w:r>
              <w:rPr>
                <w:rFonts w:hint="eastAsia"/>
                <w:kern w:val="0"/>
                <w:szCs w:val="21"/>
              </w:rPr>
              <w:t>（银行地址：南宁市金湖路57号文德大厦1楼）</w:t>
            </w:r>
          </w:p>
          <w:p w14:paraId="77012928">
            <w:pPr>
              <w:spacing w:line="300" w:lineRule="exact"/>
              <w:jc w:val="left"/>
              <w:rPr>
                <w:rFonts w:hint="eastAsia"/>
                <w:kern w:val="0"/>
                <w:szCs w:val="21"/>
              </w:rPr>
            </w:pPr>
            <w:r>
              <w:rPr>
                <w:rFonts w:hint="eastAsia"/>
                <w:kern w:val="0"/>
                <w:szCs w:val="21"/>
              </w:rPr>
              <w:t>开户名称：广西机电设备招标有限公司</w:t>
            </w:r>
          </w:p>
          <w:p w14:paraId="59B6D5D3">
            <w:pPr>
              <w:spacing w:line="300" w:lineRule="exact"/>
              <w:jc w:val="left"/>
              <w:rPr>
                <w:rFonts w:hint="eastAsia"/>
                <w:kern w:val="0"/>
                <w:szCs w:val="21"/>
              </w:rPr>
            </w:pPr>
            <w:r>
              <w:rPr>
                <w:rFonts w:hint="eastAsia"/>
                <w:kern w:val="0"/>
                <w:szCs w:val="21"/>
              </w:rPr>
              <w:t>银行账号：1705012090027723 (联行号 313611017053)</w:t>
            </w:r>
          </w:p>
          <w:p w14:paraId="0D50F605">
            <w:pPr>
              <w:spacing w:line="300" w:lineRule="exact"/>
              <w:jc w:val="left"/>
              <w:rPr>
                <w:rFonts w:hint="eastAsia"/>
                <w:kern w:val="0"/>
                <w:szCs w:val="21"/>
              </w:rPr>
            </w:pPr>
            <w:r>
              <w:rPr>
                <w:rFonts w:hint="eastAsia"/>
                <w:kern w:val="0"/>
                <w:szCs w:val="21"/>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3C97FD">
            <w:pPr>
              <w:spacing w:line="276" w:lineRule="auto"/>
              <w:rPr>
                <w:szCs w:val="21"/>
                <w:u w:val="single"/>
              </w:rPr>
            </w:pPr>
            <w:r>
              <w:rPr>
                <w:rFonts w:hint="eastAsia"/>
                <w:szCs w:val="21"/>
              </w:rPr>
              <w:t>无</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616494F">
            <w:pPr>
              <w:spacing w:line="276" w:lineRule="auto"/>
              <w:rPr>
                <w:szCs w:val="21"/>
                <w:u w:val="single"/>
              </w:rPr>
            </w:pPr>
            <w:r>
              <w:rPr>
                <w:rFonts w:hint="eastAsia"/>
                <w:szCs w:val="21"/>
              </w:rPr>
              <w:t>无</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szCs w:val="21"/>
              </w:rPr>
            </w:pPr>
            <w:r>
              <w:rPr>
                <w:rFonts w:hint="eastAsia"/>
                <w:szCs w:val="21"/>
              </w:rPr>
              <w:t>构成本采购文件的各个组成文件应互为解释，互为说明：</w:t>
            </w:r>
          </w:p>
          <w:p w14:paraId="576AC7CA">
            <w:pPr>
              <w:spacing w:line="276" w:lineRule="auto"/>
              <w:rPr>
                <w:rFonts w:hint="eastAsia"/>
                <w:szCs w:val="21"/>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p w14:paraId="3187CFFC">
            <w:pPr>
              <w:spacing w:line="276" w:lineRule="auto"/>
              <w:rPr>
                <w:rFonts w:hint="eastAsia"/>
                <w:szCs w:val="21"/>
              </w:rPr>
            </w:pPr>
            <w:r>
              <w:rPr>
                <w:rFonts w:hint="eastAsia"/>
                <w:b/>
                <w:bCs/>
                <w:color w:val="auto"/>
                <w:szCs w:val="21"/>
              </w:rPr>
              <w:t>成交供应商在成交后须提供两份纸质版响应文件给采购人，作为签订政府采购合同的依据，纸质版投标文件须与在广西政府采购云平台新版客户端生成的电子投标文件一致。</w:t>
            </w:r>
          </w:p>
        </w:tc>
      </w:tr>
    </w:tbl>
    <w:p w14:paraId="2D9B7C3B">
      <w:pPr>
        <w:rPr>
          <w:rFonts w:hint="eastAsia"/>
        </w:rPr>
      </w:pPr>
    </w:p>
    <w:bookmarkEnd w:id="22"/>
    <w:p w14:paraId="033D9726">
      <w:pPr>
        <w:spacing w:before="120" w:line="320" w:lineRule="atLeast"/>
        <w:outlineLvl w:val="1"/>
        <w:rPr>
          <w:b/>
          <w:bCs/>
          <w:kern w:val="0"/>
          <w:szCs w:val="21"/>
        </w:rPr>
      </w:pPr>
      <w:r>
        <w:rPr>
          <w:szCs w:val="21"/>
        </w:rPr>
        <w:br w:type="page"/>
      </w:r>
      <w:r>
        <w:rPr>
          <w:b/>
          <w:bCs/>
          <w:kern w:val="0"/>
          <w:szCs w:val="21"/>
        </w:rPr>
        <w:t>1．总则</w:t>
      </w:r>
    </w:p>
    <w:p w14:paraId="31891C82">
      <w:pPr>
        <w:spacing w:before="120" w:line="320" w:lineRule="atLeast"/>
        <w:ind w:firstLine="422" w:firstLineChars="200"/>
        <w:outlineLvl w:val="2"/>
        <w:rPr>
          <w:b/>
          <w:bCs/>
          <w:kern w:val="0"/>
          <w:szCs w:val="21"/>
        </w:rPr>
      </w:pPr>
      <w:bookmarkStart w:id="24" w:name="_Toc254970527"/>
      <w:bookmarkStart w:id="25" w:name="_Toc254970668"/>
      <w:r>
        <w:rPr>
          <w:b/>
          <w:bCs/>
          <w:kern w:val="0"/>
          <w:szCs w:val="21"/>
        </w:rPr>
        <w:t>1.1适用范围</w:t>
      </w:r>
      <w:bookmarkEnd w:id="24"/>
      <w:bookmarkEnd w:id="25"/>
    </w:p>
    <w:p w14:paraId="5BEE876B">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1324098E">
      <w:pPr>
        <w:spacing w:before="120" w:line="320" w:lineRule="atLeast"/>
        <w:ind w:firstLine="422" w:firstLineChars="200"/>
        <w:outlineLvl w:val="2"/>
        <w:rPr>
          <w:b/>
          <w:bCs/>
          <w:kern w:val="0"/>
          <w:szCs w:val="21"/>
        </w:rPr>
      </w:pPr>
      <w:bookmarkStart w:id="26" w:name="_Toc254970528"/>
      <w:bookmarkStart w:id="27" w:name="_Toc254970669"/>
      <w:r>
        <w:rPr>
          <w:b/>
          <w:bCs/>
          <w:kern w:val="0"/>
          <w:szCs w:val="21"/>
        </w:rPr>
        <w:t>1.2定义</w:t>
      </w:r>
      <w:bookmarkEnd w:id="26"/>
      <w:bookmarkEnd w:id="27"/>
    </w:p>
    <w:p w14:paraId="60914E69">
      <w:pPr>
        <w:spacing w:before="120" w:line="320" w:lineRule="atLeast"/>
        <w:ind w:firstLine="420" w:firstLineChars="200"/>
        <w:rPr>
          <w:szCs w:val="21"/>
        </w:rPr>
      </w:pPr>
      <w:r>
        <w:rPr>
          <w:szCs w:val="21"/>
        </w:rPr>
        <w:t>1.2.1“采购人”系指依法进行政府采购的国家机关、事业单位、团体组织。</w:t>
      </w:r>
    </w:p>
    <w:p w14:paraId="04FFA0A9">
      <w:pPr>
        <w:spacing w:before="120" w:line="320" w:lineRule="atLeast"/>
        <w:ind w:firstLine="420" w:firstLineChars="200"/>
        <w:rPr>
          <w:szCs w:val="21"/>
        </w:rPr>
      </w:pPr>
      <w:r>
        <w:rPr>
          <w:szCs w:val="21"/>
        </w:rPr>
        <w:t>1.2.2“供应商”系</w:t>
      </w:r>
      <w:r>
        <w:rPr>
          <w:color w:val="000000"/>
        </w:rPr>
        <w:t>指响应招标、参加投标竞争的法人、其他组织或者自然人</w:t>
      </w:r>
      <w:r>
        <w:rPr>
          <w:szCs w:val="21"/>
        </w:rPr>
        <w:t>。</w:t>
      </w:r>
    </w:p>
    <w:p w14:paraId="55A999A7">
      <w:pPr>
        <w:spacing w:before="120" w:line="360" w:lineRule="auto"/>
        <w:ind w:firstLine="420" w:firstLineChars="200"/>
        <w:rPr>
          <w:rFonts w:hint="eastAsia"/>
        </w:rPr>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0FCEFBB9">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79B56E73">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5892BBD6">
      <w:pPr>
        <w:spacing w:before="120" w:line="320" w:lineRule="atLeast"/>
        <w:ind w:firstLine="420" w:firstLineChars="200"/>
        <w:rPr>
          <w:rFonts w:hint="eastAsia"/>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4F90C754">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219A1CEA">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6ADC5877">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2CF817E7">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3613D7D9">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szCs w:val="21"/>
        </w:rPr>
      </w:pPr>
      <w:bookmarkStart w:id="28" w:name="_Hlk92205820"/>
      <w:r>
        <w:rPr>
          <w:rFonts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0771A">
      <w:pPr>
        <w:spacing w:before="120" w:line="320" w:lineRule="atLeast"/>
        <w:ind w:left="2" w:leftChars="1" w:firstLine="420" w:firstLineChars="200"/>
        <w:rPr>
          <w:szCs w:val="21"/>
        </w:rPr>
      </w:pPr>
      <w:r>
        <w:rPr>
          <w:szCs w:val="21"/>
        </w:rPr>
        <w:t>1.4.2</w:t>
      </w:r>
      <w:r>
        <w:rPr>
          <w:rFonts w:hint="eastAsia"/>
          <w:szCs w:val="21"/>
        </w:rPr>
        <w:t>中小企业定义</w:t>
      </w:r>
    </w:p>
    <w:p w14:paraId="7B8F8509">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203F6B60">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51A4821E">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6D0DA74A">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75CA8596">
      <w:pPr>
        <w:spacing w:before="120" w:line="320" w:lineRule="atLeast"/>
        <w:ind w:firstLine="420" w:firstLineChars="200"/>
        <w:rPr>
          <w:szCs w:val="21"/>
        </w:rPr>
      </w:pPr>
      <w:r>
        <w:rPr>
          <w:rFonts w:hint="eastAsia"/>
          <w:szCs w:val="21"/>
        </w:rPr>
        <w:t>（1）符合中小企业划分标准的个体工商户，视同中小企业。</w:t>
      </w:r>
    </w:p>
    <w:p w14:paraId="30347A0E">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szCs w:val="21"/>
        </w:rPr>
      </w:pPr>
      <w:r>
        <w:rPr>
          <w:rFonts w:hint="eastAsia"/>
          <w:szCs w:val="21"/>
        </w:rPr>
        <w:t>符合条件的货物制造商、工程施工单位、服务承接单位为监狱企业或残疾人福利性单位的，应按采购文件规定在响应文件中提供相关证明文件。</w:t>
      </w:r>
      <w:bookmarkEnd w:id="28"/>
    </w:p>
    <w:p w14:paraId="6510F904">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BEA4472">
      <w:pPr>
        <w:spacing w:before="120" w:line="320" w:lineRule="atLeast"/>
        <w:ind w:firstLine="420" w:firstLineChars="200"/>
        <w:rPr>
          <w:szCs w:val="21"/>
        </w:rPr>
      </w:pPr>
      <w:r>
        <w:rPr>
          <w:szCs w:val="21"/>
        </w:rPr>
        <w:t>1.5.1</w:t>
      </w:r>
      <w:r>
        <w:rPr>
          <w:rFonts w:hint="eastAsia"/>
          <w:szCs w:val="21"/>
        </w:rPr>
        <w:t>供应商资格要求：详见供应商须知前附表</w:t>
      </w:r>
    </w:p>
    <w:p w14:paraId="09FE97FF">
      <w:pPr>
        <w:spacing w:before="120" w:line="320" w:lineRule="atLeast"/>
        <w:ind w:firstLine="420" w:firstLineChars="200"/>
        <w:rPr>
          <w:szCs w:val="21"/>
        </w:rPr>
      </w:pPr>
      <w:r>
        <w:rPr>
          <w:szCs w:val="21"/>
        </w:rPr>
        <w:t>1.5.2按照磋商公告的规定获得采购文件。</w:t>
      </w:r>
    </w:p>
    <w:p w14:paraId="554E4088">
      <w:pPr>
        <w:spacing w:before="120" w:line="320" w:lineRule="atLeast"/>
        <w:ind w:firstLine="420" w:firstLineChars="200"/>
        <w:rPr>
          <w:szCs w:val="21"/>
        </w:rPr>
      </w:pPr>
      <w:r>
        <w:rPr>
          <w:szCs w:val="21"/>
        </w:rPr>
        <w:t>1.5.3本项目是否接受联合体响应，见“供应商须知前附表”规定。</w:t>
      </w:r>
    </w:p>
    <w:p w14:paraId="403DD7FC">
      <w:pPr>
        <w:spacing w:before="120" w:line="320" w:lineRule="atLeast"/>
        <w:ind w:firstLine="420" w:firstLineChars="200"/>
        <w:rPr>
          <w:szCs w:val="21"/>
        </w:rPr>
      </w:pPr>
      <w:r>
        <w:rPr>
          <w:rFonts w:hint="eastAsia"/>
          <w:szCs w:val="21"/>
        </w:rPr>
        <w:t xml:space="preserve">如接受联合体响应，联合体响应要求如下： </w:t>
      </w:r>
    </w:p>
    <w:p w14:paraId="56F17D7C">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0C1506EB">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02E1A11">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60B84B6C">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szCs w:val="21"/>
        </w:rPr>
      </w:pPr>
      <w:r>
        <w:rPr>
          <w:rFonts w:hint="eastAsia"/>
          <w:szCs w:val="21"/>
        </w:rPr>
        <w:t>（8）联合体各方均应按照采购文件的规定提交资格证明文件。</w:t>
      </w:r>
    </w:p>
    <w:p w14:paraId="6B33D3A3">
      <w:pPr>
        <w:spacing w:before="120" w:line="320" w:lineRule="atLeast"/>
        <w:ind w:firstLine="422" w:firstLineChars="200"/>
        <w:outlineLvl w:val="2"/>
        <w:rPr>
          <w:b/>
          <w:bCs/>
          <w:kern w:val="0"/>
          <w:szCs w:val="21"/>
        </w:rPr>
      </w:pPr>
      <w:bookmarkStart w:id="29" w:name="_Toc254970672"/>
      <w:bookmarkStart w:id="30" w:name="_Toc254970531"/>
      <w:r>
        <w:rPr>
          <w:b/>
          <w:bCs/>
          <w:kern w:val="0"/>
          <w:szCs w:val="21"/>
        </w:rPr>
        <w:t>1.6现场踏勘及响应费用</w:t>
      </w:r>
      <w:bookmarkEnd w:id="29"/>
      <w:bookmarkEnd w:id="30"/>
    </w:p>
    <w:p w14:paraId="708A979F">
      <w:pPr>
        <w:spacing w:before="120" w:line="320" w:lineRule="atLeast"/>
        <w:ind w:firstLine="420" w:firstLineChars="200"/>
        <w:rPr>
          <w:szCs w:val="21"/>
        </w:rPr>
      </w:pPr>
      <w:r>
        <w:rPr>
          <w:szCs w:val="21"/>
        </w:rPr>
        <w:t>1.6.1前附表如规定现场踏勘的，供应商应按规定时间地点参加踏勘。</w:t>
      </w:r>
    </w:p>
    <w:p w14:paraId="05480B27">
      <w:pPr>
        <w:spacing w:before="120" w:line="320" w:lineRule="atLeast"/>
        <w:ind w:firstLine="420" w:firstLineChars="200"/>
        <w:rPr>
          <w:szCs w:val="21"/>
        </w:rPr>
      </w:pPr>
      <w:r>
        <w:rPr>
          <w:szCs w:val="21"/>
        </w:rPr>
        <w:t>1.6.2供应商均应自行承担所有与响应有关的全部费用（采购文件有相关的规定除外）。</w:t>
      </w:r>
    </w:p>
    <w:p w14:paraId="2A3106C1">
      <w:pPr>
        <w:spacing w:before="120" w:line="320" w:lineRule="atLeast"/>
        <w:ind w:firstLine="422" w:firstLineChars="200"/>
        <w:outlineLvl w:val="2"/>
        <w:rPr>
          <w:b/>
          <w:bCs/>
          <w:kern w:val="0"/>
          <w:szCs w:val="21"/>
        </w:rPr>
      </w:pPr>
      <w:r>
        <w:rPr>
          <w:b/>
          <w:bCs/>
          <w:kern w:val="0"/>
          <w:szCs w:val="21"/>
        </w:rPr>
        <w:t>1.7转包与分包</w:t>
      </w:r>
    </w:p>
    <w:p w14:paraId="29484501">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3CBC8BD6">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kern w:val="0"/>
          <w:szCs w:val="21"/>
        </w:rPr>
      </w:pPr>
      <w:bookmarkStart w:id="31" w:name="_Toc254970532"/>
      <w:bookmarkStart w:id="32" w:name="_Toc254970673"/>
      <w:r>
        <w:rPr>
          <w:b/>
          <w:bCs/>
          <w:kern w:val="0"/>
          <w:szCs w:val="21"/>
        </w:rPr>
        <w:t>1.8特别说明</w:t>
      </w:r>
      <w:bookmarkEnd w:id="31"/>
      <w:bookmarkEnd w:id="32"/>
    </w:p>
    <w:p w14:paraId="0862C263">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629E1B2">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7A3DE1B9">
      <w:pPr>
        <w:spacing w:before="120" w:line="320" w:lineRule="atLeast"/>
        <w:ind w:left="2" w:leftChars="1" w:firstLine="422" w:firstLineChars="200"/>
        <w:outlineLvl w:val="1"/>
        <w:rPr>
          <w:b/>
          <w:bCs/>
          <w:kern w:val="0"/>
          <w:szCs w:val="21"/>
        </w:rPr>
      </w:pPr>
      <w:bookmarkStart w:id="33" w:name="_Toc254970675"/>
      <w:bookmarkStart w:id="34" w:name="_Toc254970534"/>
      <w:r>
        <w:rPr>
          <w:b/>
          <w:bCs/>
          <w:kern w:val="0"/>
          <w:szCs w:val="21"/>
        </w:rPr>
        <w:t>2．采购文件</w:t>
      </w:r>
      <w:bookmarkEnd w:id="33"/>
      <w:bookmarkEnd w:id="34"/>
    </w:p>
    <w:p w14:paraId="56D7A6D6">
      <w:pPr>
        <w:spacing w:before="120" w:line="320" w:lineRule="atLeast"/>
        <w:ind w:firstLine="422" w:firstLineChars="200"/>
        <w:outlineLvl w:val="2"/>
        <w:rPr>
          <w:b/>
          <w:bCs/>
          <w:kern w:val="0"/>
          <w:szCs w:val="21"/>
        </w:rPr>
      </w:pPr>
      <w:r>
        <w:rPr>
          <w:b/>
          <w:bCs/>
          <w:kern w:val="0"/>
          <w:szCs w:val="21"/>
        </w:rPr>
        <w:t>2.1采购文件的构成</w:t>
      </w:r>
    </w:p>
    <w:p w14:paraId="5E340189">
      <w:pPr>
        <w:spacing w:before="120" w:line="320" w:lineRule="atLeast"/>
        <w:ind w:firstLine="420" w:firstLineChars="200"/>
        <w:rPr>
          <w:szCs w:val="21"/>
        </w:rPr>
      </w:pPr>
      <w:r>
        <w:rPr>
          <w:szCs w:val="21"/>
        </w:rPr>
        <w:t>第一章 磋商公告</w:t>
      </w:r>
    </w:p>
    <w:p w14:paraId="603B673B">
      <w:pPr>
        <w:spacing w:before="120" w:line="320" w:lineRule="atLeast"/>
        <w:ind w:firstLine="420" w:firstLineChars="200"/>
        <w:rPr>
          <w:szCs w:val="21"/>
        </w:rPr>
      </w:pPr>
      <w:r>
        <w:rPr>
          <w:szCs w:val="21"/>
        </w:rPr>
        <w:t>第二章 采购需求</w:t>
      </w:r>
    </w:p>
    <w:p w14:paraId="73E754B5">
      <w:pPr>
        <w:spacing w:before="120" w:line="320" w:lineRule="atLeast"/>
        <w:ind w:firstLine="420" w:firstLineChars="200"/>
        <w:rPr>
          <w:szCs w:val="21"/>
        </w:rPr>
      </w:pPr>
      <w:r>
        <w:rPr>
          <w:szCs w:val="21"/>
        </w:rPr>
        <w:t>第三章 供应商须知</w:t>
      </w:r>
    </w:p>
    <w:p w14:paraId="1FD7A905">
      <w:pPr>
        <w:spacing w:before="120" w:line="320" w:lineRule="atLeast"/>
        <w:ind w:firstLine="420" w:firstLineChars="200"/>
        <w:rPr>
          <w:szCs w:val="21"/>
        </w:rPr>
      </w:pPr>
      <w:r>
        <w:rPr>
          <w:szCs w:val="21"/>
        </w:rPr>
        <w:t>第四章 评审方法及标准</w:t>
      </w:r>
    </w:p>
    <w:p w14:paraId="71DDF041">
      <w:pPr>
        <w:spacing w:before="120" w:line="320" w:lineRule="atLeast"/>
        <w:ind w:firstLine="420" w:firstLineChars="200"/>
        <w:rPr>
          <w:szCs w:val="21"/>
        </w:rPr>
      </w:pPr>
      <w:r>
        <w:rPr>
          <w:szCs w:val="21"/>
        </w:rPr>
        <w:t>第五章 合同主要条款格式</w:t>
      </w:r>
    </w:p>
    <w:p w14:paraId="5492420C">
      <w:pPr>
        <w:spacing w:before="120" w:line="320" w:lineRule="atLeast"/>
        <w:ind w:firstLine="420" w:firstLineChars="200"/>
        <w:rPr>
          <w:szCs w:val="21"/>
        </w:rPr>
      </w:pPr>
      <w:r>
        <w:rPr>
          <w:szCs w:val="21"/>
        </w:rPr>
        <w:t>第六章 响应文件格式</w:t>
      </w:r>
    </w:p>
    <w:p w14:paraId="3BD39CA8">
      <w:pPr>
        <w:spacing w:before="120" w:line="320" w:lineRule="atLeast"/>
        <w:ind w:firstLine="422" w:firstLineChars="200"/>
        <w:outlineLvl w:val="2"/>
        <w:rPr>
          <w:b/>
          <w:bCs/>
          <w:kern w:val="0"/>
          <w:szCs w:val="21"/>
        </w:rPr>
      </w:pPr>
      <w:r>
        <w:rPr>
          <w:b/>
          <w:bCs/>
          <w:kern w:val="0"/>
          <w:szCs w:val="21"/>
        </w:rPr>
        <w:t>2.2供应商的风险</w:t>
      </w:r>
    </w:p>
    <w:p w14:paraId="24D3259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szCs w:val="21"/>
        </w:rPr>
      </w:pPr>
      <w:r>
        <w:rPr>
          <w:b/>
          <w:bCs/>
          <w:kern w:val="0"/>
          <w:szCs w:val="21"/>
        </w:rPr>
        <w:t>2.3采购文件的澄清与修改</w:t>
      </w:r>
    </w:p>
    <w:p w14:paraId="3D2F2A05">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27DED9A6">
      <w:pPr>
        <w:spacing w:before="120" w:line="320" w:lineRule="atLeast"/>
        <w:ind w:firstLine="420" w:firstLineChars="200"/>
        <w:rPr>
          <w:rFonts w:hint="eastAsia"/>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4C139BC4">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kern w:val="0"/>
          <w:szCs w:val="21"/>
        </w:rPr>
      </w:pPr>
      <w:bookmarkStart w:id="35" w:name="_Toc254970535"/>
      <w:bookmarkStart w:id="36" w:name="_Toc254970676"/>
      <w:r>
        <w:rPr>
          <w:b/>
          <w:bCs/>
          <w:kern w:val="0"/>
          <w:szCs w:val="21"/>
        </w:rPr>
        <w:t>3．响应文件</w:t>
      </w:r>
      <w:bookmarkEnd w:id="35"/>
      <w:bookmarkEnd w:id="36"/>
    </w:p>
    <w:p w14:paraId="424FFAEA">
      <w:pPr>
        <w:spacing w:before="120" w:line="320" w:lineRule="atLeast"/>
        <w:ind w:firstLine="422" w:firstLineChars="200"/>
        <w:outlineLvl w:val="2"/>
        <w:rPr>
          <w:b/>
          <w:bCs/>
          <w:kern w:val="0"/>
          <w:szCs w:val="21"/>
        </w:rPr>
      </w:pPr>
      <w:bookmarkStart w:id="37" w:name="_Toc254970677"/>
      <w:bookmarkStart w:id="38" w:name="_Toc254970536"/>
      <w:r>
        <w:rPr>
          <w:b/>
          <w:bCs/>
          <w:kern w:val="0"/>
          <w:szCs w:val="21"/>
        </w:rPr>
        <w:t>3.1响应文件的组成</w:t>
      </w:r>
      <w:bookmarkEnd w:id="37"/>
      <w:bookmarkEnd w:id="38"/>
    </w:p>
    <w:p w14:paraId="5006F00C">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3A2FC4C0">
      <w:pPr>
        <w:spacing w:before="120" w:line="320" w:lineRule="atLeast"/>
        <w:ind w:firstLine="422" w:firstLineChars="200"/>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60061A74">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kern w:val="0"/>
          <w:szCs w:val="21"/>
        </w:rPr>
      </w:pPr>
      <w:bookmarkStart w:id="41" w:name="_Toc254970538"/>
      <w:bookmarkStart w:id="42" w:name="_Toc254970679"/>
      <w:r>
        <w:rPr>
          <w:b/>
          <w:bCs/>
          <w:kern w:val="0"/>
          <w:szCs w:val="21"/>
        </w:rPr>
        <w:t>3.3响应报价</w:t>
      </w:r>
      <w:bookmarkEnd w:id="41"/>
      <w:bookmarkEnd w:id="42"/>
    </w:p>
    <w:p w14:paraId="243313A2">
      <w:pPr>
        <w:spacing w:before="120" w:line="320" w:lineRule="atLeast"/>
        <w:ind w:firstLine="420" w:firstLineChars="200"/>
        <w:rPr>
          <w:szCs w:val="21"/>
        </w:rPr>
      </w:pPr>
      <w:r>
        <w:rPr>
          <w:szCs w:val="21"/>
        </w:rPr>
        <w:t>3.3.1响应报价应按采购文件中相关附表格式填写。</w:t>
      </w:r>
    </w:p>
    <w:p w14:paraId="5D94AFC9">
      <w:pPr>
        <w:spacing w:before="120" w:line="320" w:lineRule="atLeast"/>
        <w:ind w:firstLine="420" w:firstLineChars="200"/>
        <w:rPr>
          <w:szCs w:val="21"/>
        </w:rPr>
      </w:pPr>
      <w:r>
        <w:rPr>
          <w:szCs w:val="21"/>
        </w:rPr>
        <w:t>3.3.2响应文件只允许有一个报价，有选择的或有条件的报价将不予接受。</w:t>
      </w:r>
    </w:p>
    <w:p w14:paraId="20980138">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5C6AE565">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1FB63132">
      <w:pPr>
        <w:spacing w:before="120" w:line="320" w:lineRule="atLeast"/>
        <w:ind w:firstLine="422" w:firstLineChars="200"/>
        <w:outlineLvl w:val="2"/>
        <w:rPr>
          <w:b/>
          <w:bCs/>
          <w:kern w:val="0"/>
          <w:szCs w:val="21"/>
        </w:rPr>
      </w:pPr>
      <w:r>
        <w:rPr>
          <w:b/>
          <w:bCs/>
          <w:kern w:val="0"/>
          <w:szCs w:val="21"/>
        </w:rPr>
        <w:t>3.4响应有效期</w:t>
      </w:r>
    </w:p>
    <w:p w14:paraId="04B2D407">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9241475">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5B4AB222">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kern w:val="0"/>
          <w:szCs w:val="21"/>
        </w:rPr>
      </w:pPr>
      <w:bookmarkStart w:id="43" w:name="_Toc254970541"/>
      <w:bookmarkStart w:id="44" w:name="_Toc254970682"/>
      <w:r>
        <w:rPr>
          <w:b/>
          <w:bCs/>
          <w:kern w:val="0"/>
          <w:szCs w:val="21"/>
        </w:rPr>
        <w:t>3.5磋商保证金</w:t>
      </w:r>
      <w:bookmarkEnd w:id="43"/>
      <w:bookmarkEnd w:id="44"/>
    </w:p>
    <w:p w14:paraId="76A5BA61">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szCs w:val="21"/>
        </w:rPr>
      </w:pPr>
      <w:r>
        <w:rPr>
          <w:szCs w:val="21"/>
        </w:rPr>
        <w:t>3.5.2磋商保证金币种应与响应报价币种相同。</w:t>
      </w:r>
    </w:p>
    <w:p w14:paraId="26850CE8">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szCs w:val="21"/>
        </w:rPr>
      </w:pPr>
      <w:r>
        <w:rPr>
          <w:szCs w:val="21"/>
        </w:rPr>
        <w:t>3.5.4供应商有下列情形之一的，磋商保证金将不予退还：</w:t>
      </w:r>
    </w:p>
    <w:p w14:paraId="1A0415F0">
      <w:pPr>
        <w:numPr>
          <w:ilvl w:val="0"/>
          <w:numId w:val="29"/>
        </w:numPr>
        <w:spacing w:before="120" w:line="320" w:lineRule="atLeast"/>
        <w:rPr>
          <w:szCs w:val="21"/>
        </w:rPr>
      </w:pPr>
      <w:r>
        <w:rPr>
          <w:szCs w:val="21"/>
        </w:rPr>
        <w:t>供应商在响应有效期内撤销响应文件的；</w:t>
      </w:r>
    </w:p>
    <w:p w14:paraId="3D984973">
      <w:pPr>
        <w:numPr>
          <w:ilvl w:val="0"/>
          <w:numId w:val="29"/>
        </w:numPr>
        <w:spacing w:before="120" w:line="320" w:lineRule="atLeast"/>
        <w:rPr>
          <w:szCs w:val="21"/>
        </w:rPr>
      </w:pPr>
      <w:r>
        <w:rPr>
          <w:szCs w:val="21"/>
        </w:rPr>
        <w:t>供应商在响应过程中弄虚作假，提供虚假材料的；</w:t>
      </w:r>
    </w:p>
    <w:p w14:paraId="6FA251B6">
      <w:pPr>
        <w:numPr>
          <w:ilvl w:val="0"/>
          <w:numId w:val="29"/>
        </w:numPr>
        <w:spacing w:before="120" w:line="320" w:lineRule="atLeast"/>
        <w:rPr>
          <w:szCs w:val="21"/>
        </w:rPr>
      </w:pPr>
      <w:r>
        <w:rPr>
          <w:szCs w:val="21"/>
        </w:rPr>
        <w:t>成交供应商无正当理由不与采购人签订合同的；</w:t>
      </w:r>
    </w:p>
    <w:p w14:paraId="546288E7">
      <w:pPr>
        <w:numPr>
          <w:ilvl w:val="0"/>
          <w:numId w:val="29"/>
        </w:numPr>
        <w:spacing w:before="120" w:line="320" w:lineRule="atLeast"/>
        <w:rPr>
          <w:szCs w:val="21"/>
        </w:rPr>
      </w:pPr>
      <w:r>
        <w:rPr>
          <w:szCs w:val="21"/>
        </w:rPr>
        <w:t>将成交项目转让给他人或者在响应文件中未说明且未经采购人同意，将成交项目分包给他人的；</w:t>
      </w:r>
    </w:p>
    <w:p w14:paraId="369DC5AB">
      <w:pPr>
        <w:numPr>
          <w:ilvl w:val="0"/>
          <w:numId w:val="29"/>
        </w:numPr>
        <w:spacing w:before="120" w:line="320" w:lineRule="atLeast"/>
        <w:rPr>
          <w:szCs w:val="21"/>
        </w:rPr>
      </w:pPr>
      <w:r>
        <w:rPr>
          <w:rFonts w:hint="eastAsia"/>
          <w:szCs w:val="21"/>
        </w:rPr>
        <w:t>供应商与采购人、其他供应商或者采购代理机构恶意串通的；</w:t>
      </w:r>
    </w:p>
    <w:p w14:paraId="08A0613F">
      <w:pPr>
        <w:numPr>
          <w:ilvl w:val="0"/>
          <w:numId w:val="29"/>
        </w:numPr>
        <w:spacing w:before="120" w:line="320" w:lineRule="atLeast"/>
        <w:rPr>
          <w:szCs w:val="21"/>
        </w:rPr>
      </w:pPr>
      <w:r>
        <w:rPr>
          <w:szCs w:val="21"/>
        </w:rPr>
        <w:t>拒绝履行合同义务的；</w:t>
      </w:r>
    </w:p>
    <w:p w14:paraId="286DCE11">
      <w:pPr>
        <w:numPr>
          <w:ilvl w:val="0"/>
          <w:numId w:val="29"/>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15C03DDF">
      <w:pPr>
        <w:spacing w:before="120" w:line="320" w:lineRule="atLeast"/>
        <w:ind w:firstLine="422" w:firstLineChars="200"/>
        <w:outlineLvl w:val="2"/>
        <w:rPr>
          <w:b/>
          <w:bCs/>
          <w:kern w:val="0"/>
          <w:szCs w:val="21"/>
        </w:rPr>
      </w:pPr>
      <w:bookmarkStart w:id="45" w:name="_Toc254970683"/>
      <w:bookmarkStart w:id="46" w:name="_Toc254970542"/>
      <w:r>
        <w:rPr>
          <w:b/>
          <w:bCs/>
          <w:kern w:val="0"/>
          <w:szCs w:val="21"/>
        </w:rPr>
        <w:t>3.6响应文件的</w:t>
      </w:r>
      <w:bookmarkEnd w:id="45"/>
      <w:bookmarkEnd w:id="46"/>
      <w:r>
        <w:rPr>
          <w:b/>
          <w:bCs/>
          <w:kern w:val="0"/>
          <w:szCs w:val="21"/>
        </w:rPr>
        <w:t>编制要求</w:t>
      </w:r>
    </w:p>
    <w:p w14:paraId="6CD325AE">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795077F3">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42541D26">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6B41A96B">
      <w:pPr>
        <w:spacing w:before="120" w:line="320" w:lineRule="atLeast"/>
        <w:ind w:firstLine="422" w:firstLineChars="200"/>
        <w:outlineLvl w:val="2"/>
        <w:rPr>
          <w:b/>
          <w:bCs/>
          <w:kern w:val="0"/>
          <w:szCs w:val="21"/>
        </w:rPr>
      </w:pPr>
      <w:r>
        <w:rPr>
          <w:b/>
          <w:bCs/>
          <w:kern w:val="0"/>
          <w:szCs w:val="21"/>
        </w:rPr>
        <w:t>3.7响应文件的递交、修改和撤回</w:t>
      </w:r>
    </w:p>
    <w:p w14:paraId="50B05760">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szCs w:val="21"/>
        </w:rPr>
      </w:pPr>
      <w:bookmarkStart w:id="47" w:name="_Toc254970685"/>
      <w:bookmarkStart w:id="48"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color w:val="auto"/>
          <w:szCs w:val="21"/>
        </w:rPr>
        <w:t>供应商在同一响应文件中对某项技术、商务要求提供有选择性的响应参数或方案等同于提交两个或以上不同的响应文件。</w:t>
      </w:r>
      <w:bookmarkEnd w:id="49"/>
    </w:p>
    <w:p w14:paraId="3F9545E3">
      <w:pPr>
        <w:spacing w:before="120" w:line="320" w:lineRule="atLeast"/>
        <w:ind w:left="2" w:leftChars="1" w:firstLine="422" w:firstLineChars="200"/>
        <w:outlineLvl w:val="1"/>
        <w:rPr>
          <w:b/>
          <w:bCs/>
          <w:color w:val="auto"/>
          <w:kern w:val="0"/>
          <w:szCs w:val="21"/>
        </w:rPr>
      </w:pPr>
      <w:r>
        <w:rPr>
          <w:b/>
          <w:bCs/>
          <w:color w:val="auto"/>
          <w:kern w:val="0"/>
          <w:szCs w:val="21"/>
        </w:rPr>
        <w:t>4．截标</w:t>
      </w:r>
      <w:bookmarkEnd w:id="47"/>
      <w:bookmarkEnd w:id="48"/>
    </w:p>
    <w:p w14:paraId="794C7061">
      <w:pPr>
        <w:spacing w:before="120" w:line="320" w:lineRule="atLeast"/>
        <w:ind w:firstLine="422" w:firstLineChars="200"/>
        <w:outlineLvl w:val="2"/>
        <w:rPr>
          <w:b/>
          <w:bCs/>
          <w:kern w:val="0"/>
          <w:szCs w:val="21"/>
        </w:rPr>
      </w:pPr>
      <w:r>
        <w:rPr>
          <w:b/>
          <w:bCs/>
          <w:kern w:val="0"/>
          <w:szCs w:val="21"/>
        </w:rPr>
        <w:t>4.1截标准备</w:t>
      </w:r>
    </w:p>
    <w:p w14:paraId="6BAA310E">
      <w:pPr>
        <w:spacing w:before="120" w:line="276" w:lineRule="auto"/>
        <w:ind w:firstLine="420" w:firstLineChars="200"/>
        <w:rPr>
          <w:szCs w:val="21"/>
        </w:rPr>
      </w:pPr>
      <w:r>
        <w:rPr>
          <w:szCs w:val="21"/>
        </w:rPr>
        <w:t>本项目响应截止时间及地点见“供应商须知前附表”规定。</w:t>
      </w:r>
    </w:p>
    <w:p w14:paraId="2222E543">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0CB9ABA7">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kern w:val="0"/>
          <w:szCs w:val="21"/>
        </w:rPr>
      </w:pPr>
      <w:r>
        <w:rPr>
          <w:b/>
          <w:bCs/>
          <w:kern w:val="0"/>
          <w:szCs w:val="21"/>
        </w:rPr>
        <w:t>4.2截标程序</w:t>
      </w:r>
    </w:p>
    <w:p w14:paraId="47DB4B57">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0CF453F8">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rPr>
        <w:t>通知后供应商仍未在上述规定时间内解密响应文件</w:t>
      </w:r>
      <w:bookmarkEnd w:id="51"/>
      <w:r>
        <w:rPr>
          <w:rFonts w:hint="eastAsia"/>
          <w:szCs w:val="21"/>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1CCF0378">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7BCFD4A">
      <w:pPr>
        <w:spacing w:before="120" w:line="320" w:lineRule="atLeast"/>
        <w:ind w:firstLine="420" w:firstLineChars="200"/>
        <w:rPr>
          <w:szCs w:val="21"/>
        </w:rPr>
      </w:pPr>
      <w:r>
        <w:rPr>
          <w:szCs w:val="21"/>
        </w:rPr>
        <w:t>4.2.5截标结束。</w:t>
      </w:r>
    </w:p>
    <w:p w14:paraId="6A906B65">
      <w:pPr>
        <w:pStyle w:val="26"/>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55E9E3E8">
      <w:pPr>
        <w:spacing w:before="120" w:line="320" w:lineRule="atLeast"/>
        <w:ind w:firstLine="422" w:firstLineChars="200"/>
        <w:outlineLvl w:val="2"/>
        <w:rPr>
          <w:b/>
          <w:bCs/>
          <w:kern w:val="0"/>
          <w:szCs w:val="21"/>
        </w:rPr>
      </w:pPr>
      <w:r>
        <w:rPr>
          <w:b/>
          <w:bCs/>
          <w:kern w:val="0"/>
          <w:szCs w:val="21"/>
        </w:rPr>
        <w:t>4.3演示</w:t>
      </w:r>
    </w:p>
    <w:p w14:paraId="22BA3632">
      <w:pPr>
        <w:spacing w:before="120" w:line="320" w:lineRule="atLeast"/>
        <w:ind w:firstLine="420" w:firstLineChars="200"/>
        <w:rPr>
          <w:szCs w:val="21"/>
        </w:rPr>
      </w:pPr>
      <w:r>
        <w:rPr>
          <w:szCs w:val="21"/>
        </w:rPr>
        <w:t>4.3.1“供应商须知前附表”规定在截标会议结束后进行演示的，供应商应按规定进行演示。</w:t>
      </w:r>
    </w:p>
    <w:p w14:paraId="7C3ED0E3">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7071EA34">
      <w:pPr>
        <w:spacing w:before="120" w:line="320" w:lineRule="atLeast"/>
        <w:ind w:firstLine="422" w:firstLineChars="200"/>
        <w:outlineLvl w:val="2"/>
        <w:rPr>
          <w:szCs w:val="21"/>
        </w:rPr>
      </w:pPr>
      <w:r>
        <w:rPr>
          <w:b/>
          <w:bCs/>
          <w:kern w:val="0"/>
          <w:szCs w:val="21"/>
        </w:rPr>
        <w:t>4.4样品</w:t>
      </w:r>
    </w:p>
    <w:p w14:paraId="65A26316">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5B1247B2">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266FF001">
      <w:pPr>
        <w:spacing w:before="120" w:line="320" w:lineRule="atLeast"/>
        <w:ind w:firstLine="420" w:firstLineChars="200"/>
        <w:rPr>
          <w:szCs w:val="21"/>
        </w:rPr>
      </w:pPr>
      <w:bookmarkStart w:id="53" w:name="_Toc254970545"/>
      <w:bookmarkStart w:id="54" w:name="_Toc254970686"/>
      <w:r>
        <w:rPr>
          <w:szCs w:val="21"/>
        </w:rPr>
        <w:t>4.4.3样品封存或退还的说明请见第六章响应文件格式所附样品递交表。</w:t>
      </w:r>
    </w:p>
    <w:p w14:paraId="4485B3B5">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25ACEB3E">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7F02DF8A">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color w:val="000000"/>
        </w:rPr>
        <w:t>（注：广西政府采购云平台已与“信用中国”平台做接口</w:t>
      </w:r>
      <w:r>
        <w:rPr>
          <w:rFonts w:hint="eastAsia" w:hAnsi="宋体"/>
        </w:rPr>
        <w:t>，可直接在线查询）</w:t>
      </w:r>
    </w:p>
    <w:p w14:paraId="226EA991">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kern w:val="0"/>
          <w:szCs w:val="21"/>
        </w:rPr>
      </w:pPr>
      <w:r>
        <w:rPr>
          <w:b/>
          <w:bCs/>
          <w:kern w:val="0"/>
          <w:szCs w:val="21"/>
        </w:rPr>
        <w:t>6．评审</w:t>
      </w:r>
    </w:p>
    <w:bookmarkEnd w:id="53"/>
    <w:bookmarkEnd w:id="54"/>
    <w:p w14:paraId="2D0FF68B">
      <w:pPr>
        <w:spacing w:before="120" w:line="320" w:lineRule="atLeast"/>
        <w:ind w:firstLine="422" w:firstLineChars="200"/>
        <w:outlineLvl w:val="2"/>
        <w:rPr>
          <w:b/>
          <w:bCs/>
          <w:kern w:val="0"/>
          <w:szCs w:val="21"/>
        </w:rPr>
      </w:pPr>
      <w:r>
        <w:rPr>
          <w:b/>
          <w:bCs/>
          <w:kern w:val="0"/>
          <w:szCs w:val="21"/>
        </w:rPr>
        <w:t>6.1组建磋商小组</w:t>
      </w:r>
    </w:p>
    <w:p w14:paraId="37AF944C">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6F2AF47A">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7F1CBE66">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7A276E14">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FF51EFF">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7F1C0DF0">
      <w:pPr>
        <w:spacing w:before="120" w:line="320" w:lineRule="atLeast"/>
        <w:ind w:firstLine="420" w:firstLineChars="200"/>
      </w:pPr>
      <w:r>
        <w:t>6.</w:t>
      </w:r>
      <w:bookmarkStart w:id="55" w:name="_Hlk80956880"/>
      <w:bookmarkStart w:id="56" w:name="_Hlk19175507"/>
      <w:r>
        <w:t>3.1</w:t>
      </w:r>
      <w:r>
        <w:rPr>
          <w:rFonts w:hint="eastAsia"/>
        </w:rPr>
        <w:t>符合性审查</w:t>
      </w:r>
    </w:p>
    <w:p w14:paraId="22EE26DC">
      <w:pPr>
        <w:spacing w:before="120" w:line="320" w:lineRule="atLeast"/>
        <w:ind w:firstLine="420" w:firstLineChars="200"/>
        <w:rPr>
          <w:szCs w:val="21"/>
        </w:rPr>
      </w:pPr>
      <w:r>
        <w:rPr>
          <w:bCs/>
          <w:kern w:val="1"/>
          <w:szCs w:val="21"/>
        </w:rPr>
        <w:t>资格审查结束后，</w:t>
      </w:r>
      <w:r>
        <w:rPr>
          <w:rFonts w:hint="eastAsia" w:hAnsi="宋体"/>
          <w:color w:val="000000"/>
        </w:rPr>
        <w:t>磋商小组对</w:t>
      </w:r>
      <w:r>
        <w:t>通过资格审查的供应商</w:t>
      </w:r>
      <w:r>
        <w:rPr>
          <w:rFonts w:hint="eastAsia" w:hAnsi="宋体"/>
          <w:color w:val="000000"/>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7D51EEE1">
      <w:pPr>
        <w:spacing w:before="120" w:line="320" w:lineRule="atLeast"/>
        <w:ind w:firstLine="420" w:firstLineChars="200"/>
        <w:rPr>
          <w:szCs w:val="21"/>
        </w:rPr>
      </w:pPr>
      <w:r>
        <w:rPr>
          <w:rFonts w:hint="eastAsia"/>
          <w:szCs w:val="21"/>
        </w:rPr>
        <w:t>6</w:t>
      </w:r>
      <w:r>
        <w:rPr>
          <w:szCs w:val="21"/>
        </w:rPr>
        <w:t>.3.2</w:t>
      </w:r>
      <w:r>
        <w:rPr>
          <w:rFonts w:hAnsi="宋体"/>
          <w:color w:val="000000"/>
        </w:rPr>
        <w:t>强制性</w:t>
      </w:r>
      <w:r>
        <w:rPr>
          <w:szCs w:val="21"/>
        </w:rPr>
        <w:t>采购要求</w:t>
      </w:r>
      <w:r>
        <w:rPr>
          <w:rFonts w:hint="eastAsia"/>
          <w:szCs w:val="21"/>
        </w:rPr>
        <w:t>（仅适用于货物采购项目）</w:t>
      </w:r>
    </w:p>
    <w:p w14:paraId="2345C843">
      <w:pPr>
        <w:suppressAutoHyphens/>
        <w:spacing w:before="120" w:line="320" w:lineRule="atLeast"/>
        <w:ind w:firstLine="422" w:firstLineChars="201"/>
        <w:rPr>
          <w:szCs w:val="21"/>
        </w:rPr>
      </w:pPr>
      <w:bookmarkStart w:id="57" w:name="_Hlk47714684"/>
      <w:r>
        <w:rPr>
          <w:rFonts w:hint="eastAsia"/>
          <w:szCs w:val="21"/>
        </w:rPr>
        <w:t>（1）</w:t>
      </w:r>
      <w:bookmarkEnd w:id="57"/>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szCs w:val="21"/>
        </w:rPr>
      </w:pPr>
      <w:bookmarkStart w:id="58"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lang w:eastAsia="zh-CN"/>
        </w:rPr>
        <w:t>“</w:t>
      </w:r>
      <w:r>
        <w:rPr>
          <w:rFonts w:hint="eastAsia"/>
          <w:szCs w:val="21"/>
          <w:lang w:val="en-US" w:eastAsia="zh-CN"/>
        </w:rPr>
        <w:t>网络安全专用产品”内“产品类别”</w:t>
      </w:r>
      <w:r>
        <w:rPr>
          <w:rFonts w:hint="eastAsia"/>
          <w:szCs w:val="21"/>
        </w:rPr>
        <w:t>共</w:t>
      </w:r>
      <w:r>
        <w:rPr>
          <w:rFonts w:hint="eastAsia"/>
          <w:szCs w:val="21"/>
          <w:lang w:val="en-US" w:eastAsia="zh-CN"/>
        </w:rPr>
        <w:t>34</w:t>
      </w:r>
      <w:r>
        <w:rPr>
          <w:rFonts w:hint="eastAsia"/>
          <w:szCs w:val="21"/>
        </w:rPr>
        <w:t>类：数据备份与恢复产品、防火墙、入侵检测系统（I</w:t>
      </w:r>
      <w:r>
        <w:rPr>
          <w:szCs w:val="21"/>
        </w:rPr>
        <w:t>DS</w:t>
      </w:r>
      <w:r>
        <w:rPr>
          <w:rFonts w:hint="eastAsia"/>
          <w:szCs w:val="21"/>
        </w:rPr>
        <w:t>）、入侵防御系统（</w:t>
      </w:r>
      <w:r>
        <w:rPr>
          <w:szCs w:val="21"/>
        </w:rPr>
        <w:t>IPS</w:t>
      </w:r>
      <w:r>
        <w:rPr>
          <w:rFonts w:hint="eastAsia"/>
          <w:szCs w:val="21"/>
        </w:rPr>
        <w:t>）、</w:t>
      </w:r>
      <w:r>
        <w:rPr>
          <w:rFonts w:hint="eastAsia"/>
          <w:szCs w:val="21"/>
          <w:lang w:val="en-US" w:eastAsia="zh-CN"/>
        </w:rPr>
        <w:t>网络和终端隔离产品</w:t>
      </w:r>
      <w:r>
        <w:rPr>
          <w:rFonts w:hint="eastAsia"/>
          <w:szCs w:val="21"/>
        </w:rPr>
        <w:t>、反垃圾邮件产品、网络综合审计</w:t>
      </w:r>
      <w:r>
        <w:rPr>
          <w:rFonts w:hint="eastAsia"/>
          <w:szCs w:val="21"/>
          <w:lang w:val="en-US" w:eastAsia="zh-CN"/>
        </w:rPr>
        <w:t>产品</w:t>
      </w:r>
      <w:r>
        <w:rPr>
          <w:rFonts w:hint="eastAsia"/>
          <w:szCs w:val="21"/>
        </w:rPr>
        <w:t>、网络脆弱性扫描产品、安全数据库系统、网站恢复产品</w:t>
      </w:r>
      <w:r>
        <w:rPr>
          <w:rFonts w:hint="eastAsia"/>
          <w:szCs w:val="21"/>
          <w:lang w:eastAsia="zh-CN"/>
        </w:rPr>
        <w:t>、</w:t>
      </w:r>
      <w:r>
        <w:rPr>
          <w:rFonts w:hint="eastAsia"/>
          <w:szCs w:val="21"/>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pPr>
      <w:r>
        <w:t>6.3.3澄清、说明或补正</w:t>
      </w:r>
    </w:p>
    <w:p w14:paraId="11A89751">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pPr>
      <w:r>
        <w:t>6.3.4</w:t>
      </w:r>
      <w:r>
        <w:rPr>
          <w:rFonts w:hint="eastAsia"/>
        </w:rPr>
        <w:t>报价</w:t>
      </w:r>
      <w:r>
        <w:t>修正</w:t>
      </w:r>
    </w:p>
    <w:p w14:paraId="408C4C6E">
      <w:pPr>
        <w:spacing w:before="120" w:line="320" w:lineRule="atLeast"/>
        <w:ind w:firstLine="420" w:firstLineChars="200"/>
      </w:pPr>
      <w:r>
        <w:rPr>
          <w:rFonts w:hint="eastAsia"/>
        </w:rPr>
        <w:t>（1）报价出现前后不一致的，按照下列规定修正：</w:t>
      </w:r>
    </w:p>
    <w:p w14:paraId="26F65C62">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36CCA591">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3C2149EE">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2DB37C98">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357D4F44">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2EE59561">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67129933">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5258A885">
      <w:pPr>
        <w:spacing w:before="120" w:line="320" w:lineRule="atLeast"/>
        <w:ind w:firstLine="420" w:firstLineChars="200"/>
        <w:rPr>
          <w:rFonts w:hint="eastAsia"/>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5E7F82FF">
      <w:pPr>
        <w:spacing w:before="120" w:line="320" w:lineRule="atLeast"/>
        <w:ind w:firstLine="420" w:firstLineChars="200"/>
        <w:rPr>
          <w:rFonts w:hint="eastAsia"/>
          <w:szCs w:val="21"/>
          <w:lang w:val="en-US" w:eastAsia="zh-CN"/>
        </w:rPr>
      </w:pPr>
      <w:r>
        <w:rPr>
          <w:rFonts w:hint="eastAsia"/>
          <w:szCs w:val="21"/>
          <w:lang w:val="en-US" w:eastAsia="zh-CN"/>
        </w:rPr>
        <w:t>6.3.5异常低价审查</w:t>
      </w:r>
    </w:p>
    <w:p w14:paraId="1565AC64">
      <w:pPr>
        <w:spacing w:before="120" w:line="320" w:lineRule="atLeast"/>
        <w:ind w:firstLine="420" w:firstLineChars="200"/>
        <w:rPr>
          <w:szCs w:val="21"/>
        </w:rPr>
      </w:pPr>
      <w:r>
        <w:rPr>
          <w:szCs w:val="21"/>
        </w:rPr>
        <w:t>本项目</w:t>
      </w:r>
      <w:r>
        <w:rPr>
          <w:rFonts w:hint="eastAsia"/>
          <w:szCs w:val="21"/>
          <w:lang w:val="en-US" w:eastAsia="zh-CN"/>
        </w:rPr>
        <w:t>异常低价审查情形见</w:t>
      </w:r>
      <w:r>
        <w:rPr>
          <w:szCs w:val="21"/>
        </w:rPr>
        <w:t>“</w:t>
      </w:r>
      <w:r>
        <w:rPr>
          <w:rFonts w:hint="eastAsia"/>
          <w:szCs w:val="21"/>
          <w:lang w:eastAsia="zh-CN"/>
        </w:rPr>
        <w:t>投标人须知</w:t>
      </w:r>
      <w:r>
        <w:rPr>
          <w:szCs w:val="21"/>
        </w:rPr>
        <w:t>前附表”规定。</w:t>
      </w:r>
    </w:p>
    <w:p w14:paraId="417E249F">
      <w:pPr>
        <w:numPr>
          <w:ilvl w:val="0"/>
          <w:numId w:val="0"/>
        </w:numPr>
        <w:spacing w:before="120" w:line="320" w:lineRule="atLeast"/>
        <w:ind w:firstLine="420" w:firstLineChars="200"/>
        <w:rPr>
          <w:rFonts w:hint="eastAsia"/>
          <w:szCs w:val="21"/>
          <w:lang w:val="en-US" w:eastAsia="zh-CN"/>
        </w:rPr>
      </w:pPr>
      <w:r>
        <w:rPr>
          <w:rFonts w:hint="eastAsia"/>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pPr>
        <w:spacing w:before="120" w:line="320" w:lineRule="atLeast"/>
        <w:ind w:firstLine="420" w:firstLineChars="200"/>
        <w:rPr>
          <w:rFonts w:hint="eastAsia"/>
          <w:szCs w:val="21"/>
        </w:rPr>
      </w:pPr>
      <w:r>
        <w:rPr>
          <w:rFonts w:hint="eastAsia"/>
          <w:szCs w:val="21"/>
        </w:rPr>
        <w:t>书面证明应当按照上述“</w:t>
      </w:r>
      <w:r>
        <w:rPr>
          <w:szCs w:val="21"/>
        </w:rPr>
        <w:t>6.3.3</w:t>
      </w:r>
      <w:r>
        <w:rPr>
          <w:rFonts w:hint="eastAsia"/>
          <w:szCs w:val="21"/>
        </w:rPr>
        <w:t>澄清、说明或补正”的规定提交。</w:t>
      </w:r>
      <w:r>
        <w:rPr>
          <w:rFonts w:hint="eastAsia"/>
          <w:szCs w:val="21"/>
          <w:lang w:val="en-US" w:eastAsia="zh-CN"/>
        </w:rPr>
        <w:t>如果响应供应商未按规定提供书面说明、证明材料，或者提供的书面说明、证明材料不能证明其报价合理性的</w:t>
      </w:r>
      <w:r>
        <w:rPr>
          <w:rFonts w:hint="eastAsia"/>
          <w:szCs w:val="21"/>
        </w:rPr>
        <w:t>，评审委员会应当将其作为无效投标处理。</w:t>
      </w:r>
    </w:p>
    <w:p w14:paraId="27224172">
      <w:pPr>
        <w:spacing w:before="120" w:line="320" w:lineRule="atLeast"/>
        <w:ind w:firstLine="420" w:firstLineChars="200"/>
        <w:rPr>
          <w:szCs w:val="21"/>
        </w:rPr>
      </w:pPr>
      <w:r>
        <w:rPr>
          <w:rFonts w:hint="eastAsia"/>
          <w:szCs w:val="21"/>
        </w:rPr>
        <w:t>6</w:t>
      </w:r>
      <w:r>
        <w:rPr>
          <w:szCs w:val="21"/>
        </w:rPr>
        <w:t>.3.</w:t>
      </w:r>
      <w:r>
        <w:rPr>
          <w:rFonts w:hint="eastAsia"/>
          <w:szCs w:val="21"/>
          <w:lang w:val="en-US" w:eastAsia="zh-CN"/>
        </w:rPr>
        <w:t>6</w:t>
      </w:r>
      <w:r>
        <w:rPr>
          <w:rFonts w:hint="eastAsia"/>
          <w:szCs w:val="21"/>
        </w:rPr>
        <w:t>相同品牌认定（仅适用于货物采购项目）</w:t>
      </w:r>
    </w:p>
    <w:p w14:paraId="5DBEB1E5">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7B6B595F">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35AAEF70">
      <w:pPr>
        <w:spacing w:before="120" w:line="320" w:lineRule="atLeast"/>
        <w:ind w:firstLine="420" w:firstLineChars="200"/>
        <w:rPr>
          <w:rFonts w:hint="eastAsia"/>
        </w:rPr>
      </w:pPr>
      <w:r>
        <w:t>6.3.</w:t>
      </w:r>
      <w:r>
        <w:rPr>
          <w:rFonts w:hint="eastAsia"/>
          <w:lang w:val="en-US" w:eastAsia="zh-CN"/>
        </w:rPr>
        <w:t>7</w:t>
      </w:r>
      <w:r>
        <w:rPr>
          <w:rFonts w:hint="eastAsia"/>
        </w:rPr>
        <w:t>磋商</w:t>
      </w:r>
    </w:p>
    <w:p w14:paraId="27204F00">
      <w:pPr>
        <w:spacing w:before="120" w:line="320" w:lineRule="atLeast"/>
        <w:ind w:firstLine="420" w:firstLineChars="200"/>
        <w:rPr>
          <w:rFonts w:hint="eastAsia"/>
        </w:rPr>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rPr>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pPr>
      <w:r>
        <w:rPr>
          <w:rFonts w:hint="eastAsia"/>
        </w:rPr>
        <w:t>6</w:t>
      </w:r>
      <w:r>
        <w:t>.3.</w:t>
      </w:r>
      <w:r>
        <w:rPr>
          <w:rFonts w:hint="eastAsia"/>
          <w:lang w:val="en-US" w:eastAsia="zh-CN"/>
        </w:rPr>
        <w:t>8</w:t>
      </w:r>
      <w:r>
        <w:rPr>
          <w:rFonts w:hint="eastAsia"/>
        </w:rPr>
        <w:t>最后报价</w:t>
      </w:r>
    </w:p>
    <w:p w14:paraId="4F9E48F2">
      <w:pPr>
        <w:spacing w:before="120" w:line="320" w:lineRule="atLeast"/>
        <w:ind w:firstLine="420" w:firstLineChars="200"/>
        <w:rPr>
          <w:rFonts w:hint="eastAsia"/>
        </w:rPr>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rPr>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pPr>
      <w:r>
        <w:rPr>
          <w:rFonts w:hint="eastAsia"/>
        </w:rPr>
        <w:t>最后报价是供应商响应文件的有效组成部分。</w:t>
      </w:r>
    </w:p>
    <w:p w14:paraId="2937C997">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rPr>
      </w:pPr>
      <w:r>
        <w:rPr>
          <w:rFonts w:hint="eastAsia"/>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rPr>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rPr>
      </w:pPr>
      <w:r>
        <w:rPr>
          <w:rFonts w:hint="eastAsia"/>
        </w:rPr>
        <w:t>（5）供应商未在规定时间内提交最后报价的，视同退出磋商。</w:t>
      </w:r>
    </w:p>
    <w:p w14:paraId="00E6FE0C">
      <w:pPr>
        <w:spacing w:before="120" w:line="320" w:lineRule="atLeast"/>
        <w:ind w:firstLine="420" w:firstLineChars="200"/>
      </w:pPr>
      <w:r>
        <w:rPr>
          <w:rFonts w:hint="eastAsia"/>
        </w:rPr>
        <w:t>（6）最后报价结束后，磋商小组不得再与供应商进行任何形式的商谈。</w:t>
      </w:r>
    </w:p>
    <w:p w14:paraId="252C606F">
      <w:pPr>
        <w:spacing w:before="120" w:line="320" w:lineRule="atLeast"/>
        <w:ind w:firstLine="420" w:firstLineChars="200"/>
        <w:rPr>
          <w:szCs w:val="21"/>
        </w:rPr>
      </w:pPr>
      <w:r>
        <w:rPr>
          <w:szCs w:val="21"/>
        </w:rPr>
        <w:t>6.3.</w:t>
      </w:r>
      <w:r>
        <w:rPr>
          <w:rFonts w:hint="eastAsia"/>
          <w:szCs w:val="21"/>
          <w:lang w:val="en-US" w:eastAsia="zh-CN"/>
        </w:rPr>
        <w:t>9</w:t>
      </w:r>
      <w:r>
        <w:rPr>
          <w:szCs w:val="21"/>
        </w:rPr>
        <w:t>串通投标认定</w:t>
      </w:r>
    </w:p>
    <w:p w14:paraId="2990BDC6">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47A8A8A9">
      <w:pPr>
        <w:spacing w:before="120" w:line="320" w:lineRule="atLeast"/>
        <w:ind w:firstLine="420" w:firstLineChars="200"/>
        <w:rPr>
          <w:szCs w:val="21"/>
        </w:rPr>
      </w:pPr>
      <w:bookmarkStart w:id="59" w:name="_Hlk19122026"/>
      <w:r>
        <w:rPr>
          <w:rFonts w:hint="eastAsia"/>
          <w:szCs w:val="21"/>
        </w:rPr>
        <w:t>（1）</w:t>
      </w:r>
      <w:bookmarkEnd w:id="59"/>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76DB5ADD">
      <w:pPr>
        <w:spacing w:before="120" w:line="320" w:lineRule="atLeast"/>
        <w:ind w:firstLine="420" w:firstLineChars="200"/>
        <w:rPr>
          <w:szCs w:val="21"/>
        </w:rPr>
      </w:pPr>
      <w:bookmarkStart w:id="6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1A2E93E9">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3E233425">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0"/>
    <w:p w14:paraId="432C751F">
      <w:pPr>
        <w:spacing w:before="120" w:line="320" w:lineRule="atLeast"/>
        <w:ind w:firstLine="420" w:firstLineChars="200"/>
        <w:rPr>
          <w:szCs w:val="21"/>
        </w:rPr>
      </w:pPr>
      <w:bookmarkStart w:id="61" w:name="_Hlk19122058"/>
      <w:r>
        <w:rPr>
          <w:rFonts w:hint="eastAsia"/>
          <w:szCs w:val="21"/>
        </w:rPr>
        <w:t>（2）</w:t>
      </w:r>
      <w:bookmarkEnd w:id="61"/>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规定，有下列情形之一的视为供应商相互串通投标，响应文件将被视为无效。</w:t>
      </w:r>
    </w:p>
    <w:p w14:paraId="7D21FA2E">
      <w:pPr>
        <w:spacing w:before="120" w:line="320" w:lineRule="atLeast"/>
        <w:ind w:firstLine="420" w:firstLineChars="200"/>
        <w:rPr>
          <w:szCs w:val="21"/>
        </w:rPr>
      </w:pPr>
      <w:bookmarkStart w:id="62" w:name="_Hlk19122048"/>
      <w:r>
        <w:rPr>
          <w:rFonts w:hint="eastAsia" w:ascii="宋体" w:hAnsi="宋体" w:cs="宋体"/>
          <w:szCs w:val="21"/>
        </w:rPr>
        <w:t>①</w:t>
      </w:r>
      <w:r>
        <w:rPr>
          <w:szCs w:val="21"/>
        </w:rPr>
        <w:t>不同供应商的响应文件由同一单位或者个人编制；或不同供应商报名的IP地址一致的；</w:t>
      </w:r>
    </w:p>
    <w:p w14:paraId="1FE1173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50549E99">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5A7D5FA0">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0F6749C6">
      <w:pPr>
        <w:spacing w:before="120" w:line="320" w:lineRule="atLeast"/>
        <w:ind w:firstLine="420" w:firstLineChars="200"/>
        <w:rPr>
          <w:szCs w:val="21"/>
        </w:rPr>
      </w:pPr>
      <w:r>
        <w:rPr>
          <w:rFonts w:hint="eastAsia"/>
          <w:szCs w:val="21"/>
        </w:rPr>
        <w:t>⑤</w:t>
      </w:r>
      <w:r>
        <w:rPr>
          <w:szCs w:val="21"/>
        </w:rPr>
        <w:t>不同供应商的响应文件相互混装；</w:t>
      </w:r>
    </w:p>
    <w:p w14:paraId="02935C70">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2"/>
    <w:p w14:paraId="16632645">
      <w:pPr>
        <w:spacing w:before="120" w:line="320" w:lineRule="atLeast"/>
        <w:ind w:firstLine="420" w:firstLineChars="200"/>
        <w:rPr>
          <w:szCs w:val="21"/>
        </w:rPr>
      </w:pPr>
      <w:bookmarkStart w:id="63" w:name="_Hlk19122102"/>
      <w:r>
        <w:rPr>
          <w:rFonts w:hint="eastAsia"/>
          <w:szCs w:val="21"/>
        </w:rPr>
        <w:t>（3）</w:t>
      </w:r>
      <w:bookmarkEnd w:id="63"/>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规定，供应商有下列情形之一的，属于恶意串通行为，响应文件将被视为无效。</w:t>
      </w:r>
    </w:p>
    <w:p w14:paraId="44684C9B">
      <w:pPr>
        <w:spacing w:before="120" w:line="320" w:lineRule="atLeast"/>
        <w:ind w:firstLine="420" w:firstLineChars="20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02CE141D">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p>
    <w:p w14:paraId="2DBE63A3">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1943CB7E">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DD70255">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3D1A3C46">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4"/>
    <w:p w14:paraId="20A09357">
      <w:pPr>
        <w:spacing w:before="120" w:line="320" w:lineRule="atLeast"/>
        <w:ind w:firstLine="420" w:firstLineChars="200"/>
        <w:rPr>
          <w:szCs w:val="21"/>
        </w:rPr>
      </w:pPr>
      <w:r>
        <w:rPr>
          <w:szCs w:val="21"/>
        </w:rPr>
        <w:t>6.3.</w:t>
      </w:r>
      <w:r>
        <w:rPr>
          <w:rFonts w:hint="eastAsia"/>
          <w:szCs w:val="21"/>
          <w:lang w:val="en-US" w:eastAsia="zh-CN"/>
        </w:rPr>
        <w:t>10</w:t>
      </w:r>
      <w:r>
        <w:rPr>
          <w:szCs w:val="21"/>
        </w:rPr>
        <w:t>响应</w:t>
      </w:r>
      <w:r>
        <w:rPr>
          <w:rFonts w:hint="eastAsia"/>
          <w:szCs w:val="21"/>
        </w:rPr>
        <w:t>无效</w:t>
      </w:r>
      <w:r>
        <w:rPr>
          <w:szCs w:val="21"/>
        </w:rPr>
        <w:t>认定</w:t>
      </w:r>
    </w:p>
    <w:p w14:paraId="105A21D3">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67C6A24F">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0BB2894C">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7B6A3D0">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463FA828">
      <w:pPr>
        <w:spacing w:before="120" w:line="320" w:lineRule="atLeast"/>
        <w:ind w:firstLine="420" w:firstLineChars="200"/>
        <w:rPr>
          <w:szCs w:val="21"/>
        </w:rPr>
      </w:pPr>
      <w:bookmarkStart w:id="66" w:name="_Hlk19113363"/>
      <w:r>
        <w:rPr>
          <w:szCs w:val="21"/>
        </w:rPr>
        <w:t>6.3.1</w:t>
      </w:r>
      <w:r>
        <w:rPr>
          <w:rFonts w:hint="eastAsia"/>
          <w:szCs w:val="21"/>
          <w:lang w:val="en-US" w:eastAsia="zh-CN"/>
        </w:rPr>
        <w:t>1</w:t>
      </w:r>
      <w:r>
        <w:rPr>
          <w:szCs w:val="21"/>
        </w:rPr>
        <w:t>比较与评价</w:t>
      </w:r>
    </w:p>
    <w:p w14:paraId="76A87349">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1092593B">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6699CEA6">
      <w:pPr>
        <w:spacing w:before="120" w:line="320" w:lineRule="atLeast"/>
        <w:ind w:firstLine="420" w:firstLineChars="200"/>
        <w:rPr>
          <w:rFonts w:hint="eastAsia"/>
          <w:color w:val="auto"/>
          <w:szCs w:val="21"/>
        </w:rPr>
      </w:pPr>
      <w:r>
        <w:rPr>
          <w:rFonts w:hint="eastAsia"/>
          <w:szCs w:val="21"/>
        </w:rPr>
        <w:t>（3）磋</w:t>
      </w:r>
      <w:r>
        <w:rPr>
          <w:rFonts w:hint="eastAsia"/>
          <w:color w:val="auto"/>
          <w:szCs w:val="21"/>
        </w:rPr>
        <w:t>商小组按综合评分由高到低的排列顺序推荐</w:t>
      </w:r>
      <w:r>
        <w:rPr>
          <w:color w:val="auto"/>
          <w:szCs w:val="21"/>
        </w:rPr>
        <w:t>3</w:t>
      </w:r>
      <w:r>
        <w:rPr>
          <w:rFonts w:hint="eastAsia"/>
          <w:color w:val="auto"/>
          <w:szCs w:val="21"/>
        </w:rPr>
        <w:t>名以上成交候选供应商，排名第一的为第一成交候选供应商。</w:t>
      </w:r>
      <w:r>
        <w:rPr>
          <w:color w:val="auto"/>
          <w:szCs w:val="21"/>
        </w:rPr>
        <w:t>若</w:t>
      </w:r>
      <w:r>
        <w:rPr>
          <w:rFonts w:hint="eastAsia"/>
          <w:color w:val="auto"/>
          <w:szCs w:val="21"/>
        </w:rPr>
        <w:t>成交</w:t>
      </w:r>
      <w:r>
        <w:rPr>
          <w:color w:val="auto"/>
          <w:szCs w:val="21"/>
        </w:rPr>
        <w:t>候选人综合</w:t>
      </w:r>
      <w:r>
        <w:rPr>
          <w:rFonts w:hint="eastAsia"/>
          <w:color w:val="auto"/>
          <w:szCs w:val="21"/>
        </w:rPr>
        <w:t>评</w:t>
      </w:r>
      <w:r>
        <w:rPr>
          <w:color w:val="auto"/>
          <w:szCs w:val="21"/>
        </w:rPr>
        <w:t>分相同的，按</w:t>
      </w:r>
      <w:r>
        <w:rPr>
          <w:rFonts w:hint="eastAsia"/>
          <w:color w:val="auto"/>
          <w:szCs w:val="21"/>
        </w:rPr>
        <w:t>最后</w:t>
      </w:r>
      <w:r>
        <w:rPr>
          <w:color w:val="auto"/>
          <w:szCs w:val="21"/>
        </w:rPr>
        <w:t>报价由低到高顺序排列；综合</w:t>
      </w:r>
      <w:r>
        <w:rPr>
          <w:rFonts w:hint="eastAsia"/>
          <w:color w:val="auto"/>
          <w:szCs w:val="21"/>
        </w:rPr>
        <w:t>评</w:t>
      </w:r>
      <w:r>
        <w:rPr>
          <w:color w:val="auto"/>
          <w:szCs w:val="21"/>
        </w:rPr>
        <w:t>分且</w:t>
      </w:r>
      <w:r>
        <w:rPr>
          <w:rFonts w:hint="eastAsia"/>
          <w:color w:val="auto"/>
          <w:szCs w:val="21"/>
        </w:rPr>
        <w:t>最后</w:t>
      </w:r>
      <w:r>
        <w:rPr>
          <w:color w:val="auto"/>
          <w:szCs w:val="21"/>
        </w:rPr>
        <w:t>报价相同的</w:t>
      </w:r>
      <w:r>
        <w:rPr>
          <w:color w:val="auto"/>
        </w:rPr>
        <w:t>并列</w:t>
      </w:r>
      <w:r>
        <w:rPr>
          <w:color w:val="auto"/>
          <w:szCs w:val="21"/>
        </w:rPr>
        <w:t>；</w:t>
      </w:r>
      <w:r>
        <w:rPr>
          <w:rFonts w:hint="eastAsia"/>
          <w:color w:val="auto"/>
          <w:szCs w:val="21"/>
        </w:rPr>
        <w:t>成交</w:t>
      </w:r>
      <w:r>
        <w:rPr>
          <w:color w:val="auto"/>
          <w:szCs w:val="21"/>
        </w:rPr>
        <w:t>候选人并列的，按技术部分</w:t>
      </w:r>
      <w:r>
        <w:rPr>
          <w:rFonts w:hint="eastAsia"/>
          <w:color w:val="auto"/>
          <w:szCs w:val="21"/>
        </w:rPr>
        <w:t>评</w:t>
      </w:r>
      <w:r>
        <w:rPr>
          <w:color w:val="auto"/>
          <w:szCs w:val="21"/>
        </w:rPr>
        <w:t>分由高到低顺序排列，若综合评分、</w:t>
      </w:r>
      <w:r>
        <w:rPr>
          <w:rFonts w:hint="eastAsia"/>
          <w:color w:val="auto"/>
          <w:szCs w:val="21"/>
        </w:rPr>
        <w:t>最后</w:t>
      </w:r>
      <w:r>
        <w:rPr>
          <w:color w:val="auto"/>
          <w:szCs w:val="21"/>
        </w:rPr>
        <w:t>报价、技术部分</w:t>
      </w:r>
      <w:r>
        <w:rPr>
          <w:rFonts w:hint="eastAsia"/>
          <w:color w:val="auto"/>
          <w:szCs w:val="21"/>
        </w:rPr>
        <w:t>评分</w:t>
      </w:r>
      <w:r>
        <w:rPr>
          <w:color w:val="auto"/>
          <w:szCs w:val="21"/>
        </w:rPr>
        <w:t>均相同的，按商务</w:t>
      </w:r>
      <w:r>
        <w:rPr>
          <w:rFonts w:hint="eastAsia"/>
          <w:color w:val="auto"/>
          <w:szCs w:val="21"/>
        </w:rPr>
        <w:t>资信</w:t>
      </w:r>
      <w:r>
        <w:rPr>
          <w:color w:val="auto"/>
          <w:szCs w:val="21"/>
        </w:rPr>
        <w:t>部分</w:t>
      </w:r>
      <w:r>
        <w:rPr>
          <w:rFonts w:hint="eastAsia"/>
          <w:color w:val="auto"/>
          <w:szCs w:val="21"/>
        </w:rPr>
        <w:t>评</w:t>
      </w:r>
      <w:r>
        <w:rPr>
          <w:color w:val="auto"/>
          <w:szCs w:val="21"/>
        </w:rPr>
        <w:t>分由高到低顺序排列。</w:t>
      </w:r>
      <w:r>
        <w:rPr>
          <w:rFonts w:hint="eastAsia"/>
          <w:color w:val="auto"/>
          <w:szCs w:val="21"/>
        </w:rPr>
        <w:t>若综合评分、最后报价、技术部分评分、商务资信部分评分均相同的，由采购人自行决定。</w:t>
      </w:r>
    </w:p>
    <w:p w14:paraId="5CF18826">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659D27EB">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6"/>
    <w:p w14:paraId="0EFC6D5D">
      <w:pPr>
        <w:spacing w:before="120" w:line="320" w:lineRule="atLeast"/>
        <w:ind w:firstLine="422" w:firstLineChars="200"/>
        <w:outlineLvl w:val="2"/>
        <w:rPr>
          <w:b/>
          <w:bCs/>
          <w:kern w:val="0"/>
          <w:szCs w:val="21"/>
        </w:rPr>
      </w:pPr>
      <w:r>
        <w:rPr>
          <w:b/>
          <w:bCs/>
          <w:kern w:val="0"/>
          <w:szCs w:val="21"/>
        </w:rPr>
        <w:t>6.4确定成交供应商</w:t>
      </w:r>
    </w:p>
    <w:p w14:paraId="021AC714">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5536FBA0">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56150E47">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AEAAE42">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326FA1CA">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15916840">
      <w:pPr>
        <w:spacing w:before="120" w:line="320" w:lineRule="atLeast"/>
        <w:ind w:firstLine="420" w:firstLineChars="200"/>
        <w:rPr>
          <w:szCs w:val="21"/>
        </w:rPr>
      </w:pPr>
      <w:r>
        <w:rPr>
          <w:rFonts w:hint="eastAsia"/>
          <w:szCs w:val="21"/>
        </w:rPr>
        <w:t>（2）出现影响采购公正的违法、违规行为的；</w:t>
      </w:r>
    </w:p>
    <w:p w14:paraId="0E6EE8CB">
      <w:pPr>
        <w:spacing w:before="120" w:line="320" w:lineRule="atLeast"/>
        <w:ind w:firstLine="420" w:firstLineChars="200"/>
        <w:rPr>
          <w:szCs w:val="21"/>
        </w:rPr>
      </w:pPr>
      <w:r>
        <w:rPr>
          <w:rFonts w:hint="eastAsia"/>
          <w:szCs w:val="21"/>
        </w:rPr>
        <w:t>（3）供应商的报价均超过了采购预算，采购人不能支付的；</w:t>
      </w:r>
    </w:p>
    <w:p w14:paraId="71B4C1B3">
      <w:pPr>
        <w:spacing w:before="120" w:line="320" w:lineRule="atLeast"/>
        <w:ind w:firstLine="420" w:firstLineChars="200"/>
      </w:pPr>
      <w:r>
        <w:rPr>
          <w:rFonts w:hint="eastAsia"/>
          <w:szCs w:val="21"/>
        </w:rPr>
        <w:t>（4）</w:t>
      </w:r>
      <w:r>
        <w:rPr>
          <w:rFonts w:hint="eastAsia"/>
        </w:rPr>
        <w:t>因发生重大变故或采购任务取消的。</w:t>
      </w:r>
    </w:p>
    <w:p w14:paraId="5BD1300F">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67EECBB6">
      <w:pPr>
        <w:spacing w:before="120" w:line="320" w:lineRule="atLeast"/>
        <w:ind w:left="2" w:leftChars="1" w:firstLine="422" w:firstLineChars="200"/>
        <w:outlineLvl w:val="1"/>
        <w:rPr>
          <w:b/>
          <w:bCs/>
          <w:kern w:val="0"/>
          <w:szCs w:val="21"/>
        </w:rPr>
      </w:pPr>
      <w:r>
        <w:rPr>
          <w:b/>
          <w:bCs/>
          <w:kern w:val="0"/>
          <w:szCs w:val="21"/>
        </w:rPr>
        <w:t>7．合同</w:t>
      </w:r>
    </w:p>
    <w:p w14:paraId="14442116">
      <w:pPr>
        <w:spacing w:before="120" w:line="320" w:lineRule="atLeast"/>
        <w:ind w:firstLine="422" w:firstLineChars="200"/>
        <w:outlineLvl w:val="2"/>
        <w:rPr>
          <w:b/>
          <w:bCs/>
          <w:kern w:val="0"/>
          <w:szCs w:val="21"/>
        </w:rPr>
      </w:pPr>
      <w:r>
        <w:rPr>
          <w:b/>
          <w:bCs/>
          <w:kern w:val="0"/>
          <w:szCs w:val="21"/>
        </w:rPr>
        <w:t>7.1合同授予标准</w:t>
      </w:r>
    </w:p>
    <w:p w14:paraId="6B8E9F06">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5508AB56">
      <w:pPr>
        <w:spacing w:before="120" w:line="320" w:lineRule="atLeast"/>
        <w:ind w:firstLine="422" w:firstLineChars="200"/>
        <w:outlineLvl w:val="2"/>
        <w:rPr>
          <w:b/>
          <w:bCs/>
          <w:kern w:val="0"/>
          <w:szCs w:val="21"/>
        </w:rPr>
      </w:pPr>
      <w:r>
        <w:rPr>
          <w:b/>
          <w:bCs/>
          <w:kern w:val="0"/>
          <w:szCs w:val="21"/>
        </w:rPr>
        <w:t>7.2签订合同</w:t>
      </w:r>
    </w:p>
    <w:p w14:paraId="2FC0F15D">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60037D3B">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26BE7434">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51FC6BC3">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7844BC33">
      <w:pPr>
        <w:spacing w:before="120" w:line="320" w:lineRule="atLeast"/>
        <w:ind w:firstLine="422" w:firstLineChars="200"/>
        <w:outlineLvl w:val="2"/>
        <w:rPr>
          <w:b/>
          <w:bCs/>
          <w:kern w:val="0"/>
          <w:szCs w:val="21"/>
        </w:rPr>
      </w:pPr>
      <w:r>
        <w:rPr>
          <w:b/>
          <w:bCs/>
          <w:kern w:val="0"/>
          <w:szCs w:val="21"/>
        </w:rPr>
        <w:t>7.3合同公告</w:t>
      </w:r>
    </w:p>
    <w:p w14:paraId="601CB944">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34637FDA">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5CB46D5F">
      <w:pPr>
        <w:spacing w:before="120" w:line="320" w:lineRule="atLeast"/>
        <w:ind w:firstLine="422" w:firstLineChars="200"/>
        <w:outlineLvl w:val="2"/>
        <w:rPr>
          <w:b/>
          <w:bCs/>
          <w:kern w:val="0"/>
          <w:szCs w:val="21"/>
        </w:rPr>
      </w:pPr>
      <w:r>
        <w:rPr>
          <w:b/>
          <w:bCs/>
          <w:kern w:val="0"/>
          <w:szCs w:val="21"/>
        </w:rPr>
        <w:t>7.4 履行合同</w:t>
      </w:r>
    </w:p>
    <w:p w14:paraId="1DA2BDC1">
      <w:pPr>
        <w:spacing w:before="120" w:line="320" w:lineRule="atLeast"/>
        <w:ind w:firstLine="420" w:firstLineChars="200"/>
        <w:rPr>
          <w:szCs w:val="21"/>
        </w:rPr>
      </w:pPr>
      <w:bookmarkStart w:id="69" w:name="_Toc217446070"/>
      <w:bookmarkStart w:id="70"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kern w:val="0"/>
          <w:szCs w:val="21"/>
        </w:rPr>
      </w:pPr>
      <w:r>
        <w:rPr>
          <w:b/>
          <w:bCs/>
          <w:kern w:val="0"/>
          <w:szCs w:val="21"/>
        </w:rPr>
        <w:t>7.5履约验收</w:t>
      </w:r>
      <w:bookmarkEnd w:id="69"/>
      <w:bookmarkEnd w:id="70"/>
    </w:p>
    <w:p w14:paraId="602F026E">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kern w:val="0"/>
          <w:szCs w:val="21"/>
        </w:rPr>
      </w:pPr>
      <w:bookmarkStart w:id="71" w:name="_Toc254970674"/>
      <w:bookmarkStart w:id="72" w:name="_Toc254970533"/>
      <w:r>
        <w:rPr>
          <w:b/>
          <w:bCs/>
          <w:kern w:val="0"/>
          <w:szCs w:val="21"/>
        </w:rPr>
        <w:t>8．质疑和投诉</w:t>
      </w:r>
      <w:bookmarkEnd w:id="71"/>
      <w:bookmarkEnd w:id="72"/>
    </w:p>
    <w:p w14:paraId="45A601E5">
      <w:pPr>
        <w:spacing w:before="120" w:line="320" w:lineRule="atLeast"/>
        <w:ind w:firstLine="422" w:firstLineChars="200"/>
        <w:outlineLvl w:val="2"/>
        <w:rPr>
          <w:b/>
          <w:bCs/>
          <w:kern w:val="0"/>
          <w:szCs w:val="21"/>
        </w:rPr>
      </w:pPr>
      <w:r>
        <w:rPr>
          <w:b/>
          <w:bCs/>
          <w:kern w:val="0"/>
          <w:szCs w:val="21"/>
        </w:rPr>
        <w:t>8.1质疑</w:t>
      </w:r>
    </w:p>
    <w:p w14:paraId="4836E9CF">
      <w:pPr>
        <w:spacing w:before="120" w:line="320" w:lineRule="atLeast"/>
        <w:ind w:firstLine="420" w:firstLineChars="200"/>
        <w:rPr>
          <w:szCs w:val="21"/>
        </w:rPr>
      </w:pPr>
      <w:r>
        <w:rPr>
          <w:szCs w:val="21"/>
        </w:rPr>
        <w:t>8.1.1质疑内容、时限</w:t>
      </w:r>
    </w:p>
    <w:p w14:paraId="307B62C3">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szCs w:val="21"/>
        </w:rPr>
      </w:pPr>
      <w:r>
        <w:rPr>
          <w:rFonts w:hint="eastAsia"/>
          <w:szCs w:val="21"/>
        </w:rPr>
        <w:t>（2）供应商为认为采购文件、采购过程、中标或者成交结果使自己的权益受到损害的，可以在知道或者应知其权益受到损害之日起7个工作日内向采购人或采购代理机构提出质疑。采购人或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73DF2D11">
      <w:pPr>
        <w:spacing w:before="120" w:line="320" w:lineRule="atLeast"/>
        <w:ind w:firstLine="420" w:firstLineChars="200"/>
        <w:rPr>
          <w:szCs w:val="21"/>
        </w:rPr>
      </w:pPr>
      <w:r>
        <w:rPr>
          <w:szCs w:val="21"/>
        </w:rPr>
        <w:t>8.1.2质疑形式</w:t>
      </w:r>
    </w:p>
    <w:p w14:paraId="6D9C10C4">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0F075B8E">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5E95C660">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080B08FB">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2EC3BBAF">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6489AE9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1B856548">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60E419F9">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7734CC99">
      <w:pPr>
        <w:spacing w:before="120" w:line="320" w:lineRule="atLeast"/>
        <w:ind w:firstLine="422" w:firstLineChars="200"/>
        <w:outlineLvl w:val="2"/>
        <w:rPr>
          <w:b/>
          <w:bCs/>
          <w:kern w:val="0"/>
          <w:szCs w:val="21"/>
        </w:rPr>
      </w:pPr>
      <w:r>
        <w:rPr>
          <w:b/>
          <w:bCs/>
          <w:kern w:val="0"/>
          <w:szCs w:val="21"/>
        </w:rPr>
        <w:t>8.2投诉</w:t>
      </w:r>
    </w:p>
    <w:p w14:paraId="4BB938E0">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71814809">
      <w:pPr>
        <w:spacing w:before="120" w:line="320" w:lineRule="atLeast"/>
        <w:ind w:firstLine="422" w:firstLineChars="200"/>
        <w:outlineLvl w:val="1"/>
        <w:rPr>
          <w:b/>
          <w:bCs/>
          <w:kern w:val="0"/>
          <w:szCs w:val="21"/>
        </w:rPr>
      </w:pPr>
      <w:r>
        <w:rPr>
          <w:b/>
          <w:bCs/>
          <w:kern w:val="0"/>
          <w:szCs w:val="21"/>
        </w:rPr>
        <w:t>9．其他事项</w:t>
      </w:r>
    </w:p>
    <w:p w14:paraId="57DEA025">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0E860C4">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szCs w:val="21"/>
        </w:rPr>
      </w:pPr>
      <w:r>
        <w:rPr>
          <w:rFonts w:hint="eastAsia"/>
          <w:szCs w:val="21"/>
        </w:rPr>
        <w:t xml:space="preserve">（1）电子交易平台发生故障而无法登录访问的； </w:t>
      </w:r>
    </w:p>
    <w:p w14:paraId="726CE6EA">
      <w:pPr>
        <w:spacing w:before="120" w:line="276" w:lineRule="auto"/>
        <w:ind w:firstLine="420" w:firstLineChars="200"/>
        <w:rPr>
          <w:szCs w:val="21"/>
        </w:rPr>
      </w:pPr>
      <w:r>
        <w:rPr>
          <w:rFonts w:hint="eastAsia"/>
          <w:szCs w:val="21"/>
        </w:rPr>
        <w:t>（2）电子交易平台应用或数据库出现错误，不能进行正常操作的；</w:t>
      </w:r>
    </w:p>
    <w:p w14:paraId="4143F582">
      <w:pPr>
        <w:spacing w:before="120" w:line="276" w:lineRule="auto"/>
        <w:ind w:firstLine="420" w:firstLineChars="200"/>
        <w:rPr>
          <w:szCs w:val="21"/>
        </w:rPr>
      </w:pPr>
      <w:r>
        <w:rPr>
          <w:rFonts w:hint="eastAsia"/>
          <w:szCs w:val="21"/>
        </w:rPr>
        <w:t>（3）电子交易平台发现严重安全漏洞，有潜在泄密危险的；</w:t>
      </w:r>
    </w:p>
    <w:p w14:paraId="1B53A358">
      <w:pPr>
        <w:spacing w:before="120" w:line="276" w:lineRule="auto"/>
        <w:ind w:firstLine="420" w:firstLineChars="200"/>
        <w:rPr>
          <w:szCs w:val="21"/>
        </w:rPr>
      </w:pPr>
      <w:r>
        <w:rPr>
          <w:rFonts w:hint="eastAsia"/>
          <w:szCs w:val="21"/>
        </w:rPr>
        <w:t xml:space="preserve">（4）病毒发作导致不能进行正常操作的； </w:t>
      </w:r>
    </w:p>
    <w:p w14:paraId="01E2FDC1">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6C7FE8E7">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19798282">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C9BA139">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FD96AA9">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432A5976">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2E7A1035">
      <w:pPr>
        <w:spacing w:before="120" w:line="320" w:lineRule="atLeast"/>
        <w:ind w:left="2" w:leftChars="1" w:firstLine="422" w:firstLineChars="200"/>
        <w:outlineLvl w:val="1"/>
        <w:rPr>
          <w:rFonts w:hint="eastAsia"/>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ascii="Times New Roman" w:hAnsi="Times New Roman" w:cs="Times New Roman"/>
          <w:sz w:val="32"/>
          <w:szCs w:val="32"/>
        </w:rPr>
      </w:pPr>
      <w:bookmarkStart w:id="73" w:name="_Toc13891"/>
      <w:bookmarkStart w:id="74" w:name="_Toc254970690"/>
      <w:bookmarkStart w:id="75" w:name="_Toc254970549"/>
      <w:r>
        <w:rPr>
          <w:rFonts w:ascii="Times New Roman" w:hAnsi="Times New Roman" w:cs="Times New Roman"/>
          <w:sz w:val="32"/>
          <w:szCs w:val="32"/>
        </w:rPr>
        <w:t>第四章  评审方法及标准</w:t>
      </w:r>
      <w:bookmarkEnd w:id="73"/>
    </w:p>
    <w:p w14:paraId="0D60927A">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09FF64CF">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4163B413">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3921CEF4">
      <w:pPr>
        <w:spacing w:before="120" w:line="320" w:lineRule="atLeast"/>
        <w:ind w:firstLine="413" w:firstLineChars="196"/>
        <w:outlineLvl w:val="1"/>
        <w:rPr>
          <w:rFonts w:hint="eastAsia"/>
          <w:b/>
          <w:color w:val="FF0000"/>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spacing w:line="240" w:lineRule="exact"/>
              <w:jc w:val="center"/>
              <w:rPr>
                <w:b/>
                <w:kern w:val="0"/>
                <w:szCs w:val="21"/>
              </w:rPr>
            </w:pPr>
            <w:r>
              <w:rPr>
                <w:rFonts w:hint="eastAsia"/>
                <w:b/>
                <w:kern w:val="0"/>
                <w:szCs w:val="21"/>
              </w:rPr>
              <w:t>审查</w:t>
            </w:r>
            <w:r>
              <w:rPr>
                <w:b/>
                <w:kern w:val="0"/>
                <w:szCs w:val="21"/>
              </w:rPr>
              <w:t>因素</w:t>
            </w:r>
          </w:p>
        </w:tc>
        <w:tc>
          <w:tcPr>
            <w:tcW w:w="1843" w:type="dxa"/>
            <w:noWrap w:val="0"/>
            <w:vAlign w:val="center"/>
          </w:tcPr>
          <w:p w14:paraId="789102D9">
            <w:pPr>
              <w:spacing w:line="240" w:lineRule="exact"/>
              <w:jc w:val="center"/>
              <w:rPr>
                <w:b/>
                <w:kern w:val="0"/>
                <w:szCs w:val="21"/>
              </w:rPr>
            </w:pPr>
            <w:r>
              <w:rPr>
                <w:rFonts w:hint="eastAsia"/>
                <w:b/>
                <w:kern w:val="0"/>
                <w:szCs w:val="21"/>
              </w:rPr>
              <w:t>审查</w:t>
            </w:r>
            <w:r>
              <w:rPr>
                <w:b/>
                <w:kern w:val="0"/>
                <w:szCs w:val="21"/>
              </w:rPr>
              <w:t>内容</w:t>
            </w:r>
          </w:p>
        </w:tc>
        <w:tc>
          <w:tcPr>
            <w:tcW w:w="6242" w:type="dxa"/>
            <w:noWrap w:val="0"/>
            <w:vAlign w:val="center"/>
          </w:tcPr>
          <w:p w14:paraId="7BE2E2FD">
            <w:pPr>
              <w:spacing w:line="240" w:lineRule="exact"/>
              <w:jc w:val="center"/>
              <w:rPr>
                <w:b/>
                <w:kern w:val="0"/>
                <w:szCs w:val="21"/>
              </w:rPr>
            </w:pPr>
            <w:r>
              <w:rPr>
                <w:rFonts w:hint="eastAsia"/>
                <w:b/>
                <w:kern w:val="0"/>
                <w:szCs w:val="21"/>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noWrap w:val="0"/>
            <w:vAlign w:val="center"/>
          </w:tcPr>
          <w:p w14:paraId="7A17CEA5">
            <w:pPr>
              <w:spacing w:line="240" w:lineRule="exact"/>
              <w:jc w:val="left"/>
              <w:rPr>
                <w:szCs w:val="21"/>
              </w:rPr>
            </w:pPr>
            <w:r>
              <w:rPr>
                <w:szCs w:val="21"/>
              </w:rPr>
              <w:t>（1）具有独立承担民事责任的能力</w:t>
            </w:r>
          </w:p>
        </w:tc>
        <w:tc>
          <w:tcPr>
            <w:tcW w:w="6242" w:type="dxa"/>
            <w:noWrap w:val="0"/>
            <w:vAlign w:val="top"/>
          </w:tcPr>
          <w:p w14:paraId="66ABD379">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szCs w:val="21"/>
                <w:lang w:val="zh-CN"/>
              </w:rPr>
            </w:pPr>
          </w:p>
        </w:tc>
        <w:tc>
          <w:tcPr>
            <w:tcW w:w="1843" w:type="dxa"/>
            <w:noWrap w:val="0"/>
            <w:vAlign w:val="center"/>
          </w:tcPr>
          <w:p w14:paraId="3F007CA8">
            <w:pPr>
              <w:spacing w:line="240" w:lineRule="exact"/>
              <w:jc w:val="left"/>
              <w:rPr>
                <w:szCs w:val="21"/>
              </w:rPr>
            </w:pPr>
            <w:r>
              <w:rPr>
                <w:szCs w:val="21"/>
                <w:lang w:val="zh-CN"/>
              </w:rPr>
              <w:t>（2）</w:t>
            </w:r>
            <w:r>
              <w:rPr>
                <w:szCs w:val="21"/>
              </w:rPr>
              <w:t>具有良好的商业信誉和健全的财务会计制度</w:t>
            </w:r>
          </w:p>
        </w:tc>
        <w:tc>
          <w:tcPr>
            <w:tcW w:w="6242" w:type="dxa"/>
            <w:noWrap w:val="0"/>
            <w:vAlign w:val="top"/>
          </w:tcPr>
          <w:p w14:paraId="706E5B09">
            <w:pPr>
              <w:spacing w:line="240" w:lineRule="exact"/>
              <w:jc w:val="left"/>
              <w:rPr>
                <w:color w:val="auto"/>
                <w:szCs w:val="21"/>
              </w:rPr>
            </w:pPr>
            <w:r>
              <w:rPr>
                <w:rFonts w:hint="eastAsia" w:ascii="宋体" w:hAnsi="宋体" w:cs="宋体"/>
                <w:color w:val="auto"/>
                <w:szCs w:val="21"/>
              </w:rPr>
              <w:t>①</w:t>
            </w:r>
            <w:r>
              <w:rPr>
                <w:color w:val="auto"/>
                <w:szCs w:val="21"/>
              </w:rPr>
              <w:t>审查商业信誉声明。须提供，格式见第六章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szCs w:val="21"/>
              </w:rPr>
              <w:t>声明书”。</w:t>
            </w:r>
          </w:p>
          <w:p w14:paraId="24211A83">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lang w:val="en-US" w:eastAsia="zh-CN"/>
              </w:rPr>
              <w:t>2024</w:t>
            </w:r>
            <w:r>
              <w:rPr>
                <w:rFonts w:hint="eastAsia"/>
                <w:color w:val="auto"/>
                <w:szCs w:val="21"/>
              </w:rPr>
              <w:t>年</w:t>
            </w:r>
            <w:r>
              <w:rPr>
                <w:color w:val="auto"/>
                <w:szCs w:val="21"/>
              </w:rPr>
              <w:t>度财务状况报告（表）复印件或银行出具的资信证明复印件，</w:t>
            </w:r>
            <w:r>
              <w:rPr>
                <w:color w:val="auto"/>
              </w:rPr>
              <w:t>对于从取得营业执照时间起到响应文件递交截止时间为止不足1年的供应商，只需提交</w:t>
            </w:r>
            <w:r>
              <w:rPr>
                <w:rFonts w:hint="eastAsia"/>
                <w:color w:val="auto"/>
                <w:szCs w:val="21"/>
              </w:rPr>
              <w:t>响应</w:t>
            </w:r>
            <w:r>
              <w:rPr>
                <w:color w:val="auto"/>
                <w:szCs w:val="21"/>
              </w:rPr>
              <w:t>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szCs w:val="21"/>
                <w:lang w:val="zh-CN"/>
              </w:rPr>
            </w:pPr>
          </w:p>
        </w:tc>
        <w:tc>
          <w:tcPr>
            <w:tcW w:w="1843" w:type="dxa"/>
            <w:noWrap w:val="0"/>
            <w:vAlign w:val="center"/>
          </w:tcPr>
          <w:p w14:paraId="219AE0C9">
            <w:pPr>
              <w:spacing w:line="240" w:lineRule="exact"/>
              <w:jc w:val="left"/>
              <w:rPr>
                <w:szCs w:val="21"/>
              </w:rPr>
            </w:pPr>
            <w:r>
              <w:rPr>
                <w:szCs w:val="21"/>
                <w:lang w:val="zh-CN"/>
              </w:rPr>
              <w:t>（3）具有履行合同所必需的设备和专业技术能力</w:t>
            </w:r>
          </w:p>
        </w:tc>
        <w:tc>
          <w:tcPr>
            <w:tcW w:w="6242" w:type="dxa"/>
            <w:noWrap w:val="0"/>
            <w:vAlign w:val="top"/>
          </w:tcPr>
          <w:p w14:paraId="70B575F7">
            <w:pPr>
              <w:spacing w:line="240" w:lineRule="exact"/>
              <w:jc w:val="left"/>
              <w:rPr>
                <w:color w:val="auto"/>
                <w:szCs w:val="21"/>
              </w:rPr>
            </w:pPr>
            <w:r>
              <w:rPr>
                <w:rFonts w:hint="eastAsia" w:ascii="宋体" w:hAnsi="宋体" w:cs="宋体"/>
                <w:color w:val="auto"/>
                <w:szCs w:val="21"/>
              </w:rPr>
              <w:t>①</w:t>
            </w:r>
            <w:r>
              <w:rPr>
                <w:color w:val="auto"/>
                <w:szCs w:val="21"/>
              </w:rPr>
              <w:t xml:space="preserve">审查供应商营业执照，须有效； </w:t>
            </w:r>
          </w:p>
          <w:p w14:paraId="2C5A35B9">
            <w:pPr>
              <w:spacing w:line="240" w:lineRule="exact"/>
              <w:jc w:val="left"/>
              <w:rPr>
                <w:color w:val="auto"/>
                <w:szCs w:val="21"/>
              </w:rPr>
            </w:pPr>
            <w:r>
              <w:rPr>
                <w:rFonts w:hint="eastAsia" w:ascii="宋体" w:hAnsi="宋体" w:cs="宋体"/>
                <w:color w:val="auto"/>
                <w:szCs w:val="21"/>
              </w:rPr>
              <w:t>②</w:t>
            </w:r>
            <w:r>
              <w:rPr>
                <w:color w:val="auto"/>
                <w:szCs w:val="21"/>
              </w:rPr>
              <w:t>审查书面声明。须提供，格式见第六章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rPr>
              <w:t>声明书</w:t>
            </w:r>
            <w:r>
              <w:rPr>
                <w:color w:val="auto"/>
                <w:szCs w:val="21"/>
              </w:rPr>
              <w:t>”。</w:t>
            </w:r>
          </w:p>
          <w:p w14:paraId="51983F15">
            <w:pPr>
              <w:spacing w:line="240" w:lineRule="exact"/>
              <w:jc w:val="left"/>
              <w:rPr>
                <w:color w:val="auto"/>
                <w:szCs w:val="21"/>
              </w:rPr>
            </w:pPr>
            <w:r>
              <w:rPr>
                <w:color w:val="auto"/>
                <w:szCs w:val="21"/>
              </w:rPr>
              <w:t>审查</w:t>
            </w:r>
            <w:r>
              <w:rPr>
                <w:rFonts w:hint="eastAsia" w:ascii="宋体" w:hAnsi="宋体" w:cs="宋体"/>
                <w:color w:val="auto"/>
                <w:szCs w:val="21"/>
              </w:rPr>
              <w:t>①</w:t>
            </w:r>
            <w:r>
              <w:rPr>
                <w:color w:val="auto"/>
                <w:szCs w:val="21"/>
              </w:rPr>
              <w:t>或</w:t>
            </w:r>
            <w:r>
              <w:rPr>
                <w:rFonts w:hint="eastAsia" w:ascii="宋体" w:hAnsi="宋体" w:cs="宋体"/>
                <w:color w:val="auto"/>
                <w:szCs w:val="21"/>
              </w:rPr>
              <w:t>②</w:t>
            </w:r>
            <w:r>
              <w:rPr>
                <w:color w:val="auto"/>
                <w:szCs w:val="21"/>
              </w:rPr>
              <w:t>，满足其一，即为符合要求。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spacing w:line="240" w:lineRule="exact"/>
              <w:rPr>
                <w:szCs w:val="21"/>
                <w:lang w:val="zh-CN"/>
              </w:rPr>
            </w:pPr>
          </w:p>
        </w:tc>
        <w:tc>
          <w:tcPr>
            <w:tcW w:w="1843" w:type="dxa"/>
            <w:noWrap w:val="0"/>
            <w:vAlign w:val="center"/>
          </w:tcPr>
          <w:p w14:paraId="3228FF97">
            <w:pPr>
              <w:spacing w:line="240" w:lineRule="exact"/>
              <w:jc w:val="left"/>
              <w:rPr>
                <w:szCs w:val="21"/>
              </w:rPr>
            </w:pPr>
            <w:r>
              <w:rPr>
                <w:szCs w:val="21"/>
                <w:lang w:val="zh-CN"/>
              </w:rPr>
              <w:t>（4）有依法缴纳税收和社会保障金的良好记录</w:t>
            </w:r>
          </w:p>
        </w:tc>
        <w:tc>
          <w:tcPr>
            <w:tcW w:w="6242" w:type="dxa"/>
            <w:noWrap w:val="0"/>
            <w:vAlign w:val="top"/>
          </w:tcPr>
          <w:p w14:paraId="4EFC3EB8">
            <w:pPr>
              <w:spacing w:line="240" w:lineRule="exact"/>
              <w:jc w:val="left"/>
              <w:rPr>
                <w:color w:val="auto"/>
                <w:szCs w:val="21"/>
              </w:rPr>
            </w:pPr>
            <w:r>
              <w:rPr>
                <w:rFonts w:hint="eastAsia" w:ascii="宋体" w:hAnsi="宋体" w:cs="宋体"/>
                <w:color w:val="auto"/>
                <w:szCs w:val="21"/>
              </w:rPr>
              <w:t>①</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4D6CA2F9">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4FCF2C4F">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0EA352E2">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szCs w:val="21"/>
                <w:lang w:val="zh-CN"/>
              </w:rPr>
            </w:pPr>
          </w:p>
        </w:tc>
        <w:tc>
          <w:tcPr>
            <w:tcW w:w="1843" w:type="dxa"/>
            <w:noWrap w:val="0"/>
            <w:vAlign w:val="center"/>
          </w:tcPr>
          <w:p w14:paraId="18D75CFA">
            <w:pPr>
              <w:spacing w:line="240" w:lineRule="exact"/>
              <w:jc w:val="left"/>
              <w:rPr>
                <w:rFonts w:hint="eastAsia"/>
                <w:szCs w:val="21"/>
              </w:rPr>
            </w:pPr>
            <w:r>
              <w:rPr>
                <w:szCs w:val="21"/>
              </w:rPr>
              <w:t>（5）参加政府采购活动前三年内，在经营活动中没有重大违法记录</w:t>
            </w:r>
          </w:p>
        </w:tc>
        <w:tc>
          <w:tcPr>
            <w:tcW w:w="6242" w:type="dxa"/>
            <w:noWrap w:val="0"/>
            <w:vAlign w:val="center"/>
          </w:tcPr>
          <w:p w14:paraId="414B641D">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spacing w:line="240" w:lineRule="exact"/>
              <w:rPr>
                <w:szCs w:val="21"/>
                <w:lang w:val="zh-CN"/>
              </w:rPr>
            </w:pPr>
          </w:p>
        </w:tc>
        <w:tc>
          <w:tcPr>
            <w:tcW w:w="1843" w:type="dxa"/>
            <w:noWrap w:val="0"/>
            <w:vAlign w:val="center"/>
          </w:tcPr>
          <w:p w14:paraId="5EE015F2">
            <w:pPr>
              <w:spacing w:line="240" w:lineRule="exact"/>
              <w:jc w:val="left"/>
              <w:rPr>
                <w:szCs w:val="21"/>
              </w:rPr>
            </w:pPr>
            <w:r>
              <w:rPr>
                <w:szCs w:val="21"/>
              </w:rPr>
              <w:t>（6）具备法律、行政法规规定的其他要求</w:t>
            </w:r>
          </w:p>
        </w:tc>
        <w:tc>
          <w:tcPr>
            <w:tcW w:w="6242" w:type="dxa"/>
            <w:noWrap w:val="0"/>
            <w:vAlign w:val="center"/>
          </w:tcPr>
          <w:p w14:paraId="2FADEDEA">
            <w:pPr>
              <w:spacing w:line="240" w:lineRule="exact"/>
              <w:jc w:val="left"/>
              <w:rPr>
                <w:szCs w:val="21"/>
              </w:rPr>
            </w:pPr>
            <w:r>
              <w:rPr>
                <w:color w:val="auto"/>
                <w:szCs w:val="21"/>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spacing w:line="240" w:lineRule="exact"/>
              <w:rPr>
                <w:szCs w:val="21"/>
                <w:lang w:val="zh-CN"/>
              </w:rPr>
            </w:pPr>
            <w:r>
              <w:rPr>
                <w:rFonts w:hint="eastAsia"/>
                <w:kern w:val="0"/>
                <w:szCs w:val="21"/>
              </w:rPr>
              <w:t>采购政策</w:t>
            </w:r>
          </w:p>
        </w:tc>
        <w:tc>
          <w:tcPr>
            <w:tcW w:w="1843" w:type="dxa"/>
            <w:noWrap w:val="0"/>
            <w:vAlign w:val="center"/>
          </w:tcPr>
          <w:p w14:paraId="3DB6B075">
            <w:pPr>
              <w:spacing w:line="240" w:lineRule="exact"/>
              <w:jc w:val="left"/>
              <w:rPr>
                <w:szCs w:val="21"/>
              </w:rPr>
            </w:pPr>
            <w:r>
              <w:rPr>
                <w:rFonts w:hint="eastAsia"/>
                <w:szCs w:val="21"/>
              </w:rPr>
              <w:t>落实政府采购政策需满足的资格要求</w:t>
            </w:r>
          </w:p>
        </w:tc>
        <w:tc>
          <w:tcPr>
            <w:tcW w:w="6242" w:type="dxa"/>
            <w:noWrap w:val="0"/>
            <w:vAlign w:val="center"/>
          </w:tcPr>
          <w:p w14:paraId="37C54C61">
            <w:pPr>
              <w:spacing w:line="240" w:lineRule="exact"/>
              <w:jc w:val="left"/>
              <w:rPr>
                <w:color w:val="FF0000"/>
                <w:szCs w:val="21"/>
              </w:rPr>
            </w:pPr>
            <w:r>
              <w:rPr>
                <w:rFonts w:hint="eastAsia"/>
                <w:szCs w:val="21"/>
              </w:rPr>
              <w:t>无</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noWrap w:val="0"/>
            <w:vAlign w:val="center"/>
          </w:tcPr>
          <w:p w14:paraId="3510AB33">
            <w:pPr>
              <w:spacing w:line="240" w:lineRule="exact"/>
              <w:jc w:val="left"/>
              <w:rPr>
                <w:szCs w:val="21"/>
              </w:rPr>
            </w:pPr>
            <w:r>
              <w:rPr>
                <w:szCs w:val="21"/>
              </w:rPr>
              <w:t>（1）资质</w:t>
            </w:r>
            <w:r>
              <w:rPr>
                <w:rFonts w:hint="eastAsia"/>
                <w:szCs w:val="21"/>
              </w:rPr>
              <w:t>要求</w:t>
            </w:r>
          </w:p>
        </w:tc>
        <w:tc>
          <w:tcPr>
            <w:tcW w:w="6242" w:type="dxa"/>
            <w:noWrap w:val="0"/>
            <w:vAlign w:val="center"/>
          </w:tcPr>
          <w:p w14:paraId="4746F940">
            <w:pPr>
              <w:spacing w:line="240" w:lineRule="exact"/>
              <w:jc w:val="left"/>
              <w:rPr>
                <w:szCs w:val="21"/>
              </w:rPr>
            </w:pPr>
            <w:r>
              <w:rPr>
                <w:szCs w:val="21"/>
              </w:rPr>
              <w:t>须符合</w:t>
            </w:r>
            <w:r>
              <w:rPr>
                <w:rFonts w:hint="eastAsia"/>
                <w:szCs w:val="21"/>
              </w:rPr>
              <w:t>“磋商公告”</w:t>
            </w:r>
            <w:r>
              <w:rPr>
                <w:szCs w:val="21"/>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szCs w:val="21"/>
              </w:rPr>
            </w:pPr>
          </w:p>
        </w:tc>
        <w:tc>
          <w:tcPr>
            <w:tcW w:w="1843" w:type="dxa"/>
            <w:noWrap w:val="0"/>
            <w:vAlign w:val="center"/>
          </w:tcPr>
          <w:p w14:paraId="0D5B9097">
            <w:pPr>
              <w:spacing w:line="240" w:lineRule="exact"/>
              <w:jc w:val="left"/>
              <w:rPr>
                <w:szCs w:val="21"/>
              </w:rPr>
            </w:pPr>
            <w:r>
              <w:rPr>
                <w:szCs w:val="21"/>
              </w:rPr>
              <w:t>（2）业绩要求</w:t>
            </w:r>
          </w:p>
        </w:tc>
        <w:tc>
          <w:tcPr>
            <w:tcW w:w="6242" w:type="dxa"/>
            <w:noWrap w:val="0"/>
            <w:vAlign w:val="center"/>
          </w:tcPr>
          <w:p w14:paraId="4702B9B9">
            <w:pPr>
              <w:spacing w:line="240" w:lineRule="exact"/>
              <w:jc w:val="left"/>
              <w:rPr>
                <w:szCs w:val="21"/>
              </w:rPr>
            </w:pPr>
            <w:r>
              <w:rPr>
                <w:szCs w:val="21"/>
              </w:rPr>
              <w:t>须符合</w:t>
            </w:r>
            <w:r>
              <w:rPr>
                <w:rFonts w:hint="eastAsia"/>
                <w:szCs w:val="21"/>
              </w:rPr>
              <w:t>“磋商公告”</w:t>
            </w:r>
            <w:r>
              <w:rPr>
                <w:szCs w:val="21"/>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23698A4">
            <w:pPr>
              <w:spacing w:line="240" w:lineRule="exact"/>
              <w:jc w:val="left"/>
              <w:rPr>
                <w:szCs w:val="21"/>
              </w:rPr>
            </w:pPr>
          </w:p>
        </w:tc>
        <w:tc>
          <w:tcPr>
            <w:tcW w:w="1843" w:type="dxa"/>
            <w:noWrap w:val="0"/>
            <w:vAlign w:val="center"/>
          </w:tcPr>
          <w:p w14:paraId="4F9AAC89">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noWrap w:val="0"/>
            <w:vAlign w:val="center"/>
          </w:tcPr>
          <w:p w14:paraId="0820356B">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57C0858B">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kern w:val="0"/>
                <w:szCs w:val="21"/>
              </w:rPr>
            </w:pPr>
          </w:p>
        </w:tc>
        <w:tc>
          <w:tcPr>
            <w:tcW w:w="1843" w:type="dxa"/>
            <w:noWrap w:val="0"/>
            <w:vAlign w:val="center"/>
          </w:tcPr>
          <w:p w14:paraId="6B105F70">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noWrap w:val="0"/>
            <w:vAlign w:val="top"/>
          </w:tcPr>
          <w:p w14:paraId="37762CB5">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kern w:val="0"/>
                <w:szCs w:val="21"/>
              </w:rPr>
            </w:pPr>
          </w:p>
        </w:tc>
        <w:tc>
          <w:tcPr>
            <w:tcW w:w="1843" w:type="dxa"/>
            <w:noWrap w:val="0"/>
            <w:vAlign w:val="center"/>
          </w:tcPr>
          <w:p w14:paraId="73FDB0F5">
            <w:pPr>
              <w:spacing w:line="240" w:lineRule="exact"/>
              <w:jc w:val="left"/>
              <w:rPr>
                <w:szCs w:val="21"/>
              </w:rPr>
            </w:pPr>
            <w:r>
              <w:rPr>
                <w:rFonts w:hint="eastAsia"/>
                <w:szCs w:val="21"/>
              </w:rPr>
              <w:t>（5）分公司</w:t>
            </w:r>
          </w:p>
        </w:tc>
        <w:tc>
          <w:tcPr>
            <w:tcW w:w="6242" w:type="dxa"/>
            <w:noWrap w:val="0"/>
            <w:vAlign w:val="center"/>
          </w:tcPr>
          <w:p w14:paraId="7385EF2A">
            <w:pPr>
              <w:spacing w:line="240" w:lineRule="exact"/>
              <w:rPr>
                <w:rFonts w:hint="eastAsia" w:eastAsia="宋体"/>
                <w:szCs w:val="21"/>
                <w:lang w:eastAsia="zh-CN"/>
              </w:rPr>
            </w:pPr>
            <w:r>
              <w:rPr>
                <w:szCs w:val="21"/>
              </w:rPr>
              <w:t>须符合</w:t>
            </w:r>
            <w:r>
              <w:rPr>
                <w:rFonts w:hint="eastAsia"/>
                <w:szCs w:val="21"/>
              </w:rPr>
              <w:t>“磋商公告”</w:t>
            </w:r>
            <w:r>
              <w:rPr>
                <w:szCs w:val="21"/>
              </w:rPr>
              <w:t>的要求</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kern w:val="0"/>
                <w:szCs w:val="21"/>
              </w:rPr>
            </w:pPr>
          </w:p>
        </w:tc>
        <w:tc>
          <w:tcPr>
            <w:tcW w:w="1843" w:type="dxa"/>
            <w:noWrap w:val="0"/>
            <w:vAlign w:val="center"/>
          </w:tcPr>
          <w:p w14:paraId="140725E8">
            <w:pPr>
              <w:spacing w:line="240" w:lineRule="exact"/>
              <w:jc w:val="left"/>
              <w:rPr>
                <w:rFonts w:hint="eastAsia"/>
                <w:szCs w:val="21"/>
              </w:rPr>
            </w:pPr>
            <w:r>
              <w:rPr>
                <w:rFonts w:hint="eastAsia"/>
                <w:szCs w:val="21"/>
              </w:rPr>
              <w:t>（</w:t>
            </w:r>
            <w:r>
              <w:rPr>
                <w:szCs w:val="21"/>
              </w:rPr>
              <w:t>6</w:t>
            </w:r>
            <w:r>
              <w:rPr>
                <w:rFonts w:hint="eastAsia"/>
                <w:szCs w:val="21"/>
              </w:rPr>
              <w:t>）分包</w:t>
            </w:r>
          </w:p>
        </w:tc>
        <w:tc>
          <w:tcPr>
            <w:tcW w:w="6242" w:type="dxa"/>
            <w:noWrap w:val="0"/>
            <w:vAlign w:val="center"/>
          </w:tcPr>
          <w:p w14:paraId="5BD92C6C">
            <w:pPr>
              <w:spacing w:line="240" w:lineRule="exact"/>
              <w:rPr>
                <w:rFonts w:hint="eastAsia"/>
                <w:szCs w:val="21"/>
                <w:lang w:val="zh-CN"/>
              </w:rPr>
            </w:pPr>
            <w:r>
              <w:rPr>
                <w:szCs w:val="21"/>
              </w:rPr>
              <w:t>须符合</w:t>
            </w:r>
            <w:r>
              <w:rPr>
                <w:rFonts w:hint="eastAsia"/>
                <w:szCs w:val="21"/>
              </w:rPr>
              <w:t>“磋商公告”</w:t>
            </w:r>
            <w:r>
              <w:rPr>
                <w:szCs w:val="21"/>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kern w:val="0"/>
                <w:szCs w:val="21"/>
              </w:rPr>
            </w:pPr>
          </w:p>
        </w:tc>
        <w:tc>
          <w:tcPr>
            <w:tcW w:w="1843" w:type="dxa"/>
            <w:noWrap w:val="0"/>
            <w:vAlign w:val="center"/>
          </w:tcPr>
          <w:p w14:paraId="3B7F4B14">
            <w:pPr>
              <w:spacing w:line="240" w:lineRule="exact"/>
              <w:jc w:val="left"/>
              <w:rPr>
                <w:rFonts w:hint="eastAsia"/>
                <w:szCs w:val="21"/>
              </w:rPr>
            </w:pPr>
            <w:r>
              <w:rPr>
                <w:rFonts w:hint="eastAsia"/>
                <w:szCs w:val="21"/>
              </w:rPr>
              <w:t>（</w:t>
            </w:r>
            <w:r>
              <w:rPr>
                <w:szCs w:val="21"/>
              </w:rPr>
              <w:t>7</w:t>
            </w:r>
            <w:r>
              <w:rPr>
                <w:rFonts w:hint="eastAsia"/>
                <w:szCs w:val="21"/>
              </w:rPr>
              <w:t>）联合体</w:t>
            </w:r>
          </w:p>
        </w:tc>
        <w:tc>
          <w:tcPr>
            <w:tcW w:w="6242" w:type="dxa"/>
            <w:noWrap w:val="0"/>
            <w:vAlign w:val="center"/>
          </w:tcPr>
          <w:p w14:paraId="009CB6DF">
            <w:pPr>
              <w:spacing w:line="240" w:lineRule="exact"/>
              <w:rPr>
                <w:rFonts w:hint="eastAsia"/>
                <w:szCs w:val="21"/>
              </w:rPr>
            </w:pPr>
            <w:r>
              <w:rPr>
                <w:rFonts w:hint="eastAsia"/>
                <w:szCs w:val="21"/>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kern w:val="0"/>
                <w:szCs w:val="21"/>
              </w:rPr>
            </w:pPr>
          </w:p>
        </w:tc>
        <w:tc>
          <w:tcPr>
            <w:tcW w:w="1843" w:type="dxa"/>
            <w:noWrap w:val="0"/>
            <w:vAlign w:val="center"/>
          </w:tcPr>
          <w:p w14:paraId="59BAC4CC">
            <w:pPr>
              <w:spacing w:line="240" w:lineRule="exact"/>
              <w:jc w:val="left"/>
              <w:rPr>
                <w:szCs w:val="21"/>
              </w:rPr>
            </w:pPr>
            <w:r>
              <w:rPr>
                <w:rFonts w:hint="eastAsia"/>
                <w:szCs w:val="21"/>
              </w:rPr>
              <w:t>（</w:t>
            </w:r>
            <w:r>
              <w:rPr>
                <w:szCs w:val="21"/>
              </w:rPr>
              <w:t>8</w:t>
            </w:r>
            <w:r>
              <w:rPr>
                <w:rFonts w:hint="eastAsia"/>
                <w:szCs w:val="21"/>
              </w:rPr>
              <w:t>）其他要求</w:t>
            </w:r>
          </w:p>
        </w:tc>
        <w:tc>
          <w:tcPr>
            <w:tcW w:w="6242" w:type="dxa"/>
            <w:noWrap w:val="0"/>
            <w:vAlign w:val="center"/>
          </w:tcPr>
          <w:p w14:paraId="4F5E06EA">
            <w:pPr>
              <w:spacing w:line="312" w:lineRule="auto"/>
              <w:jc w:val="both"/>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52B2202F">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153"/>
        <w:gridCol w:w="526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kern w:val="0"/>
                <w:szCs w:val="21"/>
              </w:rPr>
            </w:pPr>
            <w:bookmarkStart w:id="77" w:name="_Hlk20388968"/>
            <w:bookmarkStart w:id="78" w:name="_Hlk48146640"/>
            <w:r>
              <w:rPr>
                <w:rFonts w:hint="eastAsia"/>
                <w:b/>
                <w:kern w:val="0"/>
                <w:szCs w:val="21"/>
              </w:rPr>
              <w:t>审查</w:t>
            </w:r>
            <w:r>
              <w:rPr>
                <w:b/>
                <w:kern w:val="0"/>
                <w:szCs w:val="21"/>
              </w:rPr>
              <w:t>因素</w:t>
            </w:r>
          </w:p>
        </w:tc>
        <w:tc>
          <w:tcPr>
            <w:tcW w:w="2153" w:type="dxa"/>
            <w:noWrap w:val="0"/>
            <w:vAlign w:val="center"/>
          </w:tcPr>
          <w:p w14:paraId="199DF36D">
            <w:pPr>
              <w:spacing w:line="240" w:lineRule="exact"/>
              <w:jc w:val="center"/>
              <w:rPr>
                <w:b/>
                <w:kern w:val="0"/>
                <w:szCs w:val="21"/>
              </w:rPr>
            </w:pPr>
            <w:r>
              <w:rPr>
                <w:rFonts w:hint="eastAsia"/>
                <w:b/>
                <w:kern w:val="0"/>
                <w:szCs w:val="21"/>
              </w:rPr>
              <w:t>审查内容</w:t>
            </w:r>
          </w:p>
        </w:tc>
        <w:tc>
          <w:tcPr>
            <w:tcW w:w="5265" w:type="dxa"/>
            <w:noWrap w:val="0"/>
            <w:vAlign w:val="top"/>
          </w:tcPr>
          <w:p w14:paraId="4581D01E">
            <w:pPr>
              <w:spacing w:line="240" w:lineRule="exact"/>
              <w:jc w:val="center"/>
              <w:rPr>
                <w:b/>
                <w:kern w:val="0"/>
                <w:szCs w:val="21"/>
              </w:rPr>
            </w:pPr>
          </w:p>
          <w:p w14:paraId="28037F71">
            <w:pPr>
              <w:spacing w:line="240" w:lineRule="exact"/>
              <w:jc w:val="center"/>
              <w:rPr>
                <w:b/>
                <w:kern w:val="0"/>
                <w:szCs w:val="21"/>
              </w:rPr>
            </w:pPr>
            <w:r>
              <w:rPr>
                <w:rFonts w:hint="eastAsia"/>
                <w:b/>
                <w:kern w:val="0"/>
                <w:szCs w:val="21"/>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kern w:val="0"/>
                <w:szCs w:val="21"/>
              </w:rPr>
            </w:pPr>
            <w:r>
              <w:rPr>
                <w:rFonts w:hint="eastAsia"/>
                <w:kern w:val="0"/>
                <w:szCs w:val="21"/>
              </w:rPr>
              <w:t>商务资信</w:t>
            </w:r>
          </w:p>
        </w:tc>
        <w:tc>
          <w:tcPr>
            <w:tcW w:w="2153" w:type="dxa"/>
            <w:noWrap w:val="0"/>
            <w:vAlign w:val="center"/>
          </w:tcPr>
          <w:p w14:paraId="01D63FF5">
            <w:pPr>
              <w:spacing w:line="240" w:lineRule="exact"/>
            </w:pPr>
            <w:r>
              <w:rPr>
                <w:rFonts w:hint="eastAsia"/>
              </w:rPr>
              <w:t>法定代表人身份证明及授权委托书</w:t>
            </w:r>
          </w:p>
        </w:tc>
        <w:tc>
          <w:tcPr>
            <w:tcW w:w="5265" w:type="dxa"/>
            <w:noWrap w:val="0"/>
            <w:vAlign w:val="center"/>
          </w:tcPr>
          <w:p w14:paraId="28293E7A">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E0D3ECB">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1026F538">
            <w:pPr>
              <w:spacing w:line="240" w:lineRule="exact"/>
            </w:pPr>
            <w:r>
              <w:rPr>
                <w:rFonts w:ascii="宋体" w:hAnsi="宋体"/>
                <w:szCs w:val="21"/>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kern w:val="0"/>
                <w:szCs w:val="21"/>
              </w:rPr>
            </w:pPr>
          </w:p>
        </w:tc>
        <w:tc>
          <w:tcPr>
            <w:tcW w:w="2153" w:type="dxa"/>
            <w:noWrap w:val="0"/>
            <w:vAlign w:val="center"/>
          </w:tcPr>
          <w:p w14:paraId="1FFE7AC4">
            <w:pPr>
              <w:spacing w:line="240" w:lineRule="exact"/>
              <w:rPr>
                <w:szCs w:val="21"/>
              </w:rPr>
            </w:pPr>
            <w:r>
              <w:rPr>
                <w:rFonts w:hint="eastAsia"/>
                <w:szCs w:val="21"/>
              </w:rPr>
              <w:t>实质性条款响应</w:t>
            </w:r>
          </w:p>
        </w:tc>
        <w:tc>
          <w:tcPr>
            <w:tcW w:w="5265" w:type="dxa"/>
            <w:noWrap w:val="0"/>
            <w:vAlign w:val="center"/>
          </w:tcPr>
          <w:p w14:paraId="23EB001C">
            <w:pPr>
              <w:spacing w:line="240" w:lineRule="exact"/>
              <w:rPr>
                <w:szCs w:val="21"/>
              </w:rPr>
            </w:pPr>
            <w:r>
              <w:rPr>
                <w:rFonts w:hint="eastAsia" w:ascii="宋体" w:hAnsi="宋体"/>
                <w:color w:val="000000"/>
                <w:szCs w:val="21"/>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kern w:val="0"/>
                <w:szCs w:val="21"/>
              </w:rPr>
            </w:pPr>
          </w:p>
        </w:tc>
        <w:tc>
          <w:tcPr>
            <w:tcW w:w="2153" w:type="dxa"/>
            <w:noWrap w:val="0"/>
            <w:vAlign w:val="center"/>
          </w:tcPr>
          <w:p w14:paraId="0DC7C550">
            <w:pPr>
              <w:spacing w:line="240" w:lineRule="exact"/>
              <w:rPr>
                <w:szCs w:val="21"/>
              </w:rPr>
            </w:pPr>
            <w:r>
              <w:rPr>
                <w:rFonts w:hint="eastAsia"/>
                <w:szCs w:val="21"/>
              </w:rPr>
              <w:t>串通投标</w:t>
            </w:r>
          </w:p>
        </w:tc>
        <w:tc>
          <w:tcPr>
            <w:tcW w:w="5265" w:type="dxa"/>
            <w:noWrap w:val="0"/>
            <w:vAlign w:val="center"/>
          </w:tcPr>
          <w:p w14:paraId="4D518935">
            <w:pPr>
              <w:spacing w:line="240" w:lineRule="exact"/>
              <w:rPr>
                <w:szCs w:val="21"/>
              </w:rPr>
            </w:pPr>
            <w:r>
              <w:rPr>
                <w:rFonts w:hint="eastAsia" w:ascii="宋体" w:hAnsi="宋体"/>
                <w:color w:val="000000"/>
                <w:szCs w:val="21"/>
              </w:rPr>
              <w:t>不属于供应商</w:t>
            </w:r>
            <w:r>
              <w:rPr>
                <w:rFonts w:hint="eastAsia" w:ascii="宋体" w:hAnsi="宋体"/>
                <w:szCs w:val="21"/>
              </w:rPr>
              <w:t>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8</w:t>
            </w:r>
            <w:r>
              <w:rPr>
                <w:rFonts w:hint="eastAsia" w:ascii="宋体" w:hAnsi="宋体"/>
                <w:szCs w:val="21"/>
              </w:rPr>
              <w:t>规定</w:t>
            </w:r>
            <w:r>
              <w:rPr>
                <w:rFonts w:hint="eastAsia" w:ascii="宋体" w:hAnsi="宋体"/>
                <w:color w:val="000000"/>
                <w:szCs w:val="21"/>
              </w:rPr>
              <w:t>的串通投标情形，见</w:t>
            </w:r>
            <w:r>
              <w:rPr>
                <w:rFonts w:ascii="宋体" w:hAnsi="宋体"/>
                <w:szCs w:val="21"/>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kern w:val="0"/>
                <w:szCs w:val="21"/>
              </w:rPr>
            </w:pPr>
            <w:r>
              <w:rPr>
                <w:rFonts w:hint="eastAsia"/>
                <w:kern w:val="0"/>
                <w:szCs w:val="21"/>
              </w:rPr>
              <w:t>报价</w:t>
            </w:r>
          </w:p>
        </w:tc>
        <w:tc>
          <w:tcPr>
            <w:tcW w:w="2153" w:type="dxa"/>
            <w:noWrap w:val="0"/>
            <w:vAlign w:val="center"/>
          </w:tcPr>
          <w:p w14:paraId="1C3DBB1D">
            <w:pPr>
              <w:spacing w:line="240" w:lineRule="exact"/>
              <w:rPr>
                <w:szCs w:val="21"/>
              </w:rPr>
            </w:pPr>
            <w:r>
              <w:rPr>
                <w:rFonts w:hint="eastAsia"/>
                <w:szCs w:val="21"/>
              </w:rPr>
              <w:t>有效报价</w:t>
            </w:r>
          </w:p>
        </w:tc>
        <w:tc>
          <w:tcPr>
            <w:tcW w:w="5265" w:type="dxa"/>
            <w:noWrap w:val="0"/>
            <w:vAlign w:val="center"/>
          </w:tcPr>
          <w:p w14:paraId="2F71B759">
            <w:pPr>
              <w:spacing w:line="240" w:lineRule="exact"/>
              <w:rPr>
                <w:bCs/>
                <w:kern w:val="0"/>
                <w:szCs w:val="21"/>
              </w:rPr>
            </w:pPr>
            <w:r>
              <w:rPr>
                <w:rFonts w:hint="eastAsia"/>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kern w:val="0"/>
                <w:szCs w:val="21"/>
              </w:rPr>
            </w:pPr>
          </w:p>
        </w:tc>
        <w:tc>
          <w:tcPr>
            <w:tcW w:w="2153" w:type="dxa"/>
            <w:noWrap w:val="0"/>
            <w:vAlign w:val="center"/>
          </w:tcPr>
          <w:p w14:paraId="7AF07860">
            <w:pPr>
              <w:spacing w:line="240" w:lineRule="exact"/>
              <w:rPr>
                <w:bCs/>
                <w:kern w:val="0"/>
                <w:szCs w:val="21"/>
              </w:rPr>
            </w:pPr>
            <w:r>
              <w:rPr>
                <w:rFonts w:hint="eastAsia"/>
                <w:bCs/>
                <w:kern w:val="0"/>
                <w:szCs w:val="21"/>
              </w:rPr>
              <w:t>漏项报价</w:t>
            </w:r>
          </w:p>
        </w:tc>
        <w:tc>
          <w:tcPr>
            <w:tcW w:w="5265" w:type="dxa"/>
            <w:noWrap w:val="0"/>
            <w:vAlign w:val="center"/>
          </w:tcPr>
          <w:p w14:paraId="61BB4E97">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kern w:val="0"/>
                <w:szCs w:val="21"/>
              </w:rPr>
            </w:pPr>
          </w:p>
        </w:tc>
        <w:tc>
          <w:tcPr>
            <w:tcW w:w="2153" w:type="dxa"/>
            <w:noWrap w:val="0"/>
            <w:vAlign w:val="center"/>
          </w:tcPr>
          <w:p w14:paraId="526AA93C">
            <w:pPr>
              <w:spacing w:line="240" w:lineRule="exact"/>
              <w:rPr>
                <w:rFonts w:hAnsi="宋体"/>
                <w:color w:val="000000"/>
                <w:szCs w:val="21"/>
              </w:rPr>
            </w:pPr>
            <w:r>
              <w:rPr>
                <w:rFonts w:hint="eastAsia" w:hAnsi="宋体"/>
                <w:color w:val="000000"/>
                <w:szCs w:val="21"/>
              </w:rPr>
              <w:t>响应报价唯一性</w:t>
            </w:r>
          </w:p>
        </w:tc>
        <w:tc>
          <w:tcPr>
            <w:tcW w:w="5265" w:type="dxa"/>
            <w:noWrap w:val="0"/>
            <w:vAlign w:val="center"/>
          </w:tcPr>
          <w:p w14:paraId="2E5CCC27">
            <w:pPr>
              <w:spacing w:line="240" w:lineRule="exact"/>
              <w:rPr>
                <w:szCs w:val="21"/>
              </w:rPr>
            </w:pPr>
            <w:r>
              <w:rPr>
                <w:rFonts w:hint="eastAsia" w:ascii="宋体" w:hAnsi="宋体"/>
                <w:color w:val="000000"/>
                <w:szCs w:val="21"/>
              </w:rPr>
              <w:t>不存在有选择、有条件的最后报价（采购文件允许有备选方案或者其他约定的除外）</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kern w:val="0"/>
                <w:szCs w:val="21"/>
              </w:rPr>
            </w:pPr>
          </w:p>
        </w:tc>
        <w:tc>
          <w:tcPr>
            <w:tcW w:w="2153" w:type="dxa"/>
            <w:noWrap w:val="0"/>
            <w:vAlign w:val="center"/>
          </w:tcPr>
          <w:p w14:paraId="651CD25A">
            <w:pPr>
              <w:spacing w:line="240" w:lineRule="exact"/>
              <w:rPr>
                <w:rFonts w:ascii="宋体" w:hAnsi="宋体"/>
                <w:color w:val="000000"/>
                <w:szCs w:val="21"/>
              </w:rPr>
            </w:pPr>
            <w:r>
              <w:rPr>
                <w:rFonts w:hint="eastAsia"/>
                <w:szCs w:val="21"/>
              </w:rPr>
              <w:t>响应有效期</w:t>
            </w:r>
          </w:p>
        </w:tc>
        <w:tc>
          <w:tcPr>
            <w:tcW w:w="5265" w:type="dxa"/>
            <w:noWrap w:val="0"/>
            <w:vAlign w:val="center"/>
          </w:tcPr>
          <w:p w14:paraId="6069E9B1">
            <w:pPr>
              <w:spacing w:line="240" w:lineRule="exact"/>
              <w:rPr>
                <w:szCs w:val="21"/>
              </w:rPr>
            </w:pPr>
            <w:r>
              <w:rPr>
                <w:rFonts w:hint="eastAsia" w:ascii="宋体" w:hAnsi="宋体"/>
                <w:color w:val="000000"/>
                <w:szCs w:val="21"/>
              </w:rPr>
              <w:t>满足采购文件规定</w:t>
            </w:r>
          </w:p>
        </w:tc>
      </w:tr>
      <w:bookmarkEnd w:id="77"/>
      <w:bookmarkEnd w:id="78"/>
    </w:tbl>
    <w:p w14:paraId="4D3543FB">
      <w:pPr>
        <w:spacing w:before="120" w:line="320" w:lineRule="atLeast"/>
        <w:rPr>
          <w:rFonts w:hint="eastAsia"/>
        </w:rPr>
      </w:pPr>
    </w:p>
    <w:p w14:paraId="51CCB7E9">
      <w:pPr>
        <w:spacing w:before="120" w:line="320" w:lineRule="atLeast"/>
        <w:rPr>
          <w:rFonts w:hint="eastAsia"/>
        </w:rPr>
      </w:pPr>
    </w:p>
    <w:p w14:paraId="00DAEA65">
      <w:pPr>
        <w:tabs>
          <w:tab w:val="left" w:pos="1950"/>
        </w:tabs>
        <w:spacing w:before="120" w:line="320" w:lineRule="atLeast"/>
        <w:jc w:val="left"/>
        <w:outlineLvl w:val="1"/>
        <w:rPr>
          <w:rFonts w:ascii="Times New Roman" w:hAnsi="Times New Roman" w:cs="Times New Roman"/>
          <w:b/>
          <w:color w:val="4472C4"/>
          <w:sz w:val="24"/>
          <w:szCs w:val="24"/>
        </w:rPr>
      </w:pPr>
      <w:r>
        <w:rPr>
          <w:b/>
          <w:bCs/>
          <w:kern w:val="0"/>
        </w:rPr>
        <w:br w:type="page"/>
      </w:r>
      <w:r>
        <w:rPr>
          <w:b/>
          <w:bCs/>
          <w:kern w:val="0"/>
          <w:szCs w:val="21"/>
        </w:rPr>
        <w:t>4.</w:t>
      </w:r>
      <w:r>
        <w:rPr>
          <w:rFonts w:hint="eastAsia"/>
          <w:b/>
          <w:bCs/>
          <w:kern w:val="0"/>
          <w:szCs w:val="21"/>
        </w:rPr>
        <w:t>评审标准</w:t>
      </w:r>
    </w:p>
    <w:p w14:paraId="10FED9E3">
      <w:pPr>
        <w:numPr>
          <w:ilvl w:val="0"/>
          <w:numId w:val="30"/>
        </w:numPr>
        <w:ind w:firstLine="420" w:firstLineChars="200"/>
        <w:rPr>
          <w:rFonts w:hint="eastAsia"/>
        </w:rPr>
      </w:pPr>
      <w:r>
        <w:rPr>
          <w:rFonts w:hint="eastAsia"/>
        </w:rPr>
        <w:t>技术及商务资信分</w:t>
      </w:r>
    </w:p>
    <w:tbl>
      <w:tblPr>
        <w:tblStyle w:val="51"/>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82"/>
        <w:gridCol w:w="6465"/>
        <w:gridCol w:w="748"/>
        <w:gridCol w:w="890"/>
      </w:tblGrid>
      <w:tr w14:paraId="6008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39" w:type="dxa"/>
            <w:noWrap w:val="0"/>
            <w:vAlign w:val="center"/>
          </w:tcPr>
          <w:p w14:paraId="3D85F7B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82" w:type="dxa"/>
            <w:noWrap w:val="0"/>
            <w:vAlign w:val="center"/>
          </w:tcPr>
          <w:p w14:paraId="79CA8B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类型</w:t>
            </w:r>
          </w:p>
        </w:tc>
        <w:tc>
          <w:tcPr>
            <w:tcW w:w="6465" w:type="dxa"/>
            <w:noWrap w:val="0"/>
            <w:vAlign w:val="center"/>
          </w:tcPr>
          <w:p w14:paraId="4784A7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748" w:type="dxa"/>
            <w:noWrap w:val="0"/>
            <w:vAlign w:val="center"/>
          </w:tcPr>
          <w:p w14:paraId="270FEE8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分值权重</w:t>
            </w:r>
          </w:p>
        </w:tc>
        <w:tc>
          <w:tcPr>
            <w:tcW w:w="890" w:type="dxa"/>
            <w:noWrap w:val="0"/>
            <w:vAlign w:val="center"/>
          </w:tcPr>
          <w:p w14:paraId="4C1C18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0E7E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639" w:type="dxa"/>
            <w:vMerge w:val="restart"/>
            <w:noWrap w:val="0"/>
            <w:vAlign w:val="center"/>
          </w:tcPr>
          <w:p w14:paraId="683214D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6D41AEA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p>
        </w:tc>
        <w:tc>
          <w:tcPr>
            <w:tcW w:w="682" w:type="dxa"/>
            <w:vMerge w:val="restart"/>
            <w:noWrap w:val="0"/>
            <w:vAlign w:val="center"/>
          </w:tcPr>
          <w:p w14:paraId="7CF7C40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商务资信分</w:t>
            </w:r>
          </w:p>
        </w:tc>
        <w:tc>
          <w:tcPr>
            <w:tcW w:w="6465" w:type="dxa"/>
            <w:noWrap w:val="0"/>
            <w:vAlign w:val="center"/>
          </w:tcPr>
          <w:p w14:paraId="0DF20A10">
            <w:pPr>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lang w:val="en-US" w:eastAsia="zh-CN"/>
              </w:rPr>
              <w:t>一、</w:t>
            </w:r>
            <w:r>
              <w:rPr>
                <w:rFonts w:hint="eastAsia" w:ascii="宋体" w:hAnsi="宋体" w:eastAsia="宋体" w:cs="宋体"/>
                <w:b/>
                <w:bCs/>
                <w:caps w:val="0"/>
                <w:color w:val="auto"/>
                <w:spacing w:val="0"/>
                <w:sz w:val="21"/>
                <w:szCs w:val="21"/>
                <w:highlight w:val="none"/>
              </w:rPr>
              <w:t>企业综合实力（</w:t>
            </w:r>
            <w:r>
              <w:rPr>
                <w:rFonts w:hint="eastAsia" w:ascii="宋体" w:hAnsi="宋体" w:eastAsia="宋体" w:cs="宋体"/>
                <w:b/>
                <w:bCs/>
                <w:caps w:val="0"/>
                <w:color w:val="auto"/>
                <w:spacing w:val="0"/>
                <w:sz w:val="21"/>
                <w:szCs w:val="21"/>
                <w:highlight w:val="none"/>
                <w:lang w:val="en-US" w:eastAsia="zh-CN"/>
              </w:rPr>
              <w:t>8</w:t>
            </w:r>
            <w:r>
              <w:rPr>
                <w:rFonts w:hint="eastAsia" w:ascii="宋体" w:hAnsi="宋体" w:eastAsia="宋体" w:cs="宋体"/>
                <w:b/>
                <w:bCs/>
                <w:caps w:val="0"/>
                <w:color w:val="auto"/>
                <w:spacing w:val="0"/>
                <w:sz w:val="21"/>
                <w:szCs w:val="21"/>
                <w:highlight w:val="none"/>
              </w:rPr>
              <w:t>分）</w:t>
            </w:r>
          </w:p>
          <w:p w14:paraId="6E3F770C">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供应商具备以下管理体系认证证书或证明材料的每项得</w:t>
            </w:r>
            <w:r>
              <w:rPr>
                <w:rFonts w:hint="eastAsia" w:ascii="宋体" w:hAnsi="宋体" w:eastAsia="宋体" w:cs="宋体"/>
                <w:caps w:val="0"/>
                <w:color w:val="auto"/>
                <w:spacing w:val="0"/>
                <w:sz w:val="21"/>
                <w:szCs w:val="21"/>
                <w:highlight w:val="none"/>
                <w:lang w:val="en-US" w:eastAsia="zh-CN"/>
              </w:rPr>
              <w:t>2</w:t>
            </w:r>
            <w:r>
              <w:rPr>
                <w:rFonts w:hint="eastAsia" w:ascii="宋体" w:hAnsi="宋体" w:eastAsia="宋体" w:cs="宋体"/>
                <w:caps w:val="0"/>
                <w:color w:val="auto"/>
                <w:spacing w:val="0"/>
                <w:sz w:val="21"/>
                <w:szCs w:val="21"/>
                <w:highlight w:val="none"/>
              </w:rPr>
              <w:t>分，满分</w:t>
            </w:r>
            <w:r>
              <w:rPr>
                <w:rFonts w:hint="eastAsia" w:ascii="宋体" w:hAnsi="宋体" w:eastAsia="宋体" w:cs="宋体"/>
                <w:caps w:val="0"/>
                <w:color w:val="auto"/>
                <w:spacing w:val="0"/>
                <w:sz w:val="21"/>
                <w:szCs w:val="21"/>
                <w:highlight w:val="none"/>
                <w:lang w:val="en-US" w:eastAsia="zh-CN"/>
              </w:rPr>
              <w:t>8</w:t>
            </w:r>
            <w:r>
              <w:rPr>
                <w:rFonts w:hint="eastAsia" w:ascii="宋体" w:hAnsi="宋体" w:eastAsia="宋体" w:cs="宋体"/>
                <w:caps w:val="0"/>
                <w:color w:val="auto"/>
                <w:spacing w:val="0"/>
                <w:sz w:val="21"/>
                <w:szCs w:val="21"/>
                <w:highlight w:val="none"/>
              </w:rPr>
              <w:t>分。</w:t>
            </w:r>
          </w:p>
          <w:p w14:paraId="01C380B7">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（1）ISO9001质量管理体系认证证书；</w:t>
            </w:r>
          </w:p>
          <w:p w14:paraId="1DAC12F6">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（2）ISO27001信息安全管理体系认证证书；</w:t>
            </w:r>
          </w:p>
          <w:p w14:paraId="0171CCE9">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（3）ISO20000信息技术服务管理体系认证证书；</w:t>
            </w:r>
          </w:p>
          <w:p w14:paraId="5A9B8FED">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w:t>
            </w:r>
            <w:r>
              <w:rPr>
                <w:rFonts w:hint="eastAsia" w:ascii="宋体" w:hAnsi="宋体" w:eastAsia="宋体" w:cs="宋体"/>
                <w:caps w:val="0"/>
                <w:color w:val="auto"/>
                <w:spacing w:val="0"/>
                <w:sz w:val="21"/>
                <w:szCs w:val="21"/>
                <w:highlight w:val="none"/>
                <w:lang w:val="en-US" w:eastAsia="zh-CN"/>
              </w:rPr>
              <w:t>4</w:t>
            </w:r>
            <w:r>
              <w:rPr>
                <w:rFonts w:hint="eastAsia" w:ascii="宋体" w:hAnsi="宋体" w:eastAsia="宋体" w:cs="宋体"/>
                <w:caps w:val="0"/>
                <w:color w:val="auto"/>
                <w:spacing w:val="0"/>
                <w:sz w:val="21"/>
                <w:szCs w:val="21"/>
                <w:highlight w:val="none"/>
              </w:rPr>
              <w:t>）ISO45001职业健康安全管理体系认证；</w:t>
            </w:r>
          </w:p>
          <w:p w14:paraId="76C5581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文件中提供上述证书（有效期内）复印件并加盖</w:t>
            </w:r>
            <w:r>
              <w:rPr>
                <w:rFonts w:hint="eastAsia" w:ascii="宋体" w:hAnsi="宋体" w:eastAsia="宋体" w:cs="宋体"/>
                <w:caps w:val="0"/>
                <w:color w:val="auto"/>
                <w:spacing w:val="0"/>
                <w:sz w:val="21"/>
                <w:szCs w:val="21"/>
                <w:highlight w:val="none"/>
                <w:lang w:val="en-US" w:eastAsia="zh-CN"/>
              </w:rPr>
              <w:t>供应商电子签章</w:t>
            </w:r>
            <w:r>
              <w:rPr>
                <w:rFonts w:hint="eastAsia" w:ascii="宋体" w:hAnsi="宋体" w:eastAsia="宋体" w:cs="宋体"/>
                <w:caps w:val="0"/>
                <w:color w:val="auto"/>
                <w:spacing w:val="0"/>
                <w:sz w:val="21"/>
                <w:szCs w:val="21"/>
                <w:highlight w:val="none"/>
              </w:rPr>
              <w:t>。</w:t>
            </w:r>
          </w:p>
        </w:tc>
        <w:tc>
          <w:tcPr>
            <w:tcW w:w="748" w:type="dxa"/>
            <w:noWrap w:val="0"/>
            <w:vAlign w:val="center"/>
          </w:tcPr>
          <w:p w14:paraId="67671F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aps w:val="0"/>
                <w:color w:val="auto"/>
                <w:spacing w:val="0"/>
                <w:sz w:val="21"/>
                <w:szCs w:val="21"/>
                <w:highlight w:val="none"/>
                <w:lang w:val="en-US" w:eastAsia="zh-CN"/>
              </w:rPr>
              <w:t>0-8</w:t>
            </w:r>
          </w:p>
        </w:tc>
        <w:tc>
          <w:tcPr>
            <w:tcW w:w="890" w:type="dxa"/>
            <w:noWrap w:val="0"/>
            <w:vAlign w:val="center"/>
          </w:tcPr>
          <w:p w14:paraId="658A68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6BC8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639" w:type="dxa"/>
            <w:vMerge w:val="continue"/>
            <w:noWrap w:val="0"/>
            <w:vAlign w:val="center"/>
          </w:tcPr>
          <w:p w14:paraId="0CAD099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p>
        </w:tc>
        <w:tc>
          <w:tcPr>
            <w:tcW w:w="682" w:type="dxa"/>
            <w:vMerge w:val="continue"/>
            <w:noWrap w:val="0"/>
            <w:vAlign w:val="center"/>
          </w:tcPr>
          <w:p w14:paraId="5A5AB65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465" w:type="dxa"/>
            <w:noWrap w:val="0"/>
            <w:vAlign w:val="center"/>
          </w:tcPr>
          <w:p w14:paraId="45D69095">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b/>
                <w:bCs/>
                <w:caps w:val="0"/>
                <w:color w:val="auto"/>
                <w:spacing w:val="0"/>
                <w:sz w:val="21"/>
                <w:szCs w:val="21"/>
                <w:highlight w:val="none"/>
                <w:lang w:val="en-US" w:eastAsia="zh-CN"/>
              </w:rPr>
              <w:t>二、业绩分（5分）</w:t>
            </w:r>
          </w:p>
          <w:p w14:paraId="34C9DCE1">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供应商近3年以来至磋商截止日期止有完成类似</w:t>
            </w:r>
            <w:r>
              <w:rPr>
                <w:rFonts w:hint="eastAsia" w:ascii="宋体" w:hAnsi="宋体" w:eastAsia="宋体" w:cs="宋体"/>
                <w:b w:val="0"/>
                <w:bCs w:val="0"/>
                <w:caps w:val="0"/>
                <w:color w:val="auto"/>
                <w:spacing w:val="0"/>
                <w:sz w:val="21"/>
                <w:szCs w:val="21"/>
                <w:highlight w:val="none"/>
                <w:lang w:val="en-US" w:eastAsia="zh-CN"/>
              </w:rPr>
              <w:t>管理系统开发</w:t>
            </w:r>
            <w:r>
              <w:rPr>
                <w:rFonts w:hint="eastAsia" w:ascii="宋体" w:hAnsi="宋体" w:eastAsia="宋体" w:cs="宋体"/>
                <w:caps w:val="0"/>
                <w:color w:val="auto"/>
                <w:spacing w:val="0"/>
                <w:sz w:val="21"/>
                <w:szCs w:val="21"/>
                <w:highlight w:val="none"/>
                <w:lang w:val="en-US" w:eastAsia="zh-CN"/>
              </w:rPr>
              <w:t>项目业绩，每个同类业绩得2.5分，满分5分。</w:t>
            </w:r>
          </w:p>
          <w:p w14:paraId="334183A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注：以合同签订日期为准，需提供合同关键页等复印件材料，并加盖供应商电子签章，不提供或资料不符不得分。</w:t>
            </w:r>
          </w:p>
        </w:tc>
        <w:tc>
          <w:tcPr>
            <w:tcW w:w="748" w:type="dxa"/>
            <w:noWrap w:val="0"/>
            <w:vAlign w:val="center"/>
          </w:tcPr>
          <w:p w14:paraId="20482BD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w:t>
            </w:r>
          </w:p>
        </w:tc>
        <w:tc>
          <w:tcPr>
            <w:tcW w:w="890" w:type="dxa"/>
            <w:noWrap w:val="0"/>
            <w:vAlign w:val="center"/>
          </w:tcPr>
          <w:p w14:paraId="033DB3C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客观分</w:t>
            </w:r>
          </w:p>
        </w:tc>
      </w:tr>
      <w:tr w14:paraId="528D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9" w:type="dxa"/>
            <w:vMerge w:val="continue"/>
            <w:noWrap w:val="0"/>
            <w:vAlign w:val="center"/>
          </w:tcPr>
          <w:p w14:paraId="7416A63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p>
        </w:tc>
        <w:tc>
          <w:tcPr>
            <w:tcW w:w="682" w:type="dxa"/>
            <w:vMerge w:val="continue"/>
            <w:noWrap w:val="0"/>
            <w:vAlign w:val="center"/>
          </w:tcPr>
          <w:p w14:paraId="34B35F6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465" w:type="dxa"/>
            <w:noWrap w:val="0"/>
            <w:vAlign w:val="center"/>
          </w:tcPr>
          <w:p w14:paraId="15847619">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b/>
                <w:bCs/>
                <w:caps w:val="0"/>
                <w:color w:val="auto"/>
                <w:spacing w:val="0"/>
                <w:sz w:val="21"/>
                <w:szCs w:val="21"/>
                <w:highlight w:val="none"/>
                <w:lang w:val="en-US" w:eastAsia="zh-CN"/>
              </w:rPr>
              <w:t>三、人员投入情况（4分）</w:t>
            </w:r>
          </w:p>
          <w:p w14:paraId="5DA3E3E3">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项目经理具备中华人民共和国人力资源和社会保障部以及工业和信息化部颁发的以下证书：</w:t>
            </w:r>
          </w:p>
          <w:p w14:paraId="7244E2FC">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（1）高级信息系统项目管理师证书，得2分；</w:t>
            </w:r>
          </w:p>
          <w:p w14:paraId="44F2141B">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（2）高级系统架构设计师证书，得2分；</w:t>
            </w:r>
          </w:p>
          <w:p w14:paraId="654F977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提供人员资质证书复印件并</w:t>
            </w:r>
            <w:r>
              <w:rPr>
                <w:rFonts w:hint="eastAsia" w:ascii="宋体" w:hAnsi="宋体" w:eastAsia="宋体" w:cs="宋体"/>
                <w:caps w:val="0"/>
                <w:color w:val="auto"/>
                <w:spacing w:val="0"/>
                <w:sz w:val="21"/>
                <w:szCs w:val="21"/>
                <w:highlight w:val="none"/>
              </w:rPr>
              <w:t>加盖</w:t>
            </w:r>
            <w:r>
              <w:rPr>
                <w:rFonts w:hint="eastAsia" w:ascii="宋体" w:hAnsi="宋体" w:eastAsia="宋体" w:cs="宋体"/>
                <w:caps w:val="0"/>
                <w:color w:val="auto"/>
                <w:spacing w:val="0"/>
                <w:sz w:val="21"/>
                <w:szCs w:val="21"/>
                <w:highlight w:val="none"/>
                <w:lang w:val="en-US" w:eastAsia="zh-CN"/>
              </w:rPr>
              <w:t>供应商电子签章。</w:t>
            </w:r>
          </w:p>
        </w:tc>
        <w:tc>
          <w:tcPr>
            <w:tcW w:w="748" w:type="dxa"/>
            <w:noWrap w:val="0"/>
            <w:vAlign w:val="center"/>
          </w:tcPr>
          <w:p w14:paraId="2EC4140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890" w:type="dxa"/>
            <w:noWrap w:val="0"/>
            <w:vAlign w:val="center"/>
          </w:tcPr>
          <w:p w14:paraId="7D7DD92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5D7B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639" w:type="dxa"/>
            <w:vMerge w:val="restart"/>
            <w:noWrap w:val="0"/>
            <w:vAlign w:val="center"/>
          </w:tcPr>
          <w:p w14:paraId="74476A25">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82" w:type="dxa"/>
            <w:vMerge w:val="restart"/>
            <w:noWrap w:val="0"/>
            <w:vAlign w:val="center"/>
          </w:tcPr>
          <w:p w14:paraId="318ADFF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分</w:t>
            </w:r>
          </w:p>
        </w:tc>
        <w:tc>
          <w:tcPr>
            <w:tcW w:w="6465" w:type="dxa"/>
            <w:noWrap w:val="0"/>
            <w:vAlign w:val="center"/>
          </w:tcPr>
          <w:p w14:paraId="07284E99">
            <w:pPr>
              <w:pStyle w:val="180"/>
              <w:keepNext w:val="0"/>
              <w:keepLines w:val="0"/>
              <w:pageBreakBefore w:val="0"/>
              <w:widowControl w:val="0"/>
              <w:kinsoku/>
              <w:wordWrap/>
              <w:overflowPunct/>
              <w:topLinePunct w:val="0"/>
              <w:autoSpaceDE/>
              <w:autoSpaceDN/>
              <w:bidi w:val="0"/>
              <w:adjustRightInd/>
              <w:snapToGrid/>
              <w:spacing w:line="264" w:lineRule="auto"/>
              <w:ind w:left="0" w:right="0"/>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val="0"/>
                <w:color w:val="auto"/>
                <w:sz w:val="21"/>
                <w:szCs w:val="21"/>
                <w:highlight w:val="none"/>
                <w:lang w:val="en-US" w:eastAsia="zh-CN"/>
              </w:rPr>
              <w:t>一、产品</w:t>
            </w:r>
            <w:r>
              <w:rPr>
                <w:rFonts w:hint="eastAsia" w:ascii="宋体" w:hAnsi="宋体" w:eastAsia="宋体" w:cs="宋体"/>
                <w:b/>
                <w:bCs/>
                <w:i w:val="0"/>
                <w:iCs w:val="0"/>
                <w:color w:val="auto"/>
                <w:kern w:val="0"/>
                <w:sz w:val="21"/>
                <w:szCs w:val="21"/>
                <w:highlight w:val="none"/>
                <w:u w:val="none"/>
                <w:lang w:val="en-US" w:eastAsia="zh-CN" w:bidi="ar"/>
              </w:rPr>
              <w:t>性能分（满分20分）</w:t>
            </w:r>
          </w:p>
          <w:p w14:paraId="6B62CE6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olor w:val="auto"/>
                <w:spacing w:val="-1"/>
                <w:sz w:val="21"/>
                <w:szCs w:val="21"/>
                <w:highlight w:val="none"/>
                <w:lang w:val="en-US" w:eastAsia="zh-CN"/>
              </w:rPr>
              <w:t>“5.服务内容和标准”中所有</w:t>
            </w:r>
            <w:r>
              <w:rPr>
                <w:rFonts w:hint="eastAsia" w:ascii="宋体" w:hAnsi="宋体" w:eastAsia="宋体" w:cs="宋体"/>
                <w:b/>
                <w:bCs/>
                <w:kern w:val="0"/>
                <w:sz w:val="21"/>
                <w:szCs w:val="21"/>
                <w:lang w:bidi="ar"/>
              </w:rPr>
              <w:t>服务内容或主要性能指标</w:t>
            </w:r>
            <w:r>
              <w:rPr>
                <w:rFonts w:hint="eastAsia" w:ascii="宋体" w:hAnsi="宋体" w:eastAsia="宋体" w:cs="宋体"/>
                <w:color w:val="auto"/>
                <w:spacing w:val="-1"/>
                <w:sz w:val="21"/>
                <w:szCs w:val="21"/>
                <w:highlight w:val="none"/>
                <w:lang w:val="en-US" w:eastAsia="zh-CN"/>
              </w:rPr>
              <w:t>完全满足招标文件要求的，得20分；未</w:t>
            </w:r>
            <w:r>
              <w:rPr>
                <w:rFonts w:hint="eastAsia" w:ascii="宋体" w:hAnsi="宋体" w:eastAsia="宋体" w:cs="宋体"/>
                <w:caps w:val="0"/>
                <w:color w:val="auto"/>
                <w:spacing w:val="0"/>
                <w:sz w:val="21"/>
                <w:szCs w:val="21"/>
                <w:highlight w:val="none"/>
              </w:rPr>
              <w:t>标注“▲”</w:t>
            </w:r>
            <w:r>
              <w:rPr>
                <w:rFonts w:hint="eastAsia" w:ascii="宋体" w:hAnsi="宋体" w:eastAsia="宋体" w:cs="宋体"/>
                <w:caps w:val="0"/>
                <w:color w:val="auto"/>
                <w:spacing w:val="0"/>
                <w:sz w:val="21"/>
                <w:szCs w:val="21"/>
                <w:highlight w:val="none"/>
                <w:lang w:eastAsia="zh-CN"/>
              </w:rPr>
              <w:t>的</w:t>
            </w:r>
            <w:r>
              <w:rPr>
                <w:rFonts w:hint="eastAsia" w:ascii="宋体" w:hAnsi="宋体" w:eastAsia="宋体" w:cs="宋体"/>
                <w:color w:val="auto"/>
                <w:spacing w:val="-1"/>
                <w:sz w:val="21"/>
                <w:szCs w:val="21"/>
                <w:highlight w:val="none"/>
                <w:lang w:val="en-US" w:eastAsia="zh-CN"/>
              </w:rPr>
              <w:t>非实质性响应的技术参数存在负偏离的，每有1项负偏离的扣2分，产品性能分值扣完为止。</w:t>
            </w:r>
          </w:p>
        </w:tc>
        <w:tc>
          <w:tcPr>
            <w:tcW w:w="748" w:type="dxa"/>
            <w:noWrap w:val="0"/>
            <w:vAlign w:val="center"/>
          </w:tcPr>
          <w:p w14:paraId="2A394F2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890" w:type="dxa"/>
            <w:noWrap w:val="0"/>
            <w:vAlign w:val="center"/>
          </w:tcPr>
          <w:p w14:paraId="5F9E8D5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trike/>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客观分</w:t>
            </w:r>
          </w:p>
        </w:tc>
      </w:tr>
      <w:tr w14:paraId="4506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639" w:type="dxa"/>
            <w:vMerge w:val="continue"/>
            <w:noWrap w:val="0"/>
            <w:vAlign w:val="center"/>
          </w:tcPr>
          <w:p w14:paraId="16F88B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p>
        </w:tc>
        <w:tc>
          <w:tcPr>
            <w:tcW w:w="682" w:type="dxa"/>
            <w:vMerge w:val="continue"/>
            <w:noWrap w:val="0"/>
            <w:vAlign w:val="center"/>
          </w:tcPr>
          <w:p w14:paraId="547E2CA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465" w:type="dxa"/>
            <w:noWrap w:val="0"/>
            <w:vAlign w:val="center"/>
          </w:tcPr>
          <w:p w14:paraId="63571C6F">
            <w:pPr>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二、项目管理及实施方案</w:t>
            </w:r>
            <w:r>
              <w:rPr>
                <w:rFonts w:hint="eastAsia" w:ascii="宋体" w:hAnsi="宋体" w:eastAsia="宋体" w:cs="宋体"/>
                <w:b/>
                <w:bCs/>
                <w:caps w:val="0"/>
                <w:color w:val="auto"/>
                <w:spacing w:val="0"/>
                <w:sz w:val="21"/>
                <w:szCs w:val="21"/>
                <w:highlight w:val="none"/>
                <w:lang w:eastAsia="zh-CN"/>
              </w:rPr>
              <w:t>（</w:t>
            </w:r>
            <w:r>
              <w:rPr>
                <w:rFonts w:hint="eastAsia" w:ascii="宋体" w:hAnsi="宋体" w:eastAsia="宋体" w:cs="宋体"/>
                <w:b/>
                <w:bCs/>
                <w:caps w:val="0"/>
                <w:color w:val="auto"/>
                <w:spacing w:val="0"/>
                <w:sz w:val="21"/>
                <w:szCs w:val="21"/>
                <w:highlight w:val="none"/>
                <w:lang w:val="en-US" w:eastAsia="zh-CN"/>
              </w:rPr>
              <w:t>12分</w:t>
            </w:r>
            <w:r>
              <w:rPr>
                <w:rFonts w:hint="eastAsia" w:ascii="宋体" w:hAnsi="宋体" w:eastAsia="宋体" w:cs="宋体"/>
                <w:b/>
                <w:bCs/>
                <w:caps w:val="0"/>
                <w:color w:val="auto"/>
                <w:spacing w:val="0"/>
                <w:sz w:val="21"/>
                <w:szCs w:val="21"/>
                <w:highlight w:val="none"/>
                <w:lang w:eastAsia="zh-CN"/>
              </w:rPr>
              <w:t>）</w:t>
            </w:r>
          </w:p>
          <w:p w14:paraId="1327877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①项目实施方案内容（要点包括但不限于管理措施、质量保证措施、风险防范等措施）；</w:t>
            </w:r>
          </w:p>
          <w:p w14:paraId="781E786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②项目实施方案内容有组织保障安排：成立领导小组、制定领导小组中的责任分工等；</w:t>
            </w:r>
          </w:p>
          <w:p w14:paraId="7C27D32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③项目实施方案内容制定有实施流程、实施内容和项目进度表；</w:t>
            </w:r>
          </w:p>
          <w:p w14:paraId="79E47F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④项目实施方案内容分析实施环节重、难点和相应的应对策略。</w:t>
            </w:r>
          </w:p>
          <w:p w14:paraId="22CF00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注：以上①-④项每项最高得3分，各项合计满分12分；缺项（0分）、内容完整（得1分）、实际操作性强（1分）、按照采购单位实际需求制定（1分）。</w:t>
            </w:r>
          </w:p>
        </w:tc>
        <w:tc>
          <w:tcPr>
            <w:tcW w:w="748" w:type="dxa"/>
            <w:noWrap w:val="0"/>
            <w:vAlign w:val="center"/>
          </w:tcPr>
          <w:p w14:paraId="636CC30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0-12</w:t>
            </w:r>
          </w:p>
        </w:tc>
        <w:tc>
          <w:tcPr>
            <w:tcW w:w="890" w:type="dxa"/>
            <w:noWrap w:val="0"/>
            <w:vAlign w:val="center"/>
          </w:tcPr>
          <w:p w14:paraId="1E9175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主观分</w:t>
            </w:r>
          </w:p>
        </w:tc>
      </w:tr>
      <w:tr w14:paraId="6437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639" w:type="dxa"/>
            <w:vMerge w:val="continue"/>
            <w:noWrap w:val="0"/>
            <w:vAlign w:val="center"/>
          </w:tcPr>
          <w:p w14:paraId="72E4F9B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82" w:type="dxa"/>
            <w:vMerge w:val="continue"/>
            <w:noWrap w:val="0"/>
            <w:vAlign w:val="center"/>
          </w:tcPr>
          <w:p w14:paraId="1E0F11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465" w:type="dxa"/>
            <w:noWrap w:val="0"/>
            <w:vAlign w:val="center"/>
          </w:tcPr>
          <w:p w14:paraId="018C465B">
            <w:pPr>
              <w:rPr>
                <w:rFonts w:hint="eastAsia" w:ascii="宋体" w:hAnsi="宋体" w:eastAsia="宋体" w:cs="宋体"/>
                <w:caps w:val="0"/>
                <w:color w:val="auto"/>
                <w:spacing w:val="0"/>
                <w:sz w:val="21"/>
                <w:szCs w:val="21"/>
                <w:highlight w:val="none"/>
              </w:rPr>
            </w:pPr>
            <w:r>
              <w:rPr>
                <w:rFonts w:hint="eastAsia" w:ascii="宋体" w:hAnsi="宋体" w:eastAsia="宋体" w:cs="宋体"/>
                <w:b/>
                <w:bCs/>
                <w:caps w:val="0"/>
                <w:color w:val="auto"/>
                <w:spacing w:val="0"/>
                <w:sz w:val="21"/>
                <w:szCs w:val="21"/>
                <w:highlight w:val="none"/>
              </w:rPr>
              <w:t>三、培训服务方案</w:t>
            </w:r>
            <w:r>
              <w:rPr>
                <w:rFonts w:hint="eastAsia" w:ascii="宋体" w:hAnsi="宋体" w:eastAsia="宋体" w:cs="宋体"/>
                <w:b/>
                <w:bCs/>
                <w:caps w:val="0"/>
                <w:color w:val="auto"/>
                <w:spacing w:val="0"/>
                <w:sz w:val="21"/>
                <w:szCs w:val="21"/>
                <w:highlight w:val="none"/>
                <w:lang w:eastAsia="zh-CN"/>
              </w:rPr>
              <w:t>（</w:t>
            </w:r>
            <w:r>
              <w:rPr>
                <w:rFonts w:hint="eastAsia" w:ascii="宋体" w:hAnsi="宋体" w:eastAsia="宋体" w:cs="宋体"/>
                <w:b/>
                <w:bCs/>
                <w:caps w:val="0"/>
                <w:color w:val="auto"/>
                <w:spacing w:val="0"/>
                <w:sz w:val="21"/>
                <w:szCs w:val="21"/>
                <w:highlight w:val="none"/>
                <w:lang w:val="en-US" w:eastAsia="zh-CN"/>
              </w:rPr>
              <w:t>9分</w:t>
            </w:r>
            <w:r>
              <w:rPr>
                <w:rFonts w:hint="eastAsia" w:ascii="宋体" w:hAnsi="宋体" w:eastAsia="宋体" w:cs="宋体"/>
                <w:b/>
                <w:bCs/>
                <w:caps w:val="0"/>
                <w:color w:val="auto"/>
                <w:spacing w:val="0"/>
                <w:sz w:val="21"/>
                <w:szCs w:val="21"/>
                <w:highlight w:val="none"/>
                <w:lang w:eastAsia="zh-CN"/>
              </w:rPr>
              <w:t>）</w:t>
            </w:r>
          </w:p>
          <w:p w14:paraId="0E027E24">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①供应商及原厂技术人员提供现场服务技术培训；</w:t>
            </w:r>
          </w:p>
          <w:p w14:paraId="11CCF3F5">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②配有完备的人员培训体系和技术支持体系；</w:t>
            </w:r>
          </w:p>
          <w:p w14:paraId="56BFE8B0">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③培训内容、培训对象、培训评测、培训场次；</w:t>
            </w:r>
          </w:p>
          <w:p w14:paraId="7F827B5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aps w:val="0"/>
                <w:color w:val="auto"/>
                <w:spacing w:val="0"/>
                <w:sz w:val="21"/>
                <w:szCs w:val="21"/>
                <w:highlight w:val="none"/>
              </w:rPr>
              <w:t>注：以上①-③每项最高得</w:t>
            </w:r>
            <w:r>
              <w:rPr>
                <w:rFonts w:hint="eastAsia" w:ascii="宋体" w:hAnsi="宋体" w:eastAsia="宋体" w:cs="宋体"/>
                <w:caps w:val="0"/>
                <w:color w:val="auto"/>
                <w:spacing w:val="0"/>
                <w:sz w:val="21"/>
                <w:szCs w:val="21"/>
                <w:highlight w:val="none"/>
                <w:lang w:val="en-US" w:eastAsia="zh-CN"/>
              </w:rPr>
              <w:t>3</w:t>
            </w:r>
            <w:r>
              <w:rPr>
                <w:rFonts w:hint="eastAsia" w:ascii="宋体" w:hAnsi="宋体" w:eastAsia="宋体" w:cs="宋体"/>
                <w:caps w:val="0"/>
                <w:color w:val="auto"/>
                <w:spacing w:val="0"/>
                <w:sz w:val="21"/>
                <w:szCs w:val="21"/>
                <w:highlight w:val="none"/>
              </w:rPr>
              <w:t>分，评分标准如下：缺项（0分）</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内容完整全面</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、关键技术点描述清晰</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、按照采购人实际需求制定</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w:t>
            </w:r>
          </w:p>
        </w:tc>
        <w:tc>
          <w:tcPr>
            <w:tcW w:w="748" w:type="dxa"/>
            <w:noWrap w:val="0"/>
            <w:vAlign w:val="center"/>
          </w:tcPr>
          <w:p w14:paraId="6E2941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w:t>
            </w:r>
          </w:p>
        </w:tc>
        <w:tc>
          <w:tcPr>
            <w:tcW w:w="890" w:type="dxa"/>
            <w:noWrap w:val="0"/>
            <w:vAlign w:val="center"/>
          </w:tcPr>
          <w:p w14:paraId="33B36C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46A3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639" w:type="dxa"/>
            <w:vMerge w:val="continue"/>
            <w:noWrap w:val="0"/>
            <w:vAlign w:val="center"/>
          </w:tcPr>
          <w:p w14:paraId="7B8EC05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82" w:type="dxa"/>
            <w:vMerge w:val="continue"/>
            <w:noWrap w:val="0"/>
            <w:vAlign w:val="center"/>
          </w:tcPr>
          <w:p w14:paraId="050745D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465" w:type="dxa"/>
            <w:noWrap w:val="0"/>
            <w:vAlign w:val="center"/>
          </w:tcPr>
          <w:p w14:paraId="7505C29B">
            <w:pPr>
              <w:rPr>
                <w:rFonts w:hint="eastAsia" w:ascii="宋体" w:hAnsi="宋体" w:eastAsia="宋体" w:cs="宋体"/>
                <w:caps w:val="0"/>
                <w:color w:val="auto"/>
                <w:spacing w:val="0"/>
                <w:sz w:val="21"/>
                <w:szCs w:val="21"/>
                <w:highlight w:val="none"/>
                <w:lang w:eastAsia="zh-CN"/>
              </w:rPr>
            </w:pPr>
            <w:r>
              <w:rPr>
                <w:rFonts w:hint="eastAsia" w:ascii="宋体" w:hAnsi="宋体" w:eastAsia="宋体" w:cs="宋体"/>
                <w:b/>
                <w:bCs/>
                <w:caps w:val="0"/>
                <w:color w:val="auto"/>
                <w:spacing w:val="0"/>
                <w:sz w:val="21"/>
                <w:szCs w:val="21"/>
                <w:highlight w:val="none"/>
                <w:lang w:eastAsia="zh-CN"/>
              </w:rPr>
              <w:t>四</w:t>
            </w:r>
            <w:r>
              <w:rPr>
                <w:rFonts w:hint="eastAsia" w:ascii="宋体" w:hAnsi="宋体" w:eastAsia="宋体" w:cs="宋体"/>
                <w:b/>
                <w:bCs/>
                <w:caps w:val="0"/>
                <w:color w:val="auto"/>
                <w:spacing w:val="0"/>
                <w:sz w:val="21"/>
                <w:szCs w:val="21"/>
                <w:highlight w:val="none"/>
              </w:rPr>
              <w:t>、售后服务方案分</w:t>
            </w:r>
            <w:r>
              <w:rPr>
                <w:rFonts w:hint="eastAsia" w:ascii="宋体" w:hAnsi="宋体" w:eastAsia="宋体" w:cs="宋体"/>
                <w:b/>
                <w:bCs/>
                <w:caps w:val="0"/>
                <w:color w:val="auto"/>
                <w:spacing w:val="0"/>
                <w:sz w:val="21"/>
                <w:szCs w:val="21"/>
                <w:highlight w:val="none"/>
                <w:lang w:eastAsia="zh-CN"/>
              </w:rPr>
              <w:t>（</w:t>
            </w:r>
            <w:r>
              <w:rPr>
                <w:rFonts w:hint="eastAsia" w:ascii="宋体" w:hAnsi="宋体" w:eastAsia="宋体" w:cs="宋体"/>
                <w:b/>
                <w:bCs/>
                <w:caps w:val="0"/>
                <w:color w:val="auto"/>
                <w:spacing w:val="0"/>
                <w:sz w:val="21"/>
                <w:szCs w:val="21"/>
                <w:highlight w:val="none"/>
                <w:lang w:val="en-US" w:eastAsia="zh-CN"/>
              </w:rPr>
              <w:t>6分</w:t>
            </w:r>
            <w:r>
              <w:rPr>
                <w:rFonts w:hint="eastAsia" w:ascii="宋体" w:hAnsi="宋体" w:eastAsia="宋体" w:cs="宋体"/>
                <w:b/>
                <w:bCs/>
                <w:caps w:val="0"/>
                <w:color w:val="auto"/>
                <w:spacing w:val="0"/>
                <w:sz w:val="21"/>
                <w:szCs w:val="21"/>
                <w:highlight w:val="none"/>
                <w:lang w:eastAsia="zh-CN"/>
              </w:rPr>
              <w:t>）</w:t>
            </w:r>
          </w:p>
          <w:p w14:paraId="3FEC285A">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①有专业维护人员，落实质保期内维护及售后服务人员安排，提供后期运维计划；</w:t>
            </w:r>
          </w:p>
          <w:p w14:paraId="372BA8DE">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②有具体应急措施（包括但不限于系统使用过程中的操作规程、维护与管理，常见故障的排除、紧急情况的处理等）；</w:t>
            </w:r>
          </w:p>
          <w:p w14:paraId="46914D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aps w:val="0"/>
                <w:color w:val="auto"/>
                <w:spacing w:val="0"/>
                <w:sz w:val="21"/>
                <w:szCs w:val="21"/>
                <w:highlight w:val="none"/>
              </w:rPr>
              <w:t>注：以上①-</w:t>
            </w:r>
            <w:r>
              <w:rPr>
                <w:rFonts w:hint="eastAsia" w:ascii="宋体" w:hAnsi="宋体" w:eastAsia="宋体" w:cs="宋体"/>
                <w:caps w:val="0"/>
                <w:color w:val="auto"/>
                <w:spacing w:val="0"/>
                <w:sz w:val="21"/>
                <w:szCs w:val="21"/>
                <w:highlight w:val="none"/>
                <w:lang w:eastAsia="zh-CN"/>
              </w:rPr>
              <w:t>②</w:t>
            </w:r>
            <w:r>
              <w:rPr>
                <w:rFonts w:hint="eastAsia" w:ascii="宋体" w:hAnsi="宋体" w:eastAsia="宋体" w:cs="宋体"/>
                <w:caps w:val="0"/>
                <w:color w:val="auto"/>
                <w:spacing w:val="0"/>
                <w:sz w:val="21"/>
                <w:szCs w:val="21"/>
                <w:highlight w:val="none"/>
              </w:rPr>
              <w:t>项每项最高得</w:t>
            </w:r>
            <w:r>
              <w:rPr>
                <w:rFonts w:hint="eastAsia" w:ascii="宋体" w:hAnsi="宋体" w:eastAsia="宋体" w:cs="宋体"/>
                <w:caps w:val="0"/>
                <w:color w:val="auto"/>
                <w:spacing w:val="0"/>
                <w:sz w:val="21"/>
                <w:szCs w:val="21"/>
                <w:highlight w:val="none"/>
                <w:lang w:val="en-US" w:eastAsia="zh-CN"/>
              </w:rPr>
              <w:t>3</w:t>
            </w:r>
            <w:r>
              <w:rPr>
                <w:rFonts w:hint="eastAsia" w:ascii="宋体" w:hAnsi="宋体" w:eastAsia="宋体" w:cs="宋体"/>
                <w:caps w:val="0"/>
                <w:color w:val="auto"/>
                <w:spacing w:val="0"/>
                <w:sz w:val="21"/>
                <w:szCs w:val="21"/>
                <w:highlight w:val="none"/>
              </w:rPr>
              <w:t>分，评分标准如下：缺项（0分）</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内容完整全面（</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分）、实际操作性强（</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分）、按照采购人实际需求制定</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w:t>
            </w:r>
          </w:p>
        </w:tc>
        <w:tc>
          <w:tcPr>
            <w:tcW w:w="748" w:type="dxa"/>
            <w:noWrap w:val="0"/>
            <w:vAlign w:val="center"/>
          </w:tcPr>
          <w:p w14:paraId="3890AD7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w:t>
            </w:r>
          </w:p>
        </w:tc>
        <w:tc>
          <w:tcPr>
            <w:tcW w:w="890" w:type="dxa"/>
            <w:noWrap w:val="0"/>
            <w:vAlign w:val="center"/>
          </w:tcPr>
          <w:p w14:paraId="54286DF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3136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639" w:type="dxa"/>
            <w:vMerge w:val="continue"/>
            <w:noWrap w:val="0"/>
            <w:vAlign w:val="center"/>
          </w:tcPr>
          <w:p w14:paraId="44E97F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82" w:type="dxa"/>
            <w:vMerge w:val="continue"/>
            <w:noWrap w:val="0"/>
            <w:vAlign w:val="center"/>
          </w:tcPr>
          <w:p w14:paraId="066673C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p>
        </w:tc>
        <w:tc>
          <w:tcPr>
            <w:tcW w:w="6465" w:type="dxa"/>
            <w:noWrap w:val="0"/>
            <w:vAlign w:val="center"/>
          </w:tcPr>
          <w:p w14:paraId="6AC5D65C">
            <w:pPr>
              <w:rPr>
                <w:rFonts w:hint="eastAsia" w:ascii="宋体" w:hAnsi="宋体" w:eastAsia="宋体" w:cs="宋体"/>
                <w:b/>
                <w:bCs/>
                <w:caps w:val="0"/>
                <w:color w:val="auto"/>
                <w:spacing w:val="0"/>
                <w:sz w:val="21"/>
                <w:szCs w:val="21"/>
                <w:highlight w:val="none"/>
              </w:rPr>
            </w:pPr>
            <w:r>
              <w:rPr>
                <w:rFonts w:hint="eastAsia" w:ascii="宋体" w:hAnsi="宋体" w:eastAsia="宋体" w:cs="宋体"/>
                <w:b/>
                <w:bCs/>
                <w:caps w:val="0"/>
                <w:color w:val="auto"/>
                <w:spacing w:val="0"/>
                <w:sz w:val="21"/>
                <w:szCs w:val="21"/>
                <w:highlight w:val="none"/>
                <w:lang w:eastAsia="zh-CN"/>
              </w:rPr>
              <w:t>五</w:t>
            </w:r>
            <w:r>
              <w:rPr>
                <w:rFonts w:hint="eastAsia" w:ascii="宋体" w:hAnsi="宋体" w:eastAsia="宋体" w:cs="宋体"/>
                <w:b/>
                <w:bCs/>
                <w:caps w:val="0"/>
                <w:color w:val="auto"/>
                <w:spacing w:val="0"/>
                <w:sz w:val="21"/>
                <w:szCs w:val="21"/>
                <w:highlight w:val="none"/>
              </w:rPr>
              <w:t>、服务承诺分</w:t>
            </w:r>
            <w:r>
              <w:rPr>
                <w:rFonts w:hint="eastAsia" w:ascii="宋体" w:hAnsi="宋体" w:eastAsia="宋体" w:cs="宋体"/>
                <w:b/>
                <w:bCs/>
                <w:caps w:val="0"/>
                <w:color w:val="auto"/>
                <w:spacing w:val="0"/>
                <w:sz w:val="21"/>
                <w:szCs w:val="21"/>
                <w:highlight w:val="none"/>
                <w:lang w:eastAsia="zh-CN"/>
              </w:rPr>
              <w:t>（</w:t>
            </w:r>
            <w:r>
              <w:rPr>
                <w:rFonts w:hint="eastAsia" w:ascii="宋体" w:hAnsi="宋体" w:eastAsia="宋体" w:cs="宋体"/>
                <w:b/>
                <w:bCs/>
                <w:caps w:val="0"/>
                <w:color w:val="auto"/>
                <w:spacing w:val="0"/>
                <w:sz w:val="21"/>
                <w:szCs w:val="21"/>
                <w:highlight w:val="none"/>
                <w:lang w:val="en-US" w:eastAsia="zh-CN"/>
              </w:rPr>
              <w:t>6分</w:t>
            </w:r>
            <w:r>
              <w:rPr>
                <w:rFonts w:hint="eastAsia" w:ascii="宋体" w:hAnsi="宋体" w:eastAsia="宋体" w:cs="宋体"/>
                <w:b/>
                <w:bCs/>
                <w:caps w:val="0"/>
                <w:color w:val="auto"/>
                <w:spacing w:val="0"/>
                <w:sz w:val="21"/>
                <w:szCs w:val="21"/>
                <w:highlight w:val="none"/>
                <w:lang w:eastAsia="zh-CN"/>
              </w:rPr>
              <w:t>）</w:t>
            </w:r>
          </w:p>
          <w:p w14:paraId="5B48BD0C">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供应商承诺的质保期比采购文件要求的</w:t>
            </w:r>
            <w:r>
              <w:rPr>
                <w:rFonts w:hint="eastAsia" w:ascii="宋体" w:hAnsi="宋体" w:eastAsia="宋体" w:cs="宋体"/>
                <w:caps w:val="0"/>
                <w:color w:val="auto"/>
                <w:spacing w:val="0"/>
                <w:sz w:val="21"/>
                <w:szCs w:val="21"/>
                <w:highlight w:val="none"/>
                <w:lang w:eastAsia="zh-CN"/>
              </w:rPr>
              <w:t>免费</w:t>
            </w:r>
            <w:r>
              <w:rPr>
                <w:rFonts w:hint="eastAsia" w:ascii="宋体" w:hAnsi="宋体" w:eastAsia="宋体" w:cs="宋体"/>
                <w:caps w:val="0"/>
                <w:color w:val="auto"/>
                <w:spacing w:val="0"/>
                <w:sz w:val="21"/>
                <w:szCs w:val="21"/>
                <w:highlight w:val="none"/>
              </w:rPr>
              <w:t>质保期每延长</w:t>
            </w:r>
            <w:r>
              <w:rPr>
                <w:rFonts w:hint="eastAsia" w:ascii="宋体" w:hAnsi="宋体" w:eastAsia="宋体" w:cs="宋体"/>
                <w:caps w:val="0"/>
                <w:color w:val="auto"/>
                <w:spacing w:val="0"/>
                <w:sz w:val="21"/>
                <w:szCs w:val="21"/>
                <w:highlight w:val="none"/>
                <w:lang w:val="en-US" w:eastAsia="zh-CN"/>
              </w:rPr>
              <w:t>0.5</w:t>
            </w:r>
            <w:r>
              <w:rPr>
                <w:rFonts w:hint="eastAsia" w:ascii="宋体" w:hAnsi="宋体" w:eastAsia="宋体" w:cs="宋体"/>
                <w:caps w:val="0"/>
                <w:color w:val="auto"/>
                <w:spacing w:val="0"/>
                <w:sz w:val="21"/>
                <w:szCs w:val="21"/>
                <w:highlight w:val="none"/>
              </w:rPr>
              <w:t>年的增加</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分，最高</w:t>
            </w:r>
            <w:r>
              <w:rPr>
                <w:rFonts w:hint="eastAsia" w:ascii="宋体" w:hAnsi="宋体" w:eastAsia="宋体" w:cs="宋体"/>
                <w:caps w:val="0"/>
                <w:color w:val="auto"/>
                <w:spacing w:val="0"/>
                <w:sz w:val="21"/>
                <w:szCs w:val="21"/>
                <w:highlight w:val="none"/>
                <w:lang w:val="en-US" w:eastAsia="zh-CN"/>
              </w:rPr>
              <w:t>3</w:t>
            </w:r>
            <w:r>
              <w:rPr>
                <w:rFonts w:hint="eastAsia" w:ascii="宋体" w:hAnsi="宋体" w:eastAsia="宋体" w:cs="宋体"/>
                <w:caps w:val="0"/>
                <w:color w:val="auto"/>
                <w:spacing w:val="0"/>
                <w:sz w:val="21"/>
                <w:szCs w:val="21"/>
                <w:highlight w:val="none"/>
              </w:rPr>
              <w:t>分。</w:t>
            </w:r>
          </w:p>
          <w:p w14:paraId="64F8D39B">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2.免费质保期结束后，采购方需采购软件年度维护时，维保费用=项目成交价×维保费率：</w:t>
            </w:r>
          </w:p>
          <w:p w14:paraId="4FF5CDE9">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（1）5.5%&lt;承诺维保费率≤6%的，得1分。</w:t>
            </w:r>
          </w:p>
          <w:p w14:paraId="5EEB91E6">
            <w:pPr>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（2）5%&lt;承诺维保费率≤5.5%的，得2分。</w:t>
            </w:r>
          </w:p>
          <w:p w14:paraId="58F836A2">
            <w:pPr>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（3）承诺维保费率≤5%的，得3分。</w:t>
            </w:r>
          </w:p>
        </w:tc>
        <w:tc>
          <w:tcPr>
            <w:tcW w:w="748" w:type="dxa"/>
            <w:noWrap w:val="0"/>
            <w:vAlign w:val="center"/>
          </w:tcPr>
          <w:p w14:paraId="285D749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w:t>
            </w:r>
          </w:p>
        </w:tc>
        <w:tc>
          <w:tcPr>
            <w:tcW w:w="890" w:type="dxa"/>
            <w:noWrap w:val="0"/>
            <w:vAlign w:val="center"/>
          </w:tcPr>
          <w:p w14:paraId="5E16E9B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bl>
    <w:p w14:paraId="294F80FE">
      <w:pPr>
        <w:numPr>
          <w:ilvl w:val="0"/>
          <w:numId w:val="0"/>
        </w:numPr>
        <w:rPr>
          <w:rFonts w:hint="eastAsia"/>
        </w:rPr>
      </w:pPr>
    </w:p>
    <w:p w14:paraId="47007D81">
      <w:pPr>
        <w:rPr>
          <w:lang w:val="zh-CN"/>
        </w:rPr>
      </w:pPr>
      <w:r>
        <w:rPr>
          <w:rFonts w:hint="eastAsia"/>
          <w:lang w:val="zh-CN"/>
        </w:rPr>
        <w:t>（2）最后报价分</w:t>
      </w:r>
    </w:p>
    <w:tbl>
      <w:tblPr>
        <w:tblStyle w:val="51"/>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2"/>
        <w:gridCol w:w="3347"/>
        <w:gridCol w:w="767"/>
        <w:gridCol w:w="2383"/>
      </w:tblGrid>
      <w:tr w14:paraId="0952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988" w:type="dxa"/>
            <w:noWrap w:val="0"/>
            <w:vAlign w:val="center"/>
          </w:tcPr>
          <w:p w14:paraId="6872119C">
            <w:pPr>
              <w:jc w:val="center"/>
              <w:rPr>
                <w:b/>
                <w:szCs w:val="21"/>
              </w:rPr>
            </w:pPr>
            <w:r>
              <w:rPr>
                <w:b/>
                <w:szCs w:val="21"/>
              </w:rPr>
              <w:t>序号</w:t>
            </w:r>
          </w:p>
        </w:tc>
        <w:tc>
          <w:tcPr>
            <w:tcW w:w="1552" w:type="dxa"/>
            <w:noWrap w:val="0"/>
            <w:vAlign w:val="center"/>
          </w:tcPr>
          <w:p w14:paraId="34644863">
            <w:pPr>
              <w:jc w:val="center"/>
              <w:rPr>
                <w:b/>
                <w:szCs w:val="21"/>
              </w:rPr>
            </w:pPr>
            <w:r>
              <w:rPr>
                <w:rFonts w:hint="eastAsia"/>
                <w:b/>
                <w:szCs w:val="21"/>
              </w:rPr>
              <w:t>类型</w:t>
            </w:r>
          </w:p>
        </w:tc>
        <w:tc>
          <w:tcPr>
            <w:tcW w:w="3347" w:type="dxa"/>
            <w:noWrap w:val="0"/>
            <w:vAlign w:val="center"/>
          </w:tcPr>
          <w:p w14:paraId="0AF50766">
            <w:pPr>
              <w:jc w:val="center"/>
              <w:rPr>
                <w:b/>
                <w:szCs w:val="21"/>
              </w:rPr>
            </w:pPr>
            <w:r>
              <w:rPr>
                <w:rFonts w:hint="eastAsia"/>
                <w:b/>
                <w:szCs w:val="21"/>
              </w:rPr>
              <w:t>评分标准</w:t>
            </w:r>
          </w:p>
        </w:tc>
        <w:tc>
          <w:tcPr>
            <w:tcW w:w="767" w:type="dxa"/>
            <w:noWrap w:val="0"/>
            <w:vAlign w:val="center"/>
          </w:tcPr>
          <w:p w14:paraId="44E67A87">
            <w:pPr>
              <w:jc w:val="center"/>
              <w:rPr>
                <w:b/>
                <w:szCs w:val="21"/>
              </w:rPr>
            </w:pPr>
            <w:r>
              <w:rPr>
                <w:rFonts w:hint="eastAsia"/>
                <w:b/>
                <w:szCs w:val="21"/>
              </w:rPr>
              <w:t>分值权重</w:t>
            </w:r>
          </w:p>
        </w:tc>
        <w:tc>
          <w:tcPr>
            <w:tcW w:w="2383" w:type="dxa"/>
            <w:noWrap w:val="0"/>
            <w:vAlign w:val="center"/>
          </w:tcPr>
          <w:p w14:paraId="6F38FCEB">
            <w:pPr>
              <w:jc w:val="center"/>
              <w:rPr>
                <w:b/>
                <w:szCs w:val="21"/>
              </w:rPr>
            </w:pPr>
            <w:r>
              <w:rPr>
                <w:b/>
                <w:szCs w:val="21"/>
              </w:rPr>
              <w:t>说明</w:t>
            </w:r>
          </w:p>
        </w:tc>
      </w:tr>
      <w:tr w14:paraId="4539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988" w:type="dxa"/>
            <w:noWrap w:val="0"/>
            <w:vAlign w:val="center"/>
          </w:tcPr>
          <w:p w14:paraId="6B8081A7">
            <w:pPr>
              <w:jc w:val="center"/>
              <w:rPr>
                <w:b/>
                <w:szCs w:val="21"/>
              </w:rPr>
            </w:pPr>
            <w:r>
              <w:rPr>
                <w:rFonts w:hint="eastAsia"/>
                <w:b/>
                <w:szCs w:val="21"/>
              </w:rPr>
              <w:t>1</w:t>
            </w:r>
          </w:p>
        </w:tc>
        <w:tc>
          <w:tcPr>
            <w:tcW w:w="1552" w:type="dxa"/>
            <w:noWrap w:val="0"/>
            <w:vAlign w:val="center"/>
          </w:tcPr>
          <w:p w14:paraId="63CF1EFF">
            <w:pPr>
              <w:ind w:firstLine="210" w:firstLineChars="100"/>
              <w:rPr>
                <w:color w:val="4472C4"/>
                <w:szCs w:val="21"/>
              </w:rPr>
            </w:pPr>
            <w:r>
              <w:rPr>
                <w:rFonts w:hint="eastAsia"/>
                <w:szCs w:val="21"/>
              </w:rPr>
              <w:t>响应报价分</w:t>
            </w:r>
          </w:p>
        </w:tc>
        <w:tc>
          <w:tcPr>
            <w:tcW w:w="3347" w:type="dxa"/>
            <w:noWrap w:val="0"/>
            <w:vAlign w:val="center"/>
          </w:tcPr>
          <w:p w14:paraId="75AA32E0">
            <w:pPr>
              <w:rPr>
                <w:szCs w:val="21"/>
              </w:rPr>
            </w:pPr>
            <w:r>
              <w:rPr>
                <w:rFonts w:hint="eastAsia"/>
                <w:szCs w:val="21"/>
              </w:rPr>
              <w:t>以满足采购文件要求且响应价格最低的响应报价为评审基准价，其价格分为满分。其他供应商的价格分统一按照下列公式计算：响应报价得分</w:t>
            </w:r>
            <w:r>
              <w:rPr>
                <w:szCs w:val="21"/>
              </w:rPr>
              <w:t>=（评审基准价/响应报价）×响应报价分满分分值。</w:t>
            </w:r>
          </w:p>
        </w:tc>
        <w:tc>
          <w:tcPr>
            <w:tcW w:w="767" w:type="dxa"/>
            <w:noWrap w:val="0"/>
            <w:vAlign w:val="center"/>
          </w:tcPr>
          <w:p w14:paraId="4CDB1836">
            <w:pPr>
              <w:rPr>
                <w:color w:val="4472C4"/>
                <w:szCs w:val="21"/>
              </w:rPr>
            </w:pPr>
            <w:r>
              <w:rPr>
                <w:rFonts w:hint="eastAsia"/>
                <w:szCs w:val="21"/>
                <w:lang w:val="en-US" w:eastAsia="zh-CN"/>
              </w:rPr>
              <w:t>30</w:t>
            </w:r>
            <w:r>
              <w:rPr>
                <w:rFonts w:hint="eastAsia"/>
                <w:szCs w:val="21"/>
              </w:rPr>
              <w:t>分</w:t>
            </w:r>
          </w:p>
        </w:tc>
        <w:tc>
          <w:tcPr>
            <w:tcW w:w="2383" w:type="dxa"/>
            <w:noWrap w:val="0"/>
            <w:vAlign w:val="center"/>
          </w:tcPr>
          <w:p w14:paraId="0075BD15">
            <w:pPr>
              <w:rPr>
                <w:color w:val="4472C4"/>
                <w:szCs w:val="21"/>
              </w:rPr>
            </w:pPr>
            <w:r>
              <w:rPr>
                <w:rFonts w:hint="eastAsia"/>
                <w:szCs w:val="21"/>
              </w:rPr>
              <w:t>响应报价计算时均为供应商的实际响应报价进行政策性扣除后的价格，最终成交金额＝响应报价。政策性扣除计算方法见后。</w:t>
            </w:r>
          </w:p>
        </w:tc>
      </w:tr>
    </w:tbl>
    <w:p w14:paraId="598C4B4A">
      <w:pPr>
        <w:spacing w:before="120" w:line="320" w:lineRule="atLeast"/>
        <w:ind w:firstLine="316" w:firstLineChars="150"/>
        <w:rPr>
          <w:rFonts w:hint="eastAsia" w:ascii="宋体" w:hAnsi="宋体" w:eastAsia="宋体" w:cs="宋体"/>
          <w:b/>
          <w:bCs/>
          <w:color w:val="4472C4"/>
          <w:kern w:val="0"/>
          <w:sz w:val="21"/>
          <w:szCs w:val="21"/>
          <w:highlight w:val="none"/>
        </w:rPr>
      </w:pPr>
      <w:r>
        <w:rPr>
          <w:rFonts w:hint="eastAsia" w:ascii="宋体" w:hAnsi="宋体" w:eastAsia="宋体" w:cs="宋体"/>
          <w:b/>
          <w:bCs/>
          <w:kern w:val="0"/>
          <w:sz w:val="21"/>
          <w:szCs w:val="21"/>
          <w:highlight w:val="none"/>
        </w:rPr>
        <w:t>注：政策性扣除计算方法</w:t>
      </w:r>
    </w:p>
    <w:p w14:paraId="6CE3AE4F">
      <w:pPr>
        <w:spacing w:before="120" w:line="320" w:lineRule="atLeas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供应商响应报价将按相应比例进行扣除，用扣除后的价格参与评审（计算价格分），价格扣除比例分别如下：</w:t>
      </w:r>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682"/>
      </w:tblGrid>
      <w:tr w14:paraId="232C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26CE7286">
            <w:pPr>
              <w:spacing w:before="120" w:line="32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独立响应</w:t>
            </w:r>
          </w:p>
        </w:tc>
        <w:tc>
          <w:tcPr>
            <w:tcW w:w="4962" w:type="dxa"/>
            <w:noWrap w:val="0"/>
            <w:vAlign w:val="top"/>
          </w:tcPr>
          <w:p w14:paraId="7A227FE7">
            <w:pPr>
              <w:spacing w:before="120" w:line="32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供应商均为所列企业之一（小型企业、微型企业、残疾人福利企业、监狱企业）</w:t>
            </w:r>
          </w:p>
        </w:tc>
        <w:tc>
          <w:tcPr>
            <w:tcW w:w="2682" w:type="dxa"/>
            <w:noWrap w:val="0"/>
            <w:vAlign w:val="top"/>
          </w:tcPr>
          <w:p w14:paraId="6E685C47">
            <w:pPr>
              <w:spacing w:before="120" w:line="32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价格扣除响应报价的10%</w:t>
            </w:r>
          </w:p>
        </w:tc>
      </w:tr>
      <w:tr w14:paraId="372F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3"/>
            <w:noWrap w:val="0"/>
            <w:vAlign w:val="top"/>
          </w:tcPr>
          <w:p w14:paraId="153C9399">
            <w:pPr>
              <w:spacing w:before="120" w:line="32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注：未提供《中小企业声明函》、《分包意向协议书》或《联合体协议书》或不符合条件的，不享受价格扣除优惠。</w:t>
            </w:r>
          </w:p>
        </w:tc>
      </w:tr>
    </w:tbl>
    <w:p w14:paraId="65FDFE22">
      <w:pPr>
        <w:rPr>
          <w:rFonts w:hint="eastAsia" w:ascii="宋体" w:hAnsi="宋体" w:eastAsia="宋体" w:cs="宋体"/>
        </w:rPr>
      </w:pPr>
    </w:p>
    <w:p w14:paraId="217D8283">
      <w:r>
        <w:rPr>
          <w:rFonts w:hint="eastAsia"/>
        </w:rPr>
        <w:t>（</w:t>
      </w:r>
      <w:r>
        <w:t>3</w:t>
      </w:r>
      <w:r>
        <w:rPr>
          <w:rFonts w:hint="eastAsia"/>
        </w:rPr>
        <w:t>）</w:t>
      </w:r>
      <w:r>
        <w:t>综合得分</w:t>
      </w:r>
    </w:p>
    <w:tbl>
      <w:tblPr>
        <w:tblStyle w:val="51"/>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693"/>
        <w:gridCol w:w="2690"/>
        <w:gridCol w:w="1842"/>
      </w:tblGrid>
      <w:tr w14:paraId="0609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100" w:type="dxa"/>
            <w:noWrap w:val="0"/>
            <w:vAlign w:val="center"/>
          </w:tcPr>
          <w:p w14:paraId="20CBFC03">
            <w:pPr>
              <w:jc w:val="center"/>
              <w:rPr>
                <w:b/>
                <w:szCs w:val="21"/>
              </w:rPr>
            </w:pPr>
            <w:r>
              <w:rPr>
                <w:rFonts w:hint="eastAsia"/>
                <w:b/>
                <w:szCs w:val="21"/>
              </w:rPr>
              <w:t>分项</w:t>
            </w:r>
          </w:p>
        </w:tc>
        <w:tc>
          <w:tcPr>
            <w:tcW w:w="2693" w:type="dxa"/>
            <w:noWrap w:val="0"/>
            <w:vAlign w:val="center"/>
          </w:tcPr>
          <w:p w14:paraId="6D550970">
            <w:pPr>
              <w:jc w:val="center"/>
              <w:rPr>
                <w:b/>
                <w:szCs w:val="21"/>
              </w:rPr>
            </w:pPr>
            <w:r>
              <w:rPr>
                <w:rFonts w:hint="eastAsia"/>
                <w:b/>
                <w:szCs w:val="21"/>
              </w:rPr>
              <w:t>技术及商务资信分</w:t>
            </w:r>
          </w:p>
        </w:tc>
        <w:tc>
          <w:tcPr>
            <w:tcW w:w="2690" w:type="dxa"/>
            <w:noWrap w:val="0"/>
            <w:vAlign w:val="center"/>
          </w:tcPr>
          <w:p w14:paraId="778A19DC">
            <w:pPr>
              <w:jc w:val="center"/>
              <w:rPr>
                <w:b/>
                <w:szCs w:val="21"/>
              </w:rPr>
            </w:pPr>
            <w:r>
              <w:rPr>
                <w:rFonts w:hint="eastAsia"/>
                <w:b/>
                <w:szCs w:val="21"/>
              </w:rPr>
              <w:t>响应报价得分</w:t>
            </w:r>
          </w:p>
        </w:tc>
        <w:tc>
          <w:tcPr>
            <w:tcW w:w="1842" w:type="dxa"/>
            <w:noWrap w:val="0"/>
            <w:vAlign w:val="center"/>
          </w:tcPr>
          <w:p w14:paraId="4BED6C56">
            <w:pPr>
              <w:jc w:val="center"/>
              <w:rPr>
                <w:b/>
                <w:szCs w:val="21"/>
              </w:rPr>
            </w:pPr>
            <w:r>
              <w:rPr>
                <w:rFonts w:hint="eastAsia"/>
                <w:b/>
                <w:szCs w:val="21"/>
              </w:rPr>
              <w:t>总分</w:t>
            </w:r>
          </w:p>
        </w:tc>
      </w:tr>
      <w:tr w14:paraId="5680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00" w:type="dxa"/>
            <w:noWrap w:val="0"/>
            <w:vAlign w:val="center"/>
          </w:tcPr>
          <w:p w14:paraId="6F617A96">
            <w:pPr>
              <w:jc w:val="center"/>
              <w:rPr>
                <w:b/>
                <w:szCs w:val="21"/>
              </w:rPr>
            </w:pPr>
            <w:r>
              <w:rPr>
                <w:rFonts w:hint="eastAsia"/>
                <w:b/>
                <w:szCs w:val="21"/>
              </w:rPr>
              <w:t>分值</w:t>
            </w:r>
          </w:p>
        </w:tc>
        <w:tc>
          <w:tcPr>
            <w:tcW w:w="2693" w:type="dxa"/>
            <w:noWrap w:val="0"/>
            <w:vAlign w:val="center"/>
          </w:tcPr>
          <w:p w14:paraId="1055AF0E">
            <w:pPr>
              <w:jc w:val="center"/>
              <w:rPr>
                <w:rFonts w:hint="default" w:eastAsia="宋体"/>
                <w:color w:val="FF0000"/>
                <w:szCs w:val="21"/>
                <w:lang w:val="en-US" w:eastAsia="zh-CN"/>
              </w:rPr>
            </w:pPr>
            <w:r>
              <w:rPr>
                <w:rFonts w:hint="eastAsia"/>
                <w:szCs w:val="21"/>
                <w:lang w:val="en-US" w:eastAsia="zh-CN"/>
              </w:rPr>
              <w:t>70</w:t>
            </w:r>
            <w:r>
              <w:rPr>
                <w:rFonts w:hint="eastAsia"/>
                <w:szCs w:val="21"/>
              </w:rPr>
              <w:t>分</w:t>
            </w:r>
          </w:p>
        </w:tc>
        <w:tc>
          <w:tcPr>
            <w:tcW w:w="2690" w:type="dxa"/>
            <w:noWrap w:val="0"/>
            <w:vAlign w:val="center"/>
          </w:tcPr>
          <w:p w14:paraId="058206BE">
            <w:pPr>
              <w:jc w:val="center"/>
              <w:rPr>
                <w:rFonts w:hint="default" w:eastAsia="宋体"/>
                <w:color w:val="FF0000"/>
                <w:szCs w:val="21"/>
                <w:lang w:val="en-US" w:eastAsia="zh-CN"/>
              </w:rPr>
            </w:pPr>
            <w:r>
              <w:rPr>
                <w:rFonts w:hint="eastAsia"/>
                <w:szCs w:val="21"/>
                <w:lang w:val="en-US" w:eastAsia="zh-CN"/>
              </w:rPr>
              <w:t>30</w:t>
            </w:r>
            <w:r>
              <w:rPr>
                <w:rFonts w:hint="eastAsia"/>
                <w:szCs w:val="21"/>
              </w:rPr>
              <w:t>分</w:t>
            </w:r>
          </w:p>
        </w:tc>
        <w:tc>
          <w:tcPr>
            <w:tcW w:w="1842" w:type="dxa"/>
            <w:noWrap w:val="0"/>
            <w:vAlign w:val="center"/>
          </w:tcPr>
          <w:p w14:paraId="3A4E6387">
            <w:pPr>
              <w:jc w:val="center"/>
              <w:rPr>
                <w:rFonts w:hint="default" w:eastAsia="宋体"/>
                <w:color w:val="4472C4"/>
                <w:szCs w:val="21"/>
                <w:lang w:val="en-US" w:eastAsia="zh-CN"/>
              </w:rPr>
            </w:pPr>
            <w:r>
              <w:rPr>
                <w:rFonts w:hint="eastAsia"/>
                <w:szCs w:val="21"/>
              </w:rPr>
              <w:t>100分</w:t>
            </w:r>
          </w:p>
        </w:tc>
      </w:tr>
      <w:tr w14:paraId="3FFF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8325" w:type="dxa"/>
            <w:gridSpan w:val="4"/>
            <w:noWrap w:val="0"/>
            <w:vAlign w:val="center"/>
          </w:tcPr>
          <w:p w14:paraId="5A3610B8">
            <w:pPr>
              <w:rPr>
                <w:color w:val="4472C4"/>
                <w:szCs w:val="21"/>
              </w:rPr>
            </w:pPr>
            <w:r>
              <w:rPr>
                <w:rFonts w:hint="eastAsia"/>
                <w:color w:val="auto"/>
                <w:szCs w:val="21"/>
              </w:rPr>
              <w:t>综合得分</w:t>
            </w:r>
            <w:r>
              <w:rPr>
                <w:color w:val="auto"/>
                <w:szCs w:val="21"/>
              </w:rPr>
              <w:t>=</w:t>
            </w:r>
            <w:r>
              <w:rPr>
                <w:rFonts w:hint="eastAsia"/>
                <w:color w:val="auto"/>
                <w:szCs w:val="21"/>
              </w:rPr>
              <w:t>技术及商务资信分+响应报价得分（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tbl>
    <w:p w14:paraId="000E6F78">
      <w:pPr>
        <w:spacing w:before="120" w:line="320" w:lineRule="atLeast"/>
        <w:rPr>
          <w:color w:val="auto"/>
        </w:rPr>
      </w:pPr>
      <w:r>
        <w:rPr>
          <w:color w:val="auto"/>
        </w:rPr>
        <w:t>4.1</w:t>
      </w:r>
      <w:r>
        <w:rPr>
          <w:rFonts w:hint="eastAsia"/>
          <w:color w:val="auto"/>
        </w:rPr>
        <w:t>偏离认定说明</w:t>
      </w:r>
    </w:p>
    <w:p w14:paraId="053DF306">
      <w:pPr>
        <w:spacing w:before="120" w:line="320" w:lineRule="atLeast"/>
        <w:ind w:firstLine="420" w:firstLineChars="200"/>
        <w:rPr>
          <w:color w:val="auto"/>
          <w:szCs w:val="21"/>
        </w:rPr>
      </w:pPr>
      <w:r>
        <w:rPr>
          <w:rFonts w:hint="eastAsia"/>
          <w:color w:val="auto"/>
          <w:szCs w:val="21"/>
        </w:rPr>
        <w:t>供应商根据采购需求中技术参数为基准，填写响应表，对于响应表或证明材料与技术参数不符的，按如下规定：</w:t>
      </w:r>
    </w:p>
    <w:p w14:paraId="60CD32FA">
      <w:pPr>
        <w:spacing w:before="120" w:line="320" w:lineRule="atLeast"/>
        <w:ind w:firstLine="420" w:firstLineChars="200"/>
        <w:rPr>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color w:val="auto"/>
          <w:szCs w:val="21"/>
        </w:rPr>
      </w:pPr>
      <w:r>
        <w:rPr>
          <w:rFonts w:hint="eastAsia"/>
          <w:color w:val="auto"/>
          <w:szCs w:val="21"/>
        </w:rPr>
        <w:t>（2）响应表中响应的内容与证明材料不一致的，以证明材料为准作为评审依据。</w:t>
      </w:r>
    </w:p>
    <w:p w14:paraId="0C895EF1">
      <w:pPr>
        <w:spacing w:before="120" w:line="320" w:lineRule="atLeast"/>
        <w:ind w:firstLine="420" w:firstLineChars="200"/>
        <w:rPr>
          <w:color w:val="auto"/>
          <w:szCs w:val="21"/>
        </w:rPr>
      </w:pPr>
      <w:r>
        <w:rPr>
          <w:rFonts w:hint="eastAsia"/>
          <w:color w:val="auto"/>
          <w:szCs w:val="21"/>
        </w:rPr>
        <w:t>（3）同时出现以上两种情况的，按照（1）-（2）顺序认定。</w:t>
      </w:r>
    </w:p>
    <w:p w14:paraId="6F3F7D00">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）响应表与采购需求中技术参数比较有漏项的，如为实质性参数漏项，视为未响应；如为非实质性参数漏项，视为负偏离。</w:t>
      </w:r>
    </w:p>
    <w:p w14:paraId="72109015">
      <w:pPr>
        <w:spacing w:before="120" w:line="320" w:lineRule="atLeast"/>
        <w:ind w:firstLine="420" w:firstLineChars="200"/>
        <w:rPr>
          <w:color w:val="auto"/>
          <w:szCs w:val="21"/>
        </w:rPr>
      </w:pPr>
      <w:r>
        <w:rPr>
          <w:rFonts w:hint="eastAsia"/>
          <w:color w:val="auto"/>
          <w:szCs w:val="21"/>
        </w:rPr>
        <w:t>（</w:t>
      </w:r>
      <w:r>
        <w:rPr>
          <w:color w:val="auto"/>
          <w:szCs w:val="21"/>
        </w:rPr>
        <w:t>5</w:t>
      </w:r>
      <w:r>
        <w:rPr>
          <w:rFonts w:hint="eastAsia"/>
          <w:color w:val="auto"/>
          <w:szCs w:val="21"/>
        </w:rPr>
        <w:t>）一项技术参数有多条小项要求的，必须全部响应。如只响应部分参数，视为漏项，按照（4）判定。评审时以每一条技术参数为评审依据。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color w:val="auto"/>
          <w:szCs w:val="21"/>
        </w:rPr>
      </w:pPr>
      <w:r>
        <w:rPr>
          <w:rFonts w:hint="eastAsia"/>
          <w:color w:val="auto"/>
          <w:szCs w:val="21"/>
        </w:rPr>
        <w:t>（</w:t>
      </w:r>
      <w:r>
        <w:rPr>
          <w:color w:val="auto"/>
          <w:szCs w:val="21"/>
        </w:rPr>
        <w:t>6</w:t>
      </w:r>
      <w:r>
        <w:rPr>
          <w:rFonts w:hint="eastAsia"/>
          <w:color w:val="auto"/>
          <w:szCs w:val="21"/>
        </w:rPr>
        <w:t>）对于区间涵盖值参数，例：电压“测量范围</w:t>
      </w:r>
      <w:r>
        <w:rPr>
          <w:color w:val="auto"/>
          <w:szCs w:val="21"/>
        </w:rPr>
        <w:t>3V-5V</w:t>
      </w:r>
      <w:r>
        <w:rPr>
          <w:rFonts w:hint="eastAsia"/>
          <w:color w:val="auto"/>
          <w:szCs w:val="21"/>
        </w:rPr>
        <w:t>”，同时满足下限值更低及上限值更高才视为正偏离，例：响应为“测量范围</w:t>
      </w:r>
      <w:r>
        <w:rPr>
          <w:color w:val="auto"/>
          <w:szCs w:val="21"/>
        </w:rPr>
        <w:t>2V-6V”</w:t>
      </w:r>
      <w:r>
        <w:rPr>
          <w:rFonts w:hint="eastAsia"/>
          <w:color w:val="auto"/>
          <w:szCs w:val="21"/>
        </w:rPr>
        <w:t>。如有一端负偏离，不管另一端如何，均视为负偏离，例：响应为“测量范围4</w:t>
      </w:r>
      <w:r>
        <w:rPr>
          <w:color w:val="auto"/>
          <w:szCs w:val="21"/>
        </w:rPr>
        <w:t>V-6V</w:t>
      </w:r>
      <w:r>
        <w:rPr>
          <w:rFonts w:hint="eastAsia"/>
          <w:color w:val="auto"/>
          <w:szCs w:val="21"/>
        </w:rPr>
        <w:t>”。</w:t>
      </w:r>
    </w:p>
    <w:p w14:paraId="720BD1A5">
      <w:pPr>
        <w:spacing w:before="120" w:line="320" w:lineRule="atLeast"/>
        <w:ind w:firstLine="420" w:firstLineChars="200"/>
        <w:rPr>
          <w:color w:val="auto"/>
          <w:szCs w:val="21"/>
        </w:rPr>
      </w:pPr>
      <w:r>
        <w:rPr>
          <w:rFonts w:hint="eastAsia"/>
          <w:color w:val="auto"/>
          <w:szCs w:val="21"/>
        </w:rPr>
        <w:t>（</w:t>
      </w:r>
      <w:r>
        <w:rPr>
          <w:color w:val="auto"/>
          <w:szCs w:val="21"/>
        </w:rPr>
        <w:t>7</w:t>
      </w:r>
      <w:r>
        <w:rPr>
          <w:rFonts w:hint="eastAsia"/>
          <w:color w:val="auto"/>
          <w:szCs w:val="21"/>
        </w:rPr>
        <w:t>）对于区间任意值参数，例“</w:t>
      </w:r>
      <w:r>
        <w:rPr>
          <w:color w:val="auto"/>
          <w:szCs w:val="21"/>
        </w:rPr>
        <w:t>5</w:t>
      </w:r>
      <w:r>
        <w:rPr>
          <w:rFonts w:hint="eastAsia"/>
          <w:color w:val="auto"/>
          <w:szCs w:val="21"/>
        </w:rPr>
        <w:t>m</w:t>
      </w:r>
      <w:r>
        <w:rPr>
          <w:color w:val="auto"/>
          <w:szCs w:val="21"/>
        </w:rPr>
        <w:t>m</w:t>
      </w:r>
      <w:r>
        <w:rPr>
          <w:rFonts w:hint="eastAsia"/>
          <w:color w:val="auto"/>
          <w:szCs w:val="21"/>
        </w:rPr>
        <w:t>≤间距≤1</w:t>
      </w:r>
      <w:r>
        <w:rPr>
          <w:color w:val="auto"/>
          <w:szCs w:val="21"/>
        </w:rPr>
        <w:t>0</w:t>
      </w:r>
      <w:r>
        <w:rPr>
          <w:rFonts w:hint="eastAsia"/>
          <w:color w:val="auto"/>
          <w:szCs w:val="21"/>
        </w:rPr>
        <w:t>m</w:t>
      </w:r>
      <w:r>
        <w:rPr>
          <w:color w:val="auto"/>
          <w:szCs w:val="21"/>
        </w:rPr>
        <w:t>m</w:t>
      </w:r>
      <w:r>
        <w:rPr>
          <w:rFonts w:hint="eastAsia"/>
          <w:color w:val="auto"/>
          <w:szCs w:val="21"/>
        </w:rPr>
        <w:t>”或“间距7.5±2.5mm”，若间距响应值为</w:t>
      </w:r>
      <w:r>
        <w:rPr>
          <w:color w:val="auto"/>
          <w:szCs w:val="21"/>
        </w:rPr>
        <w:t>5</w:t>
      </w:r>
      <w:r>
        <w:rPr>
          <w:rFonts w:hint="eastAsia"/>
          <w:color w:val="auto"/>
          <w:szCs w:val="21"/>
        </w:rPr>
        <w:t>m</w:t>
      </w:r>
      <w:r>
        <w:rPr>
          <w:color w:val="auto"/>
          <w:szCs w:val="21"/>
        </w:rPr>
        <w:t>m-10mm</w:t>
      </w:r>
      <w:r>
        <w:rPr>
          <w:rFonts w:hint="eastAsia"/>
          <w:color w:val="auto"/>
          <w:szCs w:val="21"/>
        </w:rPr>
        <w:t>中任意区间值或任意一个数值（含本数）时为无偏离，例：“6m</w:t>
      </w:r>
      <w:r>
        <w:rPr>
          <w:color w:val="auto"/>
          <w:szCs w:val="21"/>
        </w:rPr>
        <w:t>m</w:t>
      </w:r>
      <w:r>
        <w:rPr>
          <w:rFonts w:hint="eastAsia"/>
          <w:color w:val="auto"/>
          <w:szCs w:val="21"/>
        </w:rPr>
        <w:t>≤间距≤8m</w:t>
      </w:r>
      <w:r>
        <w:rPr>
          <w:color w:val="auto"/>
          <w:szCs w:val="21"/>
        </w:rPr>
        <w:t>m</w:t>
      </w:r>
      <w:r>
        <w:rPr>
          <w:rFonts w:hint="eastAsia"/>
          <w:color w:val="auto"/>
          <w:szCs w:val="21"/>
        </w:rPr>
        <w:t>”、“8±2mm”、“8mm”。超过区间范围视为负偏离，例：“3m</w:t>
      </w:r>
      <w:r>
        <w:rPr>
          <w:color w:val="auto"/>
          <w:szCs w:val="21"/>
        </w:rPr>
        <w:t>m</w:t>
      </w:r>
      <w:r>
        <w:rPr>
          <w:rFonts w:hint="eastAsia"/>
          <w:color w:val="auto"/>
          <w:szCs w:val="21"/>
        </w:rPr>
        <w:t>≤间距≤12m</w:t>
      </w:r>
      <w:r>
        <w:rPr>
          <w:color w:val="auto"/>
          <w:szCs w:val="21"/>
        </w:rPr>
        <w:t>m</w:t>
      </w:r>
      <w:r>
        <w:rPr>
          <w:rFonts w:hint="eastAsia"/>
          <w:color w:val="auto"/>
          <w:szCs w:val="21"/>
        </w:rPr>
        <w:t>”、“8±4mm”、“3-12mm”、“3mm”。此类参数不存在正偏离。</w:t>
      </w:r>
    </w:p>
    <w:p w14:paraId="145C8153">
      <w:pPr>
        <w:spacing w:before="120" w:line="320" w:lineRule="atLeast"/>
        <w:ind w:firstLine="420" w:firstLineChars="200"/>
        <w:rPr>
          <w:color w:val="auto"/>
          <w:szCs w:val="21"/>
        </w:rPr>
      </w:pPr>
      <w:r>
        <w:rPr>
          <w:rFonts w:hint="eastAsia"/>
          <w:color w:val="auto"/>
          <w:szCs w:val="21"/>
        </w:rPr>
        <w:t>（</w:t>
      </w:r>
      <w:r>
        <w:rPr>
          <w:color w:val="auto"/>
          <w:szCs w:val="21"/>
        </w:rPr>
        <w:t>8</w:t>
      </w:r>
      <w:r>
        <w:rPr>
          <w:rFonts w:hint="eastAsia"/>
          <w:color w:val="auto"/>
          <w:szCs w:val="21"/>
        </w:rPr>
        <w:t>）对于单边任意参数的要求，例“长度≥5</w:t>
      </w:r>
      <w:r>
        <w:rPr>
          <w:color w:val="auto"/>
          <w:szCs w:val="21"/>
        </w:rPr>
        <w:t>0cm”</w:t>
      </w:r>
      <w:r>
        <w:rPr>
          <w:rFonts w:hint="eastAsia"/>
          <w:color w:val="auto"/>
          <w:szCs w:val="21"/>
        </w:rPr>
        <w:t>，若响应为5</w:t>
      </w:r>
      <w:r>
        <w:rPr>
          <w:color w:val="auto"/>
          <w:szCs w:val="21"/>
        </w:rPr>
        <w:t>0 cm</w:t>
      </w:r>
      <w:r>
        <w:rPr>
          <w:rFonts w:hint="eastAsia"/>
          <w:color w:val="auto"/>
          <w:szCs w:val="21"/>
        </w:rPr>
        <w:t>及5</w:t>
      </w:r>
      <w:r>
        <w:rPr>
          <w:color w:val="auto"/>
          <w:szCs w:val="21"/>
        </w:rPr>
        <w:t>0cm</w:t>
      </w:r>
      <w:r>
        <w:rPr>
          <w:rFonts w:hint="eastAsia"/>
          <w:color w:val="auto"/>
          <w:szCs w:val="21"/>
        </w:rPr>
        <w:t>以上任意一个数值，均视为无偏离；若响应小于5</w:t>
      </w:r>
      <w:r>
        <w:rPr>
          <w:color w:val="auto"/>
          <w:szCs w:val="21"/>
        </w:rPr>
        <w:t>0cm</w:t>
      </w:r>
      <w:r>
        <w:rPr>
          <w:rFonts w:hint="eastAsia"/>
          <w:color w:val="auto"/>
          <w:szCs w:val="21"/>
        </w:rPr>
        <w:t>，视为负偏离。此类参数无正偏离。</w:t>
      </w:r>
    </w:p>
    <w:p w14:paraId="1D59ABAD">
      <w:pPr>
        <w:spacing w:before="120" w:line="320" w:lineRule="atLeast"/>
        <w:ind w:firstLine="420" w:firstLineChars="200"/>
        <w:rPr>
          <w:color w:val="auto"/>
          <w:szCs w:val="21"/>
        </w:rPr>
      </w:pPr>
      <w:r>
        <w:rPr>
          <w:rFonts w:hint="eastAsia"/>
          <w:color w:val="auto"/>
          <w:szCs w:val="21"/>
        </w:rPr>
        <w:t>（</w:t>
      </w:r>
      <w:r>
        <w:rPr>
          <w:color w:val="auto"/>
          <w:szCs w:val="21"/>
        </w:rPr>
        <w:t>9</w:t>
      </w:r>
      <w:r>
        <w:rPr>
          <w:rFonts w:hint="eastAsia"/>
          <w:color w:val="auto"/>
          <w:szCs w:val="21"/>
        </w:rPr>
        <w:t>）对于固定参数，响应与采购需求中技术参数一致，视为无偏离，其他均视为负偏离，此类参数无正偏离。</w:t>
      </w:r>
    </w:p>
    <w:p w14:paraId="4F4456C2">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p w14:paraId="2C42A7C2">
      <w:pPr>
        <w:pStyle w:val="26"/>
        <w:snapToGrid w:val="0"/>
        <w:spacing w:before="120" w:after="120" w:line="320" w:lineRule="exact"/>
        <w:jc w:val="center"/>
        <w:outlineLvl w:val="0"/>
        <w:rPr>
          <w:rFonts w:ascii="Times New Roman" w:hAnsi="Times New Roman" w:cs="Times New Roman"/>
          <w:sz w:val="32"/>
          <w:szCs w:val="32"/>
        </w:rPr>
      </w:pPr>
      <w:r>
        <w:br w:type="page"/>
      </w:r>
      <w:r>
        <w:rPr>
          <w:rFonts w:ascii="Times New Roman" w:hAnsi="Times New Roman" w:cs="Times New Roman"/>
          <w:sz w:val="32"/>
          <w:szCs w:val="32"/>
        </w:rPr>
        <w:t>第五章  合同主要条款格式</w:t>
      </w:r>
    </w:p>
    <w:p w14:paraId="536C0EF9">
      <w:pPr>
        <w:pStyle w:val="26"/>
        <w:snapToGrid w:val="0"/>
        <w:jc w:val="center"/>
        <w:rPr>
          <w:rFonts w:ascii="Times New Roman" w:hAnsi="Times New Roman" w:cs="Times New Roman"/>
          <w:b/>
          <w:color w:val="4472C4"/>
          <w:sz w:val="24"/>
          <w:szCs w:val="24"/>
        </w:rPr>
      </w:pPr>
    </w:p>
    <w:p w14:paraId="40E2196B">
      <w:pPr>
        <w:snapToGrid w:val="0"/>
        <w:spacing w:line="400" w:lineRule="exact"/>
        <w:jc w:val="center"/>
        <w:rPr>
          <w:rFonts w:hint="eastAsia" w:ascii="宋体" w:hAnsi="宋体"/>
          <w:b/>
          <w:bCs/>
          <w:sz w:val="32"/>
          <w:szCs w:val="32"/>
        </w:rPr>
      </w:pPr>
      <w:r>
        <w:rPr>
          <w:rFonts w:hint="eastAsia" w:ascii="宋体" w:hAnsi="宋体"/>
          <w:b/>
          <w:bCs/>
          <w:sz w:val="32"/>
          <w:szCs w:val="32"/>
        </w:rPr>
        <w:t>《政府采购合同》</w:t>
      </w:r>
    </w:p>
    <w:tbl>
      <w:tblPr>
        <w:tblStyle w:val="51"/>
        <w:tblW w:w="0" w:type="auto"/>
        <w:tblInd w:w="0" w:type="dxa"/>
        <w:tblLayout w:type="autofit"/>
        <w:tblCellMar>
          <w:top w:w="0" w:type="dxa"/>
          <w:left w:w="108" w:type="dxa"/>
          <w:bottom w:w="0" w:type="dxa"/>
          <w:right w:w="108" w:type="dxa"/>
        </w:tblCellMar>
      </w:tblPr>
      <w:tblGrid>
        <w:gridCol w:w="2323"/>
        <w:gridCol w:w="2319"/>
        <w:gridCol w:w="2324"/>
        <w:gridCol w:w="2320"/>
      </w:tblGrid>
      <w:tr w14:paraId="6FC97FB3">
        <w:tblPrEx>
          <w:tblCellMar>
            <w:top w:w="0" w:type="dxa"/>
            <w:left w:w="108" w:type="dxa"/>
            <w:bottom w:w="0" w:type="dxa"/>
            <w:right w:w="108" w:type="dxa"/>
          </w:tblCellMar>
        </w:tblPrEx>
        <w:tc>
          <w:tcPr>
            <w:tcW w:w="2336" w:type="dxa"/>
            <w:noWrap w:val="0"/>
            <w:vAlign w:val="top"/>
          </w:tcPr>
          <w:p w14:paraId="440B7061">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合同编号：</w:t>
            </w:r>
          </w:p>
        </w:tc>
        <w:tc>
          <w:tcPr>
            <w:tcW w:w="2336" w:type="dxa"/>
            <w:noWrap w:val="0"/>
            <w:vAlign w:val="top"/>
          </w:tcPr>
          <w:p w14:paraId="2081C6BD">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c>
          <w:tcPr>
            <w:tcW w:w="2336" w:type="dxa"/>
            <w:noWrap w:val="0"/>
            <w:vAlign w:val="top"/>
          </w:tcPr>
          <w:p w14:paraId="0CE07601">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采购计划号：</w:t>
            </w:r>
          </w:p>
        </w:tc>
        <w:tc>
          <w:tcPr>
            <w:tcW w:w="2337" w:type="dxa"/>
            <w:noWrap w:val="0"/>
            <w:vAlign w:val="top"/>
          </w:tcPr>
          <w:p w14:paraId="6C15EA03">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r>
      <w:tr w14:paraId="36C2E27E">
        <w:tblPrEx>
          <w:tblCellMar>
            <w:top w:w="0" w:type="dxa"/>
            <w:left w:w="108" w:type="dxa"/>
            <w:bottom w:w="0" w:type="dxa"/>
            <w:right w:w="108" w:type="dxa"/>
          </w:tblCellMar>
        </w:tblPrEx>
        <w:tc>
          <w:tcPr>
            <w:tcW w:w="2336" w:type="dxa"/>
            <w:noWrap w:val="0"/>
            <w:vAlign w:val="top"/>
          </w:tcPr>
          <w:p w14:paraId="55403927">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项目名称：</w:t>
            </w:r>
          </w:p>
        </w:tc>
        <w:tc>
          <w:tcPr>
            <w:tcW w:w="2336" w:type="dxa"/>
            <w:noWrap w:val="0"/>
            <w:vAlign w:val="top"/>
          </w:tcPr>
          <w:p w14:paraId="127000B4">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c>
          <w:tcPr>
            <w:tcW w:w="2336" w:type="dxa"/>
            <w:noWrap w:val="0"/>
            <w:vAlign w:val="top"/>
          </w:tcPr>
          <w:p w14:paraId="4B4322B0">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项目编号：</w:t>
            </w:r>
          </w:p>
        </w:tc>
        <w:tc>
          <w:tcPr>
            <w:tcW w:w="2337" w:type="dxa"/>
            <w:noWrap w:val="0"/>
            <w:vAlign w:val="top"/>
          </w:tcPr>
          <w:p w14:paraId="0E9ABAFB">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r>
      <w:tr w14:paraId="46CB4EEF">
        <w:tblPrEx>
          <w:tblCellMar>
            <w:top w:w="0" w:type="dxa"/>
            <w:left w:w="108" w:type="dxa"/>
            <w:bottom w:w="0" w:type="dxa"/>
            <w:right w:w="108" w:type="dxa"/>
          </w:tblCellMar>
        </w:tblPrEx>
        <w:tc>
          <w:tcPr>
            <w:tcW w:w="2336" w:type="dxa"/>
            <w:noWrap w:val="0"/>
            <w:vAlign w:val="top"/>
          </w:tcPr>
          <w:p w14:paraId="14BB326C">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采购人（甲方）：</w:t>
            </w:r>
          </w:p>
        </w:tc>
        <w:tc>
          <w:tcPr>
            <w:tcW w:w="2336" w:type="dxa"/>
            <w:noWrap w:val="0"/>
            <w:vAlign w:val="top"/>
          </w:tcPr>
          <w:p w14:paraId="5F42802C">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c>
          <w:tcPr>
            <w:tcW w:w="2336" w:type="dxa"/>
            <w:noWrap w:val="0"/>
            <w:vAlign w:val="top"/>
          </w:tcPr>
          <w:p w14:paraId="597B9E15">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供应商（乙方）：</w:t>
            </w:r>
          </w:p>
        </w:tc>
        <w:tc>
          <w:tcPr>
            <w:tcW w:w="2337" w:type="dxa"/>
            <w:noWrap w:val="0"/>
            <w:vAlign w:val="top"/>
          </w:tcPr>
          <w:p w14:paraId="6DBD8B68">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r>
      <w:tr w14:paraId="4DCE1D85">
        <w:tblPrEx>
          <w:tblCellMar>
            <w:top w:w="0" w:type="dxa"/>
            <w:left w:w="108" w:type="dxa"/>
            <w:bottom w:w="0" w:type="dxa"/>
            <w:right w:w="108" w:type="dxa"/>
          </w:tblCellMar>
        </w:tblPrEx>
        <w:tc>
          <w:tcPr>
            <w:tcW w:w="2336" w:type="dxa"/>
            <w:noWrap w:val="0"/>
            <w:vAlign w:val="top"/>
          </w:tcPr>
          <w:p w14:paraId="41E0E781">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签订地点：</w:t>
            </w:r>
          </w:p>
        </w:tc>
        <w:tc>
          <w:tcPr>
            <w:tcW w:w="2336" w:type="dxa"/>
            <w:noWrap w:val="0"/>
            <w:vAlign w:val="top"/>
          </w:tcPr>
          <w:p w14:paraId="45225F7E">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c>
          <w:tcPr>
            <w:tcW w:w="2336" w:type="dxa"/>
            <w:noWrap w:val="0"/>
            <w:vAlign w:val="top"/>
          </w:tcPr>
          <w:p w14:paraId="3AC67B83">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r>
              <w:rPr>
                <w:rFonts w:hint="eastAsia" w:ascii="宋体" w:hAnsi="宋体" w:eastAsia="宋体" w:cs="宋体"/>
                <w:bCs/>
                <w:sz w:val="21"/>
                <w:szCs w:val="21"/>
              </w:rPr>
              <w:t>签订时间：</w:t>
            </w:r>
          </w:p>
        </w:tc>
        <w:tc>
          <w:tcPr>
            <w:tcW w:w="2337" w:type="dxa"/>
            <w:noWrap w:val="0"/>
            <w:vAlign w:val="top"/>
          </w:tcPr>
          <w:p w14:paraId="4CDDB427">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bCs/>
                <w:sz w:val="21"/>
                <w:szCs w:val="21"/>
              </w:rPr>
            </w:pPr>
          </w:p>
        </w:tc>
      </w:tr>
    </w:tbl>
    <w:p w14:paraId="187C178E">
      <w:pPr>
        <w:pStyle w:val="26"/>
        <w:keepNext w:val="0"/>
        <w:keepLines w:val="0"/>
        <w:pageBreakBefore w:val="0"/>
        <w:widowControl w:val="0"/>
        <w:kinsoku/>
        <w:wordWrap/>
        <w:topLinePunct w:val="0"/>
        <w:autoSpaceDE/>
        <w:autoSpaceDN/>
        <w:bidi w:val="0"/>
        <w:spacing w:line="336" w:lineRule="auto"/>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根据《中华人民共和国政府采购法》、《中华人民共和国政府采购法实施条例》等法律、法规规定，按照采购文件规定、乙方响应文件及其承诺和中标通知书，甲乙双方签订本合同。</w:t>
      </w:r>
    </w:p>
    <w:p w14:paraId="2B770000">
      <w:pPr>
        <w:keepNext w:val="0"/>
        <w:keepLines w:val="0"/>
        <w:pageBreakBefore w:val="0"/>
        <w:widowControl w:val="0"/>
        <w:kinsoku/>
        <w:wordWrap/>
        <w:topLinePunct w:val="0"/>
        <w:autoSpaceDE/>
        <w:autoSpaceDN/>
        <w:bidi w:val="0"/>
        <w:snapToGrid w:val="0"/>
        <w:spacing w:line="336"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条　服务交付成果清单及合同款</w:t>
      </w:r>
    </w:p>
    <w:p w14:paraId="583BEC74">
      <w:pPr>
        <w:keepNext w:val="0"/>
        <w:keepLines w:val="0"/>
        <w:pageBreakBefore w:val="0"/>
        <w:widowControl w:val="0"/>
        <w:kinsoku/>
        <w:wordWrap/>
        <w:topLinePunct w:val="0"/>
        <w:autoSpaceDE/>
        <w:autoSpaceDN/>
        <w:bidi w:val="0"/>
        <w:snapToGrid w:val="0"/>
        <w:spacing w:line="336" w:lineRule="auto"/>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服务交付成果清单</w:t>
      </w:r>
    </w:p>
    <w:tbl>
      <w:tblPr>
        <w:tblStyle w:val="51"/>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1108"/>
        <w:gridCol w:w="1296"/>
        <w:gridCol w:w="1718"/>
        <w:gridCol w:w="1595"/>
        <w:gridCol w:w="1217"/>
      </w:tblGrid>
      <w:tr w14:paraId="493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74B318C3">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83" w:type="dxa"/>
            <w:noWrap w:val="0"/>
            <w:vAlign w:val="center"/>
          </w:tcPr>
          <w:p w14:paraId="10829042">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1108" w:type="dxa"/>
            <w:noWrap w:val="0"/>
            <w:vAlign w:val="center"/>
          </w:tcPr>
          <w:p w14:paraId="797EAD3B">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服务商</w:t>
            </w:r>
          </w:p>
        </w:tc>
        <w:tc>
          <w:tcPr>
            <w:tcW w:w="1296" w:type="dxa"/>
            <w:noWrap w:val="0"/>
            <w:vAlign w:val="center"/>
          </w:tcPr>
          <w:p w14:paraId="7CEBD466">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eastAsia="zh-CN"/>
              </w:rPr>
              <w:t>及数量</w:t>
            </w:r>
          </w:p>
        </w:tc>
        <w:tc>
          <w:tcPr>
            <w:tcW w:w="1718" w:type="dxa"/>
            <w:noWrap w:val="0"/>
            <w:vAlign w:val="center"/>
          </w:tcPr>
          <w:p w14:paraId="4AEF8D5F">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595" w:type="dxa"/>
            <w:noWrap w:val="0"/>
            <w:vAlign w:val="center"/>
          </w:tcPr>
          <w:p w14:paraId="0622FD2F">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合计</w:t>
            </w:r>
            <w:r>
              <w:rPr>
                <w:rFonts w:hint="eastAsia" w:ascii="宋体" w:hAnsi="宋体" w:eastAsia="宋体" w:cs="宋体"/>
                <w:color w:val="auto"/>
                <w:sz w:val="21"/>
                <w:szCs w:val="21"/>
                <w:highlight w:val="none"/>
              </w:rPr>
              <w:t>（元）</w:t>
            </w:r>
          </w:p>
        </w:tc>
        <w:tc>
          <w:tcPr>
            <w:tcW w:w="1217" w:type="dxa"/>
            <w:noWrap w:val="0"/>
            <w:vAlign w:val="top"/>
          </w:tcPr>
          <w:p w14:paraId="657AB296">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B39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BA20127">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3" w:type="dxa"/>
            <w:noWrap w:val="0"/>
            <w:vAlign w:val="center"/>
          </w:tcPr>
          <w:p w14:paraId="64BF3BE0">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108" w:type="dxa"/>
            <w:noWrap w:val="0"/>
            <w:vAlign w:val="top"/>
          </w:tcPr>
          <w:p w14:paraId="7FAF315E">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96" w:type="dxa"/>
            <w:noWrap w:val="0"/>
            <w:vAlign w:val="top"/>
          </w:tcPr>
          <w:p w14:paraId="3C7B4E38">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718" w:type="dxa"/>
            <w:noWrap w:val="0"/>
            <w:vAlign w:val="center"/>
          </w:tcPr>
          <w:p w14:paraId="27EF0594">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595" w:type="dxa"/>
            <w:noWrap w:val="0"/>
            <w:vAlign w:val="center"/>
          </w:tcPr>
          <w:p w14:paraId="6F8C89A7">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17" w:type="dxa"/>
            <w:noWrap w:val="0"/>
            <w:vAlign w:val="top"/>
          </w:tcPr>
          <w:p w14:paraId="2C462862">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color w:val="auto"/>
                <w:sz w:val="21"/>
                <w:szCs w:val="21"/>
                <w:highlight w:val="none"/>
              </w:rPr>
            </w:pPr>
          </w:p>
        </w:tc>
      </w:tr>
      <w:tr w14:paraId="1388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AD43901">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3" w:type="dxa"/>
            <w:noWrap w:val="0"/>
            <w:vAlign w:val="center"/>
          </w:tcPr>
          <w:p w14:paraId="20C7F46E">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108" w:type="dxa"/>
            <w:noWrap w:val="0"/>
            <w:vAlign w:val="top"/>
          </w:tcPr>
          <w:p w14:paraId="695CFE99">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96" w:type="dxa"/>
            <w:noWrap w:val="0"/>
            <w:vAlign w:val="top"/>
          </w:tcPr>
          <w:p w14:paraId="70837567">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718" w:type="dxa"/>
            <w:noWrap w:val="0"/>
            <w:vAlign w:val="center"/>
          </w:tcPr>
          <w:p w14:paraId="7695CA53">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595" w:type="dxa"/>
            <w:noWrap w:val="0"/>
            <w:vAlign w:val="center"/>
          </w:tcPr>
          <w:p w14:paraId="64F93825">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17" w:type="dxa"/>
            <w:noWrap w:val="0"/>
            <w:vAlign w:val="top"/>
          </w:tcPr>
          <w:p w14:paraId="59C6DA57">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r>
      <w:tr w14:paraId="5897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3CF21AFB">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83" w:type="dxa"/>
            <w:noWrap w:val="0"/>
            <w:vAlign w:val="center"/>
          </w:tcPr>
          <w:p w14:paraId="1BD8D3A7">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108" w:type="dxa"/>
            <w:noWrap w:val="0"/>
            <w:vAlign w:val="top"/>
          </w:tcPr>
          <w:p w14:paraId="4294C69C">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96" w:type="dxa"/>
            <w:noWrap w:val="0"/>
            <w:vAlign w:val="top"/>
          </w:tcPr>
          <w:p w14:paraId="2E81B2E6">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718" w:type="dxa"/>
            <w:noWrap w:val="0"/>
            <w:vAlign w:val="center"/>
          </w:tcPr>
          <w:p w14:paraId="242A6AED">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595" w:type="dxa"/>
            <w:noWrap w:val="0"/>
            <w:vAlign w:val="center"/>
          </w:tcPr>
          <w:p w14:paraId="258D5996">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17" w:type="dxa"/>
            <w:noWrap w:val="0"/>
            <w:vAlign w:val="top"/>
          </w:tcPr>
          <w:p w14:paraId="6261F237">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r>
      <w:tr w14:paraId="7CD3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33570BDE">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83" w:type="dxa"/>
            <w:noWrap w:val="0"/>
            <w:vAlign w:val="center"/>
          </w:tcPr>
          <w:p w14:paraId="61C8866B">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108" w:type="dxa"/>
            <w:noWrap w:val="0"/>
            <w:vAlign w:val="top"/>
          </w:tcPr>
          <w:p w14:paraId="7A65538E">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96" w:type="dxa"/>
            <w:noWrap w:val="0"/>
            <w:vAlign w:val="top"/>
          </w:tcPr>
          <w:p w14:paraId="784F2844">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718" w:type="dxa"/>
            <w:noWrap w:val="0"/>
            <w:vAlign w:val="center"/>
          </w:tcPr>
          <w:p w14:paraId="03749AA4">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595" w:type="dxa"/>
            <w:noWrap w:val="0"/>
            <w:vAlign w:val="center"/>
          </w:tcPr>
          <w:p w14:paraId="4D62D42C">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c>
          <w:tcPr>
            <w:tcW w:w="1217" w:type="dxa"/>
            <w:noWrap w:val="0"/>
            <w:vAlign w:val="top"/>
          </w:tcPr>
          <w:p w14:paraId="6904EB63">
            <w:pPr>
              <w:keepNext w:val="0"/>
              <w:keepLines w:val="0"/>
              <w:pageBreakBefore w:val="0"/>
              <w:widowControl w:val="0"/>
              <w:kinsoku/>
              <w:wordWrap/>
              <w:topLinePunct w:val="0"/>
              <w:autoSpaceDE/>
              <w:autoSpaceDN/>
              <w:bidi w:val="0"/>
              <w:snapToGrid w:val="0"/>
              <w:spacing w:line="336" w:lineRule="auto"/>
              <w:ind w:left="0" w:right="0"/>
              <w:jc w:val="center"/>
              <w:textAlignment w:val="auto"/>
              <w:rPr>
                <w:rFonts w:hint="eastAsia" w:ascii="宋体" w:hAnsi="宋体" w:eastAsia="宋体" w:cs="宋体"/>
                <w:color w:val="auto"/>
                <w:sz w:val="21"/>
                <w:szCs w:val="21"/>
                <w:highlight w:val="none"/>
              </w:rPr>
            </w:pPr>
          </w:p>
        </w:tc>
      </w:tr>
      <w:tr w14:paraId="4FC3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119" w:type="dxa"/>
            <w:gridSpan w:val="7"/>
            <w:noWrap w:val="0"/>
            <w:vAlign w:val="center"/>
          </w:tcPr>
          <w:p w14:paraId="423F84EC">
            <w:pPr>
              <w:keepNext w:val="0"/>
              <w:keepLines w:val="0"/>
              <w:pageBreakBefore w:val="0"/>
              <w:widowControl w:val="0"/>
              <w:kinsoku/>
              <w:wordWrap/>
              <w:topLinePunct w:val="0"/>
              <w:autoSpaceDE/>
              <w:autoSpaceDN/>
              <w:bidi w:val="0"/>
              <w:snapToGrid w:val="0"/>
              <w:spacing w:line="336"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人民币合计金额（大写）                          （小写）</w:t>
            </w:r>
          </w:p>
        </w:tc>
      </w:tr>
    </w:tbl>
    <w:p w14:paraId="15196C82">
      <w:pPr>
        <w:keepNext w:val="0"/>
        <w:keepLines w:val="0"/>
        <w:pageBreakBefore w:val="0"/>
        <w:widowControl w:val="0"/>
        <w:kinsoku/>
        <w:wordWrap/>
        <w:topLinePunct w:val="0"/>
        <w:autoSpaceDE/>
        <w:autoSpaceDN/>
        <w:bidi w:val="0"/>
        <w:spacing w:line="336"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2、本合同软件使用期为长期，在此期限内乙方应保证甲方所购软件的有效性和合法性。</w:t>
      </w:r>
    </w:p>
    <w:p w14:paraId="5FA8A91B">
      <w:pPr>
        <w:keepNext w:val="0"/>
        <w:keepLines w:val="0"/>
        <w:pageBreakBefore w:val="0"/>
        <w:widowControl w:val="0"/>
        <w:kinsoku/>
        <w:wordWrap/>
        <w:topLinePunct w:val="0"/>
        <w:autoSpaceDE/>
        <w:autoSpaceDN/>
        <w:bidi w:val="0"/>
        <w:spacing w:line="336"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3、合同合计金额包括乙方完成本项目全部内容所需费用的含税价(包含但不限于软件、运维、 劳务、制作、保险、税费、人员工资、交通、食宿、加班、验收、培训、安装调试、后期维护服务、 医院各信息系统对接费用、</w:t>
      </w:r>
      <w:r>
        <w:rPr>
          <w:rFonts w:hint="eastAsia" w:ascii="宋体" w:hAnsi="宋体" w:eastAsia="宋体" w:cs="宋体"/>
          <w:color w:val="auto"/>
          <w:sz w:val="21"/>
          <w:szCs w:val="21"/>
          <w:highlight w:val="none"/>
          <w:lang w:eastAsia="zh-CN"/>
        </w:rPr>
        <w:t>设备对接费用、</w:t>
      </w:r>
      <w:r>
        <w:rPr>
          <w:rFonts w:hint="eastAsia" w:ascii="宋体" w:hAnsi="宋体" w:eastAsia="宋体" w:cs="宋体"/>
          <w:color w:val="auto"/>
          <w:sz w:val="21"/>
          <w:szCs w:val="21"/>
          <w:highlight w:val="none"/>
        </w:rPr>
        <w:t>政策性文件规定及合同包含的所有风险、责任等各项应有费用)。如磋商文件对其另有规定的，从其规定。</w:t>
      </w:r>
    </w:p>
    <w:p w14:paraId="1876521E">
      <w:pPr>
        <w:snapToGrid w:val="0"/>
        <w:spacing w:line="400" w:lineRule="atLeast"/>
        <w:ind w:firstLine="426" w:firstLineChars="202"/>
        <w:rPr>
          <w:rFonts w:hint="eastAsia" w:ascii="宋体" w:hAnsi="宋体"/>
          <w:bCs/>
          <w:color w:val="auto"/>
          <w:szCs w:val="21"/>
          <w:highlight w:val="none"/>
        </w:rPr>
      </w:pPr>
      <w:r>
        <w:rPr>
          <w:rFonts w:hint="eastAsia" w:ascii="宋体" w:hAnsi="宋体"/>
          <w:b/>
          <w:bCs/>
          <w:color w:val="auto"/>
          <w:szCs w:val="21"/>
          <w:highlight w:val="none"/>
        </w:rPr>
        <w:t>第二条  质量保证</w:t>
      </w:r>
    </w:p>
    <w:p w14:paraId="618E0B77">
      <w:pPr>
        <w:snapToGrid w:val="0"/>
        <w:spacing w:line="4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1、乙方所提供的</w:t>
      </w:r>
      <w:r>
        <w:rPr>
          <w:rFonts w:hint="eastAsia" w:ascii="宋体" w:hAnsi="宋体"/>
          <w:bCs/>
          <w:color w:val="auto"/>
          <w:szCs w:val="21"/>
          <w:highlight w:val="none"/>
          <w:lang w:val="en-US" w:eastAsia="zh-CN"/>
        </w:rPr>
        <w:t>货物或</w:t>
      </w:r>
      <w:r>
        <w:rPr>
          <w:rFonts w:hint="eastAsia" w:ascii="宋体" w:hAnsi="宋体"/>
          <w:bCs/>
          <w:color w:val="auto"/>
          <w:szCs w:val="21"/>
          <w:highlight w:val="none"/>
        </w:rPr>
        <w:t>服务及服务内容</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如技术服务参数、性能要求等）等质量</w:t>
      </w:r>
      <w:r>
        <w:rPr>
          <w:rFonts w:hint="eastAsia" w:ascii="宋体" w:hAnsi="宋体"/>
          <w:bCs/>
          <w:color w:val="auto"/>
          <w:szCs w:val="21"/>
          <w:highlight w:val="none"/>
        </w:rPr>
        <w:t>必须与响应文件承诺相一致，有国家强制性标准的，还必须符合国家强制性标准的规定，没有国家强制性标准但有其他强制性标准的，必须符合其他强制性标准的规定</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若相关标准存在冲突的情况，则以较高标准为准</w:t>
      </w:r>
      <w:r>
        <w:rPr>
          <w:rFonts w:hint="eastAsia" w:ascii="宋体" w:hAnsi="宋体"/>
          <w:bCs/>
          <w:color w:val="auto"/>
          <w:szCs w:val="21"/>
          <w:highlight w:val="none"/>
        </w:rPr>
        <w:t>。</w:t>
      </w:r>
    </w:p>
    <w:p w14:paraId="1553C0FF">
      <w:pPr>
        <w:snapToGrid w:val="0"/>
        <w:spacing w:line="400" w:lineRule="atLeast"/>
        <w:ind w:firstLine="424" w:firstLineChars="202"/>
        <w:rPr>
          <w:rFonts w:hint="eastAsia" w:ascii="宋体" w:hAnsi="宋体"/>
          <w:bCs/>
          <w:color w:val="auto"/>
          <w:szCs w:val="21"/>
          <w:highlight w:val="none"/>
          <w:u w:val="single"/>
        </w:rPr>
      </w:pPr>
      <w:r>
        <w:rPr>
          <w:rFonts w:hint="eastAsia" w:ascii="宋体" w:hAnsi="宋体"/>
          <w:bCs/>
          <w:color w:val="auto"/>
          <w:szCs w:val="21"/>
          <w:highlight w:val="none"/>
        </w:rPr>
        <w:t>2、乙方所提供的产品必须是全新、未使用的原装产品，且在正常安装、使用和保养条件下，其使用寿命期内各项指标均达到质量要求。</w:t>
      </w:r>
    </w:p>
    <w:p w14:paraId="4AE04088">
      <w:pPr>
        <w:snapToGrid w:val="0"/>
        <w:spacing w:line="400" w:lineRule="atLeast"/>
        <w:ind w:firstLine="426" w:firstLineChars="202"/>
        <w:rPr>
          <w:rFonts w:hint="eastAsia" w:ascii="宋体" w:hAnsi="宋体"/>
          <w:bCs/>
          <w:color w:val="auto"/>
          <w:szCs w:val="21"/>
          <w:highlight w:val="none"/>
        </w:rPr>
      </w:pPr>
      <w:r>
        <w:rPr>
          <w:rFonts w:hint="eastAsia" w:ascii="宋体" w:hAnsi="宋体"/>
          <w:b/>
          <w:bCs/>
          <w:color w:val="auto"/>
          <w:szCs w:val="21"/>
          <w:highlight w:val="none"/>
        </w:rPr>
        <w:t>第三条  权利保证</w:t>
      </w:r>
    </w:p>
    <w:p w14:paraId="27D65347">
      <w:pPr>
        <w:snapToGrid w:val="0"/>
        <w:spacing w:line="400" w:lineRule="atLeast"/>
        <w:ind w:firstLine="424" w:firstLineChars="202"/>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1、乙方应保证所提供</w:t>
      </w:r>
      <w:r>
        <w:rPr>
          <w:rFonts w:hint="eastAsia" w:ascii="宋体" w:hAnsi="宋体"/>
          <w:bCs/>
          <w:color w:val="auto"/>
          <w:szCs w:val="21"/>
          <w:highlight w:val="none"/>
          <w:lang w:val="en-US" w:eastAsia="zh-CN"/>
        </w:rPr>
        <w:t>货物（系统）或服务</w:t>
      </w:r>
      <w:r>
        <w:rPr>
          <w:rFonts w:hint="eastAsia" w:ascii="宋体" w:hAnsi="宋体"/>
          <w:bCs/>
          <w:color w:val="auto"/>
          <w:szCs w:val="21"/>
          <w:highlight w:val="none"/>
        </w:rPr>
        <w:t>在使用时不会侵犯任何第三方的专利权、商标权、工业设计权或其他</w:t>
      </w:r>
      <w:r>
        <w:rPr>
          <w:rFonts w:hint="eastAsia" w:ascii="宋体" w:hAnsi="宋体"/>
          <w:bCs/>
          <w:color w:val="auto"/>
          <w:szCs w:val="21"/>
          <w:highlight w:val="none"/>
          <w:lang w:val="en-US" w:eastAsia="zh-CN"/>
        </w:rPr>
        <w:t>合法</w:t>
      </w:r>
      <w:r>
        <w:rPr>
          <w:rFonts w:hint="eastAsia" w:ascii="宋体" w:hAnsi="宋体"/>
          <w:bCs/>
          <w:color w:val="auto"/>
          <w:szCs w:val="21"/>
          <w:highlight w:val="none"/>
        </w:rPr>
        <w:t>权利</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且相关权利没有受到任何限制</w:t>
      </w:r>
      <w:r>
        <w:rPr>
          <w:rFonts w:hint="eastAsia" w:ascii="宋体" w:hAnsi="宋体"/>
          <w:bCs/>
          <w:color w:val="auto"/>
          <w:szCs w:val="21"/>
          <w:highlight w:val="none"/>
        </w:rPr>
        <w:t>。</w:t>
      </w:r>
    </w:p>
    <w:p w14:paraId="2396122F">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2、乙方应按磋商文件规定的时间向甲方提供使用系统的有关技术资料。</w:t>
      </w:r>
    </w:p>
    <w:p w14:paraId="22B7488B">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19E289A7">
      <w:pPr>
        <w:snapToGrid w:val="0"/>
        <w:spacing w:line="400" w:lineRule="atLeast"/>
        <w:ind w:firstLine="424" w:firstLineChars="202"/>
        <w:rPr>
          <w:rFonts w:hint="eastAsia" w:ascii="宋体" w:hAnsi="宋体"/>
          <w:b/>
          <w:bCs/>
          <w:color w:val="auto"/>
          <w:szCs w:val="21"/>
          <w:highlight w:val="none"/>
        </w:rPr>
      </w:pPr>
      <w:r>
        <w:rPr>
          <w:rFonts w:hint="eastAsia" w:ascii="宋体" w:hAnsi="宋体"/>
          <w:bCs/>
          <w:color w:val="auto"/>
          <w:szCs w:val="21"/>
          <w:highlight w:val="none"/>
        </w:rPr>
        <w:t>4、乙方保证所交付的货物</w:t>
      </w:r>
      <w:r>
        <w:rPr>
          <w:rFonts w:hint="eastAsia" w:ascii="宋体" w:hAnsi="宋体"/>
          <w:bCs/>
          <w:color w:val="auto"/>
          <w:szCs w:val="21"/>
          <w:highlight w:val="none"/>
          <w:lang w:val="en-US" w:eastAsia="zh-CN"/>
        </w:rPr>
        <w:t>（</w:t>
      </w:r>
      <w:r>
        <w:rPr>
          <w:rFonts w:hint="default" w:ascii="宋体" w:hAnsi="宋体"/>
          <w:bCs/>
          <w:color w:val="auto"/>
          <w:szCs w:val="21"/>
          <w:highlight w:val="none"/>
          <w:lang w:val="en-US"/>
        </w:rPr>
        <w:t>系统</w:t>
      </w:r>
      <w:r>
        <w:rPr>
          <w:rFonts w:hint="eastAsia" w:ascii="宋体" w:hAnsi="宋体"/>
          <w:bCs/>
          <w:color w:val="auto"/>
          <w:szCs w:val="21"/>
          <w:highlight w:val="none"/>
          <w:lang w:val="en-US" w:eastAsia="zh-CN"/>
        </w:rPr>
        <w:t>）或服务内容</w:t>
      </w:r>
      <w:r>
        <w:rPr>
          <w:rFonts w:hint="eastAsia" w:ascii="宋体" w:hAnsi="宋体"/>
          <w:bCs/>
          <w:color w:val="auto"/>
          <w:szCs w:val="21"/>
          <w:highlight w:val="none"/>
        </w:rPr>
        <w:t>的所有权完全属于乙方且无任何抵押、质押、查封等产权瑕疵。</w:t>
      </w:r>
    </w:p>
    <w:p w14:paraId="1F52D5F7">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第四条  包装和运输</w:t>
      </w:r>
    </w:p>
    <w:p w14:paraId="684C1BBA">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1、乙方提供的货物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均应按磋商文件要求的包装材料、包装标准、包装方式进行包装，每一包装单元内应附详细的装箱单和质量合格证。</w:t>
      </w:r>
    </w:p>
    <w:p w14:paraId="4B89E0A6">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的运输方式：</w:t>
      </w:r>
      <w:r>
        <w:rPr>
          <w:rFonts w:hint="eastAsia" w:ascii="宋体" w:hAnsi="宋体"/>
          <w:bCs/>
          <w:color w:val="auto"/>
          <w:szCs w:val="21"/>
          <w:highlight w:val="none"/>
          <w:u w:val="single"/>
        </w:rPr>
        <w:t>由乙方自行安排。</w:t>
      </w:r>
    </w:p>
    <w:p w14:paraId="726864BA">
      <w:pPr>
        <w:snapToGrid w:val="0"/>
        <w:spacing w:line="400" w:lineRule="atLeast"/>
        <w:ind w:firstLine="424" w:firstLineChars="202"/>
        <w:rPr>
          <w:rFonts w:hint="eastAsia" w:ascii="宋体" w:hAnsi="宋体"/>
          <w:bCs/>
          <w:color w:val="auto"/>
          <w:szCs w:val="21"/>
          <w:highlight w:val="none"/>
          <w:u w:val="single"/>
        </w:rPr>
      </w:pPr>
      <w:r>
        <w:rPr>
          <w:rFonts w:hint="eastAsia" w:ascii="宋体" w:hAnsi="宋体"/>
          <w:bCs/>
          <w:color w:val="auto"/>
          <w:szCs w:val="21"/>
          <w:highlight w:val="none"/>
        </w:rPr>
        <w:t>3、乙方负责货物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运输，货物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运输合理损耗及计算方法：</w:t>
      </w:r>
      <w:r>
        <w:rPr>
          <w:rFonts w:hint="eastAsia" w:ascii="宋体" w:hAnsi="宋体"/>
          <w:bCs/>
          <w:color w:val="auto"/>
          <w:szCs w:val="21"/>
          <w:highlight w:val="none"/>
          <w:u w:val="single"/>
        </w:rPr>
        <w:t>本项目不接受损耗。</w:t>
      </w:r>
    </w:p>
    <w:p w14:paraId="7F07E4B3">
      <w:pPr>
        <w:snapToGrid w:val="0"/>
        <w:spacing w:line="400" w:lineRule="atLeast"/>
        <w:ind w:firstLine="426" w:firstLineChars="202"/>
        <w:rPr>
          <w:rFonts w:hint="eastAsia" w:ascii="宋体" w:hAnsi="宋体"/>
          <w:bCs/>
          <w:color w:val="auto"/>
          <w:szCs w:val="21"/>
          <w:highlight w:val="none"/>
        </w:rPr>
      </w:pPr>
      <w:r>
        <w:rPr>
          <w:rFonts w:hint="eastAsia" w:ascii="宋体" w:hAnsi="宋体"/>
          <w:b/>
          <w:bCs/>
          <w:color w:val="auto"/>
          <w:szCs w:val="21"/>
          <w:highlight w:val="none"/>
        </w:rPr>
        <w:t>第五条  交付和验收</w:t>
      </w:r>
    </w:p>
    <w:p w14:paraId="3AD146B4">
      <w:pPr>
        <w:numPr>
          <w:ilvl w:val="0"/>
          <w:numId w:val="31"/>
        </w:numPr>
        <w:adjustRightInd w:val="0"/>
        <w:snapToGrid w:val="0"/>
        <w:spacing w:line="400" w:lineRule="atLeast"/>
        <w:ind w:firstLine="424" w:firstLineChars="202"/>
        <w:rPr>
          <w:rFonts w:hint="eastAsia" w:ascii="宋体" w:hAnsi="宋体"/>
          <w:color w:val="auto"/>
          <w:szCs w:val="21"/>
          <w:highlight w:val="none"/>
        </w:rPr>
      </w:pPr>
      <w:r>
        <w:rPr>
          <w:rFonts w:hint="eastAsia" w:ascii="宋体" w:hAnsi="宋体"/>
          <w:bCs/>
          <w:color w:val="auto"/>
          <w:szCs w:val="21"/>
          <w:highlight w:val="none"/>
        </w:rPr>
        <w:t>交付</w:t>
      </w:r>
      <w:r>
        <w:rPr>
          <w:rFonts w:hint="eastAsia" w:ascii="宋体" w:hAnsi="宋体"/>
          <w:bCs/>
          <w:color w:val="auto"/>
          <w:szCs w:val="21"/>
          <w:highlight w:val="none"/>
          <w:lang w:val="en-US" w:eastAsia="zh-CN"/>
        </w:rPr>
        <w:t>或服务</w:t>
      </w:r>
      <w:r>
        <w:rPr>
          <w:rFonts w:hint="eastAsia" w:ascii="宋体" w:hAnsi="宋体"/>
          <w:bCs/>
          <w:color w:val="auto"/>
          <w:szCs w:val="21"/>
          <w:highlight w:val="none"/>
        </w:rPr>
        <w:t>时间：</w:t>
      </w:r>
      <w:r>
        <w:rPr>
          <w:rFonts w:hint="eastAsia" w:ascii="宋体" w:hAnsi="宋体"/>
          <w:color w:val="auto"/>
          <w:szCs w:val="21"/>
          <w:highlight w:val="none"/>
          <w:u w:val="single"/>
        </w:rPr>
        <w:t>按乙方响应文件承诺。</w:t>
      </w:r>
    </w:p>
    <w:p w14:paraId="7FB6D390">
      <w:pPr>
        <w:adjustRightInd w:val="0"/>
        <w:snapToGrid w:val="0"/>
        <w:spacing w:line="400" w:lineRule="atLeast"/>
        <w:ind w:firstLine="424" w:firstLineChars="202"/>
        <w:rPr>
          <w:rFonts w:hint="eastAsia" w:ascii="宋体" w:hAnsi="宋体"/>
          <w:color w:val="auto"/>
          <w:szCs w:val="21"/>
          <w:highlight w:val="none"/>
        </w:rPr>
      </w:pPr>
      <w:r>
        <w:rPr>
          <w:rFonts w:hint="eastAsia" w:ascii="宋体" w:hAnsi="宋体"/>
          <w:bCs/>
          <w:color w:val="auto"/>
          <w:szCs w:val="21"/>
          <w:highlight w:val="none"/>
        </w:rPr>
        <w:t>交付</w:t>
      </w:r>
      <w:r>
        <w:rPr>
          <w:rFonts w:hint="eastAsia" w:ascii="宋体" w:hAnsi="宋体"/>
          <w:bCs/>
          <w:color w:val="auto"/>
          <w:szCs w:val="21"/>
          <w:highlight w:val="none"/>
          <w:lang w:val="en-US" w:eastAsia="zh-CN"/>
        </w:rPr>
        <w:t>或服务</w:t>
      </w:r>
      <w:r>
        <w:rPr>
          <w:rFonts w:hint="eastAsia" w:ascii="宋体" w:hAnsi="宋体"/>
          <w:bCs/>
          <w:color w:val="auto"/>
          <w:szCs w:val="21"/>
          <w:highlight w:val="none"/>
        </w:rPr>
        <w:t>地点：</w:t>
      </w:r>
      <w:r>
        <w:rPr>
          <w:rFonts w:hint="eastAsia" w:ascii="宋体" w:hAnsi="宋体"/>
          <w:color w:val="auto"/>
          <w:szCs w:val="21"/>
          <w:highlight w:val="none"/>
          <w:u w:val="single"/>
        </w:rPr>
        <w:t>甲方（采购人）指定地点</w:t>
      </w:r>
      <w:r>
        <w:rPr>
          <w:rFonts w:hint="eastAsia" w:ascii="宋体" w:hAnsi="宋体"/>
          <w:color w:val="auto"/>
          <w:szCs w:val="21"/>
          <w:highlight w:val="none"/>
        </w:rPr>
        <w:t>。</w:t>
      </w:r>
    </w:p>
    <w:p w14:paraId="09DB7C41">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2、乙方提供不符合磋商文件</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响应文件</w:t>
      </w:r>
      <w:r>
        <w:rPr>
          <w:rFonts w:hint="eastAsia" w:ascii="宋体" w:hAnsi="宋体"/>
          <w:bCs/>
          <w:color w:val="auto"/>
          <w:szCs w:val="21"/>
          <w:highlight w:val="none"/>
        </w:rPr>
        <w:t>和本合同规定的货物</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系统）或服务成果</w:t>
      </w:r>
      <w:r>
        <w:rPr>
          <w:rFonts w:hint="eastAsia" w:ascii="宋体" w:hAnsi="宋体"/>
          <w:bCs/>
          <w:color w:val="auto"/>
          <w:szCs w:val="21"/>
          <w:highlight w:val="none"/>
        </w:rPr>
        <w:t>，甲方有权拒绝接受。</w:t>
      </w:r>
    </w:p>
    <w:p w14:paraId="3EE1155B">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w:t>
      </w:r>
      <w:r>
        <w:rPr>
          <w:rFonts w:hint="eastAsia" w:ascii="宋体" w:hAnsi="宋体"/>
          <w:bCs/>
          <w:color w:val="auto"/>
          <w:szCs w:val="21"/>
          <w:highlight w:val="none"/>
          <w:lang w:val="en-US" w:eastAsia="zh-CN"/>
        </w:rPr>
        <w:t>甲乙双方按照</w:t>
      </w:r>
      <w:r>
        <w:rPr>
          <w:rFonts w:hint="eastAsia" w:ascii="宋体" w:hAnsi="宋体"/>
          <w:bCs/>
          <w:color w:val="auto"/>
          <w:szCs w:val="21"/>
          <w:highlight w:val="none"/>
        </w:rPr>
        <w:t>国家强制性标准的规定</w:t>
      </w:r>
      <w:r>
        <w:rPr>
          <w:rFonts w:hint="eastAsia" w:ascii="宋体" w:hAnsi="宋体"/>
          <w:bCs/>
          <w:color w:val="auto"/>
          <w:szCs w:val="21"/>
          <w:highlight w:val="none"/>
          <w:lang w:eastAsia="zh-CN"/>
        </w:rPr>
        <w:t>（</w:t>
      </w:r>
      <w:r>
        <w:rPr>
          <w:rFonts w:hint="eastAsia" w:ascii="宋体" w:hAnsi="宋体"/>
          <w:bCs/>
          <w:color w:val="auto"/>
          <w:szCs w:val="21"/>
          <w:highlight w:val="none"/>
        </w:rPr>
        <w:t>没有国家强制性标准但有其他强制性标准的，</w:t>
      </w:r>
      <w:r>
        <w:rPr>
          <w:rFonts w:hint="eastAsia" w:ascii="宋体" w:hAnsi="宋体"/>
          <w:bCs/>
          <w:color w:val="auto"/>
          <w:szCs w:val="21"/>
          <w:highlight w:val="none"/>
          <w:lang w:val="en-US" w:eastAsia="zh-CN"/>
        </w:rPr>
        <w:t>按照</w:t>
      </w:r>
      <w:r>
        <w:rPr>
          <w:rFonts w:hint="eastAsia" w:ascii="宋体" w:hAnsi="宋体"/>
          <w:bCs/>
          <w:color w:val="auto"/>
          <w:szCs w:val="21"/>
          <w:highlight w:val="none"/>
        </w:rPr>
        <w:t>其他强制性标准的规定</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若相关标准存在冲突的情况，则以较高标准为准</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双方合同、响应文件验收。</w:t>
      </w:r>
      <w:r>
        <w:rPr>
          <w:rFonts w:hint="eastAsia" w:ascii="宋体" w:hAnsi="宋体"/>
          <w:bCs/>
          <w:color w:val="auto"/>
          <w:szCs w:val="21"/>
          <w:highlight w:val="none"/>
        </w:rPr>
        <w:t>验收时乙方必须在现场，验收完毕后作出验收结果报告，验收时乙方需提供包括且不限于系统文档（数据字典、表结构等）、操作手册 、数据库超级管理账号、系统运行环境搭建文档、系统业务流程说明（有详细的业务走向涉及到表结构）、系统运行常见问题处理等资料，汇集成册一式二套交予甲方（采购人）（包括纸质版和电子版）。</w:t>
      </w:r>
    </w:p>
    <w:p w14:paraId="0F5F3D6D">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甲方（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8A72615">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验收结束后，应当出具验收报告，列明各项标准的验收情况及项目总体评价，由验收各方共同签署。对不符合要求或有质量问题的货物</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系统</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或服务</w:t>
      </w:r>
      <w:r>
        <w:rPr>
          <w:rFonts w:hint="eastAsia" w:ascii="宋体" w:hAnsi="宋体"/>
          <w:bCs/>
          <w:color w:val="auto"/>
          <w:szCs w:val="21"/>
          <w:highlight w:val="none"/>
        </w:rPr>
        <w:t>视为验收不合格的，可立即要求退换，乙方不得拒绝和延误。</w:t>
      </w:r>
    </w:p>
    <w:p w14:paraId="77A69408">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6、甲方对验收有异议的，在验收后五个工作日内以书面形式向乙方提出，乙方应自收到甲方书面异议后</w:t>
      </w:r>
      <w:r>
        <w:rPr>
          <w:rFonts w:hint="eastAsia" w:ascii="宋体" w:hAnsi="宋体"/>
          <w:bCs/>
          <w:color w:val="auto"/>
          <w:szCs w:val="21"/>
          <w:highlight w:val="none"/>
          <w:u w:val="none"/>
          <w:lang w:val="en-US" w:eastAsia="zh-CN"/>
        </w:rPr>
        <w:t>五个工作日内</w:t>
      </w:r>
      <w:r>
        <w:rPr>
          <w:rFonts w:hint="eastAsia" w:ascii="宋体" w:hAnsi="宋体"/>
          <w:bCs/>
          <w:color w:val="auto"/>
          <w:szCs w:val="21"/>
          <w:highlight w:val="none"/>
        </w:rPr>
        <w:t>及时予以解决。</w:t>
      </w:r>
    </w:p>
    <w:p w14:paraId="573B4B3D">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7、验收流程</w:t>
      </w:r>
    </w:p>
    <w:p w14:paraId="3EE07A8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阶段运行期满且系统运行正常后，乙方（成交供应商）需按合同所列标准，向甲方提供完成阶段验收报告及相关交付物资料（交付物标准已附后），包括但不限于本合同涉及的全部有关产品系统文档（数据字典、表结构等）、操作手册 、数据库超级管理账号、系统运行环境搭建文档、系统业务流程说明（有详细的业务走向涉及到表结构）、系统运行常见问题处理等资料，汇集成册一式二套交予甲方（采购人）（包括纸质版和电子版）。</w:t>
      </w:r>
    </w:p>
    <w:p w14:paraId="5B3E833E">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乙方（成交供应商）需要按照采购方要求提供不限于以下要求的产品交付物：</w:t>
      </w:r>
    </w:p>
    <w:p w14:paraId="7117412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①软件的安装程序：软件安装所需的最新版客户端、服务端软件，为项目实施开发的定制化软件源代码等。</w:t>
      </w:r>
    </w:p>
    <w:p w14:paraId="320A24CD">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②软件许可：提供无限期的软件许可（包括：生产环境、测试环境、开发环境），许可形式包括：纸质（加盖乙方公章）和电子版（以及承载许可所需的硬件）。软件许可不限制用户数量、并发用户数、不限定客户端。</w:t>
      </w:r>
    </w:p>
    <w:p w14:paraId="4A03E3D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③软件资料：软件白皮书、软件需求说明书、概要和详细设计说明书、技术架构文档、测试报告、安装手册、系统管理员手册、用户手册、数据字典、接口文档、系统参数配置说明。</w:t>
      </w:r>
    </w:p>
    <w:p w14:paraId="53DE00D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④项目管理文档：包括但不限于项目实施计划、会议纪要、子项验收报告等。</w:t>
      </w:r>
    </w:p>
    <w:p w14:paraId="0D7F5EFA">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⑤项目技术文件：包括但不限于系统技术方案、需求确认文件、系统部署文档、系统集成方案、接口文档。</w:t>
      </w:r>
    </w:p>
    <w:p w14:paraId="50A227DF">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⑥相关技术支持服务，包括但不仅限于系统崩溃及恢复步骤文档、所提供的第三方产品的技术说明和操作。</w:t>
      </w:r>
    </w:p>
    <w:p w14:paraId="1BF90CED">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（2）甲方收到乙方（成交供应商）提交的阶段验收报告及相关资料后</w:t>
      </w:r>
      <w:r>
        <w:rPr>
          <w:rFonts w:hint="eastAsia" w:ascii="宋体" w:hAnsi="宋体"/>
          <w:bCs/>
          <w:color w:val="auto"/>
          <w:szCs w:val="21"/>
          <w:highlight w:val="none"/>
          <w:lang w:val="en-US" w:eastAsia="zh-CN"/>
        </w:rPr>
        <w:t>五</w:t>
      </w:r>
      <w:r>
        <w:rPr>
          <w:rFonts w:hint="eastAsia" w:ascii="宋体" w:hAnsi="宋体"/>
          <w:bCs/>
          <w:color w:val="auto"/>
          <w:szCs w:val="21"/>
          <w:highlight w:val="none"/>
        </w:rPr>
        <w:t>个工作日内组织进行验收，并在验收后</w:t>
      </w:r>
      <w:r>
        <w:rPr>
          <w:rFonts w:hint="eastAsia" w:ascii="宋体" w:hAnsi="宋体"/>
          <w:bCs/>
          <w:color w:val="auto"/>
          <w:szCs w:val="21"/>
          <w:highlight w:val="none"/>
          <w:lang w:val="en-US" w:eastAsia="zh-CN"/>
        </w:rPr>
        <w:t>五个工作</w:t>
      </w:r>
      <w:r>
        <w:rPr>
          <w:rFonts w:hint="eastAsia" w:ascii="宋体" w:hAnsi="宋体"/>
          <w:bCs/>
          <w:color w:val="auto"/>
          <w:szCs w:val="21"/>
          <w:highlight w:val="none"/>
        </w:rPr>
        <w:t>日给予认可或提出修改意见。乙方（成交供应商）应当按修改意见进行修改，并承担由自身原因导致再次修改的费用。</w:t>
      </w:r>
    </w:p>
    <w:p w14:paraId="17505340">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第六条  实施条件和培训</w:t>
      </w:r>
    </w:p>
    <w:p w14:paraId="2D9B9D05">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1、甲方应提供必要实施条件（如储存场地、电源、水源等）。</w:t>
      </w:r>
    </w:p>
    <w:p w14:paraId="1F763EDF">
      <w:pPr>
        <w:snapToGrid w:val="0"/>
        <w:spacing w:line="400" w:lineRule="atLeast"/>
        <w:ind w:firstLine="424" w:firstLineChars="202"/>
        <w:rPr>
          <w:rFonts w:hint="eastAsia" w:ascii="宋体" w:hAnsi="宋体"/>
          <w:bCs/>
          <w:color w:val="auto"/>
          <w:szCs w:val="21"/>
          <w:highlight w:val="none"/>
          <w:u w:val="single"/>
        </w:rPr>
      </w:pPr>
      <w:r>
        <w:rPr>
          <w:rFonts w:hint="eastAsia" w:ascii="宋体" w:hAnsi="宋体"/>
          <w:bCs/>
          <w:color w:val="auto"/>
          <w:szCs w:val="21"/>
          <w:highlight w:val="none"/>
        </w:rPr>
        <w:t>2、乙方负责甲方有关人员的培训。培训时间、地点：</w:t>
      </w:r>
      <w:r>
        <w:rPr>
          <w:rFonts w:hint="eastAsia" w:ascii="宋体" w:hAnsi="宋体"/>
          <w:bCs/>
          <w:color w:val="auto"/>
          <w:szCs w:val="21"/>
          <w:highlight w:val="none"/>
          <w:u w:val="single"/>
        </w:rPr>
        <w:t>按采购人采购文件要求或乙方响应文件承诺（仅在响应承诺条件优于磋商文件要求时适用）。</w:t>
      </w:r>
    </w:p>
    <w:p w14:paraId="30426625">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第七条  售后服务、质保期</w:t>
      </w:r>
    </w:p>
    <w:p w14:paraId="1CFAB0E4">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1、乙方应按照国家有关法律法规和“三包”规定以及磋商文件和本合同所附的《服务承诺》，为甲方提供售后服务。</w:t>
      </w:r>
    </w:p>
    <w:p w14:paraId="7329F2C9">
      <w:pPr>
        <w:snapToGrid w:val="0"/>
        <w:spacing w:line="400" w:lineRule="atLeast"/>
        <w:ind w:firstLine="424" w:firstLineChars="202"/>
        <w:rPr>
          <w:rFonts w:hint="eastAsia" w:ascii="宋体" w:hAnsi="宋体"/>
          <w:bCs/>
          <w:color w:val="auto"/>
          <w:szCs w:val="21"/>
          <w:highlight w:val="none"/>
          <w:u w:val="single"/>
        </w:rPr>
      </w:pPr>
      <w:r>
        <w:rPr>
          <w:rFonts w:hint="eastAsia" w:ascii="宋体" w:hAnsi="宋体"/>
          <w:bCs/>
          <w:color w:val="auto"/>
          <w:szCs w:val="21"/>
          <w:highlight w:val="none"/>
        </w:rPr>
        <w:t>2、系统免费维保期</w:t>
      </w:r>
      <w:r>
        <w:rPr>
          <w:rFonts w:hint="eastAsia" w:ascii="宋体" w:hAnsi="宋体"/>
          <w:bCs/>
          <w:color w:val="auto"/>
          <w:szCs w:val="21"/>
          <w:highlight w:val="none"/>
          <w:u w:val="single"/>
        </w:rPr>
        <w:t>：按采购人采购文件要求或乙方响应文件承诺（仅在响应承诺条件优于磋商文件要求时适用）。</w:t>
      </w:r>
    </w:p>
    <w:p w14:paraId="21873DB6">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3、乙方提供的服务承诺和售后服务及质保期责任等其它具体约定事项。（见合同附件）</w:t>
      </w:r>
    </w:p>
    <w:p w14:paraId="0A34A1FD">
      <w:pPr>
        <w:snapToGrid w:val="0"/>
        <w:spacing w:line="400" w:lineRule="atLeast"/>
        <w:ind w:firstLine="424" w:firstLineChars="202"/>
        <w:rPr>
          <w:rFonts w:hint="eastAsia" w:ascii="宋体" w:hAnsi="宋体"/>
          <w:bCs/>
          <w:color w:val="auto"/>
          <w:szCs w:val="21"/>
          <w:highlight w:val="none"/>
          <w:u w:val="single"/>
        </w:rPr>
      </w:pPr>
      <w:r>
        <w:rPr>
          <w:rFonts w:hint="eastAsia" w:ascii="宋体" w:hAnsi="宋体"/>
          <w:bCs/>
          <w:color w:val="auto"/>
          <w:szCs w:val="21"/>
          <w:highlight w:val="none"/>
        </w:rPr>
        <w:t>4、实现与电子病历、HIS、LIS、PACS</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集成平台、归档系统</w:t>
      </w:r>
      <w:r>
        <w:rPr>
          <w:rFonts w:hint="eastAsia" w:ascii="宋体" w:hAnsi="宋体"/>
          <w:bCs/>
          <w:color w:val="auto"/>
          <w:szCs w:val="21"/>
          <w:highlight w:val="none"/>
        </w:rPr>
        <w:t>等</w:t>
      </w:r>
      <w:r>
        <w:rPr>
          <w:rFonts w:hint="eastAsia" w:ascii="宋体" w:hAnsi="宋体"/>
          <w:bCs/>
          <w:color w:val="auto"/>
          <w:szCs w:val="21"/>
          <w:highlight w:val="none"/>
          <w:lang w:val="en-US" w:eastAsia="zh-CN"/>
        </w:rPr>
        <w:t>医院现有</w:t>
      </w:r>
      <w:r>
        <w:rPr>
          <w:rFonts w:hint="eastAsia" w:ascii="宋体" w:hAnsi="宋体"/>
          <w:bCs/>
          <w:color w:val="auto"/>
          <w:szCs w:val="21"/>
          <w:highlight w:val="none"/>
        </w:rPr>
        <w:t>系统有效衔接，实现信息的共享和集成。支持跨平台和开放数据接口，按照甲方要求进行源码级定制修改，能进行软件集成和系统整合。系统保持好的扩展性，有利于逐步升级。当第三方系统需要对接时，本项目所涉及的软件产品，乙方不向甲方收取任何软件接口费用。</w:t>
      </w:r>
    </w:p>
    <w:p w14:paraId="5CC587E8">
      <w:pPr>
        <w:snapToGrid w:val="0"/>
        <w:spacing w:line="400" w:lineRule="atLeast"/>
        <w:ind w:firstLine="426" w:firstLineChars="202"/>
        <w:rPr>
          <w:rFonts w:hint="eastAsia" w:ascii="宋体" w:hAnsi="宋体"/>
          <w:bCs/>
          <w:color w:val="auto"/>
          <w:szCs w:val="21"/>
          <w:highlight w:val="none"/>
        </w:rPr>
      </w:pPr>
      <w:r>
        <w:rPr>
          <w:rFonts w:hint="eastAsia" w:ascii="宋体" w:hAnsi="宋体"/>
          <w:b/>
          <w:bCs/>
          <w:color w:val="auto"/>
          <w:szCs w:val="21"/>
          <w:highlight w:val="none"/>
        </w:rPr>
        <w:t>第八条  付款条件和保证金</w:t>
      </w:r>
    </w:p>
    <w:p w14:paraId="00FAA388">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1、当采购数量与实际使用数量不一致时，在不改变合同其他条款的前提下</w:t>
      </w:r>
      <w:r>
        <w:rPr>
          <w:rFonts w:hint="eastAsia" w:ascii="宋体" w:hAnsi="宋体"/>
          <w:bCs/>
          <w:color w:val="auto"/>
          <w:szCs w:val="21"/>
          <w:highlight w:val="none"/>
          <w:lang w:val="en-US" w:eastAsia="zh-CN"/>
        </w:rPr>
        <w:t>依法</w:t>
      </w:r>
      <w:r>
        <w:rPr>
          <w:rFonts w:hint="eastAsia" w:ascii="宋体" w:hAnsi="宋体"/>
          <w:bCs/>
          <w:color w:val="auto"/>
          <w:szCs w:val="21"/>
          <w:highlight w:val="none"/>
        </w:rPr>
        <w:t>与供应商协商签订补充合同，但所有补充合同的采购金额不得超过原合同采购金额的百分之十。供应商应根据实际使用数量供货，合同的最终结算金额按实际使用数量乘以成交单价进行计算。</w:t>
      </w:r>
    </w:p>
    <w:p w14:paraId="72756EC3">
      <w:pPr>
        <w:snapToGrid w:val="0"/>
        <w:spacing w:line="400" w:lineRule="atLeast"/>
        <w:ind w:firstLine="424" w:firstLineChars="202"/>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2、资金性质：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204F38B5">
      <w:pPr>
        <w:adjustRightInd w:val="0"/>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3、付款方式：</w:t>
      </w:r>
    </w:p>
    <w:p w14:paraId="6359EDEC">
      <w:pPr>
        <w:adjustRightInd w:val="0"/>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（1）付款方式：以银行转账形式汇款到乙方银行账户。</w:t>
      </w:r>
    </w:p>
    <w:p w14:paraId="3A8EE9B0">
      <w:pPr>
        <w:adjustRightInd w:val="0"/>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（2）本项目采用分期付款方式结算。</w:t>
      </w:r>
    </w:p>
    <w:p w14:paraId="025B815F">
      <w:pPr>
        <w:adjustRightInd w:val="0"/>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首期款：签订合同后，甲方支付30%合同款至乙方指定对公银行帐户。</w:t>
      </w:r>
    </w:p>
    <w:p w14:paraId="7EBBFD0C">
      <w:pPr>
        <w:adjustRightInd w:val="0"/>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二期款：项目验收合格后，乙方开立发票（发票类型根据采购人要求提供）和付款申请给甲方，甲方收到前述资料后10个工作日内支付70%合同款至乙方指定对公银行帐户。因乙方未向甲方提供发票致使甲方迟延付款的，甲方不承担违约责任。</w:t>
      </w:r>
    </w:p>
    <w:p w14:paraId="0F6C4DE2">
      <w:pPr>
        <w:adjustRightInd w:val="0"/>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第九条  质量保证金：</w:t>
      </w:r>
    </w:p>
    <w:p w14:paraId="7A86E39C">
      <w:pPr>
        <w:adjustRightInd w:val="0"/>
        <w:snapToGrid w:val="0"/>
        <w:spacing w:line="400" w:lineRule="atLeast"/>
        <w:ind w:firstLine="424" w:firstLineChars="202"/>
        <w:rPr>
          <w:rFonts w:hint="eastAsia" w:ascii="宋体" w:hAnsi="宋体"/>
          <w:b/>
          <w:bCs/>
          <w:color w:val="auto"/>
          <w:szCs w:val="21"/>
          <w:highlight w:val="none"/>
          <w:u w:val="single"/>
        </w:rPr>
      </w:pPr>
      <w:r>
        <w:rPr>
          <w:rFonts w:hint="eastAsia" w:ascii="宋体" w:hAnsi="宋体"/>
          <w:bCs/>
          <w:color w:val="auto"/>
          <w:szCs w:val="21"/>
          <w:highlight w:val="none"/>
          <w:u w:val="single"/>
        </w:rPr>
        <w:t>无。</w:t>
      </w:r>
    </w:p>
    <w:p w14:paraId="236EB204">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第十条  税费</w:t>
      </w:r>
    </w:p>
    <w:p w14:paraId="4957673D">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本合同执行中相关的一切税费均由乙方负担。</w:t>
      </w:r>
    </w:p>
    <w:p w14:paraId="6425A26B">
      <w:pPr>
        <w:snapToGrid w:val="0"/>
        <w:spacing w:line="400" w:lineRule="atLeast"/>
        <w:ind w:firstLine="426" w:firstLineChars="202"/>
        <w:rPr>
          <w:rFonts w:hint="eastAsia" w:ascii="宋体" w:hAnsi="宋体"/>
          <w:bCs/>
          <w:color w:val="auto"/>
          <w:szCs w:val="21"/>
          <w:highlight w:val="none"/>
        </w:rPr>
      </w:pPr>
      <w:r>
        <w:rPr>
          <w:rFonts w:hint="eastAsia" w:ascii="宋体" w:hAnsi="宋体"/>
          <w:b/>
          <w:bCs/>
          <w:color w:val="auto"/>
          <w:szCs w:val="21"/>
          <w:highlight w:val="none"/>
        </w:rPr>
        <w:t>第十一条、质量保证及售后服务</w:t>
      </w:r>
      <w:r>
        <w:rPr>
          <w:rFonts w:hint="eastAsia" w:ascii="宋体" w:hAnsi="宋体"/>
          <w:bCs/>
          <w:color w:val="auto"/>
          <w:szCs w:val="21"/>
          <w:highlight w:val="none"/>
        </w:rPr>
        <w:t>（按采购人采购文件要求或乙方响应文件承诺，仅在投标承诺条件优于磋商文件要求时适用）</w:t>
      </w:r>
    </w:p>
    <w:p w14:paraId="7C8E0811">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1、乙方应按磋商文件规定的货物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性能、技术要求、质量标准向甲方提供未经使用的全新产品，并提供相应的售后服务和培训。不符合要求者，根据实际情况，经双方协商，可按以下办法处理：</w:t>
      </w:r>
    </w:p>
    <w:p w14:paraId="4419BDD6">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⑴更换：由乙方承担所发生的全部费用。</w:t>
      </w:r>
    </w:p>
    <w:p w14:paraId="13036DB8">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⑵贬值处理：由甲乙双方合议定价。</w:t>
      </w:r>
    </w:p>
    <w:p w14:paraId="5657A586">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⑶退货处理：乙方应退还甲方支付的合同款，同时应承担该货物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的直接费用（运输、保险、检验、货款利息及银行手续费等）。</w:t>
      </w:r>
    </w:p>
    <w:p w14:paraId="1DFC3635">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2、如在使用过程中发生质量问题，乙方在接到甲方通知后在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小时内到达甲方现场处理。</w:t>
      </w:r>
    </w:p>
    <w:p w14:paraId="4B27FEB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3、在质保期内，乙方应对货物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出现的质量及安全问题负责处理解决并承担一切费用。</w:t>
      </w:r>
    </w:p>
    <w:p w14:paraId="1B3F8640">
      <w:pPr>
        <w:snapToGrid w:val="0"/>
        <w:spacing w:line="400" w:lineRule="atLeast"/>
        <w:ind w:firstLine="424" w:firstLineChars="202"/>
        <w:rPr>
          <w:rFonts w:hint="eastAsia" w:ascii="宋体" w:hAnsi="宋体"/>
          <w:b/>
          <w:bCs/>
          <w:color w:val="auto"/>
          <w:szCs w:val="21"/>
          <w:highlight w:val="none"/>
        </w:rPr>
      </w:pPr>
      <w:r>
        <w:rPr>
          <w:rFonts w:hint="eastAsia" w:ascii="宋体" w:hAnsi="宋体"/>
          <w:bCs/>
          <w:color w:val="auto"/>
          <w:szCs w:val="21"/>
          <w:highlight w:val="none"/>
        </w:rPr>
        <w:t>4、上述的货物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免费质保期为</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cs="仿宋"/>
          <w:bCs/>
          <w:color w:val="auto"/>
          <w:szCs w:val="21"/>
          <w:highlight w:val="none"/>
          <w:lang w:val="en-US" w:eastAsia="zh-CN"/>
        </w:rPr>
        <w:t>（国家法律法规、规章、规范性文件或相关技术标准、规范有更长质保期规定的，从其规定）</w:t>
      </w:r>
      <w:r>
        <w:rPr>
          <w:rFonts w:hint="eastAsia" w:ascii="宋体" w:hAnsi="宋体"/>
          <w:bCs/>
          <w:color w:val="auto"/>
          <w:szCs w:val="21"/>
          <w:highlight w:val="none"/>
        </w:rPr>
        <w:t>，因人为</w:t>
      </w:r>
      <w:r>
        <w:rPr>
          <w:rFonts w:hint="eastAsia" w:ascii="宋体" w:hAnsi="宋体"/>
          <w:bCs/>
          <w:color w:val="auto"/>
          <w:szCs w:val="21"/>
          <w:highlight w:val="none"/>
          <w:lang w:val="en-US" w:eastAsia="zh-CN"/>
        </w:rPr>
        <w:t>故意或重大过失</w:t>
      </w:r>
      <w:r>
        <w:rPr>
          <w:rFonts w:hint="eastAsia" w:ascii="宋体" w:hAnsi="宋体"/>
          <w:bCs/>
          <w:color w:val="auto"/>
          <w:szCs w:val="21"/>
          <w:highlight w:val="none"/>
        </w:rPr>
        <w:t>因素出现的故障不在免费保修范围内。超过质保期的机器设备，终生维修，维修时只收部件成本费。质保期过后，乙方应提供系统软件终身维护服务，维护费用由甲方和乙方通过合同或协议商定，其费用原则上不得超过本合同价格的8%。若</w:t>
      </w:r>
      <w:r>
        <w:rPr>
          <w:rFonts w:hint="eastAsia" w:ascii="宋体" w:hAnsi="宋体"/>
          <w:bCs/>
          <w:color w:val="auto"/>
          <w:szCs w:val="21"/>
          <w:highlight w:val="none"/>
          <w:lang w:val="en-US" w:eastAsia="zh-CN"/>
        </w:rPr>
        <w:t>质保</w:t>
      </w:r>
      <w:r>
        <w:rPr>
          <w:rFonts w:hint="eastAsia" w:ascii="宋体" w:hAnsi="宋体"/>
          <w:bCs/>
          <w:color w:val="auto"/>
          <w:szCs w:val="21"/>
          <w:highlight w:val="none"/>
        </w:rPr>
        <w:t>期届满后存在</w:t>
      </w:r>
      <w:r>
        <w:rPr>
          <w:rFonts w:hint="eastAsia" w:ascii="宋体" w:hAnsi="宋体"/>
          <w:bCs/>
          <w:color w:val="auto"/>
          <w:szCs w:val="21"/>
          <w:highlight w:val="none"/>
          <w:lang w:val="en-US" w:eastAsia="zh-CN"/>
        </w:rPr>
        <w:t>质保期内</w:t>
      </w:r>
      <w:r>
        <w:rPr>
          <w:rFonts w:hint="eastAsia" w:ascii="宋体" w:hAnsi="宋体"/>
          <w:bCs/>
          <w:color w:val="auto"/>
          <w:szCs w:val="21"/>
          <w:highlight w:val="none"/>
        </w:rPr>
        <w:t>未解决的技术问题、未完成的任务，乙方应</w:t>
      </w:r>
      <w:r>
        <w:rPr>
          <w:rFonts w:hint="eastAsia" w:ascii="宋体" w:hAnsi="宋体"/>
          <w:bCs/>
          <w:color w:val="auto"/>
          <w:szCs w:val="21"/>
          <w:highlight w:val="none"/>
          <w:lang w:val="en-US" w:eastAsia="zh-CN"/>
        </w:rPr>
        <w:t>依约</w:t>
      </w:r>
      <w:r>
        <w:rPr>
          <w:rFonts w:hint="eastAsia" w:ascii="宋体" w:hAnsi="宋体"/>
          <w:bCs/>
          <w:color w:val="auto"/>
          <w:szCs w:val="21"/>
          <w:highlight w:val="none"/>
        </w:rPr>
        <w:t>继续履行至问题解决、任务完成为止</w:t>
      </w:r>
      <w:r>
        <w:rPr>
          <w:rFonts w:hint="eastAsia" w:ascii="宋体" w:hAnsi="宋体"/>
          <w:bCs/>
          <w:color w:val="auto"/>
          <w:szCs w:val="21"/>
          <w:highlight w:val="none"/>
          <w:lang w:eastAsia="zh-CN"/>
        </w:rPr>
        <w:t>。</w:t>
      </w:r>
    </w:p>
    <w:p w14:paraId="46104288">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第十二条、违约责任</w:t>
      </w:r>
    </w:p>
    <w:p w14:paraId="4E787145">
      <w:pPr>
        <w:snapToGrid w:val="0"/>
        <w:spacing w:line="400" w:lineRule="atLeast"/>
        <w:ind w:firstLine="424" w:firstLineChars="202"/>
        <w:rPr>
          <w:rFonts w:hint="eastAsia" w:ascii="宋体" w:hAnsi="宋体"/>
          <w:bCs/>
          <w:color w:val="auto"/>
          <w:szCs w:val="21"/>
          <w:highlight w:val="none"/>
          <w:lang w:val="en-US" w:eastAsia="zh-CN"/>
        </w:rPr>
      </w:pPr>
      <w:r>
        <w:rPr>
          <w:rFonts w:hint="eastAsia" w:ascii="宋体" w:hAnsi="宋体"/>
          <w:bCs/>
          <w:color w:val="auto"/>
          <w:szCs w:val="21"/>
          <w:highlight w:val="none"/>
        </w:rPr>
        <w:t>1、乙方所提供的货物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规格、技术标准、性能、材料</w:t>
      </w:r>
      <w:r>
        <w:rPr>
          <w:rFonts w:hint="eastAsia" w:ascii="宋体" w:hAnsi="宋体"/>
          <w:bCs/>
          <w:color w:val="auto"/>
          <w:szCs w:val="21"/>
          <w:highlight w:val="none"/>
          <w:lang w:val="en-US" w:eastAsia="zh-CN"/>
        </w:rPr>
        <w:t>或服务内容</w:t>
      </w:r>
      <w:r>
        <w:rPr>
          <w:rFonts w:hint="eastAsia" w:ascii="宋体" w:hAnsi="宋体"/>
          <w:bCs/>
          <w:color w:val="auto"/>
          <w:szCs w:val="21"/>
          <w:highlight w:val="none"/>
        </w:rPr>
        <w:t>等质量不合格的，</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应自收到甲方异议后</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 xml:space="preserve">  】日内予以更换或处理</w:t>
      </w:r>
      <w:r>
        <w:rPr>
          <w:rFonts w:hint="eastAsia" w:ascii="宋体" w:hAnsi="宋体"/>
          <w:bCs/>
          <w:color w:val="auto"/>
          <w:szCs w:val="21"/>
          <w:highlight w:val="none"/>
        </w:rPr>
        <w:t>，逾期</w:t>
      </w:r>
      <w:r>
        <w:rPr>
          <w:rFonts w:hint="eastAsia" w:ascii="宋体" w:hAnsi="宋体"/>
          <w:bCs/>
          <w:color w:val="auto"/>
          <w:szCs w:val="21"/>
          <w:highlight w:val="none"/>
          <w:lang w:val="en-US" w:eastAsia="zh-CN"/>
        </w:rPr>
        <w:t>更换或处理或更换处理后仍存在上述问题的，视为乙方不具备履约能力，甲方有权单方解除合同，</w:t>
      </w:r>
      <w:r>
        <w:rPr>
          <w:rFonts w:hint="eastAsia" w:ascii="宋体" w:hAnsi="宋体"/>
          <w:bCs/>
          <w:color w:val="auto"/>
          <w:szCs w:val="21"/>
          <w:highlight w:val="none"/>
          <w:lang w:val="en-US" w:eastAsia="zh-Hans"/>
        </w:rPr>
        <w:t>并</w:t>
      </w:r>
      <w:r>
        <w:rPr>
          <w:rFonts w:hint="eastAsia" w:ascii="宋体" w:hAnsi="宋体"/>
          <w:bCs/>
          <w:color w:val="auto"/>
          <w:szCs w:val="21"/>
          <w:highlight w:val="none"/>
          <w:lang w:val="en-US" w:eastAsia="zh-CN"/>
        </w:rPr>
        <w:t>要求乙方退还已收款项</w:t>
      </w:r>
      <w:r>
        <w:rPr>
          <w:rFonts w:hint="default" w:ascii="宋体" w:hAnsi="宋体"/>
          <w:bCs/>
          <w:color w:val="auto"/>
          <w:szCs w:val="21"/>
          <w:highlight w:val="none"/>
          <w:lang w:eastAsia="zh-CN"/>
        </w:rPr>
        <w:t>、</w:t>
      </w:r>
      <w:r>
        <w:rPr>
          <w:rFonts w:hint="eastAsia" w:ascii="宋体" w:hAnsi="宋体"/>
          <w:bCs/>
          <w:color w:val="auto"/>
          <w:szCs w:val="21"/>
          <w:highlight w:val="none"/>
          <w:lang w:val="en-US" w:eastAsia="zh-CN"/>
        </w:rPr>
        <w:t>支付合同总价款30%的违约金，</w:t>
      </w:r>
      <w:r>
        <w:rPr>
          <w:rFonts w:hint="eastAsia" w:ascii="宋体" w:hAnsi="宋体" w:eastAsia="宋体" w:cs="Times New Roman"/>
          <w:bCs/>
          <w:color w:val="auto"/>
          <w:szCs w:val="21"/>
          <w:highlight w:val="none"/>
          <w:lang w:val="en-US" w:eastAsia="zh-CN"/>
        </w:rPr>
        <w:t>违约金不足以弥补甲方损失（包括但不限于甲方为维护权益产生的诉讼费、律师费、财产保全费、保单保函费、鉴定费、评估费等直接和间接损失，下同），超出部分乙方还应予以赔偿。</w:t>
      </w:r>
      <w:r>
        <w:rPr>
          <w:rFonts w:hint="eastAsia" w:ascii="宋体" w:hAnsi="宋体"/>
          <w:bCs/>
          <w:color w:val="auto"/>
          <w:szCs w:val="21"/>
          <w:highlight w:val="none"/>
          <w:lang w:val="en-US" w:eastAsia="zh-CN"/>
        </w:rPr>
        <w:t>因更换导致逾期交货的，按照逾期交货产生的违约责任处理。</w:t>
      </w:r>
      <w:r>
        <w:rPr>
          <w:rFonts w:hint="eastAsia" w:ascii="宋体" w:hAnsi="宋体"/>
          <w:bCs/>
          <w:color w:val="auto"/>
          <w:szCs w:val="21"/>
          <w:highlight w:val="none"/>
        </w:rPr>
        <w:t>因质量问题甲方不同意接收的或特殊情况甲方同意接收的，视乙方违约情形，乙方应向甲方支付违约合同款额</w:t>
      </w:r>
      <w:r>
        <w:rPr>
          <w:rFonts w:hint="default" w:ascii="宋体" w:hAnsi="宋体"/>
          <w:bCs/>
          <w:color w:val="auto"/>
          <w:szCs w:val="21"/>
          <w:highlight w:val="none"/>
          <w:lang w:val="en-US"/>
        </w:rPr>
        <w:t xml:space="preserve"> </w:t>
      </w:r>
      <w:r>
        <w:rPr>
          <w:rFonts w:hint="eastAsia" w:ascii="宋体" w:hAnsi="宋体"/>
          <w:bCs/>
          <w:color w:val="auto"/>
          <w:szCs w:val="21"/>
          <w:highlight w:val="none"/>
          <w:lang w:val="en-US" w:eastAsia="zh-CN"/>
        </w:rPr>
        <w:t>30</w:t>
      </w:r>
      <w:r>
        <w:rPr>
          <w:rFonts w:hint="eastAsia" w:ascii="宋体" w:hAnsi="宋体"/>
          <w:bCs/>
          <w:color w:val="auto"/>
          <w:szCs w:val="21"/>
          <w:highlight w:val="none"/>
        </w:rPr>
        <w:t>%违约金并赔偿甲方经济损</w:t>
      </w:r>
      <w:r>
        <w:rPr>
          <w:rFonts w:hint="eastAsia" w:ascii="宋体" w:hAnsi="宋体"/>
          <w:bCs/>
          <w:color w:val="auto"/>
          <w:szCs w:val="21"/>
          <w:highlight w:val="none"/>
          <w:lang w:val="en-US" w:eastAsia="zh-CN"/>
        </w:rPr>
        <w:t>失。</w:t>
      </w:r>
    </w:p>
    <w:p w14:paraId="2CBE3350">
      <w:pPr>
        <w:snapToGrid w:val="0"/>
        <w:spacing w:line="400" w:lineRule="atLeast"/>
        <w:ind w:firstLine="424" w:firstLineChars="202"/>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2、乙方逾期交货的，</w:t>
      </w:r>
      <w:r>
        <w:rPr>
          <w:rFonts w:hint="eastAsia" w:ascii="宋体" w:hAnsi="宋体"/>
          <w:bCs/>
          <w:color w:val="auto"/>
          <w:szCs w:val="21"/>
          <w:highlight w:val="none"/>
          <w:lang w:val="en-US" w:eastAsia="zh-Hans"/>
        </w:rPr>
        <w:t>每</w:t>
      </w:r>
      <w:r>
        <w:rPr>
          <w:rFonts w:hint="eastAsia" w:ascii="宋体" w:hAnsi="宋体"/>
          <w:bCs/>
          <w:color w:val="auto"/>
          <w:szCs w:val="21"/>
          <w:highlight w:val="none"/>
          <w:lang w:val="en-US" w:eastAsia="zh-CN"/>
        </w:rPr>
        <w:t>逾期</w:t>
      </w:r>
      <w:r>
        <w:rPr>
          <w:rFonts w:hint="eastAsia" w:ascii="宋体" w:hAnsi="宋体"/>
          <w:bCs/>
          <w:color w:val="auto"/>
          <w:szCs w:val="21"/>
          <w:highlight w:val="none"/>
          <w:lang w:val="en-US" w:eastAsia="zh-Hans"/>
        </w:rPr>
        <w:t>一日按合同</w:t>
      </w:r>
      <w:r>
        <w:rPr>
          <w:rFonts w:hint="eastAsia" w:ascii="宋体" w:hAnsi="宋体"/>
          <w:bCs/>
          <w:color w:val="auto"/>
          <w:szCs w:val="21"/>
          <w:highlight w:val="none"/>
          <w:lang w:val="en-US" w:eastAsia="zh-CN"/>
        </w:rPr>
        <w:t>总</w:t>
      </w:r>
      <w:r>
        <w:rPr>
          <w:rFonts w:hint="eastAsia" w:ascii="宋体" w:hAnsi="宋体"/>
          <w:bCs/>
          <w:color w:val="auto"/>
          <w:szCs w:val="21"/>
          <w:highlight w:val="none"/>
          <w:lang w:val="en-US" w:eastAsia="zh-Hans"/>
        </w:rPr>
        <w:t>价款的</w:t>
      </w:r>
      <w:r>
        <w:rPr>
          <w:rFonts w:hint="eastAsia" w:ascii="宋体" w:hAnsi="宋体"/>
          <w:bCs/>
          <w:color w:val="auto"/>
          <w:szCs w:val="21"/>
          <w:highlight w:val="none"/>
          <w:lang w:val="en-US" w:eastAsia="zh-CN"/>
        </w:rPr>
        <w:t>【  】向甲方支付违约金</w:t>
      </w:r>
      <w:r>
        <w:rPr>
          <w:rFonts w:hint="default" w:ascii="宋体" w:hAnsi="宋体"/>
          <w:bCs/>
          <w:color w:val="auto"/>
          <w:szCs w:val="21"/>
          <w:highlight w:val="none"/>
          <w:lang w:val="en-US" w:eastAsia="zh-CN"/>
        </w:rPr>
        <w:t>。</w:t>
      </w:r>
      <w:r>
        <w:rPr>
          <w:rFonts w:hint="eastAsia" w:ascii="宋体" w:hAnsi="宋体"/>
          <w:bCs/>
          <w:color w:val="auto"/>
          <w:szCs w:val="21"/>
          <w:highlight w:val="none"/>
          <w:lang w:val="en-US" w:eastAsia="zh-Hans"/>
        </w:rPr>
        <w:t>如</w:t>
      </w:r>
      <w:r>
        <w:rPr>
          <w:rFonts w:hint="eastAsia" w:ascii="宋体" w:hAnsi="宋体"/>
          <w:bCs/>
          <w:color w:val="auto"/>
          <w:szCs w:val="21"/>
          <w:highlight w:val="none"/>
          <w:lang w:val="en-US" w:eastAsia="zh-CN"/>
        </w:rPr>
        <w:t>逾期</w:t>
      </w:r>
      <w:r>
        <w:rPr>
          <w:rFonts w:hint="eastAsia" w:ascii="宋体" w:hAnsi="宋体"/>
          <w:bCs/>
          <w:color w:val="auto"/>
          <w:szCs w:val="21"/>
          <w:highlight w:val="none"/>
          <w:lang w:val="en-US" w:eastAsia="zh-Hans"/>
        </w:rPr>
        <w:t>超过</w:t>
      </w:r>
      <w:r>
        <w:rPr>
          <w:rFonts w:hint="eastAsia" w:ascii="宋体" w:hAnsi="宋体"/>
          <w:bCs/>
          <w:color w:val="auto"/>
          <w:szCs w:val="21"/>
          <w:highlight w:val="none"/>
          <w:lang w:val="en-US" w:eastAsia="zh-CN"/>
        </w:rPr>
        <w:t>【  】</w:t>
      </w:r>
      <w:r>
        <w:rPr>
          <w:rFonts w:hint="eastAsia" w:ascii="宋体" w:hAnsi="宋体"/>
          <w:bCs/>
          <w:color w:val="auto"/>
          <w:szCs w:val="21"/>
          <w:highlight w:val="none"/>
          <w:lang w:val="en-US" w:eastAsia="zh-Hans"/>
        </w:rPr>
        <w:t>日</w:t>
      </w:r>
      <w:r>
        <w:rPr>
          <w:rFonts w:hint="eastAsia" w:ascii="宋体" w:hAnsi="宋体"/>
          <w:bCs/>
          <w:color w:val="auto"/>
          <w:szCs w:val="21"/>
          <w:highlight w:val="none"/>
          <w:lang w:val="en-US" w:eastAsia="zh-CN"/>
        </w:rPr>
        <w:t>仍未能交付的，视为乙方不具备履约能力，甲方有权</w:t>
      </w:r>
      <w:r>
        <w:rPr>
          <w:rFonts w:hint="eastAsia" w:ascii="宋体" w:hAnsi="宋体"/>
          <w:bCs/>
          <w:color w:val="auto"/>
          <w:szCs w:val="21"/>
          <w:highlight w:val="none"/>
          <w:lang w:val="en-US" w:eastAsia="zh-Hans"/>
        </w:rPr>
        <w:t>单方</w:t>
      </w:r>
      <w:r>
        <w:rPr>
          <w:rFonts w:hint="eastAsia" w:ascii="宋体" w:hAnsi="宋体"/>
          <w:bCs/>
          <w:color w:val="auto"/>
          <w:szCs w:val="21"/>
          <w:highlight w:val="none"/>
          <w:lang w:val="en-US" w:eastAsia="zh-CN"/>
        </w:rPr>
        <w:t>解除合同并可要求乙方退还已收款项</w:t>
      </w:r>
      <w:r>
        <w:rPr>
          <w:rFonts w:hint="default" w:ascii="宋体" w:hAnsi="宋体"/>
          <w:bCs/>
          <w:color w:val="auto"/>
          <w:szCs w:val="21"/>
          <w:highlight w:val="none"/>
          <w:lang w:val="en-US" w:eastAsia="zh-CN"/>
        </w:rPr>
        <w:t>、</w:t>
      </w:r>
      <w:r>
        <w:rPr>
          <w:rFonts w:hint="eastAsia" w:ascii="宋体" w:hAnsi="宋体"/>
          <w:bCs/>
          <w:color w:val="auto"/>
          <w:szCs w:val="21"/>
          <w:highlight w:val="none"/>
          <w:lang w:val="en-US" w:eastAsia="zh-CN"/>
        </w:rPr>
        <w:t>支付合同总价款30%的违约金，违约金不足以弥补甲方损失的，乙方还应赔偿甲方除维权费用之外的其他</w:t>
      </w:r>
      <w:r>
        <w:rPr>
          <w:rFonts w:hint="default" w:ascii="宋体" w:hAnsi="宋体"/>
          <w:bCs/>
          <w:color w:val="auto"/>
          <w:szCs w:val="21"/>
          <w:highlight w:val="none"/>
          <w:lang w:val="en-US" w:eastAsia="zh-CN"/>
        </w:rPr>
        <w:t>全部</w:t>
      </w:r>
      <w:r>
        <w:rPr>
          <w:rFonts w:hint="eastAsia" w:ascii="宋体" w:hAnsi="宋体"/>
          <w:bCs/>
          <w:color w:val="auto"/>
          <w:szCs w:val="21"/>
          <w:highlight w:val="none"/>
          <w:lang w:val="en-US" w:eastAsia="zh-CN"/>
        </w:rPr>
        <w:t>损失。</w:t>
      </w:r>
    </w:p>
    <w:p w14:paraId="79000FCC">
      <w:pPr>
        <w:snapToGrid w:val="0"/>
        <w:spacing w:line="400" w:lineRule="atLeast"/>
        <w:ind w:firstLine="424" w:firstLineChars="202"/>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3、乙方提供的货物（系统）或服务如侵犯了第三方合法权益而引发的任何纠纷或诉讼，均由乙方负责交涉并承担全部责任，且甲方有权视乙方违约情形要求乙方支付违约合同款额5%违约金并赔偿甲方因此发生的费用和遭受的损失。如果乙方拒绝处理前述纠纷或诉讼或在收到甲方通知后【  】日内未作表示，甲方可以自己的名义处理纠纷或诉讼，因此发生的费用和遭受的全部损失（包括但不限于直接经济损失，合同总金额百分之【  】的声誉损失或惩罚性违约金，为维权而支付的诉讼费、律师费、财产保全费、保函费、鉴定费、评估费等）均应由乙方承担。</w:t>
      </w:r>
    </w:p>
    <w:p w14:paraId="12A14032">
      <w:pPr>
        <w:snapToGrid w:val="0"/>
        <w:spacing w:line="400" w:lineRule="atLeast"/>
        <w:ind w:firstLine="424" w:firstLineChars="202"/>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4、因包装、运输引起的货物（系统）损坏，按质量不合格处罚。</w:t>
      </w:r>
    </w:p>
    <w:p w14:paraId="631D1F0F">
      <w:pPr>
        <w:snapToGrid w:val="0"/>
        <w:spacing w:line="400" w:lineRule="atLeast"/>
        <w:ind w:firstLine="424" w:firstLineChars="202"/>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5、甲方无故延期接收的，每天向对方偿付违约合同总价款3‰违约金，违约金累计不得超过延期或逾期交付款额5%；甲方无故延期付合同款的，每天向乙方偿付延期合同总价款3%滞纳金，滞纳金累计不得超过延期款额5%。</w:t>
      </w:r>
    </w:p>
    <w:p w14:paraId="34EFF1DF">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lang w:val="en-US" w:eastAsia="zh-CN"/>
        </w:rPr>
        <w:t>6、乙方未按本合同和响应文件中规定的服务承诺提供售后服务的，甲方有权选聘或委托有相应资质的第三方提供，全部费用由乙方承担，且视乙方违约情形，乙方应按本合同总价款的30% 向甲方支付违约金。</w:t>
      </w:r>
    </w:p>
    <w:p w14:paraId="302CF02F">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、乙方提供的货物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在质量保证期内，因设计、工艺或材料的缺陷和其它质量原因造成的问题，由乙方负责，费用从质量保证金中扣除，不足甲方有权要求乙方限期另补。</w:t>
      </w:r>
    </w:p>
    <w:p w14:paraId="4B453CE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、其它违约行为，视违约情形按违约合同款额</w:t>
      </w:r>
      <w:r>
        <w:rPr>
          <w:rFonts w:hint="eastAsia" w:ascii="宋体" w:hAnsi="宋体"/>
          <w:bCs/>
          <w:color w:val="auto"/>
          <w:szCs w:val="21"/>
          <w:highlight w:val="none"/>
          <w:u w:val="single"/>
        </w:rPr>
        <w:t>5%</w:t>
      </w:r>
      <w:r>
        <w:rPr>
          <w:rFonts w:hint="eastAsia" w:ascii="宋体" w:hAnsi="宋体"/>
          <w:bCs/>
          <w:color w:val="auto"/>
          <w:szCs w:val="21"/>
          <w:highlight w:val="none"/>
        </w:rPr>
        <w:t>收取违约金并赔偿守约方全部经济损失。</w:t>
      </w:r>
    </w:p>
    <w:p w14:paraId="24F5AAC1">
      <w:pPr>
        <w:snapToGrid w:val="0"/>
        <w:spacing w:line="400" w:lineRule="atLeast"/>
        <w:ind w:firstLine="424" w:firstLineChars="202"/>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9、因乙方违约，甲方为维护权益而产生的一切开支，包括但不限于诉讼费、财产保全保险费、鉴定费、评估费、检验费或检测费、律师费、相关人员差旅费等由乙方承担。</w:t>
      </w:r>
    </w:p>
    <w:p w14:paraId="2593E04D">
      <w:pPr>
        <w:snapToGrid w:val="0"/>
        <w:spacing w:line="400" w:lineRule="atLeast"/>
        <w:ind w:firstLine="424" w:firstLineChars="202"/>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10、若乙方发生任何违约行为，甲方有权直接从应付乙方的款项中扣除乙方应承担的相应违约费用，或通过其他合法途径向乙方进行追偿。</w:t>
      </w:r>
    </w:p>
    <w:p w14:paraId="0BB8C298">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第十三条、</w:t>
      </w:r>
      <w:r>
        <w:rPr>
          <w:rFonts w:hint="eastAsia" w:ascii="宋体" w:hAnsi="宋体"/>
          <w:b/>
          <w:color w:val="auto"/>
          <w:szCs w:val="21"/>
          <w:highlight w:val="none"/>
        </w:rPr>
        <w:t>履约保证金</w:t>
      </w:r>
    </w:p>
    <w:p w14:paraId="4710A84E">
      <w:pPr>
        <w:snapToGrid w:val="0"/>
        <w:spacing w:line="400" w:lineRule="atLeast"/>
        <w:ind w:firstLine="424" w:firstLineChars="202"/>
        <w:rPr>
          <w:rFonts w:hint="eastAsia" w:ascii="宋体" w:hAnsi="宋体"/>
          <w:bCs/>
          <w:color w:val="auto"/>
          <w:szCs w:val="21"/>
          <w:highlight w:val="none"/>
        </w:rPr>
      </w:pPr>
      <w:r>
        <w:rPr>
          <w:rFonts w:hint="eastAsia" w:ascii="宋体" w:hAnsi="宋体"/>
          <w:color w:val="auto"/>
          <w:highlight w:val="none"/>
          <w:lang w:val="en-US" w:eastAsia="zh-CN"/>
        </w:rPr>
        <w:t>无</w:t>
      </w:r>
      <w:r>
        <w:rPr>
          <w:rFonts w:hint="eastAsia" w:ascii="宋体" w:hAnsi="宋体"/>
          <w:color w:val="auto"/>
          <w:highlight w:val="none"/>
        </w:rPr>
        <w:t>。</w:t>
      </w:r>
    </w:p>
    <w:p w14:paraId="3D929C91">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第十四条、货物</w:t>
      </w:r>
      <w:r>
        <w:rPr>
          <w:rFonts w:hint="eastAsia" w:ascii="宋体" w:hAnsi="宋体"/>
          <w:b/>
          <w:bCs/>
          <w:color w:val="auto"/>
          <w:szCs w:val="21"/>
          <w:highlight w:val="none"/>
          <w:lang w:eastAsia="zh-CN"/>
        </w:rPr>
        <w:t>（</w:t>
      </w:r>
      <w:r>
        <w:rPr>
          <w:rFonts w:hint="eastAsia" w:ascii="宋体" w:hAnsi="宋体"/>
          <w:b/>
          <w:bCs/>
          <w:color w:val="auto"/>
          <w:szCs w:val="21"/>
          <w:highlight w:val="none"/>
        </w:rPr>
        <w:t>系统</w:t>
      </w:r>
      <w:r>
        <w:rPr>
          <w:rFonts w:hint="eastAsia" w:ascii="宋体" w:hAnsi="宋体"/>
          <w:b/>
          <w:bCs/>
          <w:color w:val="auto"/>
          <w:szCs w:val="21"/>
          <w:highlight w:val="none"/>
          <w:lang w:eastAsia="zh-CN"/>
        </w:rPr>
        <w:t>）</w:t>
      </w:r>
      <w:r>
        <w:rPr>
          <w:rFonts w:hint="eastAsia" w:ascii="宋体" w:hAnsi="宋体"/>
          <w:b/>
          <w:bCs/>
          <w:color w:val="auto"/>
          <w:szCs w:val="21"/>
          <w:highlight w:val="none"/>
        </w:rPr>
        <w:t>包装、发运及运输</w:t>
      </w:r>
    </w:p>
    <w:p w14:paraId="66700A14">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1、乙方应在货物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发运前对其进行满足运输距离、防潮、防震、防锈和防破损装卸等要求包装，以保证货物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安全运达甲方指定地点。</w:t>
      </w:r>
    </w:p>
    <w:p w14:paraId="2FB17905">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2、使用说明书、质量检验证明书、随配附件和工具以及清单一并附于货物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内。</w:t>
      </w:r>
    </w:p>
    <w:p w14:paraId="768150A8">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3、乙方在货物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发运手续办理完毕后二十四小时内或货到甲方四十八小时前通知甲方，以准备接货。</w:t>
      </w:r>
    </w:p>
    <w:p w14:paraId="1A6B7C10">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4、货物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在交付甲方</w:t>
      </w:r>
      <w:r>
        <w:rPr>
          <w:rFonts w:hint="eastAsia" w:ascii="宋体" w:hAnsi="宋体"/>
          <w:bCs/>
          <w:color w:val="auto"/>
          <w:szCs w:val="21"/>
          <w:highlight w:val="none"/>
          <w:lang w:val="en-US" w:eastAsia="zh-CN"/>
        </w:rPr>
        <w:t>并验收合格</w:t>
      </w:r>
      <w:r>
        <w:rPr>
          <w:rFonts w:hint="eastAsia" w:ascii="宋体" w:hAnsi="宋体"/>
          <w:bCs/>
          <w:color w:val="auto"/>
          <w:szCs w:val="21"/>
          <w:highlight w:val="none"/>
        </w:rPr>
        <w:t>前发生的风险均由乙方负责。</w:t>
      </w:r>
    </w:p>
    <w:p w14:paraId="224B09FF">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5、货物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在规定的交付期限内由乙方送达甲方指定的地点并安装调试、验收合格和培训才视为交付。</w:t>
      </w:r>
    </w:p>
    <w:p w14:paraId="4395C57F">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第十五条  不可抗力事件处理</w:t>
      </w:r>
    </w:p>
    <w:p w14:paraId="7BE78562">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1、在合同有效期内，任何一方因不可抗力事件导致不能履行合同，则合同履行期可延长，其延长期与不可抗力影响期相同。</w:t>
      </w:r>
    </w:p>
    <w:p w14:paraId="67EA7BBC">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2、不可抗力事件发生后，应立即通知对方，并寄送有关权威机构出具的证明。</w:t>
      </w:r>
    </w:p>
    <w:p w14:paraId="6FA56196">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3、不可抗力事件延续一百二十天以上，双方应通过友好协商，确定是否继续履行合同。</w:t>
      </w:r>
    </w:p>
    <w:p w14:paraId="263645C4">
      <w:pPr>
        <w:snapToGrid w:val="0"/>
        <w:spacing w:line="400" w:lineRule="atLeast"/>
        <w:ind w:firstLine="426" w:firstLineChars="202"/>
        <w:rPr>
          <w:rFonts w:hint="eastAsia" w:ascii="宋体" w:hAnsi="宋体"/>
          <w:bCs/>
          <w:color w:val="auto"/>
          <w:szCs w:val="21"/>
          <w:highlight w:val="none"/>
        </w:rPr>
      </w:pPr>
      <w:r>
        <w:rPr>
          <w:rFonts w:hint="eastAsia" w:ascii="宋体" w:hAnsi="宋体"/>
          <w:b/>
          <w:bCs/>
          <w:color w:val="auto"/>
          <w:szCs w:val="21"/>
          <w:highlight w:val="none"/>
        </w:rPr>
        <w:t>第十六条  合同争议解决</w:t>
      </w:r>
    </w:p>
    <w:p w14:paraId="6EFF6E55">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1、因货物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质量问题发生争议的，应邀请国家认可的质量检测机构对货物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质量进行鉴定。货物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符合标准的，鉴定费由甲方承担；货物</w:t>
      </w:r>
      <w:r>
        <w:rPr>
          <w:rFonts w:hint="eastAsia" w:ascii="宋体" w:hAnsi="宋体"/>
          <w:bCs/>
          <w:color w:val="auto"/>
          <w:szCs w:val="21"/>
          <w:highlight w:val="none"/>
          <w:lang w:eastAsia="zh-CN"/>
        </w:rPr>
        <w:t>（</w:t>
      </w:r>
      <w:r>
        <w:rPr>
          <w:rFonts w:hint="eastAsia" w:ascii="宋体" w:hAnsi="宋体"/>
          <w:bCs/>
          <w:color w:val="auto"/>
          <w:szCs w:val="21"/>
          <w:highlight w:val="none"/>
        </w:rPr>
        <w:t>系统</w:t>
      </w:r>
      <w:r>
        <w:rPr>
          <w:rFonts w:hint="eastAsia" w:ascii="宋体" w:hAnsi="宋体"/>
          <w:bCs/>
          <w:color w:val="auto"/>
          <w:szCs w:val="21"/>
          <w:highlight w:val="none"/>
          <w:lang w:eastAsia="zh-CN"/>
        </w:rPr>
        <w:t>）</w:t>
      </w:r>
      <w:r>
        <w:rPr>
          <w:rFonts w:hint="eastAsia" w:ascii="宋体" w:hAnsi="宋体"/>
          <w:bCs/>
          <w:color w:val="auto"/>
          <w:szCs w:val="21"/>
          <w:highlight w:val="none"/>
        </w:rPr>
        <w:t>不符合标准的，鉴定费由乙方承担。</w:t>
      </w:r>
    </w:p>
    <w:p w14:paraId="39F6D5F9">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2、因履行本合同引起的或与本合同有关的争议，甲乙双方应首先通过友好协商解决，如果协商不能解决，可向甲方所在地人民法院提起诉讼。</w:t>
      </w:r>
    </w:p>
    <w:p w14:paraId="3F1DC08B">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3、诉讼期间，本合同继续履行。</w:t>
      </w:r>
    </w:p>
    <w:p w14:paraId="7EF309B3">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第十七条  合同生效及其它</w:t>
      </w:r>
    </w:p>
    <w:p w14:paraId="61895982">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1、合同经双方法定代表人或授权代表签字并加盖单位公章（如自然人时加盖手指印）后生效。</w:t>
      </w:r>
    </w:p>
    <w:p w14:paraId="6BACCC58">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2、合同执行中涉及采购资金和采购内容修改或补充的，须经财政部门审批，并签书面补充协议报财政部门备案，方可作为主合同不可分割的一部分。</w:t>
      </w:r>
    </w:p>
    <w:p w14:paraId="3B257D79">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3.本合同未尽事宜，遵照《民法典》有关条文执行。</w:t>
      </w:r>
    </w:p>
    <w:p w14:paraId="497F901C">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第十八条  合同的变更、终止与转让</w:t>
      </w:r>
    </w:p>
    <w:p w14:paraId="11A70DF0">
      <w:pPr>
        <w:snapToGrid w:val="0"/>
        <w:spacing w:line="400" w:lineRule="atLeast"/>
        <w:ind w:firstLine="424" w:firstLineChars="202"/>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rPr>
        <w:t>除《中华人民共和国政府采购法》第五十条规定的情形外，本合同一经签订，甲乙双方不得擅自变更、中止或者终止合同。</w:t>
      </w:r>
    </w:p>
    <w:p w14:paraId="7C420FB9">
      <w:pPr>
        <w:snapToGrid w:val="0"/>
        <w:spacing w:line="400" w:lineRule="atLeast"/>
        <w:ind w:firstLine="424" w:firstLineChars="202"/>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rPr>
        <w:t>采购合同继续履行将损害国家利益和社会公共利益的，双方当事人应当变更、中止或者终止合同。有过错的一方应当承担赔偿责任，双方都有过错的，各自承担相应的责任。</w:t>
      </w:r>
    </w:p>
    <w:p w14:paraId="4146B03C">
      <w:pPr>
        <w:snapToGrid w:val="0"/>
        <w:spacing w:line="400" w:lineRule="atLeast"/>
        <w:ind w:firstLine="424" w:firstLineChars="202"/>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乙方不得擅自转让其应履行的合同义务。</w:t>
      </w:r>
    </w:p>
    <w:p w14:paraId="7DEA50BD">
      <w:pPr>
        <w:snapToGrid w:val="0"/>
        <w:spacing w:line="400" w:lineRule="atLeast"/>
        <w:ind w:firstLine="424" w:firstLineChars="202"/>
        <w:rPr>
          <w:rFonts w:hint="eastAsia" w:ascii="宋体" w:hAnsi="宋体"/>
          <w:b/>
          <w:bCs/>
          <w:color w:val="auto"/>
          <w:szCs w:val="21"/>
          <w:highlight w:val="none"/>
        </w:rPr>
      </w:pPr>
      <w:r>
        <w:rPr>
          <w:rFonts w:hint="eastAsia" w:ascii="宋体" w:hAnsi="宋体" w:eastAsia="宋体" w:cs="Times New Roman"/>
          <w:bCs/>
          <w:color w:val="auto"/>
          <w:szCs w:val="21"/>
          <w:highlight w:val="none"/>
          <w:lang w:val="en-US" w:eastAsia="zh-CN"/>
        </w:rPr>
        <w:t>4、</w:t>
      </w:r>
      <w:r>
        <w:rPr>
          <w:rFonts w:hint="eastAsia" w:ascii="宋体" w:hAnsi="宋体" w:eastAsia="宋体" w:cs="Times New Roman"/>
          <w:bCs/>
          <w:color w:val="auto"/>
          <w:szCs w:val="21"/>
          <w:highlight w:val="none"/>
        </w:rPr>
        <w:t>乙方权利义务不得转让。乙方因本项目对甲方享有债权的，乙方不得将债权转让，若擅自转让债权的视为对债权的放弃，甲方有权不予支付相应款项。若乙方在对甲方享有的债权未处理之前注销或被吊销的，视为乙方对该债权的放弃，甲方有权不再支付相应款项。</w:t>
      </w:r>
      <w:r>
        <w:rPr>
          <w:rFonts w:hint="eastAsia" w:ascii="宋体" w:hAnsi="宋体"/>
          <w:b/>
          <w:bCs/>
          <w:color w:val="auto"/>
          <w:szCs w:val="21"/>
          <w:highlight w:val="none"/>
        </w:rPr>
        <w:t>第十九条  签订本合同依据</w:t>
      </w:r>
    </w:p>
    <w:p w14:paraId="7F716548">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1、磋商文件；</w:t>
      </w:r>
    </w:p>
    <w:p w14:paraId="4CDCF476">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2、乙方提供的响应（或澄清）文件；</w:t>
      </w:r>
    </w:p>
    <w:p w14:paraId="4C02E023">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3、服务承诺书；</w:t>
      </w:r>
    </w:p>
    <w:p w14:paraId="10B29D4D">
      <w:pPr>
        <w:snapToGrid w:val="0"/>
        <w:spacing w:line="400" w:lineRule="atLeast"/>
        <w:ind w:firstLine="424" w:firstLineChars="202"/>
        <w:rPr>
          <w:rFonts w:hint="eastAsia" w:ascii="宋体" w:hAnsi="宋体"/>
          <w:bCs/>
          <w:color w:val="auto"/>
          <w:szCs w:val="21"/>
          <w:highlight w:val="none"/>
          <w:u w:val="single"/>
        </w:rPr>
      </w:pPr>
      <w:r>
        <w:rPr>
          <w:rFonts w:hint="eastAsia" w:ascii="宋体" w:hAnsi="宋体"/>
          <w:bCs/>
          <w:color w:val="auto"/>
          <w:szCs w:val="21"/>
          <w:highlight w:val="none"/>
        </w:rPr>
        <w:t>4、中标或成交通知书。</w:t>
      </w:r>
    </w:p>
    <w:p w14:paraId="2ADE4FC3">
      <w:pPr>
        <w:snapToGrid w:val="0"/>
        <w:spacing w:line="400" w:lineRule="atLeas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 xml:space="preserve">第二十条  </w:t>
      </w:r>
      <w:r>
        <w:rPr>
          <w:rFonts w:hint="eastAsia" w:ascii="宋体" w:hAnsi="宋体"/>
          <w:bCs/>
          <w:color w:val="auto"/>
          <w:szCs w:val="21"/>
          <w:highlight w:val="none"/>
        </w:rPr>
        <w:t>本合同落款处甲乙双方所留联系方式均为真实、合法、有效信息，作为双方通知、法院诉讼文书等送达地址；任何一方联系方式变更的，应在变更之日起2日内书面通知对方，否则因此导致的一切不利后果均由未尽到通知</w:t>
      </w:r>
      <w:r>
        <w:rPr>
          <w:rFonts w:hint="eastAsia" w:ascii="宋体" w:hAnsi="宋体"/>
          <w:bCs/>
          <w:color w:val="auto"/>
          <w:szCs w:val="21"/>
          <w:highlight w:val="none"/>
          <w:lang w:val="en-US" w:eastAsia="zh-CN"/>
        </w:rPr>
        <w:t>义务</w:t>
      </w:r>
      <w:r>
        <w:rPr>
          <w:rFonts w:hint="eastAsia" w:ascii="宋体" w:hAnsi="宋体"/>
          <w:bCs/>
          <w:color w:val="auto"/>
          <w:szCs w:val="21"/>
          <w:highlight w:val="none"/>
        </w:rPr>
        <w:t>的一方承担；双方通知、法院诉讼文书等根据所留信息送达，一经发出，满3日均视为送达成功。</w:t>
      </w:r>
    </w:p>
    <w:p w14:paraId="0329EF24">
      <w:pPr>
        <w:snapToGrid w:val="0"/>
        <w:spacing w:line="400" w:lineRule="atLeast"/>
        <w:ind w:firstLine="424" w:firstLineChars="202"/>
        <w:rPr>
          <w:rFonts w:hint="eastAsia" w:ascii="宋体" w:hAnsi="宋体"/>
          <w:bCs/>
          <w:color w:val="auto"/>
          <w:szCs w:val="21"/>
          <w:highlight w:val="none"/>
        </w:rPr>
      </w:pPr>
      <w:r>
        <w:rPr>
          <w:rFonts w:hint="eastAsia" w:ascii="宋体" w:hAnsi="宋体"/>
          <w:bCs/>
          <w:color w:val="auto"/>
          <w:szCs w:val="21"/>
          <w:highlight w:val="none"/>
        </w:rPr>
        <w:t>本合同一式六份，具有同等法律效力，财政部门（政府采购监管部门）、采购代理机构各一份，甲乙双方各两份（可根据需要另增加）。</w:t>
      </w:r>
    </w:p>
    <w:p w14:paraId="7F764E0F">
      <w:pPr>
        <w:snapToGrid w:val="0"/>
        <w:spacing w:line="440" w:lineRule="exact"/>
        <w:ind w:firstLine="424" w:firstLineChars="202"/>
        <w:rPr>
          <w:rFonts w:hint="eastAsia" w:ascii="宋体" w:hAnsi="宋体" w:cs="仿宋"/>
          <w:bCs/>
          <w:color w:val="auto"/>
          <w:szCs w:val="21"/>
          <w:highlight w:val="none"/>
        </w:rPr>
      </w:pPr>
    </w:p>
    <w:p w14:paraId="1FD6B837">
      <w:pPr>
        <w:snapToGrid w:val="0"/>
        <w:spacing w:line="440" w:lineRule="exact"/>
        <w:ind w:left="420" w:hanging="420" w:hangingChars="200"/>
        <w:rPr>
          <w:rFonts w:hint="eastAsia" w:ascii="宋体" w:hAnsi="宋体" w:cs="仿宋"/>
          <w:bCs/>
          <w:color w:val="auto"/>
          <w:szCs w:val="21"/>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4517"/>
      </w:tblGrid>
      <w:tr w14:paraId="534C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B55A35C">
            <w:pPr>
              <w:snapToGrid w:val="0"/>
              <w:spacing w:line="440" w:lineRule="exact"/>
              <w:ind w:left="480" w:hanging="480" w:hangingChars="200"/>
              <w:rPr>
                <w:rFonts w:hint="eastAsia" w:ascii="宋体" w:hAnsi="宋体" w:cs="仿宋"/>
                <w:bCs/>
                <w:color w:val="auto"/>
                <w:sz w:val="24"/>
                <w:highlight w:val="none"/>
              </w:rPr>
            </w:pPr>
            <w:r>
              <w:rPr>
                <w:rFonts w:hint="eastAsia" w:ascii="宋体" w:hAnsi="宋体" w:cs="仿宋"/>
                <w:bCs/>
                <w:color w:val="auto"/>
                <w:sz w:val="24"/>
                <w:highlight w:val="none"/>
                <w:lang w:bidi="ar"/>
              </w:rPr>
              <w:t>甲方（章）</w:t>
            </w:r>
          </w:p>
          <w:p w14:paraId="0E5B421B">
            <w:pPr>
              <w:snapToGrid w:val="0"/>
              <w:spacing w:line="440" w:lineRule="exact"/>
              <w:ind w:left="480" w:hanging="480" w:hangingChars="200"/>
              <w:rPr>
                <w:rFonts w:hint="eastAsia" w:ascii="宋体" w:hAnsi="宋体" w:cs="仿宋"/>
                <w:bCs/>
                <w:color w:val="auto"/>
                <w:sz w:val="24"/>
                <w:highlight w:val="none"/>
              </w:rPr>
            </w:pPr>
          </w:p>
          <w:p w14:paraId="5919E730">
            <w:pPr>
              <w:snapToGrid w:val="0"/>
              <w:spacing w:line="440" w:lineRule="exact"/>
              <w:ind w:left="480" w:hanging="480" w:hangingChars="200"/>
              <w:rPr>
                <w:rFonts w:hint="eastAsia" w:ascii="宋体" w:hAnsi="宋体" w:cs="仿宋"/>
                <w:bCs/>
                <w:color w:val="auto"/>
                <w:sz w:val="24"/>
                <w:highlight w:val="none"/>
              </w:rPr>
            </w:pPr>
            <w:r>
              <w:rPr>
                <w:rFonts w:hint="eastAsia" w:ascii="宋体" w:hAnsi="宋体" w:cs="仿宋"/>
                <w:bCs/>
                <w:color w:val="auto"/>
                <w:sz w:val="24"/>
                <w:highlight w:val="none"/>
                <w:lang w:bidi="ar"/>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00D7B2A">
            <w:pPr>
              <w:snapToGrid w:val="0"/>
              <w:spacing w:line="440" w:lineRule="exact"/>
              <w:ind w:left="480" w:hanging="480" w:hangingChars="200"/>
              <w:rPr>
                <w:rFonts w:hint="eastAsia" w:ascii="宋体" w:hAnsi="宋体" w:cs="仿宋"/>
                <w:bCs/>
                <w:color w:val="auto"/>
                <w:sz w:val="24"/>
                <w:highlight w:val="none"/>
              </w:rPr>
            </w:pPr>
            <w:r>
              <w:rPr>
                <w:rFonts w:hint="eastAsia" w:ascii="宋体" w:hAnsi="宋体" w:cs="仿宋"/>
                <w:bCs/>
                <w:color w:val="auto"/>
                <w:sz w:val="24"/>
                <w:highlight w:val="none"/>
                <w:lang w:bidi="ar"/>
              </w:rPr>
              <w:t>乙方（章）</w:t>
            </w:r>
          </w:p>
          <w:p w14:paraId="3222DCE3">
            <w:pPr>
              <w:snapToGrid w:val="0"/>
              <w:spacing w:line="440" w:lineRule="exact"/>
              <w:ind w:left="480" w:hanging="480" w:hangingChars="200"/>
              <w:rPr>
                <w:rFonts w:hint="eastAsia" w:ascii="宋体" w:hAnsi="宋体" w:cs="仿宋"/>
                <w:bCs/>
                <w:color w:val="auto"/>
                <w:sz w:val="24"/>
                <w:highlight w:val="none"/>
              </w:rPr>
            </w:pPr>
          </w:p>
          <w:p w14:paraId="0FC33E25">
            <w:pPr>
              <w:snapToGrid w:val="0"/>
              <w:spacing w:line="440" w:lineRule="exact"/>
              <w:ind w:left="480" w:hanging="480" w:hangingChars="200"/>
              <w:rPr>
                <w:rFonts w:hint="eastAsia" w:ascii="宋体" w:hAnsi="宋体" w:cs="仿宋"/>
                <w:bCs/>
                <w:color w:val="auto"/>
                <w:sz w:val="24"/>
                <w:highlight w:val="none"/>
              </w:rPr>
            </w:pPr>
            <w:r>
              <w:rPr>
                <w:rFonts w:hint="eastAsia" w:ascii="宋体" w:hAnsi="宋体" w:cs="仿宋"/>
                <w:bCs/>
                <w:color w:val="auto"/>
                <w:sz w:val="24"/>
                <w:highlight w:val="none"/>
                <w:lang w:bidi="ar"/>
              </w:rPr>
              <w:t xml:space="preserve"> 年   月   日</w:t>
            </w:r>
          </w:p>
        </w:tc>
      </w:tr>
      <w:tr w14:paraId="0CE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E81F237">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D85B794">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单位地址：</w:t>
            </w:r>
          </w:p>
        </w:tc>
      </w:tr>
      <w:tr w14:paraId="7F3B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2151035">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法定代表人：</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B4CBACA">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法定代表人：</w:t>
            </w:r>
          </w:p>
        </w:tc>
      </w:tr>
      <w:tr w14:paraId="7A92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8C05005">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委托代理人：</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6B25EE36">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委托代理人</w:t>
            </w:r>
          </w:p>
        </w:tc>
      </w:tr>
      <w:tr w14:paraId="2B4D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14C2232">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电    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5B65C85">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电    话：</w:t>
            </w:r>
          </w:p>
        </w:tc>
      </w:tr>
      <w:tr w14:paraId="014A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D42ADFA">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A62934">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电子邮箱：</w:t>
            </w:r>
          </w:p>
        </w:tc>
      </w:tr>
      <w:tr w14:paraId="4105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2C7AAB0">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F7F1FB2">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开户银行：</w:t>
            </w:r>
          </w:p>
        </w:tc>
      </w:tr>
      <w:tr w14:paraId="1B7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5CB8E40">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账    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B4AEE63">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账    号：</w:t>
            </w:r>
          </w:p>
        </w:tc>
      </w:tr>
      <w:tr w14:paraId="1F95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3F43834">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65735DFA">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邮政编码：</w:t>
            </w:r>
          </w:p>
        </w:tc>
      </w:tr>
      <w:tr w14:paraId="1E30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9033" w:type="dxa"/>
            <w:gridSpan w:val="2"/>
            <w:tcBorders>
              <w:top w:val="single" w:color="auto" w:sz="4" w:space="0"/>
              <w:left w:val="single" w:color="auto" w:sz="4" w:space="0"/>
              <w:bottom w:val="single" w:color="auto" w:sz="4" w:space="0"/>
              <w:right w:val="single" w:color="auto" w:sz="4" w:space="0"/>
            </w:tcBorders>
            <w:noWrap w:val="0"/>
            <w:vAlign w:val="top"/>
          </w:tcPr>
          <w:p w14:paraId="3DB6D2BF">
            <w:pPr>
              <w:snapToGrid w:val="0"/>
              <w:spacing w:line="440" w:lineRule="exact"/>
              <w:ind w:left="420" w:hanging="420" w:hangingChars="200"/>
              <w:rPr>
                <w:rFonts w:hint="eastAsia" w:ascii="宋体" w:hAnsi="宋体" w:cs="仿宋"/>
                <w:bCs/>
                <w:color w:val="auto"/>
                <w:szCs w:val="21"/>
                <w:highlight w:val="none"/>
              </w:rPr>
            </w:pPr>
          </w:p>
          <w:p w14:paraId="25B96D77">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经办人：</w:t>
            </w:r>
          </w:p>
          <w:p w14:paraId="41E0502E">
            <w:pPr>
              <w:snapToGrid w:val="0"/>
              <w:spacing w:line="440" w:lineRule="exact"/>
              <w:ind w:left="420" w:hanging="420" w:hangingChars="200"/>
              <w:rPr>
                <w:rFonts w:hint="eastAsia" w:ascii="宋体" w:hAnsi="宋体" w:cs="仿宋"/>
                <w:bCs/>
                <w:color w:val="auto"/>
                <w:szCs w:val="21"/>
                <w:highlight w:val="none"/>
              </w:rPr>
            </w:pPr>
          </w:p>
          <w:p w14:paraId="39534797">
            <w:pPr>
              <w:snapToGrid w:val="0"/>
              <w:spacing w:line="440" w:lineRule="exact"/>
              <w:ind w:left="420" w:hanging="420" w:hangingChars="200"/>
              <w:rPr>
                <w:rFonts w:hint="eastAsia" w:ascii="宋体" w:hAnsi="宋体" w:cs="仿宋"/>
                <w:bCs/>
                <w:color w:val="auto"/>
                <w:szCs w:val="21"/>
                <w:highlight w:val="none"/>
              </w:rPr>
            </w:pPr>
          </w:p>
          <w:p w14:paraId="6D1C60C2">
            <w:pPr>
              <w:snapToGrid w:val="0"/>
              <w:spacing w:line="440" w:lineRule="exact"/>
              <w:ind w:left="420" w:hanging="420" w:hangingChars="200"/>
              <w:rPr>
                <w:rFonts w:hint="eastAsia" w:ascii="宋体" w:hAnsi="宋体" w:cs="仿宋"/>
                <w:bCs/>
                <w:color w:val="auto"/>
                <w:szCs w:val="21"/>
                <w:highlight w:val="none"/>
              </w:rPr>
            </w:pPr>
            <w:r>
              <w:rPr>
                <w:rFonts w:hint="eastAsia" w:ascii="宋体" w:hAnsi="宋体" w:cs="仿宋"/>
                <w:bCs/>
                <w:color w:val="auto"/>
                <w:szCs w:val="21"/>
                <w:highlight w:val="none"/>
                <w:lang w:bidi="ar"/>
              </w:rPr>
              <w:t>年    月    日</w:t>
            </w:r>
          </w:p>
        </w:tc>
      </w:tr>
    </w:tbl>
    <w:p w14:paraId="0A4F825D">
      <w:pPr>
        <w:pStyle w:val="19"/>
        <w:jc w:val="both"/>
        <w:rPr>
          <w:rFonts w:hint="eastAsia" w:ascii="仿宋" w:hAnsi="仿宋" w:eastAsia="仿宋" w:cs="仿宋"/>
          <w:color w:val="auto"/>
          <w:highlight w:val="none"/>
          <w:lang w:val="en-US" w:eastAsia="zh-CN"/>
        </w:rPr>
      </w:pPr>
    </w:p>
    <w:p w14:paraId="3111998B">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仿宋_GB2312" w:hAnsi="仿宋_GB2312" w:eastAsia="仿宋_GB2312" w:cs="仿宋_GB2312"/>
          <w:color w:val="auto"/>
          <w:kern w:val="0"/>
          <w:sz w:val="21"/>
          <w:szCs w:val="21"/>
          <w:highlight w:val="none"/>
          <w:lang w:eastAsia="zh-CN"/>
        </w:rPr>
      </w:pPr>
    </w:p>
    <w:p w14:paraId="48BDD676">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仿宋_GB2312" w:hAnsi="仿宋_GB2312" w:eastAsia="仿宋_GB2312" w:cs="仿宋_GB2312"/>
          <w:color w:val="auto"/>
          <w:kern w:val="0"/>
          <w:sz w:val="21"/>
          <w:szCs w:val="21"/>
          <w:highlight w:val="none"/>
          <w:lang w:eastAsia="zh-CN"/>
        </w:rPr>
      </w:pPr>
    </w:p>
    <w:p w14:paraId="79EF89C1">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仿宋_GB2312" w:hAnsi="仿宋_GB2312" w:eastAsia="仿宋_GB2312" w:cs="仿宋_GB2312"/>
          <w:color w:val="auto"/>
          <w:kern w:val="0"/>
          <w:sz w:val="21"/>
          <w:szCs w:val="21"/>
          <w:highlight w:val="none"/>
          <w:lang w:eastAsia="zh-CN"/>
        </w:rPr>
      </w:pPr>
    </w:p>
    <w:p w14:paraId="44F8E53A">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仿宋_GB2312" w:hAnsi="仿宋_GB2312" w:eastAsia="仿宋_GB2312" w:cs="仿宋_GB2312"/>
          <w:color w:val="auto"/>
          <w:kern w:val="0"/>
          <w:sz w:val="21"/>
          <w:szCs w:val="21"/>
          <w:highlight w:val="none"/>
          <w:lang w:eastAsia="zh-CN"/>
        </w:rPr>
      </w:pPr>
    </w:p>
    <w:p w14:paraId="239EDEAE">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1：</w:t>
      </w:r>
    </w:p>
    <w:p w14:paraId="07BA8299">
      <w:pPr>
        <w:keepNext w:val="0"/>
        <w:keepLines w:val="0"/>
        <w:pageBreakBefore w:val="0"/>
        <w:widowControl/>
        <w:tabs>
          <w:tab w:val="left" w:pos="7740"/>
        </w:tabs>
        <w:topLinePunct w:val="0"/>
        <w:autoSpaceDE/>
        <w:autoSpaceDN/>
        <w:bidi w:val="0"/>
        <w:spacing w:beforeAutospacing="0" w:afterAutospacing="0" w:line="5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项目采购廉洁承诺书</w:t>
      </w:r>
    </w:p>
    <w:p w14:paraId="3E16400D">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服务、工程等）采购行为，从源头上遏制和预防项目采购贿赂行为，营造风清气正的购销环境，我公司及所属业务人员作出以下不向医院工作人员赠送“回扣”“红包”等廉洁承诺：</w:t>
      </w:r>
    </w:p>
    <w:p w14:paraId="05D7636C">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一、严格遵守国家的法律法规，依法依规处理项目采购业务，保证不进行违法乱纪活动，自觉接受执法执纪部门的监督检查。</w:t>
      </w:r>
    </w:p>
    <w:p w14:paraId="41557717">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二、保证严格按照民法典及项目采购合同约定履行。</w:t>
      </w:r>
    </w:p>
    <w:p w14:paraId="66CAF1A4">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三、在项目采购活动中，保证不以任何借口向医院及其工作人员（含工作人员的近亲属和其他关系人）给予回扣，主要包括以下内容：</w:t>
      </w:r>
    </w:p>
    <w:p w14:paraId="79C379D5">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（一）以各种名义所送礼品、礼金、有价证券和支付凭证等财物；</w:t>
      </w:r>
    </w:p>
    <w:p w14:paraId="45B8E89C">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（二）报销应当由医院及其工作人员与其近亲属和其他关系人支付的费用；</w:t>
      </w:r>
    </w:p>
    <w:p w14:paraId="24229B87">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（三）向医院及其工作人员提供旅游、考察、宴请、健身、娱乐等活动；</w:t>
      </w:r>
    </w:p>
    <w:p w14:paraId="2AFC5FBC">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（四）在医疗活动中向临床提供促销费、开单（药品、检验、耗材等）提成费、推介费等；</w:t>
      </w:r>
    </w:p>
    <w:p w14:paraId="41CE0D7F">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（五）让医院及其工作人员进行以商业目的的处方统计或为其统计提供便利，获取药品、医用设备和医用耗材的用量信息，给予不正当利益的；</w:t>
      </w:r>
    </w:p>
    <w:p w14:paraId="5A5BF0F7">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（六）法律法规规定禁止的其他不正当行为。</w:t>
      </w:r>
    </w:p>
    <w:p w14:paraId="209EDC7C">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四、保证不到住院部、门诊部、医技科室等推销产品、项目，不借故到医疗机构相关领导、部门负责人及相关工作人员家中访谈并提供任何好处费。</w:t>
      </w:r>
    </w:p>
    <w:p w14:paraId="4DBEFB52">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五、维护正常的医疗秩序，保证不以宴请、到营业性娱乐场所娱乐活动、提供旅游等手段影响医疗机构工作人员的项目（包括货物、服务、工程等）采购选择权。</w:t>
      </w:r>
    </w:p>
    <w:p w14:paraId="6AA6F0DF">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六、保证不以任何理由要求医院及其工作人员利用任何途径和方式统计医师个人及临床科室有关药品、耗材、后勤物资等的用量信息，或要求为营销人员统计提供便利。</w:t>
      </w:r>
    </w:p>
    <w:p w14:paraId="76C3A206">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七、如有违反上述承诺，我们愿意接受按照《国家卫生计生委关于建立医药购销领域商业贿赂不良记录的规定》（国卫法制发（2013）50号）相关规定处理，以及执法执纪部门的其他处理。</w:t>
      </w:r>
    </w:p>
    <w:p w14:paraId="43F30E59">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八、本承诺书一式两份，我公司和医疗机构各执一份。</w:t>
      </w:r>
    </w:p>
    <w:p w14:paraId="10B6DF89">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公司名称（盖章）：</w:t>
      </w:r>
    </w:p>
    <w:p w14:paraId="15EC44D9">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法定代表人：</w:t>
      </w:r>
    </w:p>
    <w:p w14:paraId="60FF3F9B">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经办人签名：</w:t>
      </w:r>
    </w:p>
    <w:p w14:paraId="7CA8F8F3">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日期：</w:t>
      </w:r>
    </w:p>
    <w:p w14:paraId="39D31A8D">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505EF819">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3E97C456">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31A8BB27">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7D98BB28">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4C1A5402">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6C7A2815">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776B66BC">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2B8CA4B1">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50178A59">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6C417273">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32DA6E40">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0AE90DE2">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56928F45">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42235C48">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247022CB">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337FF8DA">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627E7F53">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p>
    <w:p w14:paraId="63092D70">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附件2：</w:t>
      </w:r>
    </w:p>
    <w:p w14:paraId="31DBC02A">
      <w:pPr>
        <w:keepNext w:val="0"/>
        <w:keepLines w:val="0"/>
        <w:pageBreakBefore w:val="0"/>
        <w:widowControl/>
        <w:tabs>
          <w:tab w:val="left" w:pos="7740"/>
        </w:tabs>
        <w:topLinePunct w:val="0"/>
        <w:autoSpaceDE/>
        <w:autoSpaceDN/>
        <w:bidi w:val="0"/>
        <w:spacing w:beforeAutospacing="0" w:afterAutospacing="0" w:line="5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广西壮族自治区医疗卫生机构项目采购廉洁协议</w:t>
      </w:r>
    </w:p>
    <w:p w14:paraId="48EF430A">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甲方：梧州市工人医院</w:t>
      </w:r>
    </w:p>
    <w:p w14:paraId="4B70D1FF">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乙方：</w:t>
      </w:r>
    </w:p>
    <w:p w14:paraId="357F0459">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为进一步加强医疗卫生行风建设，规范医疗卫生机构医药购销行为，有效防范商业贿赂行为，营造公平交易、诚实守信的购销环境，经甲、乙双方协商，同意签订本协议，并共同遵守：</w:t>
      </w:r>
    </w:p>
    <w:p w14:paraId="5131BE05">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一、甲乙双方按照《中华人民共和国民法典》、《中华人民共和国政府采购法》及采购合同约定履行合同内容。</w:t>
      </w:r>
    </w:p>
    <w:p w14:paraId="6C5E0210">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二、甲方应当严格执行货物、服务、工程类采购合同验收、入库制度，对采购内容及发票进行查验，不得违反有关规定合同外采购、违价采购或从非规定渠道采购。</w:t>
      </w:r>
    </w:p>
    <w:p w14:paraId="1ECCA63C">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48A136B8">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四、乙方不得以回扣、宴请等方式影响甲方工作人员的采购工作，不得在学术活动中提供旅游、超标准支付食宿费用。</w:t>
      </w:r>
    </w:p>
    <w:p w14:paraId="0EAE82BA">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乙方不得以围标、相互串通投标，或者排挤其他服务商的公平竞争，损害招标人或者其他服务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34C41541">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六、乙方指定        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7B5D8BFD">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及《中华人民共和国政府采购法》等相关规定处理。</w:t>
      </w:r>
    </w:p>
    <w:p w14:paraId="11237B91">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八、本协议作为项目采购合同的重要组成部分，与项目采购合同一并执行，具有同等的法律效力,从签订之日起生效。</w:t>
      </w:r>
    </w:p>
    <w:tbl>
      <w:tblPr>
        <w:tblStyle w:val="51"/>
        <w:tblW w:w="9555" w:type="dxa"/>
        <w:jc w:val="center"/>
        <w:tblLayout w:type="fixed"/>
        <w:tblCellMar>
          <w:top w:w="0" w:type="dxa"/>
          <w:left w:w="108" w:type="dxa"/>
          <w:bottom w:w="0" w:type="dxa"/>
          <w:right w:w="108" w:type="dxa"/>
        </w:tblCellMar>
      </w:tblPr>
      <w:tblGrid>
        <w:gridCol w:w="4625"/>
        <w:gridCol w:w="4930"/>
      </w:tblGrid>
      <w:tr w14:paraId="035EFBB0">
        <w:tblPrEx>
          <w:tblCellMar>
            <w:top w:w="0" w:type="dxa"/>
            <w:left w:w="108" w:type="dxa"/>
            <w:bottom w:w="0" w:type="dxa"/>
            <w:right w:w="108" w:type="dxa"/>
          </w:tblCellMar>
        </w:tblPrEx>
        <w:trPr>
          <w:trHeight w:val="666" w:hRule="atLeast"/>
          <w:jc w:val="center"/>
        </w:trPr>
        <w:tc>
          <w:tcPr>
            <w:tcW w:w="4625" w:type="dxa"/>
            <w:noWrap w:val="0"/>
            <w:vAlign w:val="top"/>
          </w:tcPr>
          <w:p w14:paraId="0B8A067D">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甲方（盖章）：梧州市工人医院</w:t>
            </w:r>
          </w:p>
        </w:tc>
        <w:tc>
          <w:tcPr>
            <w:tcW w:w="4930" w:type="dxa"/>
            <w:noWrap w:val="0"/>
            <w:vAlign w:val="top"/>
          </w:tcPr>
          <w:p w14:paraId="751ADAE0">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乙方（盖章）：</w:t>
            </w:r>
          </w:p>
        </w:tc>
      </w:tr>
      <w:tr w14:paraId="7EDBD669">
        <w:tblPrEx>
          <w:tblCellMar>
            <w:top w:w="0" w:type="dxa"/>
            <w:left w:w="108" w:type="dxa"/>
            <w:bottom w:w="0" w:type="dxa"/>
            <w:right w:w="108" w:type="dxa"/>
          </w:tblCellMar>
        </w:tblPrEx>
        <w:trPr>
          <w:trHeight w:val="1315" w:hRule="atLeast"/>
          <w:jc w:val="center"/>
        </w:trPr>
        <w:tc>
          <w:tcPr>
            <w:tcW w:w="4625" w:type="dxa"/>
            <w:noWrap w:val="0"/>
            <w:vAlign w:val="top"/>
          </w:tcPr>
          <w:p w14:paraId="0A741944">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法定代表人/负责人/授权</w:t>
            </w:r>
          </w:p>
          <w:p w14:paraId="34858620">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代表签字或盖章：</w:t>
            </w:r>
          </w:p>
        </w:tc>
        <w:tc>
          <w:tcPr>
            <w:tcW w:w="4930" w:type="dxa"/>
            <w:noWrap w:val="0"/>
            <w:vAlign w:val="top"/>
          </w:tcPr>
          <w:p w14:paraId="0708497A">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法定代表人/负责人/授权</w:t>
            </w:r>
          </w:p>
          <w:p w14:paraId="17D0A290">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代表签字或盖章：</w:t>
            </w:r>
          </w:p>
        </w:tc>
      </w:tr>
      <w:tr w14:paraId="4C48CA42">
        <w:tblPrEx>
          <w:tblCellMar>
            <w:top w:w="0" w:type="dxa"/>
            <w:left w:w="108" w:type="dxa"/>
            <w:bottom w:w="0" w:type="dxa"/>
            <w:right w:w="108" w:type="dxa"/>
          </w:tblCellMar>
        </w:tblPrEx>
        <w:trPr>
          <w:trHeight w:val="584" w:hRule="atLeast"/>
          <w:jc w:val="center"/>
        </w:trPr>
        <w:tc>
          <w:tcPr>
            <w:tcW w:w="4625" w:type="dxa"/>
            <w:noWrap w:val="0"/>
            <w:vAlign w:val="top"/>
          </w:tcPr>
          <w:p w14:paraId="2489C77F">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tc>
        <w:tc>
          <w:tcPr>
            <w:tcW w:w="4930" w:type="dxa"/>
            <w:noWrap w:val="0"/>
            <w:vAlign w:val="top"/>
          </w:tcPr>
          <w:p w14:paraId="5BB935E7">
            <w:pPr>
              <w:spacing w:line="5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年   月   日</w:t>
            </w:r>
          </w:p>
        </w:tc>
      </w:tr>
    </w:tbl>
    <w:p w14:paraId="0C90B79D">
      <w:pPr>
        <w:spacing w:before="120" w:line="320" w:lineRule="exact"/>
        <w:rPr>
          <w:rFonts w:hint="eastAsia" w:ascii="宋体" w:hAnsi="宋体" w:eastAsia="宋体" w:cs="宋体"/>
          <w:b/>
          <w:bCs/>
          <w:color w:val="auto"/>
          <w:sz w:val="21"/>
          <w:szCs w:val="21"/>
        </w:rPr>
      </w:pPr>
    </w:p>
    <w:p w14:paraId="19E13C28">
      <w:pPr>
        <w:spacing w:before="120" w:line="320" w:lineRule="exact"/>
        <w:rPr>
          <w:rFonts w:hint="eastAsia" w:ascii="宋体" w:hAnsi="宋体" w:eastAsia="宋体" w:cs="宋体"/>
          <w:b/>
          <w:bCs/>
          <w:color w:val="auto"/>
          <w:sz w:val="21"/>
          <w:szCs w:val="21"/>
        </w:rPr>
      </w:pPr>
    </w:p>
    <w:p w14:paraId="722E3ABD">
      <w:pPr>
        <w:spacing w:before="120" w:line="320" w:lineRule="exact"/>
        <w:rPr>
          <w:rFonts w:hint="eastAsia" w:ascii="仿宋" w:hAnsi="仿宋" w:eastAsia="仿宋" w:cs="仿宋"/>
          <w:b/>
          <w:bCs/>
          <w:color w:val="auto"/>
          <w:sz w:val="32"/>
          <w:szCs w:val="32"/>
        </w:rPr>
      </w:pPr>
    </w:p>
    <w:p w14:paraId="3B01314D">
      <w:pPr>
        <w:spacing w:before="120" w:line="320" w:lineRule="exact"/>
        <w:rPr>
          <w:rFonts w:hint="eastAsia" w:ascii="仿宋" w:hAnsi="仿宋" w:eastAsia="仿宋" w:cs="仿宋"/>
          <w:b/>
          <w:bCs/>
          <w:color w:val="auto"/>
          <w:sz w:val="32"/>
          <w:szCs w:val="32"/>
        </w:rPr>
      </w:pPr>
    </w:p>
    <w:p w14:paraId="72B4C942">
      <w:pPr>
        <w:spacing w:before="120" w:line="320" w:lineRule="exact"/>
        <w:rPr>
          <w:rFonts w:hint="eastAsia" w:ascii="仿宋" w:hAnsi="仿宋" w:eastAsia="仿宋" w:cs="仿宋"/>
          <w:b/>
          <w:bCs/>
          <w:color w:val="auto"/>
          <w:sz w:val="32"/>
          <w:szCs w:val="32"/>
        </w:rPr>
      </w:pPr>
    </w:p>
    <w:p w14:paraId="797E0D9F">
      <w:pPr>
        <w:spacing w:before="120" w:line="320" w:lineRule="exact"/>
        <w:rPr>
          <w:rFonts w:hint="eastAsia" w:ascii="仿宋" w:hAnsi="仿宋" w:eastAsia="仿宋" w:cs="仿宋"/>
          <w:b/>
          <w:bCs/>
          <w:color w:val="auto"/>
          <w:sz w:val="32"/>
          <w:szCs w:val="32"/>
        </w:rPr>
      </w:pPr>
    </w:p>
    <w:p w14:paraId="37DE6C65">
      <w:pPr>
        <w:spacing w:before="120" w:line="320" w:lineRule="exact"/>
        <w:rPr>
          <w:rFonts w:hint="eastAsia" w:ascii="仿宋" w:hAnsi="仿宋" w:eastAsia="仿宋" w:cs="仿宋"/>
          <w:b/>
          <w:bCs/>
          <w:color w:val="auto"/>
          <w:sz w:val="32"/>
          <w:szCs w:val="32"/>
        </w:rPr>
      </w:pPr>
    </w:p>
    <w:p w14:paraId="0639D7D3">
      <w:pPr>
        <w:spacing w:before="120" w:line="320" w:lineRule="exact"/>
        <w:rPr>
          <w:rFonts w:hint="eastAsia" w:ascii="仿宋" w:hAnsi="仿宋" w:eastAsia="仿宋" w:cs="仿宋"/>
          <w:b/>
          <w:bCs/>
          <w:color w:val="auto"/>
          <w:sz w:val="32"/>
          <w:szCs w:val="32"/>
        </w:rPr>
      </w:pPr>
    </w:p>
    <w:p w14:paraId="1C217A79">
      <w:pPr>
        <w:spacing w:before="120" w:line="320" w:lineRule="exact"/>
        <w:rPr>
          <w:rFonts w:hint="eastAsia" w:ascii="仿宋" w:hAnsi="仿宋" w:eastAsia="仿宋" w:cs="仿宋"/>
          <w:b/>
          <w:bCs/>
          <w:color w:val="auto"/>
          <w:sz w:val="32"/>
          <w:szCs w:val="32"/>
        </w:rPr>
      </w:pPr>
    </w:p>
    <w:p w14:paraId="4E9EA587">
      <w:pPr>
        <w:spacing w:before="120" w:line="320" w:lineRule="exact"/>
        <w:rPr>
          <w:rFonts w:hint="eastAsia" w:ascii="仿宋" w:hAnsi="仿宋" w:eastAsia="仿宋" w:cs="仿宋"/>
          <w:b/>
          <w:bCs/>
          <w:color w:val="auto"/>
          <w:sz w:val="32"/>
          <w:szCs w:val="32"/>
        </w:rPr>
      </w:pPr>
    </w:p>
    <w:p w14:paraId="7ABB4142">
      <w:pPr>
        <w:spacing w:before="120" w:line="320" w:lineRule="exact"/>
        <w:rPr>
          <w:rFonts w:hint="eastAsia" w:ascii="仿宋" w:hAnsi="仿宋" w:eastAsia="仿宋" w:cs="仿宋"/>
          <w:b/>
          <w:bCs/>
          <w:color w:val="auto"/>
          <w:sz w:val="32"/>
          <w:szCs w:val="32"/>
        </w:rPr>
      </w:pPr>
    </w:p>
    <w:p w14:paraId="4E44255E">
      <w:pPr>
        <w:spacing w:before="120" w:line="320" w:lineRule="exact"/>
        <w:rPr>
          <w:rFonts w:hint="eastAsia" w:ascii="仿宋" w:hAnsi="仿宋" w:eastAsia="仿宋" w:cs="仿宋"/>
          <w:b/>
          <w:bCs/>
          <w:color w:val="auto"/>
          <w:sz w:val="32"/>
          <w:szCs w:val="32"/>
        </w:rPr>
      </w:pPr>
    </w:p>
    <w:p w14:paraId="5B91484C">
      <w:pPr>
        <w:spacing w:before="120" w:line="320" w:lineRule="exact"/>
        <w:rPr>
          <w:rFonts w:hint="eastAsia" w:ascii="仿宋" w:hAnsi="仿宋" w:eastAsia="仿宋" w:cs="仿宋"/>
          <w:b/>
          <w:bCs/>
          <w:color w:val="auto"/>
          <w:sz w:val="32"/>
          <w:szCs w:val="32"/>
        </w:rPr>
      </w:pPr>
    </w:p>
    <w:p w14:paraId="4343C030">
      <w:pPr>
        <w:spacing w:before="120" w:line="320" w:lineRule="exact"/>
        <w:rPr>
          <w:rFonts w:hint="eastAsia" w:ascii="仿宋" w:hAnsi="仿宋" w:eastAsia="仿宋" w:cs="仿宋"/>
          <w:b/>
          <w:bCs/>
          <w:color w:val="auto"/>
          <w:sz w:val="32"/>
          <w:szCs w:val="32"/>
        </w:rPr>
      </w:pPr>
    </w:p>
    <w:p w14:paraId="77296C7C">
      <w:pPr>
        <w:spacing w:before="120" w:line="320" w:lineRule="exact"/>
        <w:rPr>
          <w:rFonts w:hint="eastAsia" w:ascii="仿宋" w:hAnsi="仿宋" w:eastAsia="仿宋" w:cs="仿宋"/>
          <w:b/>
          <w:bCs/>
          <w:color w:val="auto"/>
          <w:sz w:val="32"/>
          <w:szCs w:val="32"/>
        </w:rPr>
      </w:pPr>
    </w:p>
    <w:p w14:paraId="111BB527">
      <w:pPr>
        <w:spacing w:before="120" w:line="320" w:lineRule="exact"/>
        <w:rPr>
          <w:rFonts w:hint="eastAsia" w:ascii="仿宋" w:hAnsi="仿宋" w:eastAsia="仿宋" w:cs="仿宋"/>
          <w:b/>
          <w:bCs/>
          <w:color w:val="auto"/>
          <w:sz w:val="32"/>
          <w:szCs w:val="32"/>
        </w:rPr>
      </w:pPr>
    </w:p>
    <w:p w14:paraId="3ED978B6">
      <w:pPr>
        <w:spacing w:before="120" w:line="320" w:lineRule="exact"/>
        <w:rPr>
          <w:rFonts w:hint="eastAsia" w:ascii="仿宋" w:hAnsi="仿宋" w:eastAsia="仿宋" w:cs="仿宋"/>
          <w:b/>
          <w:bCs/>
          <w:color w:val="auto"/>
          <w:sz w:val="32"/>
          <w:szCs w:val="32"/>
        </w:rPr>
      </w:pPr>
    </w:p>
    <w:p w14:paraId="4568DFB2">
      <w:pPr>
        <w:spacing w:before="120" w:line="320" w:lineRule="exact"/>
        <w:rPr>
          <w:rFonts w:hint="eastAsia" w:ascii="仿宋" w:hAnsi="仿宋" w:eastAsia="仿宋" w:cs="仿宋"/>
          <w:b/>
          <w:bCs/>
          <w:color w:val="auto"/>
          <w:sz w:val="32"/>
          <w:szCs w:val="32"/>
        </w:rPr>
      </w:pPr>
    </w:p>
    <w:p w14:paraId="1FEEFF51">
      <w:pPr>
        <w:spacing w:before="120" w:line="320" w:lineRule="exact"/>
        <w:rPr>
          <w:rFonts w:hint="eastAsia" w:ascii="仿宋" w:hAnsi="仿宋" w:eastAsia="仿宋" w:cs="仿宋"/>
          <w:b/>
          <w:bCs/>
          <w:color w:val="auto"/>
          <w:sz w:val="32"/>
          <w:szCs w:val="32"/>
        </w:rPr>
      </w:pPr>
    </w:p>
    <w:p w14:paraId="30777A7F">
      <w:pPr>
        <w:spacing w:before="120" w:line="320" w:lineRule="exact"/>
        <w:rPr>
          <w:rFonts w:hint="eastAsia" w:ascii="仿宋" w:hAnsi="仿宋" w:eastAsia="仿宋" w:cs="仿宋"/>
          <w:b/>
          <w:bCs/>
          <w:color w:val="auto"/>
          <w:sz w:val="32"/>
          <w:szCs w:val="32"/>
        </w:rPr>
      </w:pPr>
    </w:p>
    <w:p w14:paraId="6AC44458">
      <w:pPr>
        <w:spacing w:before="120" w:line="320" w:lineRule="exact"/>
        <w:rPr>
          <w:rFonts w:hint="eastAsia" w:ascii="仿宋" w:hAnsi="仿宋" w:eastAsia="仿宋" w:cs="仿宋"/>
          <w:b/>
          <w:bCs/>
          <w:color w:val="auto"/>
          <w:sz w:val="32"/>
          <w:szCs w:val="32"/>
        </w:rPr>
      </w:pPr>
    </w:p>
    <w:p w14:paraId="5B65D593">
      <w:pPr>
        <w:spacing w:before="120" w:line="320" w:lineRule="atLeast"/>
        <w:jc w:val="left"/>
        <w:outlineLvl w:val="1"/>
        <w:rPr>
          <w:rFonts w:hint="eastAsia" w:eastAsia="宋体"/>
          <w:b/>
          <w:bCs/>
          <w:kern w:val="0"/>
          <w:szCs w:val="21"/>
          <w:lang w:val="en-US" w:eastAsia="zh-CN"/>
        </w:rPr>
      </w:pPr>
      <w:r>
        <w:rPr>
          <w:b/>
          <w:bCs/>
          <w:kern w:val="0"/>
          <w:szCs w:val="21"/>
        </w:rPr>
        <w:t>合同附件</w:t>
      </w:r>
      <w:r>
        <w:rPr>
          <w:rFonts w:hint="eastAsia"/>
          <w:b/>
          <w:bCs/>
          <w:kern w:val="0"/>
          <w:szCs w:val="21"/>
          <w:lang w:val="en-US" w:eastAsia="zh-CN"/>
        </w:rPr>
        <w:t>3</w:t>
      </w:r>
    </w:p>
    <w:p w14:paraId="0DE779F9">
      <w:pPr>
        <w:snapToGrid w:val="0"/>
        <w:rPr>
          <w:sz w:val="18"/>
          <w:szCs w:val="18"/>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color w:val="auto"/>
                <w:szCs w:val="21"/>
              </w:rPr>
            </w:pPr>
            <w:r>
              <w:rPr>
                <w:color w:val="auto"/>
                <w:szCs w:val="21"/>
              </w:rPr>
              <w:t>供</w:t>
            </w:r>
          </w:p>
          <w:p w14:paraId="600D7BAD">
            <w:pPr>
              <w:jc w:val="center"/>
              <w:rPr>
                <w:color w:val="auto"/>
                <w:szCs w:val="21"/>
              </w:rPr>
            </w:pPr>
            <w:r>
              <w:rPr>
                <w:color w:val="auto"/>
                <w:szCs w:val="21"/>
              </w:rPr>
              <w:t>应</w:t>
            </w:r>
          </w:p>
          <w:p w14:paraId="084E59AD">
            <w:pPr>
              <w:jc w:val="center"/>
              <w:rPr>
                <w:color w:val="auto"/>
                <w:szCs w:val="21"/>
              </w:rPr>
            </w:pPr>
            <w:r>
              <w:rPr>
                <w:color w:val="auto"/>
                <w:szCs w:val="21"/>
              </w:rPr>
              <w:t>商</w:t>
            </w:r>
          </w:p>
          <w:p w14:paraId="1B87416B">
            <w:pPr>
              <w:jc w:val="center"/>
              <w:rPr>
                <w:color w:val="auto"/>
                <w:szCs w:val="21"/>
              </w:rPr>
            </w:pPr>
            <w:r>
              <w:rPr>
                <w:color w:val="auto"/>
                <w:szCs w:val="21"/>
              </w:rPr>
              <w:t>申</w:t>
            </w:r>
          </w:p>
          <w:p w14:paraId="004E9B69">
            <w:pPr>
              <w:jc w:val="center"/>
              <w:rPr>
                <w:color w:val="auto"/>
                <w:szCs w:val="21"/>
              </w:rPr>
            </w:pPr>
            <w:r>
              <w:rPr>
                <w:color w:val="auto"/>
                <w:szCs w:val="21"/>
              </w:rPr>
              <w:t>请</w:t>
            </w:r>
          </w:p>
        </w:tc>
        <w:tc>
          <w:tcPr>
            <w:tcW w:w="8640" w:type="dxa"/>
            <w:noWrap w:val="0"/>
            <w:vAlign w:val="center"/>
          </w:tcPr>
          <w:p w14:paraId="095F66AE">
            <w:pPr>
              <w:rPr>
                <w:color w:val="auto"/>
                <w:szCs w:val="21"/>
              </w:rPr>
            </w:pPr>
            <w:r>
              <w:rPr>
                <w:color w:val="auto"/>
                <w:szCs w:val="21"/>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color w:val="auto"/>
                <w:szCs w:val="21"/>
              </w:rPr>
            </w:pPr>
          </w:p>
        </w:tc>
        <w:tc>
          <w:tcPr>
            <w:tcW w:w="8640" w:type="dxa"/>
            <w:noWrap w:val="0"/>
            <w:vAlign w:val="center"/>
          </w:tcPr>
          <w:p w14:paraId="3202F23D">
            <w:pPr>
              <w:rPr>
                <w:color w:val="auto"/>
                <w:szCs w:val="21"/>
              </w:rPr>
            </w:pPr>
            <w:r>
              <w:rPr>
                <w:color w:val="auto"/>
                <w:szCs w:val="21"/>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color w:val="auto"/>
                <w:szCs w:val="21"/>
              </w:rPr>
            </w:pPr>
          </w:p>
        </w:tc>
        <w:tc>
          <w:tcPr>
            <w:tcW w:w="8640" w:type="dxa"/>
            <w:noWrap w:val="0"/>
            <w:vAlign w:val="top"/>
          </w:tcPr>
          <w:p w14:paraId="76726BAF">
            <w:pPr>
              <w:rPr>
                <w:color w:val="auto"/>
                <w:szCs w:val="21"/>
              </w:rPr>
            </w:pPr>
            <w:r>
              <w:rPr>
                <w:color w:val="auto"/>
                <w:szCs w:val="21"/>
              </w:rPr>
              <w:t xml:space="preserve">  </w:t>
            </w:r>
          </w:p>
          <w:p w14:paraId="340EDAFA">
            <w:pPr>
              <w:spacing w:line="400" w:lineRule="exact"/>
              <w:ind w:firstLine="420" w:firstLineChars="200"/>
              <w:rPr>
                <w:color w:val="auto"/>
                <w:szCs w:val="21"/>
              </w:rPr>
            </w:pPr>
            <w:r>
              <w:rPr>
                <w:color w:val="auto"/>
                <w:szCs w:val="21"/>
              </w:rPr>
              <w:t>该项目已于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日验收并交付使用。根据合同规定，该项目的履约保证金期限于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日已满，请将履约保证金</w:t>
            </w:r>
          </w:p>
          <w:p w14:paraId="06546207">
            <w:pPr>
              <w:spacing w:line="400" w:lineRule="exact"/>
              <w:rPr>
                <w:color w:val="auto"/>
                <w:szCs w:val="21"/>
              </w:rPr>
            </w:pPr>
            <w:r>
              <w:rPr>
                <w:color w:val="auto"/>
                <w:szCs w:val="21"/>
                <w:u w:val="single"/>
              </w:rPr>
              <w:t xml:space="preserve">                                        </w:t>
            </w:r>
            <w:r>
              <w:rPr>
                <w:color w:val="auto"/>
                <w:szCs w:val="21"/>
              </w:rPr>
              <w:t>（大写）¥</w:t>
            </w:r>
            <w:r>
              <w:rPr>
                <w:color w:val="auto"/>
                <w:szCs w:val="21"/>
                <w:u w:val="single"/>
              </w:rPr>
              <w:t xml:space="preserve">          </w:t>
            </w:r>
            <w:r>
              <w:rPr>
                <w:color w:val="auto"/>
                <w:szCs w:val="21"/>
              </w:rPr>
              <w:t>（小写）退付到达以下账户。</w:t>
            </w:r>
          </w:p>
          <w:p w14:paraId="34948F78">
            <w:pPr>
              <w:spacing w:line="400" w:lineRule="exact"/>
              <w:ind w:firstLine="705"/>
              <w:rPr>
                <w:color w:val="auto"/>
                <w:szCs w:val="21"/>
              </w:rPr>
            </w:pPr>
            <w:r>
              <w:rPr>
                <w:color w:val="auto"/>
                <w:szCs w:val="21"/>
              </w:rPr>
              <w:t>单位名称：</w:t>
            </w:r>
          </w:p>
          <w:p w14:paraId="230BCB34">
            <w:pPr>
              <w:spacing w:line="400" w:lineRule="exact"/>
              <w:ind w:firstLine="705"/>
              <w:rPr>
                <w:color w:val="auto"/>
                <w:szCs w:val="21"/>
              </w:rPr>
            </w:pPr>
            <w:r>
              <w:rPr>
                <w:color w:val="auto"/>
                <w:szCs w:val="21"/>
              </w:rPr>
              <w:t>开户银行：</w:t>
            </w:r>
          </w:p>
          <w:p w14:paraId="2BF35537">
            <w:pPr>
              <w:spacing w:line="400" w:lineRule="exact"/>
              <w:ind w:firstLine="705"/>
              <w:rPr>
                <w:color w:val="auto"/>
                <w:szCs w:val="21"/>
              </w:rPr>
            </w:pPr>
            <w:r>
              <w:rPr>
                <w:color w:val="auto"/>
                <w:szCs w:val="21"/>
              </w:rPr>
              <w:t>账   号：</w:t>
            </w:r>
          </w:p>
          <w:p w14:paraId="608647EC">
            <w:pPr>
              <w:spacing w:line="400" w:lineRule="exact"/>
              <w:rPr>
                <w:color w:val="auto"/>
                <w:szCs w:val="21"/>
              </w:rPr>
            </w:pPr>
            <w:r>
              <w:rPr>
                <w:color w:val="auto"/>
                <w:szCs w:val="21"/>
              </w:rPr>
              <w:t>联系人及电话：</w:t>
            </w:r>
          </w:p>
          <w:p w14:paraId="0DADCDC7">
            <w:pPr>
              <w:spacing w:line="400" w:lineRule="exact"/>
              <w:rPr>
                <w:color w:val="auto"/>
                <w:szCs w:val="21"/>
              </w:rPr>
            </w:pPr>
          </w:p>
          <w:p w14:paraId="23AF6AD6">
            <w:pPr>
              <w:spacing w:line="520" w:lineRule="exact"/>
              <w:jc w:val="center"/>
              <w:rPr>
                <w:color w:val="auto"/>
                <w:szCs w:val="21"/>
              </w:rPr>
            </w:pPr>
            <w:r>
              <w:rPr>
                <w:color w:val="auto"/>
                <w:szCs w:val="21"/>
              </w:rPr>
              <w:t xml:space="preserve">                                     供应商</w:t>
            </w:r>
            <w:r>
              <w:rPr>
                <w:rFonts w:hint="eastAsia"/>
                <w:color w:val="auto"/>
                <w:szCs w:val="21"/>
              </w:rPr>
              <w:t>公</w:t>
            </w:r>
            <w:r>
              <w:rPr>
                <w:color w:val="auto"/>
                <w:szCs w:val="21"/>
              </w:rPr>
              <w:t>章：</w:t>
            </w:r>
          </w:p>
          <w:p w14:paraId="4D9612F1">
            <w:pPr>
              <w:spacing w:line="520" w:lineRule="exact"/>
              <w:jc w:val="center"/>
              <w:rPr>
                <w:color w:val="auto"/>
                <w:szCs w:val="21"/>
              </w:rPr>
            </w:pPr>
            <w:r>
              <w:rPr>
                <w:color w:val="auto"/>
                <w:szCs w:val="21"/>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color w:val="auto"/>
                <w:szCs w:val="21"/>
              </w:rPr>
            </w:pPr>
            <w:r>
              <w:rPr>
                <w:color w:val="auto"/>
                <w:szCs w:val="21"/>
              </w:rPr>
              <w:t>采</w:t>
            </w:r>
          </w:p>
          <w:p w14:paraId="7E8FCD29">
            <w:pPr>
              <w:jc w:val="center"/>
              <w:rPr>
                <w:color w:val="auto"/>
                <w:szCs w:val="21"/>
              </w:rPr>
            </w:pPr>
            <w:r>
              <w:rPr>
                <w:color w:val="auto"/>
                <w:szCs w:val="21"/>
              </w:rPr>
              <w:t>购</w:t>
            </w:r>
          </w:p>
          <w:p w14:paraId="2D7578BF">
            <w:pPr>
              <w:jc w:val="center"/>
              <w:rPr>
                <w:color w:val="auto"/>
                <w:szCs w:val="21"/>
              </w:rPr>
            </w:pPr>
            <w:r>
              <w:rPr>
                <w:color w:val="auto"/>
                <w:szCs w:val="21"/>
              </w:rPr>
              <w:t>单</w:t>
            </w:r>
          </w:p>
          <w:p w14:paraId="39D82C9E">
            <w:pPr>
              <w:jc w:val="center"/>
              <w:rPr>
                <w:color w:val="auto"/>
                <w:szCs w:val="21"/>
              </w:rPr>
            </w:pPr>
            <w:r>
              <w:rPr>
                <w:color w:val="auto"/>
                <w:szCs w:val="21"/>
              </w:rPr>
              <w:t>位</w:t>
            </w:r>
          </w:p>
          <w:p w14:paraId="79BF69FE">
            <w:pPr>
              <w:jc w:val="center"/>
              <w:rPr>
                <w:color w:val="auto"/>
                <w:szCs w:val="21"/>
              </w:rPr>
            </w:pPr>
            <w:r>
              <w:rPr>
                <w:color w:val="auto"/>
                <w:szCs w:val="21"/>
              </w:rPr>
              <w:t>意</w:t>
            </w:r>
          </w:p>
          <w:p w14:paraId="16D8DDA3">
            <w:pPr>
              <w:jc w:val="center"/>
              <w:rPr>
                <w:color w:val="auto"/>
                <w:szCs w:val="21"/>
              </w:rPr>
            </w:pPr>
            <w:r>
              <w:rPr>
                <w:color w:val="auto"/>
                <w:szCs w:val="21"/>
              </w:rPr>
              <w:t>见</w:t>
            </w:r>
          </w:p>
        </w:tc>
        <w:tc>
          <w:tcPr>
            <w:tcW w:w="8640" w:type="dxa"/>
            <w:noWrap w:val="0"/>
            <w:vAlign w:val="top"/>
          </w:tcPr>
          <w:p w14:paraId="30C03F19">
            <w:pPr>
              <w:rPr>
                <w:color w:val="auto"/>
                <w:szCs w:val="21"/>
              </w:rPr>
            </w:pPr>
          </w:p>
          <w:p w14:paraId="3416B157">
            <w:pPr>
              <w:rPr>
                <w:color w:val="auto"/>
                <w:szCs w:val="21"/>
              </w:rPr>
            </w:pPr>
            <w:r>
              <w:rPr>
                <w:color w:val="auto"/>
                <w:szCs w:val="21"/>
              </w:rPr>
              <w:t>退付意见：是否同意退付履约保证金及退付金额：</w:t>
            </w:r>
          </w:p>
          <w:p w14:paraId="43878931">
            <w:pPr>
              <w:rPr>
                <w:color w:val="auto"/>
                <w:szCs w:val="21"/>
              </w:rPr>
            </w:pPr>
          </w:p>
          <w:p w14:paraId="45453F71">
            <w:pPr>
              <w:rPr>
                <w:color w:val="auto"/>
                <w:szCs w:val="21"/>
              </w:rPr>
            </w:pPr>
          </w:p>
          <w:p w14:paraId="1EA2CDB6">
            <w:pPr>
              <w:spacing w:line="520" w:lineRule="exact"/>
              <w:rPr>
                <w:color w:val="auto"/>
                <w:szCs w:val="21"/>
              </w:rPr>
            </w:pPr>
            <w:r>
              <w:rPr>
                <w:color w:val="auto"/>
                <w:szCs w:val="21"/>
              </w:rPr>
              <w:t>联系人及电话：                                 采购单位</w:t>
            </w:r>
            <w:r>
              <w:rPr>
                <w:rFonts w:hint="eastAsia"/>
                <w:color w:val="auto"/>
                <w:szCs w:val="21"/>
              </w:rPr>
              <w:t>公</w:t>
            </w:r>
            <w:r>
              <w:rPr>
                <w:color w:val="auto"/>
                <w:szCs w:val="21"/>
              </w:rPr>
              <w:t>章</w:t>
            </w:r>
          </w:p>
          <w:p w14:paraId="473172F3">
            <w:pPr>
              <w:spacing w:line="520" w:lineRule="exact"/>
              <w:jc w:val="center"/>
              <w:rPr>
                <w:color w:val="auto"/>
                <w:szCs w:val="21"/>
              </w:rPr>
            </w:pPr>
            <w:r>
              <w:rPr>
                <w:color w:val="auto"/>
                <w:szCs w:val="21"/>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color w:val="auto"/>
                <w:szCs w:val="21"/>
              </w:rPr>
            </w:pPr>
            <w:r>
              <w:rPr>
                <w:color w:val="auto"/>
                <w:szCs w:val="21"/>
              </w:rPr>
              <w:t>财</w:t>
            </w:r>
          </w:p>
          <w:p w14:paraId="1B6C0DBE">
            <w:pPr>
              <w:jc w:val="center"/>
              <w:rPr>
                <w:color w:val="auto"/>
                <w:szCs w:val="21"/>
              </w:rPr>
            </w:pPr>
            <w:r>
              <w:rPr>
                <w:color w:val="auto"/>
                <w:szCs w:val="21"/>
              </w:rPr>
              <w:t>务</w:t>
            </w:r>
          </w:p>
          <w:p w14:paraId="71A420C6">
            <w:pPr>
              <w:jc w:val="center"/>
              <w:rPr>
                <w:color w:val="auto"/>
                <w:szCs w:val="21"/>
              </w:rPr>
            </w:pPr>
            <w:r>
              <w:rPr>
                <w:color w:val="auto"/>
                <w:szCs w:val="21"/>
              </w:rPr>
              <w:t>部</w:t>
            </w:r>
          </w:p>
          <w:p w14:paraId="7AF0F5E0">
            <w:pPr>
              <w:jc w:val="center"/>
              <w:rPr>
                <w:color w:val="auto"/>
                <w:szCs w:val="21"/>
              </w:rPr>
            </w:pPr>
            <w:r>
              <w:rPr>
                <w:color w:val="auto"/>
                <w:szCs w:val="21"/>
              </w:rPr>
              <w:t>门</w:t>
            </w:r>
          </w:p>
          <w:p w14:paraId="00AB12EF">
            <w:pPr>
              <w:jc w:val="center"/>
              <w:rPr>
                <w:color w:val="auto"/>
                <w:szCs w:val="21"/>
              </w:rPr>
            </w:pPr>
            <w:r>
              <w:rPr>
                <w:color w:val="auto"/>
                <w:szCs w:val="21"/>
              </w:rPr>
              <w:t>意</w:t>
            </w:r>
          </w:p>
          <w:p w14:paraId="20CB77FE">
            <w:pPr>
              <w:jc w:val="center"/>
              <w:rPr>
                <w:color w:val="auto"/>
                <w:szCs w:val="21"/>
              </w:rPr>
            </w:pPr>
            <w:r>
              <w:rPr>
                <w:color w:val="auto"/>
                <w:szCs w:val="21"/>
              </w:rPr>
              <w:t>见</w:t>
            </w:r>
          </w:p>
        </w:tc>
        <w:tc>
          <w:tcPr>
            <w:tcW w:w="8640" w:type="dxa"/>
            <w:noWrap w:val="0"/>
            <w:vAlign w:val="top"/>
          </w:tcPr>
          <w:p w14:paraId="13745E81">
            <w:pPr>
              <w:spacing w:line="640" w:lineRule="exact"/>
              <w:rPr>
                <w:color w:val="auto"/>
                <w:szCs w:val="21"/>
              </w:rPr>
            </w:pPr>
            <w:r>
              <w:rPr>
                <w:color w:val="auto"/>
                <w:szCs w:val="21"/>
              </w:rPr>
              <w:t>此表于</w:t>
            </w:r>
            <w:r>
              <w:rPr>
                <w:color w:val="auto"/>
                <w:szCs w:val="21"/>
                <w:u w:val="single"/>
              </w:rPr>
              <w:t xml:space="preserve">     </w:t>
            </w:r>
            <w:r>
              <w:rPr>
                <w:color w:val="auto"/>
                <w:szCs w:val="21"/>
              </w:rPr>
              <w:t>年</w:t>
            </w:r>
            <w:r>
              <w:rPr>
                <w:color w:val="auto"/>
                <w:szCs w:val="21"/>
                <w:u w:val="single"/>
              </w:rPr>
              <w:t xml:space="preserve">    </w:t>
            </w:r>
            <w:r>
              <w:rPr>
                <w:color w:val="auto"/>
                <w:szCs w:val="21"/>
              </w:rPr>
              <w:t xml:space="preserve"> 月 </w:t>
            </w:r>
            <w:r>
              <w:rPr>
                <w:color w:val="auto"/>
                <w:szCs w:val="21"/>
                <w:u w:val="single"/>
              </w:rPr>
              <w:t xml:space="preserve">   </w:t>
            </w:r>
            <w:r>
              <w:rPr>
                <w:color w:val="auto"/>
                <w:szCs w:val="21"/>
              </w:rPr>
              <w:t xml:space="preserve"> 日收到。</w:t>
            </w:r>
          </w:p>
          <w:p w14:paraId="5D58251F">
            <w:pPr>
              <w:spacing w:line="640" w:lineRule="exact"/>
              <w:rPr>
                <w:color w:val="auto"/>
                <w:szCs w:val="21"/>
              </w:rPr>
            </w:pPr>
            <w:r>
              <w:rPr>
                <w:color w:val="auto"/>
                <w:szCs w:val="21"/>
              </w:rPr>
              <w:t>会计审核：</w:t>
            </w:r>
          </w:p>
          <w:p w14:paraId="30336C5F">
            <w:pPr>
              <w:spacing w:line="640" w:lineRule="exact"/>
              <w:rPr>
                <w:color w:val="auto"/>
                <w:szCs w:val="21"/>
              </w:rPr>
            </w:pPr>
            <w:r>
              <w:rPr>
                <w:color w:val="auto"/>
                <w:szCs w:val="21"/>
              </w:rPr>
              <w:t>财务负责人审核：</w:t>
            </w:r>
          </w:p>
          <w:p w14:paraId="4999BDCA">
            <w:pPr>
              <w:spacing w:line="640" w:lineRule="exact"/>
              <w:rPr>
                <w:color w:val="auto"/>
                <w:szCs w:val="21"/>
              </w:rPr>
            </w:pPr>
            <w:r>
              <w:rPr>
                <w:color w:val="auto"/>
                <w:szCs w:val="21"/>
              </w:rPr>
              <w:t>单位负责人签字：</w:t>
            </w:r>
          </w:p>
          <w:p w14:paraId="1B5C8EDC">
            <w:pPr>
              <w:spacing w:line="640" w:lineRule="exact"/>
              <w:rPr>
                <w:color w:val="auto"/>
                <w:szCs w:val="21"/>
              </w:rPr>
            </w:pPr>
            <w:r>
              <w:rPr>
                <w:color w:val="auto"/>
                <w:szCs w:val="21"/>
              </w:rPr>
              <w:t>出纳办理转账日期：</w:t>
            </w:r>
          </w:p>
        </w:tc>
      </w:tr>
    </w:tbl>
    <w:p w14:paraId="7E328688">
      <w:pPr>
        <w:pStyle w:val="19"/>
        <w:ind w:left="450" w:leftChars="114" w:hanging="211" w:hangingChars="100"/>
        <w:rPr>
          <w:b/>
          <w:bCs/>
          <w:sz w:val="21"/>
          <w:szCs w:val="21"/>
        </w:rPr>
      </w:pPr>
      <w:r>
        <w:rPr>
          <w:b/>
          <w:bCs/>
          <w:sz w:val="21"/>
          <w:szCs w:val="21"/>
        </w:rPr>
        <w:t>注：供应商凭经采购单位审批的退付意见书到相关财务部办理履约保证金退付事宜。</w:t>
      </w:r>
    </w:p>
    <w:p w14:paraId="5B91828E">
      <w:pPr>
        <w:spacing w:before="120" w:line="320" w:lineRule="atLeast"/>
        <w:jc w:val="left"/>
        <w:outlineLvl w:val="1"/>
        <w:rPr>
          <w:rFonts w:hint="eastAsia" w:eastAsia="宋体"/>
          <w:b/>
          <w:bCs/>
          <w:kern w:val="0"/>
          <w:szCs w:val="21"/>
          <w:lang w:eastAsia="zh-CN"/>
        </w:rPr>
      </w:pPr>
      <w:r>
        <w:rPr>
          <w:b/>
          <w:sz w:val="32"/>
          <w:szCs w:val="32"/>
        </w:rPr>
        <w:br w:type="page"/>
      </w:r>
      <w:r>
        <w:rPr>
          <w:b/>
          <w:bCs/>
          <w:kern w:val="0"/>
          <w:szCs w:val="21"/>
        </w:rPr>
        <w:t>合同附件</w:t>
      </w:r>
      <w:r>
        <w:rPr>
          <w:rFonts w:hint="eastAsia"/>
          <w:b/>
          <w:bCs/>
          <w:kern w:val="0"/>
          <w:szCs w:val="21"/>
          <w:lang w:val="en-US" w:eastAsia="zh-CN"/>
        </w:rPr>
        <w:t>4</w:t>
      </w:r>
    </w:p>
    <w:p w14:paraId="42EEA435">
      <w:pPr>
        <w:snapToGrid w:val="0"/>
        <w:spacing w:line="360" w:lineRule="exact"/>
        <w:jc w:val="center"/>
        <w:rPr>
          <w:b/>
          <w:bCs/>
          <w:szCs w:val="21"/>
        </w:rPr>
      </w:pPr>
    </w:p>
    <w:p w14:paraId="1DDA4C5F">
      <w:pPr>
        <w:snapToGrid w:val="0"/>
        <w:spacing w:line="360" w:lineRule="exact"/>
        <w:jc w:val="center"/>
        <w:rPr>
          <w:b/>
          <w:bCs/>
          <w:szCs w:val="21"/>
        </w:rPr>
      </w:pPr>
      <w:r>
        <w:rPr>
          <w:b/>
          <w:bCs/>
          <w:szCs w:val="21"/>
        </w:rPr>
        <w:t>履约</w:t>
      </w:r>
      <w:r>
        <w:rPr>
          <w:rFonts w:hint="eastAsia"/>
          <w:b/>
          <w:bCs/>
          <w:szCs w:val="21"/>
        </w:rPr>
        <w:t>验收方案</w:t>
      </w:r>
    </w:p>
    <w:p w14:paraId="675E556F">
      <w:pPr>
        <w:widowControl/>
        <w:jc w:val="left"/>
        <w:rPr>
          <w:szCs w:val="21"/>
        </w:rPr>
      </w:pPr>
    </w:p>
    <w:p w14:paraId="3940CEE7">
      <w:pPr>
        <w:spacing w:before="120" w:line="320" w:lineRule="exact"/>
        <w:jc w:val="left"/>
        <w:rPr>
          <w:rFonts w:ascii="宋体" w:hAnsi="宋体" w:cs="宋体"/>
          <w:b/>
          <w:bCs/>
          <w:szCs w:val="21"/>
        </w:rPr>
      </w:pPr>
      <w:r>
        <w:rPr>
          <w:rFonts w:hint="eastAsia" w:ascii="宋体" w:hAnsi="宋体" w:cs="宋体"/>
          <w:b/>
          <w:bCs/>
          <w:szCs w:val="21"/>
        </w:rPr>
        <w:t>1.履约验收工作参加人员</w:t>
      </w:r>
    </w:p>
    <w:p w14:paraId="6C7DEE94">
      <w:pPr>
        <w:spacing w:before="120" w:line="320" w:lineRule="exact"/>
        <w:jc w:val="left"/>
        <w:rPr>
          <w:rFonts w:ascii="宋体" w:hAnsi="宋体" w:cs="宋体"/>
          <w:szCs w:val="21"/>
        </w:rPr>
      </w:pPr>
      <w:r>
        <w:rPr>
          <w:rFonts w:hint="eastAsia" w:ascii="宋体" w:hAnsi="宋体" w:cs="宋体"/>
          <w:b/>
          <w:bCs/>
          <w:szCs w:val="21"/>
        </w:rPr>
        <w:t>1.1履约验收主体单位</w:t>
      </w:r>
    </w:p>
    <w:p w14:paraId="0149FED1">
      <w:pPr>
        <w:spacing w:before="120" w:line="320" w:lineRule="exact"/>
        <w:ind w:firstLine="420" w:firstLineChars="200"/>
        <w:jc w:val="left"/>
        <w:rPr>
          <w:rStyle w:val="58"/>
          <w:rFonts w:hint="eastAsia"/>
        </w:rPr>
      </w:pPr>
      <w:r>
        <w:rPr>
          <w:rStyle w:val="58"/>
          <w:rFonts w:hint="eastAsia"/>
        </w:rPr>
        <w:t>采购人或采购人委托的机构（如委托第三方机构签订，应注明收费方式）</w:t>
      </w:r>
    </w:p>
    <w:p w14:paraId="28416AAE">
      <w:pPr>
        <w:spacing w:before="120" w:line="320" w:lineRule="exact"/>
        <w:jc w:val="left"/>
        <w:rPr>
          <w:rFonts w:ascii="宋体" w:hAnsi="宋体" w:cs="宋体"/>
          <w:szCs w:val="21"/>
        </w:rPr>
      </w:pPr>
      <w:r>
        <w:rPr>
          <w:rFonts w:hint="eastAsia" w:ascii="宋体" w:hAnsi="宋体" w:cs="宋体"/>
          <w:b/>
          <w:bCs/>
          <w:szCs w:val="21"/>
        </w:rPr>
        <w:t>1.2履约验收参加人员</w:t>
      </w:r>
    </w:p>
    <w:p w14:paraId="67FBD7AF">
      <w:pPr>
        <w:spacing w:before="120" w:line="320" w:lineRule="exact"/>
        <w:ind w:firstLine="420" w:firstLineChars="200"/>
        <w:jc w:val="left"/>
        <w:rPr>
          <w:rFonts w:ascii="宋体" w:hAnsi="宋体" w:cs="宋体"/>
          <w:szCs w:val="21"/>
          <w:u w:val="single"/>
        </w:rPr>
      </w:pPr>
      <w:r>
        <w:rPr>
          <w:rFonts w:hint="eastAsia"/>
        </w:rPr>
        <w:t>采购人代表、委托机构代表、成交供应商代表及采购人邀请的其他人员</w:t>
      </w:r>
    </w:p>
    <w:p w14:paraId="43A20A76">
      <w:pPr>
        <w:spacing w:before="120" w:line="320" w:lineRule="exact"/>
        <w:jc w:val="left"/>
        <w:rPr>
          <w:rFonts w:ascii="宋体" w:hAnsi="宋体" w:cs="宋体"/>
          <w:b/>
          <w:bCs/>
          <w:szCs w:val="21"/>
        </w:rPr>
      </w:pPr>
      <w:r>
        <w:rPr>
          <w:rFonts w:hint="eastAsia" w:ascii="宋体" w:hAnsi="宋体" w:cs="宋体"/>
          <w:b/>
          <w:bCs/>
          <w:szCs w:val="21"/>
        </w:rPr>
        <w:t>2.履约验收时间</w:t>
      </w:r>
    </w:p>
    <w:p w14:paraId="13AC6D06">
      <w:pPr>
        <w:spacing w:before="120" w:line="320" w:lineRule="exact"/>
        <w:jc w:val="left"/>
        <w:rPr>
          <w:rFonts w:hint="eastAsia" w:ascii="宋体" w:hAnsi="宋体" w:eastAsia="宋体" w:cs="宋体"/>
          <w:szCs w:val="21"/>
          <w:u w:val="none"/>
        </w:rPr>
      </w:pPr>
      <w:r>
        <w:rPr>
          <w:rFonts w:hint="eastAsia" w:ascii="宋体" w:hAnsi="宋体" w:eastAsia="宋体" w:cs="宋体"/>
          <w:szCs w:val="21"/>
          <w:u w:val="none"/>
        </w:rPr>
        <w:t>按照合同约定</w:t>
      </w:r>
    </w:p>
    <w:p w14:paraId="0A597C28">
      <w:pPr>
        <w:spacing w:before="120" w:line="320" w:lineRule="exact"/>
        <w:jc w:val="left"/>
        <w:rPr>
          <w:rFonts w:ascii="宋体" w:hAnsi="宋体" w:cs="宋体"/>
          <w:b/>
          <w:bCs/>
          <w:szCs w:val="21"/>
        </w:rPr>
      </w:pPr>
      <w:r>
        <w:rPr>
          <w:rFonts w:hint="eastAsia" w:ascii="宋体" w:hAnsi="宋体" w:cs="宋体"/>
          <w:b/>
          <w:bCs/>
          <w:szCs w:val="21"/>
        </w:rPr>
        <w:t>3.履约验收地点</w:t>
      </w:r>
    </w:p>
    <w:p w14:paraId="73482E53">
      <w:pPr>
        <w:spacing w:before="120" w:line="320" w:lineRule="exact"/>
        <w:jc w:val="left"/>
        <w:rPr>
          <w:rFonts w:hint="eastAsia" w:ascii="宋体" w:hAnsi="宋体" w:eastAsia="宋体" w:cs="宋体"/>
          <w:szCs w:val="21"/>
          <w:u w:val="none"/>
          <w:lang w:eastAsia="zh-CN"/>
        </w:rPr>
      </w:pPr>
      <w:r>
        <w:rPr>
          <w:rFonts w:hint="eastAsia" w:ascii="宋体" w:hAnsi="宋体" w:eastAsia="宋体" w:cs="宋体"/>
          <w:szCs w:val="21"/>
          <w:u w:val="none"/>
          <w:lang w:eastAsia="zh-CN"/>
        </w:rPr>
        <w:t>采购人指定地点</w:t>
      </w:r>
    </w:p>
    <w:p w14:paraId="73201ACD">
      <w:pPr>
        <w:spacing w:before="120" w:line="320" w:lineRule="exact"/>
        <w:jc w:val="left"/>
        <w:rPr>
          <w:rFonts w:ascii="宋体" w:hAnsi="宋体" w:cs="宋体"/>
          <w:b/>
          <w:bCs/>
          <w:szCs w:val="21"/>
        </w:rPr>
      </w:pPr>
      <w:r>
        <w:rPr>
          <w:rFonts w:hint="eastAsia" w:ascii="宋体" w:hAnsi="宋体" w:eastAsia="宋体" w:cs="宋体"/>
          <w:szCs w:val="21"/>
          <w:u w:val="none"/>
        </w:rPr>
        <w:t>4</w:t>
      </w:r>
      <w:r>
        <w:rPr>
          <w:rFonts w:hint="eastAsia" w:ascii="宋体" w:hAnsi="宋体" w:cs="宋体"/>
          <w:b/>
          <w:bCs/>
          <w:szCs w:val="21"/>
        </w:rPr>
        <w:t>.履约验收方式</w:t>
      </w:r>
    </w:p>
    <w:p w14:paraId="05ADBDD7">
      <w:pPr>
        <w:spacing w:before="120" w:line="320" w:lineRule="exact"/>
        <w:jc w:val="left"/>
        <w:rPr>
          <w:rFonts w:hint="eastAsia" w:ascii="宋体" w:hAnsi="宋体" w:eastAsia="宋体" w:cs="宋体"/>
          <w:szCs w:val="21"/>
          <w:u w:val="none"/>
          <w:lang w:eastAsia="zh-CN"/>
        </w:rPr>
      </w:pPr>
      <w:r>
        <w:rPr>
          <w:rFonts w:hint="eastAsia" w:ascii="宋体" w:hAnsi="宋体" w:eastAsia="宋体" w:cs="宋体"/>
          <w:szCs w:val="21"/>
          <w:u w:val="none"/>
          <w:lang w:eastAsia="zh-CN"/>
        </w:rPr>
        <w:t>采购人自行验收</w:t>
      </w:r>
    </w:p>
    <w:p w14:paraId="0A61A758">
      <w:pPr>
        <w:spacing w:before="120" w:line="320" w:lineRule="exact"/>
        <w:jc w:val="left"/>
        <w:rPr>
          <w:rFonts w:ascii="宋体" w:hAnsi="宋体" w:cs="宋体"/>
          <w:b/>
          <w:bCs/>
          <w:szCs w:val="21"/>
        </w:rPr>
      </w:pPr>
      <w:r>
        <w:rPr>
          <w:rFonts w:hint="eastAsia" w:ascii="宋体" w:hAnsi="宋体" w:cs="宋体"/>
          <w:b/>
          <w:bCs/>
          <w:szCs w:val="21"/>
        </w:rPr>
        <w:t>5.履约验收程序</w:t>
      </w:r>
    </w:p>
    <w:p w14:paraId="1BE32608">
      <w:pPr>
        <w:spacing w:before="120" w:line="320" w:lineRule="exact"/>
        <w:jc w:val="left"/>
        <w:rPr>
          <w:rFonts w:ascii="宋体" w:hAnsi="宋体" w:cs="宋体"/>
          <w:b/>
          <w:bCs/>
          <w:szCs w:val="21"/>
        </w:rPr>
      </w:pPr>
      <w:r>
        <w:rPr>
          <w:rFonts w:hint="eastAsia" w:ascii="宋体" w:hAnsi="宋体" w:cs="宋体"/>
          <w:b/>
          <w:bCs/>
          <w:szCs w:val="21"/>
        </w:rPr>
        <w:t>5.1成立验收小组</w:t>
      </w:r>
    </w:p>
    <w:p w14:paraId="0E4129AE">
      <w:pPr>
        <w:spacing w:before="120" w:line="320" w:lineRule="exact"/>
        <w:jc w:val="left"/>
        <w:rPr>
          <w:rFonts w:ascii="宋体" w:hAnsi="宋体" w:cs="宋体"/>
          <w:b/>
          <w:bCs/>
          <w:szCs w:val="21"/>
        </w:rPr>
      </w:pPr>
      <w:r>
        <w:rPr>
          <w:rFonts w:hint="eastAsia" w:ascii="宋体" w:hAnsi="宋体" w:cs="宋体"/>
          <w:b/>
          <w:bCs/>
          <w:szCs w:val="21"/>
        </w:rPr>
        <w:t>5</w:t>
      </w:r>
      <w:r>
        <w:rPr>
          <w:rFonts w:ascii="宋体" w:hAnsi="宋体" w:cs="宋体"/>
          <w:b/>
          <w:bCs/>
          <w:szCs w:val="21"/>
        </w:rPr>
        <w:t>.2</w:t>
      </w:r>
      <w:r>
        <w:rPr>
          <w:rFonts w:hint="eastAsia" w:ascii="宋体" w:hAnsi="宋体" w:cs="宋体"/>
          <w:b/>
          <w:bCs/>
          <w:szCs w:val="21"/>
        </w:rPr>
        <w:t>量化验收标准</w:t>
      </w:r>
    </w:p>
    <w:p w14:paraId="3DECCF08">
      <w:pPr>
        <w:spacing w:before="120" w:line="320" w:lineRule="exact"/>
        <w:jc w:val="left"/>
        <w:rPr>
          <w:rFonts w:ascii="宋体" w:hAnsi="宋体" w:cs="宋体"/>
          <w:b/>
          <w:bCs/>
          <w:szCs w:val="21"/>
        </w:rPr>
      </w:pPr>
      <w:r>
        <w:rPr>
          <w:rFonts w:hint="eastAsia" w:ascii="宋体" w:hAnsi="宋体" w:cs="宋体"/>
          <w:b/>
          <w:bCs/>
          <w:szCs w:val="21"/>
        </w:rPr>
        <w:t>5.</w:t>
      </w:r>
      <w:r>
        <w:rPr>
          <w:rFonts w:ascii="宋体" w:hAnsi="宋体" w:cs="宋体"/>
          <w:b/>
          <w:bCs/>
          <w:szCs w:val="21"/>
        </w:rPr>
        <w:t>3</w:t>
      </w:r>
      <w:r>
        <w:rPr>
          <w:rFonts w:hint="eastAsia" w:ascii="宋体" w:hAnsi="宋体" w:cs="宋体"/>
          <w:b/>
          <w:bCs/>
          <w:szCs w:val="21"/>
        </w:rPr>
        <w:t>组织验收</w:t>
      </w:r>
    </w:p>
    <w:p w14:paraId="589906CD">
      <w:pPr>
        <w:spacing w:before="120" w:line="320" w:lineRule="exact"/>
        <w:jc w:val="left"/>
        <w:rPr>
          <w:rFonts w:ascii="宋体" w:hAnsi="宋体" w:cs="宋体"/>
          <w:b/>
          <w:bCs/>
          <w:szCs w:val="21"/>
        </w:rPr>
      </w:pPr>
      <w:r>
        <w:rPr>
          <w:rFonts w:hint="eastAsia" w:ascii="宋体" w:hAnsi="宋体" w:cs="宋体"/>
          <w:b/>
          <w:bCs/>
          <w:szCs w:val="21"/>
        </w:rPr>
        <w:t>5.</w:t>
      </w:r>
      <w:r>
        <w:rPr>
          <w:rFonts w:ascii="宋体" w:hAnsi="宋体" w:cs="宋体"/>
          <w:b/>
          <w:bCs/>
          <w:szCs w:val="21"/>
        </w:rPr>
        <w:t>4</w:t>
      </w:r>
      <w:r>
        <w:rPr>
          <w:rFonts w:hint="eastAsia" w:ascii="宋体" w:hAnsi="宋体" w:cs="宋体"/>
          <w:b/>
          <w:bCs/>
          <w:szCs w:val="21"/>
        </w:rPr>
        <w:t>出具验收报告</w:t>
      </w:r>
    </w:p>
    <w:p w14:paraId="56F04432">
      <w:pPr>
        <w:spacing w:before="120" w:line="320" w:lineRule="exact"/>
        <w:jc w:val="left"/>
        <w:rPr>
          <w:rFonts w:ascii="宋体" w:hAnsi="宋体" w:cs="宋体"/>
          <w:b/>
          <w:bCs/>
          <w:szCs w:val="21"/>
        </w:rPr>
      </w:pPr>
      <w:r>
        <w:rPr>
          <w:rFonts w:hint="eastAsia" w:ascii="宋体" w:hAnsi="宋体" w:cs="宋体"/>
          <w:b/>
          <w:bCs/>
          <w:szCs w:val="21"/>
        </w:rPr>
        <w:t>5.</w:t>
      </w:r>
      <w:r>
        <w:rPr>
          <w:rFonts w:ascii="宋体" w:hAnsi="宋体" w:cs="宋体"/>
          <w:b/>
          <w:bCs/>
          <w:szCs w:val="21"/>
        </w:rPr>
        <w:t>5</w:t>
      </w:r>
      <w:r>
        <w:rPr>
          <w:rFonts w:hint="eastAsia" w:ascii="宋体" w:hAnsi="宋体" w:cs="宋体"/>
          <w:b/>
          <w:bCs/>
          <w:szCs w:val="21"/>
        </w:rPr>
        <w:t>验收结果公告</w:t>
      </w:r>
    </w:p>
    <w:p w14:paraId="46B7DB1F">
      <w:pPr>
        <w:spacing w:before="120" w:line="320" w:lineRule="exact"/>
        <w:jc w:val="left"/>
        <w:rPr>
          <w:rFonts w:ascii="宋体" w:hAnsi="宋体" w:cs="宋体"/>
          <w:b/>
          <w:bCs/>
          <w:szCs w:val="21"/>
        </w:rPr>
      </w:pPr>
      <w:r>
        <w:rPr>
          <w:rFonts w:hint="eastAsia" w:ascii="宋体" w:hAnsi="宋体" w:cs="宋体"/>
          <w:b/>
          <w:bCs/>
          <w:szCs w:val="21"/>
        </w:rPr>
        <w:t>5.</w:t>
      </w:r>
      <w:r>
        <w:rPr>
          <w:rFonts w:ascii="宋体" w:hAnsi="宋体" w:cs="宋体"/>
          <w:b/>
          <w:bCs/>
          <w:szCs w:val="21"/>
        </w:rPr>
        <w:t>6</w:t>
      </w:r>
      <w:r>
        <w:rPr>
          <w:rFonts w:hint="eastAsia" w:ascii="宋体" w:hAnsi="宋体" w:cs="宋体"/>
          <w:b/>
          <w:bCs/>
          <w:szCs w:val="21"/>
        </w:rPr>
        <w:t>验收资料归档</w:t>
      </w:r>
    </w:p>
    <w:p w14:paraId="0C33C227">
      <w:pPr>
        <w:spacing w:before="120" w:line="320" w:lineRule="exact"/>
        <w:ind w:firstLine="420" w:firstLineChars="200"/>
        <w:jc w:val="left"/>
        <w:rPr>
          <w:rFonts w:ascii="宋体" w:hAnsi="宋体" w:cs="宋体"/>
          <w:szCs w:val="21"/>
        </w:rPr>
      </w:pPr>
      <w:r>
        <w:rPr>
          <w:rFonts w:hint="eastAsia" w:ascii="宋体" w:hAnsi="宋体" w:cs="宋体"/>
          <w:szCs w:val="21"/>
        </w:rPr>
        <w:t>采购合同项目完成验收后，采购人整理好验收原始记录、验收书等资料后妥善保管，不得变造、隐匿或者销毁，验收资料保存期为采购结束之日起至少保存15年。</w:t>
      </w:r>
    </w:p>
    <w:p w14:paraId="33947DDB">
      <w:pPr>
        <w:spacing w:before="120" w:line="320" w:lineRule="exact"/>
        <w:jc w:val="left"/>
        <w:rPr>
          <w:rFonts w:ascii="宋体" w:hAnsi="宋体" w:cs="宋体"/>
          <w:b/>
          <w:bCs/>
          <w:iCs/>
          <w:szCs w:val="21"/>
        </w:rPr>
      </w:pPr>
      <w:r>
        <w:rPr>
          <w:rFonts w:hint="eastAsia" w:ascii="宋体" w:hAnsi="宋体" w:cs="宋体"/>
          <w:b/>
          <w:bCs/>
          <w:szCs w:val="21"/>
        </w:rPr>
        <w:t>6.履约验收内容</w:t>
      </w:r>
    </w:p>
    <w:p w14:paraId="61E9D1DB">
      <w:pPr>
        <w:spacing w:before="120" w:line="320" w:lineRule="exact"/>
        <w:jc w:val="left"/>
        <w:rPr>
          <w:rFonts w:ascii="宋体" w:hAnsi="宋体" w:cs="宋体"/>
          <w:iCs/>
          <w:szCs w:val="21"/>
        </w:rPr>
      </w:pPr>
      <w:r>
        <w:rPr>
          <w:rFonts w:hint="eastAsia" w:ascii="宋体" w:hAnsi="宋体" w:cs="宋体"/>
          <w:b/>
          <w:bCs/>
          <w:szCs w:val="21"/>
        </w:rPr>
        <w:t>6.1商务验收内容</w:t>
      </w:r>
    </w:p>
    <w:p w14:paraId="5411E506">
      <w:pPr>
        <w:spacing w:before="120" w:line="320" w:lineRule="exact"/>
        <w:ind w:firstLine="420" w:firstLineChars="200"/>
        <w:jc w:val="left"/>
        <w:rPr>
          <w:rFonts w:ascii="宋体" w:hAnsi="宋体" w:eastAsia="Microsoft YaHei UI" w:cs="宋体"/>
          <w:szCs w:val="21"/>
          <w:u w:val="single"/>
        </w:rPr>
      </w:pPr>
      <w:r>
        <w:rPr>
          <w:rFonts w:hint="eastAsia" w:ascii="宋体" w:hAnsi="宋体" w:cs="宋体"/>
          <w:szCs w:val="21"/>
        </w:rPr>
        <w:t>对采购标的交付的情况、财务和服务要求，包括交付（实施）的时间（期限）和地点（范围），付款条件（进度和方式），包装和运输，售后服务，保险等进行验收。</w:t>
      </w:r>
    </w:p>
    <w:p w14:paraId="2CB2C38E">
      <w:pPr>
        <w:spacing w:before="120" w:line="320" w:lineRule="exact"/>
        <w:jc w:val="left"/>
        <w:rPr>
          <w:rFonts w:ascii="宋体" w:hAnsi="宋体" w:cs="宋体"/>
          <w:iCs/>
          <w:szCs w:val="21"/>
        </w:rPr>
      </w:pPr>
      <w:r>
        <w:rPr>
          <w:rFonts w:hint="eastAsia" w:ascii="宋体" w:hAnsi="宋体" w:cs="宋体"/>
          <w:b/>
          <w:bCs/>
          <w:szCs w:val="21"/>
        </w:rPr>
        <w:t>6.2技术验收内容</w:t>
      </w:r>
    </w:p>
    <w:p w14:paraId="07F36D44">
      <w:pPr>
        <w:spacing w:before="120" w:line="320" w:lineRule="exact"/>
        <w:ind w:firstLine="420" w:firstLineChars="200"/>
        <w:jc w:val="left"/>
        <w:rPr>
          <w:rFonts w:ascii="宋体" w:hAnsi="宋体" w:cs="宋体"/>
          <w:szCs w:val="21"/>
          <w:u w:val="single"/>
        </w:rPr>
      </w:pPr>
      <w:r>
        <w:rPr>
          <w:rFonts w:hint="eastAsia" w:ascii="宋体" w:hAnsi="宋体" w:cs="宋体"/>
          <w:szCs w:val="21"/>
        </w:rPr>
        <w:t>对采购标的的功能和质量要求，包括性能、材料、结构、外观、安全，或者服务内容和标准等进行验收。</w:t>
      </w:r>
    </w:p>
    <w:p w14:paraId="09A92C98">
      <w:pPr>
        <w:spacing w:before="120" w:line="320" w:lineRule="exact"/>
        <w:jc w:val="left"/>
        <w:rPr>
          <w:rFonts w:ascii="宋体" w:hAnsi="宋体" w:cs="宋体"/>
          <w:b/>
          <w:bCs/>
          <w:szCs w:val="21"/>
        </w:rPr>
      </w:pPr>
      <w:r>
        <w:rPr>
          <w:rFonts w:hint="eastAsia" w:ascii="宋体" w:hAnsi="宋体" w:cs="宋体"/>
          <w:b/>
          <w:bCs/>
          <w:szCs w:val="21"/>
        </w:rPr>
        <w:t>7.履约验收标准</w:t>
      </w:r>
    </w:p>
    <w:p w14:paraId="0FBA057B">
      <w:pPr>
        <w:pStyle w:val="173"/>
        <w:spacing w:before="120" w:line="320" w:lineRule="exact"/>
        <w:ind w:firstLine="420"/>
        <w:rPr>
          <w:rFonts w:ascii="宋体" w:hAnsi="宋体" w:eastAsia="宋体" w:cs="宋体"/>
          <w:sz w:val="21"/>
          <w:szCs w:val="21"/>
        </w:rPr>
      </w:pPr>
      <w:r>
        <w:rPr>
          <w:rFonts w:hint="eastAsia" w:ascii="宋体" w:hAnsi="宋体" w:eastAsia="宋体" w:cs="宋体"/>
          <w:sz w:val="21"/>
          <w:szCs w:val="21"/>
        </w:rPr>
        <w:t>验收标准：</w:t>
      </w:r>
    </w:p>
    <w:p w14:paraId="11DC9BAE">
      <w:pPr>
        <w:pStyle w:val="173"/>
        <w:spacing w:before="120" w:line="320" w:lineRule="exact"/>
        <w:ind w:firstLine="420"/>
        <w:rPr>
          <w:rFonts w:hint="eastAsia" w:ascii="宋体" w:hAnsi="宋体" w:eastAsia="宋体" w:cs="宋体"/>
          <w:kern w:val="2"/>
          <w:sz w:val="21"/>
          <w:szCs w:val="21"/>
        </w:rPr>
      </w:pPr>
      <w:r>
        <w:rPr>
          <w:rFonts w:hint="eastAsia" w:ascii="宋体" w:hAnsi="宋体" w:eastAsia="宋体" w:cs="宋体"/>
          <w:kern w:val="2"/>
          <w:sz w:val="21"/>
          <w:szCs w:val="21"/>
        </w:rPr>
        <w:t>（1）中标（成交）供应商应提供完备的技术或服务资料、装箱单和合格证等，并派遣专业人员进行现场安装调试。验收合格条件如下：</w:t>
      </w:r>
    </w:p>
    <w:p w14:paraId="1B3DA757">
      <w:pPr>
        <w:spacing w:before="120" w:line="320" w:lineRule="exact"/>
        <w:rPr>
          <w:rFonts w:ascii="宋体" w:hAnsi="宋体" w:cs="宋体"/>
          <w:szCs w:val="21"/>
        </w:rPr>
      </w:pPr>
      <w:r>
        <w:rPr>
          <w:rFonts w:hint="eastAsia" w:ascii="宋体" w:hAnsi="宋体" w:cs="宋体"/>
          <w:szCs w:val="21"/>
        </w:rPr>
        <w:t>服务技术参数与响应文件中响应表或证明材料一致，性能或指标达到规定的标准。否则，以实际服务技术参数与响应文件响应表参数或证明材料比较，按如下情况处理：</w:t>
      </w:r>
    </w:p>
    <w:p w14:paraId="241D5F80">
      <w:pPr>
        <w:spacing w:before="120" w:line="320" w:lineRule="exact"/>
        <w:rPr>
          <w:rFonts w:ascii="宋体" w:hAnsi="宋体" w:cs="宋体"/>
          <w:szCs w:val="21"/>
        </w:rPr>
      </w:pPr>
      <w:r>
        <w:rPr>
          <w:rFonts w:hint="eastAsia" w:ascii="宋体" w:hAnsi="宋体" w:cs="宋体"/>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4BA21767">
      <w:pPr>
        <w:spacing w:before="120" w:line="320" w:lineRule="exact"/>
        <w:rPr>
          <w:rFonts w:ascii="宋体" w:hAnsi="宋体" w:cs="宋体"/>
          <w:szCs w:val="21"/>
        </w:rPr>
      </w:pPr>
      <w:r>
        <w:rPr>
          <w:rFonts w:hint="eastAsia" w:ascii="宋体" w:hAnsi="宋体" w:cs="宋体"/>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73E2171A">
      <w:pPr>
        <w:spacing w:before="120" w:line="320" w:lineRule="exact"/>
        <w:rPr>
          <w:rFonts w:ascii="宋体" w:hAnsi="宋体" w:cs="宋体"/>
          <w:szCs w:val="21"/>
        </w:rPr>
      </w:pPr>
      <w:r>
        <w:rPr>
          <w:rFonts w:hint="eastAsia" w:ascii="宋体" w:hAnsi="宋体" w:cs="宋体"/>
          <w:szCs w:val="21"/>
        </w:rPr>
        <w:t xml:space="preserve">③供应商响应文件响应表或证明材料中不满足的技术参数，在验收时实际满足技术参数的要求，以满足技术参数的要求验收。 </w:t>
      </w:r>
    </w:p>
    <w:p w14:paraId="1216A656">
      <w:pPr>
        <w:spacing w:before="120" w:line="320" w:lineRule="exact"/>
        <w:rPr>
          <w:rFonts w:ascii="宋体" w:hAnsi="宋体" w:cs="宋体"/>
          <w:szCs w:val="21"/>
        </w:rPr>
      </w:pPr>
      <w:r>
        <w:rPr>
          <w:rFonts w:hint="eastAsia" w:ascii="宋体" w:hAnsi="宋体" w:cs="宋体"/>
          <w:szCs w:val="21"/>
        </w:rPr>
        <w:t>④供应商响应文件响应表或证明材料中满足的技术参数，在验收时实际优于技术参数的要求，以满足技术参数的要求验收。</w:t>
      </w:r>
    </w:p>
    <w:p w14:paraId="6B00318E">
      <w:pPr>
        <w:spacing w:before="120" w:line="320" w:lineRule="exact"/>
        <w:rPr>
          <w:rFonts w:ascii="宋体" w:hAnsi="宋体" w:cs="宋体"/>
          <w:szCs w:val="21"/>
        </w:rPr>
      </w:pPr>
      <w:r>
        <w:rPr>
          <w:rFonts w:hint="eastAsia" w:ascii="宋体" w:hAnsi="宋体" w:cs="宋体"/>
          <w:szCs w:val="21"/>
        </w:rPr>
        <w:t>⑤供应商响应文件响应表或证明材料中优于的技术参数，在验收时实际也优于技术参数的要求，但没有达到响应表或证明材料中优于的程度，由采购人与供应商协商按是否满足要求验收。</w:t>
      </w:r>
    </w:p>
    <w:p w14:paraId="1CECF8B2">
      <w:pPr>
        <w:spacing w:before="120" w:line="320" w:lineRule="exact"/>
        <w:ind w:firstLine="420" w:firstLineChars="200"/>
        <w:jc w:val="left"/>
        <w:rPr>
          <w:rFonts w:ascii="宋体" w:hAnsi="宋体" w:cs="宋体"/>
          <w:szCs w:val="21"/>
        </w:rPr>
      </w:pPr>
      <w:r>
        <w:rPr>
          <w:rFonts w:hint="eastAsia" w:ascii="宋体" w:hAnsi="宋体" w:cs="宋体"/>
          <w:szCs w:val="21"/>
        </w:rPr>
        <w:t>（1）在测试或试运行期间所出现的问题得到解决，并运行或工作正常。</w:t>
      </w:r>
    </w:p>
    <w:p w14:paraId="269E9384">
      <w:pPr>
        <w:spacing w:before="120" w:line="320" w:lineRule="exact"/>
        <w:ind w:firstLine="420" w:firstLineChars="200"/>
        <w:jc w:val="left"/>
        <w:rPr>
          <w:rFonts w:ascii="宋体" w:hAnsi="宋体" w:cs="宋体"/>
          <w:szCs w:val="21"/>
        </w:rPr>
      </w:pPr>
      <w:r>
        <w:rPr>
          <w:rFonts w:hint="eastAsia" w:ascii="宋体" w:hAnsi="宋体" w:cs="宋体"/>
          <w:szCs w:val="21"/>
        </w:rPr>
        <w:t>（2）在规定时间内完成交付及验收，并经采购人确认。</w:t>
      </w:r>
    </w:p>
    <w:p w14:paraId="25D410F0">
      <w:pPr>
        <w:spacing w:before="120" w:line="320" w:lineRule="exact"/>
        <w:ind w:firstLine="420" w:firstLineChars="200"/>
        <w:jc w:val="left"/>
        <w:rPr>
          <w:rFonts w:ascii="宋体" w:hAnsi="宋体" w:cs="宋体"/>
          <w:szCs w:val="21"/>
        </w:rPr>
      </w:pPr>
      <w:r>
        <w:rPr>
          <w:rFonts w:hint="eastAsia" w:ascii="宋体" w:hAnsi="宋体" w:cs="宋体"/>
          <w:szCs w:val="21"/>
        </w:rPr>
        <w:t>（3）服务在安装调试并试运行符合要求后，才作为最终验收。</w:t>
      </w:r>
    </w:p>
    <w:p w14:paraId="17A80059">
      <w:pPr>
        <w:spacing w:before="120" w:line="320" w:lineRule="exact"/>
        <w:ind w:firstLine="420" w:firstLineChars="200"/>
        <w:jc w:val="left"/>
        <w:rPr>
          <w:rFonts w:ascii="宋体" w:hAnsi="宋体" w:cs="宋体"/>
          <w:szCs w:val="21"/>
        </w:rPr>
      </w:pPr>
      <w:r>
        <w:rPr>
          <w:rFonts w:hint="eastAsia" w:ascii="宋体" w:hAnsi="宋体" w:cs="宋体"/>
          <w:szCs w:val="21"/>
        </w:rPr>
        <w:t>（4）成交供应商提供的服务未达到采购文件规定要求，且对采购人造成损失的，由成交供应商承担一切责任，并赔偿所造成的损失。</w:t>
      </w:r>
    </w:p>
    <w:p w14:paraId="02F177E6">
      <w:pPr>
        <w:spacing w:before="120" w:line="320" w:lineRule="exact"/>
        <w:ind w:firstLine="420" w:firstLineChars="200"/>
        <w:jc w:val="left"/>
        <w:rPr>
          <w:rFonts w:ascii="宋体" w:hAnsi="宋体" w:cs="宋体"/>
          <w:szCs w:val="21"/>
        </w:rPr>
      </w:pPr>
      <w:r>
        <w:rPr>
          <w:rFonts w:hint="eastAsia" w:ascii="宋体" w:hAnsi="宋体" w:cs="宋体"/>
          <w:szCs w:val="21"/>
        </w:rPr>
        <w:t>（5）政府采购合同约定的其他要求及响应文件响应的其他标准。</w:t>
      </w:r>
    </w:p>
    <w:p w14:paraId="7E4E58CE">
      <w:pPr>
        <w:spacing w:before="120" w:line="320" w:lineRule="exact"/>
        <w:ind w:firstLine="422" w:firstLineChars="200"/>
        <w:jc w:val="left"/>
        <w:rPr>
          <w:rFonts w:hint="eastAsia" w:ascii="宋体" w:hAnsi="宋体" w:cs="宋体"/>
          <w:b/>
          <w:bCs/>
          <w:szCs w:val="21"/>
        </w:rPr>
      </w:pPr>
      <w:r>
        <w:rPr>
          <w:rFonts w:hint="eastAsia" w:ascii="宋体" w:hAnsi="宋体" w:cs="宋体"/>
          <w:b/>
          <w:bCs/>
          <w:szCs w:val="21"/>
        </w:rPr>
        <w:t>8.履约验收其他事项</w:t>
      </w:r>
    </w:p>
    <w:p w14:paraId="529D104A">
      <w:pPr>
        <w:spacing w:before="120" w:line="320" w:lineRule="exact"/>
        <w:ind w:firstLine="420" w:firstLineChars="200"/>
        <w:jc w:val="left"/>
        <w:rPr>
          <w:rFonts w:ascii="宋体" w:hAnsi="宋体" w:cs="宋体"/>
          <w:szCs w:val="21"/>
        </w:rPr>
      </w:pPr>
      <w:r>
        <w:rPr>
          <w:rFonts w:hint="eastAsia" w:ascii="宋体" w:hAnsi="宋体" w:cs="宋体"/>
          <w:szCs w:val="21"/>
        </w:rPr>
        <w:t>无</w:t>
      </w:r>
    </w:p>
    <w:p w14:paraId="318E8AF8">
      <w:pPr>
        <w:spacing w:before="120" w:line="320" w:lineRule="exact"/>
        <w:rPr>
          <w:rFonts w:ascii="仿宋" w:hAnsi="仿宋" w:eastAsia="仿宋"/>
          <w:szCs w:val="21"/>
          <w:u w:val="single"/>
        </w:rPr>
      </w:pPr>
      <w:r>
        <w:rPr>
          <w:rFonts w:hint="eastAsia" w:ascii="仿宋" w:hAnsi="仿宋" w:eastAsia="仿宋"/>
          <w:szCs w:val="21"/>
          <w:u w:val="single"/>
        </w:rPr>
        <w:br w:type="page"/>
      </w:r>
    </w:p>
    <w:p w14:paraId="01EAF746">
      <w:pPr>
        <w:snapToGrid w:val="0"/>
        <w:spacing w:line="360" w:lineRule="exact"/>
        <w:jc w:val="center"/>
        <w:rPr>
          <w:b/>
          <w:bCs/>
          <w:color w:val="auto"/>
          <w:szCs w:val="21"/>
        </w:rPr>
      </w:pPr>
      <w:r>
        <w:rPr>
          <w:b/>
          <w:bCs/>
          <w:color w:val="auto"/>
          <w:szCs w:val="21"/>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color w:val="auto"/>
          <w:kern w:val="0"/>
          <w:szCs w:val="21"/>
        </w:rPr>
      </w:pPr>
      <w:r>
        <w:rPr>
          <w:color w:val="auto"/>
          <w:kern w:val="0"/>
          <w:szCs w:val="21"/>
        </w:rPr>
        <w:t>根据政府采购项目（</w:t>
      </w:r>
      <w:r>
        <w:rPr>
          <w:color w:val="auto"/>
          <w:kern w:val="0"/>
          <w:szCs w:val="21"/>
          <w:u w:val="single"/>
        </w:rPr>
        <w:t>采购合同编号：</w:t>
      </w:r>
      <w:r>
        <w:rPr>
          <w:rFonts w:cs="Arial"/>
          <w:color w:val="auto"/>
          <w:szCs w:val="21"/>
          <w:u w:val="single"/>
        </w:rPr>
        <w:t>GXZC</w:t>
      </w:r>
      <w:r>
        <w:rPr>
          <w:rFonts w:hint="eastAsia" w:cs="Arial"/>
          <w:color w:val="auto"/>
          <w:szCs w:val="21"/>
          <w:u w:val="single"/>
          <w:lang w:eastAsia="zh-CN"/>
        </w:rPr>
        <w:t>2025</w:t>
      </w:r>
      <w:r>
        <w:rPr>
          <w:rFonts w:cs="Arial"/>
          <w:color w:val="auto"/>
          <w:szCs w:val="21"/>
          <w:u w:val="single"/>
        </w:rPr>
        <w:t>-XX-XXXXX-JDZB</w:t>
      </w:r>
      <w:r>
        <w:rPr>
          <w:color w:val="auto"/>
          <w:kern w:val="0"/>
          <w:szCs w:val="21"/>
        </w:rPr>
        <w:t>）的约定，我单位对（</w:t>
      </w:r>
      <w:r>
        <w:rPr>
          <w:rFonts w:hint="eastAsia" w:cs="Arial"/>
          <w:color w:val="auto"/>
          <w:szCs w:val="21"/>
          <w:u w:val="single"/>
        </w:rPr>
        <w:t>XXXX采购项目</w:t>
      </w:r>
      <w:r>
        <w:rPr>
          <w:color w:val="auto"/>
          <w:kern w:val="0"/>
          <w:szCs w:val="21"/>
        </w:rPr>
        <w:t>）政府采购项目中标（或成交）供应商</w:t>
      </w:r>
      <w:r>
        <w:rPr>
          <w:rFonts w:hint="eastAsia"/>
          <w:color w:val="auto"/>
          <w:kern w:val="0"/>
          <w:szCs w:val="21"/>
          <w:u w:val="single"/>
        </w:rPr>
        <w:t>XX公司（填写供应商名称）</w:t>
      </w:r>
      <w:r>
        <w:rPr>
          <w:color w:val="auto"/>
          <w:kern w:val="0"/>
          <w:szCs w:val="21"/>
        </w:rPr>
        <w:t>提供的</w:t>
      </w:r>
      <w:r>
        <w:rPr>
          <w:rFonts w:hint="eastAsia"/>
          <w:color w:val="auto"/>
          <w:kern w:val="0"/>
          <w:szCs w:val="21"/>
        </w:rPr>
        <w:t>服务（或工程、货物）</w:t>
      </w:r>
      <w:r>
        <w:rPr>
          <w:color w:val="auto"/>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color w:val="auto"/>
                <w:kern w:val="0"/>
                <w:szCs w:val="21"/>
              </w:rPr>
            </w:pPr>
            <w:r>
              <w:rPr>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color w:val="auto"/>
                <w:kern w:val="0"/>
                <w:szCs w:val="21"/>
              </w:rPr>
            </w:pPr>
            <w:r>
              <w:rPr>
                <w:rFonts w:hint="eastAsia" w:cs="Arial"/>
                <w:color w:val="auto"/>
                <w:szCs w:val="21"/>
              </w:rPr>
              <w:t>□</w:t>
            </w:r>
            <w:r>
              <w:rPr>
                <w:color w:val="auto"/>
                <w:kern w:val="0"/>
                <w:szCs w:val="21"/>
              </w:rPr>
              <w:t>自行验收        </w:t>
            </w:r>
            <w:r>
              <w:rPr>
                <w:rFonts w:cs="Arial"/>
                <w:color w:val="auto"/>
                <w:szCs w:val="21"/>
              </w:rPr>
              <w:sym w:font="Wingdings 2" w:char="00A3"/>
            </w:r>
            <w:r>
              <w:rPr>
                <w:color w:val="auto"/>
                <w:kern w:val="0"/>
                <w:szCs w:val="21"/>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color w:val="auto"/>
                <w:kern w:val="0"/>
                <w:szCs w:val="21"/>
              </w:rPr>
            </w:pPr>
            <w:r>
              <w:rPr>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color w:val="auto"/>
                <w:kern w:val="0"/>
                <w:szCs w:val="21"/>
              </w:rPr>
            </w:pPr>
            <w:r>
              <w:rPr>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color w:val="auto"/>
                <w:kern w:val="0"/>
                <w:szCs w:val="21"/>
              </w:rPr>
            </w:pPr>
            <w:r>
              <w:rPr>
                <w:rFonts w:hint="eastAsia"/>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color w:val="auto"/>
                <w:kern w:val="0"/>
                <w:szCs w:val="21"/>
              </w:rPr>
            </w:pPr>
            <w:r>
              <w:rPr>
                <w:rFonts w:hint="eastAsia"/>
                <w:color w:val="auto"/>
                <w:kern w:val="0"/>
                <w:szCs w:val="21"/>
              </w:rPr>
              <w:t>XXXX</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5"/>
              <w:spacing w:before="120" w:after="120"/>
              <w:ind w:firstLine="0" w:firstLineChars="0"/>
              <w:rPr>
                <w:color w:val="auto"/>
                <w:szCs w:val="21"/>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color w:val="auto"/>
                <w:kern w:val="0"/>
                <w:szCs w:val="21"/>
              </w:rPr>
            </w:pPr>
            <w:r>
              <w:rPr>
                <w:color w:val="auto"/>
                <w:kern w:val="0"/>
                <w:szCs w:val="21"/>
              </w:rPr>
              <w:t>1</w:t>
            </w:r>
            <w:r>
              <w:rPr>
                <w:rFonts w:hint="eastAsia"/>
                <w:color w:val="auto"/>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5"/>
              <w:spacing w:before="120" w:after="120"/>
              <w:ind w:firstLine="0" w:firstLineChars="0"/>
              <w:jc w:val="center"/>
              <w:rPr>
                <w:color w:val="auto"/>
                <w:szCs w:val="21"/>
              </w:rPr>
            </w:pPr>
            <w:r>
              <w:rPr>
                <w:color w:val="auto"/>
                <w:szCs w:val="21"/>
              </w:rPr>
              <w:t>¥0.00元</w:t>
            </w: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5"/>
              <w:spacing w:before="120" w:after="120"/>
              <w:ind w:firstLine="0" w:firstLineChars="0"/>
              <w:jc w:val="center"/>
              <w:rPr>
                <w:color w:val="auto"/>
                <w:szCs w:val="21"/>
              </w:rPr>
            </w:pPr>
            <w:r>
              <w:rPr>
                <w:rFonts w:hint="eastAsia"/>
                <w:color w:val="auto"/>
                <w:szCs w:val="21"/>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5"/>
              <w:spacing w:before="120" w:after="120"/>
              <w:ind w:firstLine="0" w:firstLineChars="0"/>
              <w:jc w:val="center"/>
              <w:rPr>
                <w:color w:val="auto"/>
                <w:szCs w:val="21"/>
              </w:rPr>
            </w:pPr>
            <w:r>
              <w:rPr>
                <w:color w:val="auto"/>
                <w:szCs w:val="21"/>
              </w:rPr>
              <w:t>¥0.00元</w:t>
            </w: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color w:val="auto"/>
                <w:kern w:val="0"/>
                <w:szCs w:val="21"/>
              </w:rPr>
            </w:pPr>
            <w:r>
              <w:rPr>
                <w:color w:val="auto"/>
                <w:kern w:val="0"/>
                <w:szCs w:val="21"/>
              </w:rPr>
              <w:t>合计大写金额：</w:t>
            </w:r>
            <w:r>
              <w:rPr>
                <w:rFonts w:hint="eastAsia"/>
                <w:color w:val="auto"/>
                <w:kern w:val="0"/>
                <w:szCs w:val="21"/>
              </w:rPr>
              <w:t>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ascii="宋体" w:hAnsi="宋体" w:cs="宋体"/>
                <w:color w:val="auto"/>
                <w:kern w:val="0"/>
                <w:szCs w:val="21"/>
              </w:rPr>
            </w:pPr>
            <w:r>
              <w:rPr>
                <w:rFonts w:hint="eastAsia" w:ascii="宋体" w:hAnsi="宋体" w:cs="宋体"/>
                <w:color w:val="auto"/>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ascii="宋体" w:hAnsi="宋体" w:cs="宋体"/>
                <w:color w:val="auto"/>
                <w:kern w:val="0"/>
                <w:szCs w:val="21"/>
              </w:rPr>
            </w:pPr>
            <w:r>
              <w:rPr>
                <w:rFonts w:hint="eastAsia" w:ascii="宋体" w:hAnsi="宋体" w:cs="宋体"/>
                <w:color w:val="auto"/>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ascii="宋体" w:hAnsi="宋体" w:cs="宋体"/>
                <w:color w:val="auto"/>
                <w:kern w:val="0"/>
                <w:szCs w:val="21"/>
              </w:rPr>
            </w:pPr>
            <w:r>
              <w:rPr>
                <w:rFonts w:hint="eastAsia" w:ascii="宋体" w:hAnsi="宋体" w:cs="宋体"/>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5"/>
              <w:spacing w:before="120" w:after="120"/>
              <w:ind w:firstLine="0" w:firstLineChars="0"/>
              <w:rPr>
                <w:rFonts w:ascii="宋体" w:hAnsi="宋体" w:cs="宋体"/>
                <w:color w:val="auto"/>
                <w:szCs w:val="21"/>
              </w:rPr>
            </w:pPr>
            <w:r>
              <w:rPr>
                <w:rFonts w:hint="eastAsia" w:ascii="宋体" w:hAnsi="宋体" w:cs="宋体"/>
                <w:color w:val="auto"/>
                <w:szCs w:val="21"/>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ascii="宋体" w:hAnsi="宋体" w:cs="宋体"/>
                <w:color w:val="auto"/>
                <w:kern w:val="0"/>
                <w:szCs w:val="21"/>
              </w:rPr>
            </w:pPr>
            <w:r>
              <w:rPr>
                <w:rFonts w:hint="eastAsia" w:ascii="宋体" w:hAnsi="宋体" w:cs="宋体"/>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ascii="宋体" w:hAnsi="宋体" w:cs="宋体"/>
                <w:color w:val="auto"/>
                <w:kern w:val="0"/>
                <w:szCs w:val="21"/>
              </w:rPr>
            </w:pPr>
            <w:r>
              <w:rPr>
                <w:rFonts w:hint="eastAsia" w:ascii="宋体" w:hAnsi="宋体" w:cs="宋体"/>
                <w:color w:val="auto"/>
                <w:kern w:val="0"/>
                <w:szCs w:val="21"/>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ascii="宋体" w:hAnsi="宋体" w:cs="宋体"/>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5"/>
              <w:spacing w:before="120" w:after="120"/>
              <w:ind w:firstLine="0" w:firstLineChars="0"/>
              <w:rPr>
                <w:rFonts w:ascii="宋体" w:hAnsi="宋体" w:cs="宋体"/>
                <w:color w:val="auto"/>
                <w:szCs w:val="21"/>
              </w:rPr>
            </w:pPr>
            <w:r>
              <w:rPr>
                <w:rFonts w:hint="eastAsia" w:ascii="宋体" w:hAnsi="宋体" w:cs="宋体"/>
                <w:color w:val="auto"/>
                <w:szCs w:val="21"/>
              </w:rPr>
              <w:t>有异议的意见和说明理由：</w:t>
            </w:r>
          </w:p>
          <w:p w14:paraId="7C6C982A">
            <w:pPr>
              <w:pStyle w:val="175"/>
              <w:spacing w:before="120" w:after="120"/>
              <w:ind w:firstLine="5880" w:firstLineChars="2800"/>
              <w:rPr>
                <w:rFonts w:ascii="宋体" w:hAnsi="宋体" w:cs="宋体"/>
                <w:color w:val="auto"/>
                <w:szCs w:val="21"/>
              </w:rPr>
            </w:pPr>
            <w:r>
              <w:rPr>
                <w:rFonts w:hint="eastAsia" w:ascii="宋体" w:hAnsi="宋体" w:cs="宋体"/>
                <w:color w:val="auto"/>
                <w:szCs w:val="21"/>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color w:val="auto"/>
                <w:kern w:val="0"/>
                <w:szCs w:val="21"/>
              </w:rPr>
            </w:pPr>
            <w:r>
              <w:rPr>
                <w:color w:val="auto"/>
                <w:kern w:val="0"/>
                <w:szCs w:val="21"/>
              </w:rPr>
              <w:t>验收小组成员签字：</w:t>
            </w:r>
          </w:p>
          <w:p w14:paraId="1B714836">
            <w:pPr>
              <w:widowControl/>
              <w:spacing w:before="100" w:beforeAutospacing="1" w:after="100" w:afterAutospacing="1" w:line="320" w:lineRule="exact"/>
              <w:jc w:val="left"/>
              <w:rPr>
                <w:color w:val="auto"/>
                <w:kern w:val="0"/>
                <w:szCs w:val="21"/>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color w:val="auto"/>
                <w:kern w:val="0"/>
                <w:szCs w:val="21"/>
              </w:rPr>
            </w:pPr>
            <w:r>
              <w:rPr>
                <w:color w:val="auto"/>
                <w:kern w:val="0"/>
                <w:szCs w:val="21"/>
              </w:rPr>
              <w:t>监督人员或其他相关人员签字：</w:t>
            </w:r>
          </w:p>
          <w:p w14:paraId="5CA33FC2">
            <w:pPr>
              <w:widowControl/>
              <w:spacing w:before="100" w:beforeAutospacing="1" w:after="100" w:afterAutospacing="1" w:line="320" w:lineRule="exact"/>
              <w:ind w:firstLine="65" w:firstLineChars="31"/>
              <w:jc w:val="left"/>
              <w:rPr>
                <w:color w:val="auto"/>
                <w:kern w:val="0"/>
                <w:szCs w:val="21"/>
              </w:rPr>
            </w:pPr>
            <w:r>
              <w:rPr>
                <w:color w:val="auto"/>
                <w:kern w:val="0"/>
                <w:szCs w:val="21"/>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color w:val="auto"/>
                <w:kern w:val="0"/>
                <w:szCs w:val="21"/>
              </w:rPr>
            </w:pPr>
            <w:r>
              <w:rPr>
                <w:color w:val="auto"/>
                <w:kern w:val="0"/>
                <w:szCs w:val="21"/>
              </w:rPr>
              <w:t>中标或者成交供应商负责人签字或盖章：</w:t>
            </w:r>
          </w:p>
          <w:p w14:paraId="5EBE200F">
            <w:pPr>
              <w:widowControl/>
              <w:spacing w:before="100" w:beforeAutospacing="1" w:after="100" w:afterAutospacing="1" w:line="320" w:lineRule="exact"/>
              <w:jc w:val="left"/>
              <w:rPr>
                <w:color w:val="auto"/>
                <w:kern w:val="0"/>
                <w:szCs w:val="21"/>
              </w:rPr>
            </w:pPr>
            <w:r>
              <w:rPr>
                <w:color w:val="auto"/>
                <w:kern w:val="0"/>
                <w:szCs w:val="21"/>
              </w:rPr>
              <w:t>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p w14:paraId="09FDF759">
            <w:pPr>
              <w:widowControl/>
              <w:spacing w:before="100" w:beforeAutospacing="1" w:after="100" w:afterAutospacing="1" w:line="320" w:lineRule="exact"/>
              <w:jc w:val="left"/>
              <w:rPr>
                <w:color w:val="auto"/>
                <w:kern w:val="0"/>
                <w:szCs w:val="21"/>
              </w:rPr>
            </w:pPr>
          </w:p>
          <w:p w14:paraId="77C9705D">
            <w:pPr>
              <w:widowControl/>
              <w:spacing w:before="100" w:beforeAutospacing="1" w:after="100" w:afterAutospacing="1" w:line="320" w:lineRule="exact"/>
              <w:ind w:firstLine="65" w:firstLineChars="31"/>
              <w:jc w:val="left"/>
              <w:rPr>
                <w:color w:val="auto"/>
                <w:kern w:val="0"/>
                <w:szCs w:val="21"/>
              </w:rPr>
            </w:pPr>
            <w:r>
              <w:rPr>
                <w:rFonts w:hint="eastAsia"/>
                <w:color w:val="auto"/>
                <w:kern w:val="0"/>
                <w:szCs w:val="21"/>
              </w:rPr>
              <w:t>采购人</w:t>
            </w:r>
            <w:r>
              <w:rPr>
                <w:color w:val="auto"/>
                <w:kern w:val="0"/>
                <w:szCs w:val="21"/>
              </w:rPr>
              <w:t>签字或盖章：</w:t>
            </w:r>
          </w:p>
          <w:p w14:paraId="55C7B377">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color w:val="auto"/>
                <w:kern w:val="0"/>
                <w:szCs w:val="21"/>
              </w:rPr>
            </w:pPr>
            <w:r>
              <w:rPr>
                <w:color w:val="auto"/>
                <w:kern w:val="0"/>
                <w:szCs w:val="21"/>
              </w:rPr>
              <w:t> 受托机构的意见（盖章）：</w:t>
            </w:r>
          </w:p>
          <w:p w14:paraId="48DCB8E5">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年   月   日</w:t>
            </w:r>
          </w:p>
          <w:p w14:paraId="55247E70">
            <w:pPr>
              <w:widowControl/>
              <w:spacing w:before="100" w:beforeAutospacing="1" w:after="100" w:afterAutospacing="1" w:line="320" w:lineRule="exact"/>
              <w:jc w:val="left"/>
              <w:rPr>
                <w:color w:val="auto"/>
                <w:kern w:val="0"/>
                <w:szCs w:val="21"/>
              </w:rPr>
            </w:pPr>
          </w:p>
          <w:p w14:paraId="00132CBD">
            <w:pPr>
              <w:widowControl/>
              <w:spacing w:before="100" w:beforeAutospacing="1" w:after="100" w:afterAutospacing="1" w:line="320" w:lineRule="exact"/>
              <w:jc w:val="left"/>
              <w:rPr>
                <w:color w:val="auto"/>
                <w:kern w:val="0"/>
                <w:szCs w:val="21"/>
              </w:rPr>
            </w:pPr>
          </w:p>
          <w:p w14:paraId="20D6B578">
            <w:pPr>
              <w:widowControl/>
              <w:spacing w:before="100" w:beforeAutospacing="1" w:after="100" w:afterAutospacing="1" w:line="320" w:lineRule="exact"/>
              <w:jc w:val="left"/>
              <w:rPr>
                <w:color w:val="auto"/>
                <w:kern w:val="0"/>
                <w:szCs w:val="21"/>
              </w:rPr>
            </w:pPr>
          </w:p>
        </w:tc>
      </w:tr>
    </w:tbl>
    <w:p w14:paraId="6E30D7A1">
      <w:pPr>
        <w:widowControl/>
        <w:jc w:val="left"/>
        <w:rPr>
          <w:rFonts w:hint="eastAsia"/>
          <w:bCs/>
          <w:color w:val="auto"/>
          <w:sz w:val="24"/>
        </w:rPr>
      </w:pPr>
      <w:r>
        <w:rPr>
          <w:color w:val="auto"/>
          <w:spacing w:val="-10"/>
          <w:kern w:val="0"/>
          <w:szCs w:val="21"/>
        </w:rPr>
        <w:t>备注：本报告单一式4份（采购单位1份、供应商1份、采购监督部门备案1份、采购代理机构1份）</w:t>
      </w:r>
    </w:p>
    <w:p w14:paraId="0E33E44A">
      <w:pPr>
        <w:spacing w:before="120" w:line="320" w:lineRule="atLeast"/>
        <w:rPr>
          <w:rFonts w:hint="eastAsia"/>
          <w:color w:val="auto"/>
          <w:szCs w:val="21"/>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14:paraId="34C64976">
      <w:pPr>
        <w:widowControl/>
        <w:jc w:val="center"/>
        <w:outlineLvl w:val="0"/>
        <w:rPr>
          <w:sz w:val="32"/>
          <w:szCs w:val="32"/>
        </w:rPr>
      </w:pPr>
      <w:bookmarkStart w:id="79" w:name="_Toc26903"/>
      <w:r>
        <w:rPr>
          <w:sz w:val="32"/>
          <w:szCs w:val="32"/>
        </w:rPr>
        <w:t>第六章  响应文件格式</w:t>
      </w:r>
      <w:bookmarkEnd w:id="79"/>
    </w:p>
    <w:p w14:paraId="46E55F27">
      <w:pPr>
        <w:rPr>
          <w:rFonts w:hint="eastAsia"/>
          <w:sz w:val="28"/>
          <w:szCs w:val="28"/>
        </w:rPr>
      </w:pPr>
      <w:bookmarkStart w:id="80" w:name="_Toc254970697"/>
      <w:bookmarkStart w:id="81" w:name="_Toc254970556"/>
    </w:p>
    <w:bookmarkEnd w:id="80"/>
    <w:bookmarkEnd w:id="81"/>
    <w:p w14:paraId="79E89105">
      <w:pPr>
        <w:rPr>
          <w:rFonts w:hint="eastAsia"/>
          <w:sz w:val="28"/>
          <w:szCs w:val="28"/>
        </w:rPr>
      </w:pPr>
    </w:p>
    <w:p w14:paraId="0925D8ED">
      <w:pPr>
        <w:spacing w:line="500" w:lineRule="exact"/>
        <w:ind w:firstLine="560" w:firstLineChars="200"/>
        <w:rPr>
          <w:rFonts w:ascii="宋体" w:hAnsi="宋体"/>
          <w:sz w:val="24"/>
        </w:rPr>
      </w:pPr>
      <w:bookmarkStart w:id="82" w:name="_Hlk19199063"/>
      <w:r>
        <w:rPr>
          <w:rFonts w:hint="eastAsia"/>
          <w:sz w:val="28"/>
          <w:szCs w:val="28"/>
        </w:rPr>
        <w:t>注：有签字、盖章要求的应按要求</w:t>
      </w:r>
      <w:bookmarkEnd w:id="82"/>
      <w:r>
        <w:rPr>
          <w:rFonts w:hint="eastAsia"/>
          <w:sz w:val="28"/>
          <w:szCs w:val="28"/>
        </w:rPr>
        <w:t>签字（签章）、盖章（签章）。</w:t>
      </w:r>
      <w:r>
        <w:rPr>
          <w:bCs/>
          <w:sz w:val="24"/>
        </w:rPr>
        <w:t xml:space="preserve"> </w:t>
      </w:r>
    </w:p>
    <w:p w14:paraId="06CE7276">
      <w:pPr>
        <w:spacing w:line="500" w:lineRule="exact"/>
        <w:ind w:firstLine="562" w:firstLineChars="200"/>
        <w:rPr>
          <w:rFonts w:hint="eastAsia" w:hAnsi="宋体"/>
          <w:b/>
          <w:bCs/>
          <w:color w:val="auto"/>
          <w:sz w:val="28"/>
          <w:szCs w:val="28"/>
        </w:rPr>
      </w:pPr>
    </w:p>
    <w:p w14:paraId="077AB4B8">
      <w:pPr>
        <w:spacing w:line="500" w:lineRule="exact"/>
        <w:ind w:firstLine="562" w:firstLineChars="200"/>
        <w:rPr>
          <w:rFonts w:hint="eastAsia" w:hAnsi="宋体"/>
          <w:b/>
          <w:bCs/>
          <w:color w:val="auto"/>
          <w:sz w:val="28"/>
          <w:szCs w:val="28"/>
        </w:rPr>
      </w:pPr>
    </w:p>
    <w:p w14:paraId="73901AEC">
      <w:pPr>
        <w:spacing w:line="500" w:lineRule="exact"/>
        <w:ind w:firstLine="562" w:firstLineChars="200"/>
        <w:rPr>
          <w:rFonts w:hint="eastAsia"/>
          <w:color w:val="auto"/>
          <w:sz w:val="28"/>
          <w:szCs w:val="28"/>
        </w:rPr>
      </w:pPr>
      <w:r>
        <w:rPr>
          <w:rFonts w:hint="eastAsia" w:hAnsi="宋体"/>
          <w:b/>
          <w:bCs/>
          <w:color w:val="auto"/>
          <w:sz w:val="28"/>
          <w:szCs w:val="28"/>
        </w:rPr>
        <w:t>供应商那个在广西政府采购云平台新版客户端上传投标文件时，建议将整份投标文件上传至商务技术部分，避免上传错漏。</w:t>
      </w:r>
    </w:p>
    <w:p w14:paraId="3EBCA420">
      <w:pPr>
        <w:snapToGrid w:val="0"/>
        <w:spacing w:before="120" w:beforeLines="50" w:after="50" w:line="440" w:lineRule="exact"/>
        <w:jc w:val="left"/>
        <w:outlineLvl w:val="1"/>
        <w:rPr>
          <w:rFonts w:ascii="Times New Roman" w:hAnsi="Times New Roman" w:eastAsia="宋体" w:cs="Times New Roman"/>
          <w:b/>
          <w:sz w:val="24"/>
        </w:rPr>
      </w:pPr>
      <w:r>
        <w:rPr>
          <w:sz w:val="24"/>
        </w:rPr>
        <w:br w:type="page"/>
      </w:r>
      <w:r>
        <w:rPr>
          <w:rFonts w:hint="eastAsia" w:ascii="Times New Roman" w:hAnsi="Times New Roman" w:eastAsia="宋体" w:cs="Times New Roman"/>
          <w:b w:val="0"/>
          <w:bCs w:val="0"/>
          <w:sz w:val="24"/>
        </w:rPr>
        <w:t>1.</w:t>
      </w:r>
      <w:r>
        <w:rPr>
          <w:rFonts w:ascii="Times New Roman" w:hAnsi="Times New Roman" w:eastAsia="宋体" w:cs="Times New Roman"/>
          <w:b w:val="0"/>
          <w:bCs w:val="0"/>
          <w:sz w:val="24"/>
        </w:rPr>
        <w:t>响应文件封面</w:t>
      </w:r>
      <w:r>
        <w:rPr>
          <w:rFonts w:hint="eastAsia" w:ascii="Times New Roman" w:hAnsi="Times New Roman" w:eastAsia="宋体" w:cs="Times New Roman"/>
          <w:b w:val="0"/>
          <w:bCs w:val="0"/>
          <w:sz w:val="24"/>
          <w:lang w:val="en-US" w:eastAsia="zh-CN"/>
        </w:rPr>
        <w:t>参考</w:t>
      </w:r>
      <w:r>
        <w:rPr>
          <w:rFonts w:ascii="Times New Roman" w:hAnsi="Times New Roman" w:eastAsia="宋体" w:cs="Times New Roman"/>
          <w:b w:val="0"/>
          <w:bCs w:val="0"/>
          <w:sz w:val="24"/>
        </w:rPr>
        <w:t>格式</w:t>
      </w:r>
      <w:bookmarkStart w:id="83" w:name="_Hlk92966991"/>
      <w:r>
        <w:rPr>
          <w:rFonts w:hint="eastAsia" w:ascii="Times New Roman" w:hAnsi="Times New Roman" w:eastAsia="宋体" w:cs="Times New Roman"/>
          <w:b w:val="0"/>
          <w:bCs w:val="0"/>
          <w:sz w:val="24"/>
        </w:rPr>
        <w:t>（资格证明文件）</w:t>
      </w:r>
      <w:bookmarkEnd w:id="83"/>
      <w:r>
        <w:rPr>
          <w:rFonts w:ascii="Times New Roman" w:hAnsi="Times New Roman" w:eastAsia="宋体" w:cs="Times New Roman"/>
          <w:b w:val="0"/>
          <w:bCs w:val="0"/>
          <w:sz w:val="24"/>
        </w:rPr>
        <w:t>：</w:t>
      </w:r>
      <w:r>
        <w:rPr>
          <w:rFonts w:ascii="Times New Roman" w:hAnsi="Times New Roman" w:eastAsia="宋体" w:cs="Times New Roman"/>
          <w:b/>
          <w:bCs/>
          <w:sz w:val="24"/>
        </w:rPr>
        <w:t xml:space="preserve"> </w:t>
      </w:r>
    </w:p>
    <w:p w14:paraId="0EDFE727">
      <w:pPr>
        <w:snapToGrid w:val="0"/>
        <w:spacing w:before="120" w:beforeLines="50" w:after="50" w:line="360" w:lineRule="exact"/>
        <w:rPr>
          <w:rFonts w:ascii="Times New Roman" w:hAnsi="Times New Roman" w:eastAsia="宋体" w:cs="Times New Roman"/>
          <w:sz w:val="24"/>
        </w:rPr>
      </w:pPr>
    </w:p>
    <w:p w14:paraId="4A94A0F7">
      <w:pPr>
        <w:snapToGrid w:val="0"/>
        <w:spacing w:before="120" w:beforeLines="50" w:after="50" w:line="360" w:lineRule="exact"/>
        <w:jc w:val="right"/>
        <w:rPr>
          <w:rFonts w:hint="eastAsia" w:ascii="Times New Roman" w:hAnsi="Times New Roman" w:eastAsia="宋体" w:cs="Times New Roman"/>
          <w:bCs/>
          <w:sz w:val="24"/>
        </w:rPr>
      </w:pPr>
    </w:p>
    <w:p w14:paraId="2A25ACBE">
      <w:pPr>
        <w:snapToGrid w:val="0"/>
        <w:spacing w:before="120" w:beforeLines="50" w:after="50" w:line="360" w:lineRule="exact"/>
        <w:jc w:val="center"/>
        <w:rPr>
          <w:rFonts w:ascii="Times New Roman" w:hAnsi="Times New Roman" w:eastAsia="宋体" w:cs="Times New Roman"/>
          <w:bCs/>
          <w:sz w:val="24"/>
        </w:rPr>
      </w:pPr>
      <w:r>
        <w:rPr>
          <w:rFonts w:hint="eastAsia" w:ascii="宋体" w:hAnsi="宋体" w:eastAsia="宋体" w:cs="Times New Roman"/>
          <w:b/>
          <w:sz w:val="44"/>
          <w:szCs w:val="24"/>
        </w:rPr>
        <w:t>电子响应文件</w:t>
      </w:r>
    </w:p>
    <w:p w14:paraId="6777A031">
      <w:pPr>
        <w:snapToGrid w:val="0"/>
        <w:spacing w:before="120" w:beforeLines="50" w:after="50" w:line="360" w:lineRule="exact"/>
        <w:jc w:val="center"/>
        <w:rPr>
          <w:rFonts w:ascii="Times New Roman" w:hAnsi="Times New Roman" w:eastAsia="宋体" w:cs="Times New Roman"/>
          <w:b/>
          <w:bCs/>
          <w:sz w:val="44"/>
          <w:szCs w:val="44"/>
        </w:rPr>
      </w:pPr>
    </w:p>
    <w:p w14:paraId="176FAEAC">
      <w:pPr>
        <w:snapToGrid w:val="0"/>
        <w:spacing w:before="120" w:beforeLines="50" w:after="50" w:line="360" w:lineRule="exact"/>
        <w:jc w:val="center"/>
        <w:rPr>
          <w:rFonts w:ascii="Times New Roman" w:hAnsi="Times New Roman" w:eastAsia="宋体" w:cs="Times New Roman"/>
          <w:b/>
          <w:bCs/>
          <w:sz w:val="44"/>
          <w:szCs w:val="44"/>
        </w:rPr>
      </w:pPr>
    </w:p>
    <w:p w14:paraId="460F4782">
      <w:pPr>
        <w:snapToGrid w:val="0"/>
        <w:spacing w:before="120" w:beforeLines="50" w:after="50" w:line="360" w:lineRule="exact"/>
        <w:jc w:val="center"/>
        <w:rPr>
          <w:rFonts w:ascii="Times New Roman" w:hAnsi="Times New Roman" w:eastAsia="宋体" w:cs="Times New Roman"/>
          <w:b/>
          <w:bCs/>
          <w:sz w:val="44"/>
          <w:szCs w:val="44"/>
        </w:rPr>
      </w:pPr>
      <w:bookmarkStart w:id="84" w:name="_Hlk92967018"/>
      <w:r>
        <w:rPr>
          <w:rFonts w:ascii="Times New Roman" w:hAnsi="Times New Roman" w:eastAsia="宋体" w:cs="Times New Roman"/>
          <w:b/>
          <w:bCs/>
          <w:sz w:val="44"/>
          <w:szCs w:val="44"/>
        </w:rPr>
        <w:t>资格</w:t>
      </w:r>
      <w:r>
        <w:rPr>
          <w:rFonts w:hint="eastAsia" w:ascii="Times New Roman" w:hAnsi="Times New Roman" w:eastAsia="宋体" w:cs="Times New Roman"/>
          <w:b/>
          <w:bCs/>
          <w:sz w:val="44"/>
          <w:szCs w:val="44"/>
        </w:rPr>
        <w:t>证明文件</w:t>
      </w:r>
    </w:p>
    <w:bookmarkEnd w:id="84"/>
    <w:p w14:paraId="24D238E1">
      <w:pPr>
        <w:snapToGrid w:val="0"/>
        <w:spacing w:before="120" w:beforeLines="50" w:after="50" w:line="360" w:lineRule="exact"/>
        <w:jc w:val="center"/>
        <w:rPr>
          <w:rFonts w:ascii="Times New Roman" w:hAnsi="Times New Roman" w:eastAsia="宋体" w:cs="Times New Roman"/>
          <w:b/>
          <w:bCs/>
          <w:sz w:val="44"/>
          <w:szCs w:val="44"/>
        </w:rPr>
      </w:pPr>
    </w:p>
    <w:p w14:paraId="1CEB80B7">
      <w:pPr>
        <w:snapToGrid w:val="0"/>
        <w:spacing w:before="120" w:beforeLines="50" w:after="50" w:line="360" w:lineRule="exact"/>
        <w:rPr>
          <w:rFonts w:ascii="Times New Roman" w:hAnsi="Times New Roman" w:eastAsia="宋体" w:cs="Times New Roman"/>
          <w:bCs/>
          <w:sz w:val="24"/>
        </w:rPr>
      </w:pPr>
    </w:p>
    <w:p w14:paraId="6D489593">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项目编号：</w:t>
      </w:r>
    </w:p>
    <w:p w14:paraId="72A14725">
      <w:pPr>
        <w:snapToGrid w:val="0"/>
        <w:spacing w:before="120" w:beforeLines="50" w:after="50" w:line="44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分标号：（若无</w:t>
      </w:r>
      <w:r>
        <w:rPr>
          <w:rFonts w:hint="eastAsia" w:ascii="Times New Roman" w:hAnsi="Times New Roman" w:eastAsia="宋体" w:cs="Times New Roman"/>
          <w:bCs/>
          <w:sz w:val="24"/>
        </w:rPr>
        <w:t>留空或写</w:t>
      </w:r>
      <w:r>
        <w:rPr>
          <w:rFonts w:ascii="Times New Roman" w:hAnsi="Times New Roman" w:eastAsia="宋体" w:cs="Times New Roman"/>
          <w:bCs/>
          <w:sz w:val="24"/>
        </w:rPr>
        <w:t>“/”）</w:t>
      </w:r>
    </w:p>
    <w:p w14:paraId="67457D1D">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供应商地址：</w:t>
      </w:r>
    </w:p>
    <w:p w14:paraId="49F49A75">
      <w:pPr>
        <w:pStyle w:val="7"/>
        <w:snapToGrid w:val="0"/>
        <w:spacing w:before="50" w:after="50" w:line="360" w:lineRule="exact"/>
        <w:ind w:firstLine="960" w:firstLineChars="400"/>
        <w:rPr>
          <w:rFonts w:ascii="Times New Roman" w:hAnsi="Times New Roman" w:eastAsia="宋体" w:cs="Times New Roman"/>
          <w:bCs/>
          <w:sz w:val="24"/>
          <w:szCs w:val="24"/>
        </w:rPr>
      </w:pPr>
    </w:p>
    <w:p w14:paraId="4CF2C040">
      <w:pPr>
        <w:snapToGrid w:val="0"/>
        <w:spacing w:before="120" w:beforeLines="50" w:after="50" w:line="360" w:lineRule="exact"/>
        <w:jc w:val="center"/>
        <w:rPr>
          <w:rFonts w:ascii="Times New Roman" w:hAnsi="Times New Roman" w:eastAsia="宋体" w:cs="Times New Roman"/>
          <w:sz w:val="24"/>
        </w:rPr>
      </w:pPr>
      <w:r>
        <w:rPr>
          <w:rFonts w:ascii="Times New Roman" w:hAnsi="Times New Roman" w:eastAsia="宋体" w:cs="Times New Roman"/>
          <w:sz w:val="24"/>
        </w:rPr>
        <w:t xml:space="preserve">                        年  月  日</w:t>
      </w:r>
    </w:p>
    <w:p w14:paraId="24A78B87">
      <w:pPr>
        <w:snapToGrid w:val="0"/>
        <w:spacing w:before="50" w:after="50" w:line="440" w:lineRule="exact"/>
        <w:rPr>
          <w:rFonts w:ascii="Times New Roman" w:hAnsi="Times New Roman" w:eastAsia="宋体" w:cs="Times New Roman"/>
          <w:b/>
          <w:sz w:val="24"/>
        </w:rPr>
      </w:pPr>
      <w:r>
        <w:rPr>
          <w:rFonts w:ascii="Times New Roman" w:hAnsi="Times New Roman" w:eastAsia="宋体" w:cs="Times New Roman"/>
          <w:b/>
          <w:sz w:val="24"/>
        </w:rPr>
        <w:t xml:space="preserve"> </w:t>
      </w:r>
    </w:p>
    <w:p w14:paraId="653D0442">
      <w:pPr>
        <w:snapToGrid w:val="0"/>
        <w:spacing w:before="120" w:beforeLines="50" w:after="50" w:line="360" w:lineRule="exact"/>
        <w:jc w:val="center"/>
        <w:rPr>
          <w:sz w:val="24"/>
        </w:rPr>
      </w:pPr>
    </w:p>
    <w:p w14:paraId="4DCE5B62">
      <w:pPr>
        <w:snapToGrid w:val="0"/>
        <w:spacing w:before="120" w:beforeLines="50" w:after="50" w:line="440" w:lineRule="exact"/>
        <w:jc w:val="center"/>
        <w:outlineLvl w:val="9"/>
        <w:rPr>
          <w:b/>
          <w:bCs/>
          <w:sz w:val="24"/>
        </w:rPr>
      </w:pPr>
      <w:bookmarkStart w:id="85" w:name="_Toc254970557"/>
      <w:bookmarkStart w:id="86" w:name="_Toc254970698"/>
      <w:r>
        <w:rPr>
          <w:sz w:val="24"/>
        </w:rPr>
        <w:br w:type="page"/>
      </w:r>
      <w:bookmarkEnd w:id="85"/>
      <w:bookmarkEnd w:id="86"/>
    </w:p>
    <w:p w14:paraId="0CEFC040">
      <w:pPr>
        <w:snapToGrid w:val="0"/>
        <w:spacing w:before="120" w:beforeLines="50" w:after="50" w:line="440" w:lineRule="exact"/>
        <w:jc w:val="center"/>
        <w:rPr>
          <w:sz w:val="24"/>
        </w:rPr>
      </w:pPr>
    </w:p>
    <w:p w14:paraId="4DC01EC5">
      <w:pPr>
        <w:snapToGrid w:val="0"/>
        <w:spacing w:before="50" w:after="50" w:line="440" w:lineRule="exact"/>
        <w:ind w:firstLine="138" w:firstLineChars="49"/>
        <w:jc w:val="center"/>
        <w:rPr>
          <w:b/>
          <w:sz w:val="28"/>
          <w:szCs w:val="28"/>
        </w:rPr>
      </w:pPr>
      <w:r>
        <w:rPr>
          <w:b/>
          <w:sz w:val="28"/>
          <w:szCs w:val="28"/>
        </w:rPr>
        <w:t>目录</w:t>
      </w:r>
    </w:p>
    <w:p w14:paraId="289F7BB4">
      <w:pPr>
        <w:jc w:val="center"/>
        <w:rPr>
          <w:b/>
          <w:sz w:val="24"/>
        </w:rPr>
      </w:pPr>
      <w:r>
        <w:rPr>
          <w:b/>
          <w:sz w:val="24"/>
        </w:rPr>
        <w:t>（需有页码）</w:t>
      </w:r>
    </w:p>
    <w:p w14:paraId="55CA6776">
      <w:pPr>
        <w:jc w:val="center"/>
        <w:outlineLvl w:val="9"/>
        <w:rPr>
          <w:rFonts w:hint="eastAsia"/>
          <w:bCs/>
          <w:vanish/>
          <w:sz w:val="24"/>
        </w:rPr>
      </w:pPr>
      <w:r>
        <w:br w:type="page"/>
      </w:r>
      <w:r>
        <w:rPr>
          <w:bCs/>
          <w:sz w:val="24"/>
        </w:rPr>
        <w:t>第一部分 资格</w:t>
      </w:r>
      <w:r>
        <w:rPr>
          <w:rFonts w:hint="eastAsia"/>
          <w:bCs/>
          <w:sz w:val="24"/>
        </w:rPr>
        <w:t>证明</w:t>
      </w:r>
      <w:r>
        <w:rPr>
          <w:bCs/>
          <w:sz w:val="24"/>
        </w:rPr>
        <w:t>文件</w:t>
      </w:r>
    </w:p>
    <w:p w14:paraId="5F01FC77">
      <w:pPr>
        <w:snapToGrid w:val="0"/>
        <w:spacing w:before="50" w:after="120" w:afterLines="50" w:line="400" w:lineRule="exact"/>
        <w:jc w:val="left"/>
        <w:rPr>
          <w:b/>
          <w:szCs w:val="21"/>
        </w:rPr>
      </w:pPr>
      <w:bookmarkStart w:id="87" w:name="_Hlk19199154"/>
    </w:p>
    <w:p w14:paraId="769BF4FA">
      <w:pPr>
        <w:snapToGrid w:val="0"/>
        <w:spacing w:before="50" w:after="120" w:afterLines="50" w:line="400" w:lineRule="exact"/>
        <w:jc w:val="left"/>
        <w:rPr>
          <w:rFonts w:hint="eastAsia"/>
          <w:b/>
          <w:szCs w:val="21"/>
        </w:rPr>
      </w:pPr>
      <w:r>
        <w:rPr>
          <w:b/>
          <w:szCs w:val="21"/>
        </w:rPr>
        <w:t>1．响应声明书格式：</w:t>
      </w:r>
      <w:bookmarkEnd w:id="87"/>
    </w:p>
    <w:p w14:paraId="7AF8AEC9">
      <w:pPr>
        <w:snapToGrid w:val="0"/>
        <w:spacing w:before="120" w:beforeLines="50" w:after="50" w:line="360" w:lineRule="exact"/>
        <w:jc w:val="center"/>
        <w:rPr>
          <w:b/>
          <w:szCs w:val="21"/>
        </w:rPr>
      </w:pPr>
      <w:r>
        <w:rPr>
          <w:b/>
          <w:szCs w:val="21"/>
        </w:rPr>
        <w:t>响应声明书</w:t>
      </w:r>
    </w:p>
    <w:p w14:paraId="4A6F5087">
      <w:pPr>
        <w:snapToGrid w:val="0"/>
        <w:spacing w:before="120" w:beforeLines="50" w:after="50" w:line="360" w:lineRule="exact"/>
        <w:jc w:val="center"/>
        <w:rPr>
          <w:szCs w:val="21"/>
        </w:rPr>
      </w:pPr>
    </w:p>
    <w:p w14:paraId="55803A4B">
      <w:pPr>
        <w:snapToGrid w:val="0"/>
        <w:spacing w:before="120" w:beforeLines="50" w:after="50" w:line="360" w:lineRule="exact"/>
        <w:rPr>
          <w:szCs w:val="21"/>
        </w:rPr>
      </w:pPr>
      <w:bookmarkStart w:id="88"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2C9778D">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DCA7D98">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szCs w:val="21"/>
        </w:rPr>
      </w:pPr>
      <w:r>
        <w:rPr>
          <w:szCs w:val="21"/>
        </w:rPr>
        <w:t>（1）我方向贵方提交的所有响应文件、资料都是准确的和真实的。</w:t>
      </w:r>
    </w:p>
    <w:p w14:paraId="2FD085C1">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09C8DEA">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3519EF65">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88"/>
    <w:p w14:paraId="371C8134">
      <w:pPr>
        <w:snapToGrid w:val="0"/>
        <w:spacing w:before="120" w:beforeLines="50" w:line="360" w:lineRule="exact"/>
        <w:ind w:firstLine="420" w:firstLineChars="200"/>
        <w:rPr>
          <w:szCs w:val="21"/>
        </w:rPr>
      </w:pPr>
    </w:p>
    <w:p w14:paraId="379EBBD7">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517EB697">
      <w:pPr>
        <w:snapToGrid w:val="0"/>
        <w:spacing w:before="120" w:beforeLines="50" w:after="50" w:line="360" w:lineRule="exact"/>
        <w:ind w:firstLine="210" w:firstLineChars="100"/>
        <w:rPr>
          <w:szCs w:val="21"/>
        </w:rPr>
      </w:pPr>
      <w:r>
        <w:rPr>
          <w:szCs w:val="21"/>
        </w:rPr>
        <w:t xml:space="preserve">                                          年    月    日</w:t>
      </w:r>
    </w:p>
    <w:p w14:paraId="1DDF2F4B">
      <w:pPr>
        <w:snapToGrid w:val="0"/>
        <w:spacing w:before="120" w:beforeLines="50" w:after="50" w:line="36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43A299FE">
      <w:pPr>
        <w:snapToGrid w:val="0"/>
        <w:spacing w:before="120" w:beforeLines="50" w:after="50" w:line="440" w:lineRule="exact"/>
        <w:rPr>
          <w:szCs w:val="21"/>
        </w:rPr>
      </w:pPr>
    </w:p>
    <w:p w14:paraId="0C60821E">
      <w:pPr>
        <w:snapToGrid w:val="0"/>
        <w:spacing w:before="120" w:beforeLines="5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0828D334">
      <w:pPr>
        <w:snapToGrid w:val="0"/>
        <w:spacing w:before="50" w:after="120" w:afterLines="50" w:line="440" w:lineRule="exact"/>
        <w:jc w:val="left"/>
        <w:rPr>
          <w:szCs w:val="21"/>
        </w:rPr>
      </w:pPr>
    </w:p>
    <w:p w14:paraId="6C7317D1">
      <w:pPr>
        <w:snapToGrid w:val="0"/>
        <w:spacing w:before="50" w:after="120" w:afterLines="50" w:line="440" w:lineRule="exact"/>
        <w:jc w:val="left"/>
        <w:rPr>
          <w:rFonts w:hint="eastAsia"/>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05F16F82">
      <w:pPr>
        <w:snapToGrid w:val="0"/>
        <w:spacing w:before="50" w:after="120" w:afterLines="50" w:line="440" w:lineRule="exact"/>
        <w:jc w:val="left"/>
      </w:pPr>
    </w:p>
    <w:p w14:paraId="3E4C3CC8">
      <w:pPr>
        <w:snapToGrid w:val="0"/>
        <w:spacing w:before="50" w:after="120" w:afterLines="50" w:line="440" w:lineRule="exact"/>
        <w:jc w:val="left"/>
        <w:rPr>
          <w:b/>
          <w:szCs w:val="21"/>
        </w:rPr>
      </w:pPr>
      <w:r>
        <w:rPr>
          <w:rFonts w:hint="eastAsia"/>
          <w:szCs w:val="21"/>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029029CC">
      <w:pPr>
        <w:snapToGrid w:val="0"/>
        <w:spacing w:before="50" w:after="120" w:afterLines="50" w:line="440" w:lineRule="exact"/>
        <w:jc w:val="left"/>
        <w:rPr>
          <w:szCs w:val="21"/>
        </w:rPr>
      </w:pPr>
    </w:p>
    <w:p w14:paraId="1E403247">
      <w:pPr>
        <w:snapToGrid w:val="0"/>
        <w:spacing w:before="50" w:after="120" w:afterLines="50" w:line="440" w:lineRule="exact"/>
        <w:jc w:val="left"/>
        <w:rPr>
          <w:rFonts w:hint="eastAsia"/>
        </w:rPr>
      </w:pPr>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p w14:paraId="1D215960">
      <w:pPr>
        <w:snapToGrid w:val="0"/>
        <w:spacing w:before="50" w:after="120" w:afterLines="50" w:line="440" w:lineRule="exact"/>
        <w:jc w:val="left"/>
      </w:pPr>
      <w:r>
        <w:br w:type="page"/>
      </w:r>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（如采购文件有要求时提供）</w:t>
      </w:r>
    </w:p>
    <w:p w14:paraId="3B2C96FD">
      <w:pPr>
        <w:snapToGrid w:val="0"/>
        <w:spacing w:before="50" w:after="120" w:afterLines="50" w:line="360" w:lineRule="auto"/>
        <w:jc w:val="left"/>
        <w:rPr>
          <w:szCs w:val="21"/>
        </w:rPr>
      </w:pPr>
      <w:r>
        <w:rPr>
          <w:b/>
          <w:szCs w:val="21"/>
        </w:rPr>
        <w:br w:type="page"/>
      </w: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szCs w:val="21"/>
              </w:rPr>
            </w:pPr>
            <w:r>
              <w:rPr>
                <w:rFonts w:hint="eastAsia"/>
                <w:szCs w:val="21"/>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szCs w:val="21"/>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szCs w:val="21"/>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szCs w:val="21"/>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szCs w:val="21"/>
              </w:rPr>
            </w:pPr>
          </w:p>
        </w:tc>
      </w:tr>
    </w:tbl>
    <w:p w14:paraId="544B746E">
      <w:pPr>
        <w:snapToGrid w:val="0"/>
        <w:spacing w:line="360" w:lineRule="auto"/>
        <w:jc w:val="left"/>
        <w:rPr>
          <w:szCs w:val="21"/>
        </w:rPr>
      </w:pPr>
      <w:r>
        <w:rPr>
          <w:rFonts w:hint="eastAsia"/>
          <w:szCs w:val="21"/>
        </w:rPr>
        <w:t>注：</w:t>
      </w:r>
    </w:p>
    <w:p w14:paraId="38127F8C">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szCs w:val="21"/>
        </w:rPr>
      </w:pPr>
      <w:r>
        <w:rPr>
          <w:rFonts w:hint="eastAsia"/>
          <w:szCs w:val="21"/>
        </w:rPr>
        <w:t>3.供应商不存在直接控股股东的，则填“无”。</w:t>
      </w:r>
    </w:p>
    <w:p w14:paraId="2C706AB0">
      <w:pPr>
        <w:snapToGrid w:val="0"/>
        <w:spacing w:line="360" w:lineRule="auto"/>
        <w:jc w:val="left"/>
        <w:rPr>
          <w:szCs w:val="21"/>
        </w:rPr>
      </w:pPr>
    </w:p>
    <w:p w14:paraId="4278C968">
      <w:pPr>
        <w:snapToGrid w:val="0"/>
        <w:spacing w:line="360" w:lineRule="auto"/>
        <w:jc w:val="left"/>
        <w:rPr>
          <w:szCs w:val="21"/>
        </w:rPr>
      </w:pPr>
    </w:p>
    <w:p w14:paraId="42AAF9B7">
      <w:pPr>
        <w:snapToGrid w:val="0"/>
        <w:spacing w:line="360" w:lineRule="auto"/>
        <w:jc w:val="left"/>
        <w:rPr>
          <w:szCs w:val="21"/>
        </w:rPr>
      </w:pPr>
    </w:p>
    <w:p w14:paraId="159DE791">
      <w:pPr>
        <w:snapToGrid w:val="0"/>
        <w:spacing w:line="360" w:lineRule="auto"/>
        <w:jc w:val="left"/>
        <w:rPr>
          <w:szCs w:val="21"/>
        </w:rPr>
      </w:pPr>
    </w:p>
    <w:p w14:paraId="17E1729B">
      <w:pPr>
        <w:snapToGrid w:val="0"/>
        <w:spacing w:line="360" w:lineRule="auto"/>
        <w:jc w:val="left"/>
        <w:rPr>
          <w:szCs w:val="21"/>
        </w:rPr>
      </w:pPr>
    </w:p>
    <w:p w14:paraId="11E0BC45">
      <w:pPr>
        <w:snapToGrid w:val="0"/>
        <w:spacing w:line="360" w:lineRule="auto"/>
        <w:ind w:firstLine="4410" w:firstLineChars="2100"/>
        <w:rPr>
          <w:szCs w:val="21"/>
        </w:rPr>
      </w:pPr>
      <w:r>
        <w:rPr>
          <w:rFonts w:hint="eastAsia"/>
          <w:szCs w:val="21"/>
        </w:rPr>
        <w:t>供应商名称(电子签章)：</w:t>
      </w:r>
    </w:p>
    <w:p w14:paraId="31152FC3">
      <w:pPr>
        <w:snapToGrid w:val="0"/>
        <w:spacing w:line="360" w:lineRule="auto"/>
        <w:ind w:firstLine="4515" w:firstLineChars="2150"/>
        <w:rPr>
          <w:szCs w:val="21"/>
        </w:rPr>
      </w:pPr>
      <w:r>
        <w:rPr>
          <w:rFonts w:hint="eastAsia"/>
          <w:szCs w:val="21"/>
        </w:rPr>
        <w:t>日期：  年  月   日</w:t>
      </w:r>
    </w:p>
    <w:p w14:paraId="0D407781">
      <w:pPr>
        <w:snapToGrid w:val="0"/>
        <w:jc w:val="left"/>
        <w:rPr>
          <w:szCs w:val="21"/>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szCs w:val="21"/>
              </w:rPr>
            </w:pPr>
            <w:r>
              <w:rPr>
                <w:rFonts w:hint="eastAsia"/>
                <w:szCs w:val="21"/>
              </w:rPr>
              <w:t>备注</w:t>
            </w:r>
          </w:p>
        </w:tc>
      </w:tr>
      <w:tr w14:paraId="64FD3D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szCs w:val="21"/>
              </w:rPr>
            </w:pPr>
          </w:p>
        </w:tc>
      </w:tr>
      <w:tr w14:paraId="5FCE1AC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szCs w:val="21"/>
              </w:rPr>
            </w:pPr>
          </w:p>
        </w:tc>
      </w:tr>
      <w:tr w14:paraId="1275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szCs w:val="21"/>
              </w:rPr>
            </w:pPr>
          </w:p>
        </w:tc>
      </w:tr>
      <w:tr w14:paraId="68889FB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szCs w:val="21"/>
              </w:rPr>
            </w:pPr>
          </w:p>
        </w:tc>
      </w:tr>
    </w:tbl>
    <w:p w14:paraId="54EAD6DE">
      <w:pPr>
        <w:snapToGrid w:val="0"/>
        <w:spacing w:line="360" w:lineRule="auto"/>
        <w:jc w:val="left"/>
        <w:rPr>
          <w:szCs w:val="21"/>
        </w:rPr>
      </w:pPr>
      <w:r>
        <w:rPr>
          <w:rFonts w:hint="eastAsia"/>
          <w:szCs w:val="21"/>
        </w:rPr>
        <w:t>注：</w:t>
      </w:r>
    </w:p>
    <w:p w14:paraId="7B5ABF54">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1E12B9C6">
      <w:pPr>
        <w:snapToGrid w:val="0"/>
        <w:spacing w:line="360" w:lineRule="auto"/>
        <w:ind w:firstLine="420" w:firstLineChars="200"/>
        <w:jc w:val="left"/>
        <w:rPr>
          <w:szCs w:val="21"/>
        </w:rPr>
      </w:pPr>
      <w:r>
        <w:rPr>
          <w:rFonts w:hint="eastAsia"/>
          <w:szCs w:val="21"/>
        </w:rPr>
        <w:t>3.供应商不存在直接管理关系的，则填“无”。</w:t>
      </w:r>
    </w:p>
    <w:p w14:paraId="295C4F78">
      <w:pPr>
        <w:snapToGrid w:val="0"/>
        <w:spacing w:line="360" w:lineRule="auto"/>
        <w:jc w:val="left"/>
        <w:rPr>
          <w:szCs w:val="21"/>
        </w:rPr>
      </w:pPr>
    </w:p>
    <w:p w14:paraId="3C065D3B">
      <w:pPr>
        <w:snapToGrid w:val="0"/>
        <w:spacing w:line="360" w:lineRule="auto"/>
        <w:jc w:val="left"/>
        <w:rPr>
          <w:szCs w:val="21"/>
        </w:rPr>
      </w:pPr>
    </w:p>
    <w:p w14:paraId="435FB228">
      <w:pPr>
        <w:snapToGrid w:val="0"/>
        <w:spacing w:line="360" w:lineRule="auto"/>
        <w:jc w:val="left"/>
        <w:rPr>
          <w:szCs w:val="21"/>
        </w:rPr>
      </w:pPr>
    </w:p>
    <w:p w14:paraId="5B0536FB">
      <w:pPr>
        <w:snapToGrid w:val="0"/>
        <w:spacing w:line="360" w:lineRule="auto"/>
        <w:jc w:val="left"/>
        <w:rPr>
          <w:szCs w:val="21"/>
        </w:rPr>
      </w:pPr>
    </w:p>
    <w:p w14:paraId="059A3D90">
      <w:pPr>
        <w:snapToGrid w:val="0"/>
        <w:spacing w:line="360" w:lineRule="auto"/>
        <w:jc w:val="left"/>
        <w:rPr>
          <w:szCs w:val="21"/>
        </w:rPr>
      </w:pPr>
    </w:p>
    <w:p w14:paraId="2E04DC69">
      <w:pPr>
        <w:snapToGrid w:val="0"/>
        <w:spacing w:line="360" w:lineRule="auto"/>
        <w:jc w:val="left"/>
        <w:rPr>
          <w:szCs w:val="21"/>
        </w:rPr>
      </w:pPr>
    </w:p>
    <w:p w14:paraId="575B9F1A">
      <w:pPr>
        <w:snapToGrid w:val="0"/>
        <w:spacing w:line="360" w:lineRule="auto"/>
        <w:jc w:val="left"/>
        <w:rPr>
          <w:szCs w:val="21"/>
        </w:rPr>
      </w:pPr>
    </w:p>
    <w:p w14:paraId="35D6B035">
      <w:pPr>
        <w:snapToGrid w:val="0"/>
        <w:spacing w:line="360" w:lineRule="auto"/>
        <w:jc w:val="left"/>
        <w:rPr>
          <w:szCs w:val="21"/>
        </w:rPr>
      </w:pPr>
    </w:p>
    <w:p w14:paraId="16154A45">
      <w:pPr>
        <w:snapToGrid w:val="0"/>
        <w:spacing w:line="360" w:lineRule="auto"/>
        <w:ind w:firstLine="4410" w:firstLineChars="2100"/>
        <w:rPr>
          <w:szCs w:val="21"/>
        </w:rPr>
      </w:pPr>
      <w:r>
        <w:rPr>
          <w:rFonts w:hint="eastAsia"/>
          <w:szCs w:val="21"/>
        </w:rPr>
        <w:t>供应商名称(电子签章)：</w:t>
      </w:r>
    </w:p>
    <w:p w14:paraId="10C6908D">
      <w:pPr>
        <w:snapToGrid w:val="0"/>
        <w:spacing w:line="360" w:lineRule="auto"/>
        <w:ind w:firstLine="4515" w:firstLineChars="2150"/>
        <w:rPr>
          <w:szCs w:val="21"/>
        </w:rPr>
      </w:pPr>
      <w:r>
        <w:rPr>
          <w:rFonts w:hint="eastAsia"/>
          <w:szCs w:val="21"/>
        </w:rPr>
        <w:t>日期：  年  月   日</w:t>
      </w:r>
    </w:p>
    <w:p w14:paraId="61F6B6D9">
      <w:pPr>
        <w:pStyle w:val="26"/>
        <w:tabs>
          <w:tab w:val="left" w:pos="2127"/>
        </w:tabs>
        <w:spacing w:line="340" w:lineRule="exact"/>
        <w:rPr>
          <w:rFonts w:ascii="Times New Roman" w:hAnsi="Times New Roman" w:cs="Times New Roman"/>
        </w:rPr>
      </w:pPr>
    </w:p>
    <w:p w14:paraId="60ED23EA">
      <w:pPr>
        <w:snapToGrid w:val="0"/>
        <w:spacing w:before="50" w:after="120" w:afterLines="50" w:line="440" w:lineRule="exact"/>
        <w:jc w:val="left"/>
        <w:rPr>
          <w:rFonts w:hint="eastAsia"/>
          <w:b/>
          <w:szCs w:val="21"/>
        </w:rPr>
      </w:pPr>
      <w:r>
        <w:br w:type="page"/>
      </w:r>
      <w:r>
        <w:rPr>
          <w:rFonts w:hint="eastAsia"/>
          <w:szCs w:val="21"/>
        </w:rPr>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1E21764D">
      <w:pPr>
        <w:snapToGrid w:val="0"/>
        <w:spacing w:before="50" w:after="120" w:afterLines="50" w:line="440" w:lineRule="exact"/>
        <w:jc w:val="left"/>
      </w:pPr>
      <w:r>
        <w:rPr>
          <w:rFonts w:hint="eastAsia"/>
        </w:rPr>
        <w:t>（1）</w:t>
      </w:r>
      <w:r>
        <w:rPr>
          <w:rFonts w:hint="eastAsia"/>
          <w:b/>
          <w:bCs/>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108AB64A">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p w14:paraId="3FC63D0F">
      <w:pPr>
        <w:spacing w:line="360" w:lineRule="auto"/>
        <w:jc w:val="center"/>
        <w:rPr>
          <w:b/>
          <w:bCs/>
          <w:sz w:val="28"/>
          <w:szCs w:val="36"/>
        </w:rPr>
      </w:pPr>
    </w:p>
    <w:p w14:paraId="0F6493B0">
      <w:pPr>
        <w:spacing w:line="360" w:lineRule="auto"/>
        <w:jc w:val="center"/>
        <w:rPr>
          <w:b/>
          <w:bCs/>
          <w:sz w:val="28"/>
          <w:szCs w:val="36"/>
        </w:rPr>
      </w:pPr>
      <w:r>
        <w:rPr>
          <w:rFonts w:hint="eastAsia"/>
          <w:b/>
          <w:bCs/>
          <w:sz w:val="28"/>
          <w:szCs w:val="36"/>
        </w:rPr>
        <w:t>响应保函格式</w:t>
      </w:r>
    </w:p>
    <w:p w14:paraId="28EDE7F6">
      <w:pPr>
        <w:snapToGrid w:val="0"/>
        <w:spacing w:before="50" w:after="120" w:afterLines="50"/>
        <w:jc w:val="left"/>
      </w:pPr>
      <w:r>
        <w:rPr>
          <w:rFonts w:hint="eastAsia"/>
        </w:rPr>
        <w:t xml:space="preserve">编号：           </w:t>
      </w:r>
    </w:p>
    <w:p w14:paraId="5CE3AD6A">
      <w:pPr>
        <w:snapToGrid w:val="0"/>
        <w:spacing w:before="50" w:after="120" w:afterLines="50"/>
        <w:jc w:val="left"/>
      </w:pPr>
      <w:r>
        <w:rPr>
          <w:rFonts w:hint="eastAsia"/>
        </w:rPr>
        <w:t>申请人：</w:t>
      </w:r>
    </w:p>
    <w:p w14:paraId="66BE81E4">
      <w:pPr>
        <w:snapToGrid w:val="0"/>
        <w:spacing w:before="50" w:after="120" w:afterLines="50"/>
        <w:jc w:val="left"/>
      </w:pPr>
      <w:r>
        <w:rPr>
          <w:rFonts w:hint="eastAsia"/>
        </w:rPr>
        <w:t>地址：</w:t>
      </w:r>
    </w:p>
    <w:p w14:paraId="3E1E9E19">
      <w:pPr>
        <w:snapToGrid w:val="0"/>
        <w:spacing w:before="50" w:after="120" w:afterLines="50"/>
        <w:jc w:val="left"/>
      </w:pPr>
      <w:r>
        <w:rPr>
          <w:rFonts w:hint="eastAsia"/>
        </w:rPr>
        <w:t xml:space="preserve">受益人：广西机电设备招标有限公司 </w:t>
      </w:r>
    </w:p>
    <w:p w14:paraId="37D045A3">
      <w:pPr>
        <w:snapToGrid w:val="0"/>
        <w:spacing w:before="50" w:after="120" w:afterLines="50"/>
        <w:jc w:val="left"/>
      </w:pPr>
      <w:r>
        <w:rPr>
          <w:rFonts w:hint="eastAsia"/>
        </w:rPr>
        <w:t>地址：</w:t>
      </w:r>
    </w:p>
    <w:p w14:paraId="605CE087">
      <w:pPr>
        <w:snapToGrid w:val="0"/>
        <w:spacing w:before="50" w:after="120" w:afterLines="50"/>
        <w:jc w:val="left"/>
      </w:pPr>
      <w:r>
        <w:rPr>
          <w:rFonts w:hint="eastAsia"/>
        </w:rPr>
        <w:t>开立人：</w:t>
      </w:r>
    </w:p>
    <w:p w14:paraId="2A5B31E1">
      <w:pPr>
        <w:snapToGrid w:val="0"/>
        <w:spacing w:before="50" w:after="120" w:afterLines="50"/>
        <w:jc w:val="left"/>
      </w:pPr>
      <w:r>
        <w:rPr>
          <w:rFonts w:hint="eastAsia"/>
        </w:rPr>
        <w:t>地址：</w:t>
      </w:r>
    </w:p>
    <w:p w14:paraId="2B13248F">
      <w:pPr>
        <w:snapToGrid w:val="0"/>
        <w:spacing w:before="50" w:after="120" w:afterLines="50" w:line="440" w:lineRule="exact"/>
        <w:jc w:val="left"/>
      </w:pPr>
    </w:p>
    <w:p w14:paraId="60AE2A58">
      <w:pPr>
        <w:snapToGrid w:val="0"/>
        <w:spacing w:before="50" w:after="120" w:afterLines="50" w:line="276" w:lineRule="auto"/>
        <w:jc w:val="left"/>
      </w:pPr>
      <w:r>
        <w:rPr>
          <w:rFonts w:hint="eastAsia"/>
        </w:rPr>
        <w:t>致：广西机电设备招标有限公司</w:t>
      </w:r>
    </w:p>
    <w:p w14:paraId="10B18540">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36B70C69">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74262612">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1485684F">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7BAE5653">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0E48292E">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012F3B6F">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489AAA8B">
      <w:pPr>
        <w:snapToGrid w:val="0"/>
        <w:spacing w:before="50" w:after="120" w:afterLines="50" w:line="276" w:lineRule="auto"/>
        <w:ind w:firstLine="420" w:firstLineChars="200"/>
        <w:jc w:val="left"/>
      </w:pPr>
      <w:r>
        <w:rPr>
          <w:rFonts w:hint="eastAsia"/>
        </w:rPr>
        <w:t>（5）投标人违反招标文件规定的其他情形。</w:t>
      </w:r>
    </w:p>
    <w:p w14:paraId="40FD57F5">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w:t>
      </w:r>
      <w:r>
        <w:rPr>
          <w:rFonts w:hint="eastAsia"/>
          <w:color w:val="227ACB"/>
          <w:u w:val="single"/>
        </w:rPr>
        <w:t xml:space="preserve"> 28</w:t>
      </w:r>
      <w:r>
        <w:rPr>
          <w:rFonts w:hint="eastAsia"/>
          <w:u w:val="single"/>
        </w:rPr>
        <w:t xml:space="preserve">  </w:t>
      </w:r>
      <w:r>
        <w:rPr>
          <w:rFonts w:hint="eastAsia"/>
        </w:rPr>
        <w:t>日。投标有效期延长的，本保函有效期相应顺延。</w:t>
      </w:r>
    </w:p>
    <w:p w14:paraId="7E0A59EE">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w:t>
      </w:r>
      <w:r>
        <w:rPr>
          <w:rFonts w:hint="eastAsia"/>
          <w:color w:val="227ACB"/>
          <w:u w:val="single"/>
        </w:rPr>
        <w:t xml:space="preserve"> 5   </w:t>
      </w:r>
      <w:r>
        <w:rPr>
          <w:rFonts w:hint="eastAsia"/>
          <w:u w:val="single"/>
        </w:rPr>
        <w:t xml:space="preserve"> </w:t>
      </w:r>
      <w:r>
        <w:rPr>
          <w:rFonts w:hint="eastAsia"/>
        </w:rPr>
        <w:t>日内无条件支付，前述书面付款通知即为付款要求之单据，且应满足以下要求：</w:t>
      </w:r>
    </w:p>
    <w:p w14:paraId="3205C1B8">
      <w:pPr>
        <w:snapToGrid w:val="0"/>
        <w:spacing w:before="50" w:after="120" w:afterLines="50" w:line="276" w:lineRule="auto"/>
        <w:ind w:firstLine="420" w:firstLineChars="200"/>
        <w:jc w:val="left"/>
      </w:pPr>
      <w:r>
        <w:rPr>
          <w:rFonts w:hint="eastAsia"/>
        </w:rPr>
        <w:t>（1）付款通知到达的日期在本保函的有效期内；</w:t>
      </w:r>
    </w:p>
    <w:p w14:paraId="11330D04">
      <w:pPr>
        <w:snapToGrid w:val="0"/>
        <w:spacing w:before="50" w:after="120" w:afterLines="50" w:line="276" w:lineRule="auto"/>
        <w:ind w:firstLine="420" w:firstLineChars="200"/>
        <w:jc w:val="left"/>
      </w:pPr>
      <w:r>
        <w:rPr>
          <w:rFonts w:hint="eastAsia"/>
        </w:rPr>
        <w:t>（2）载明要求支付的金额；</w:t>
      </w:r>
    </w:p>
    <w:p w14:paraId="7DE2411F">
      <w:pPr>
        <w:snapToGrid w:val="0"/>
        <w:spacing w:before="50" w:after="120" w:afterLines="50" w:line="276" w:lineRule="auto"/>
        <w:ind w:firstLine="420" w:firstLineChars="200"/>
        <w:jc w:val="left"/>
      </w:pPr>
      <w:r>
        <w:rPr>
          <w:rFonts w:hint="eastAsia"/>
        </w:rPr>
        <w:t>（3）载明申请人违反采购文件规定的义务内容和具体条款；</w:t>
      </w:r>
    </w:p>
    <w:p w14:paraId="05016B9C">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6E045066">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2CB61FF9">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51438D64">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29819475">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7844584B">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0639719">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6875A2D5">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62DCD4F2">
      <w:pPr>
        <w:snapToGrid w:val="0"/>
        <w:spacing w:before="50" w:after="120" w:afterLines="50" w:line="276" w:lineRule="auto"/>
        <w:jc w:val="left"/>
      </w:pPr>
    </w:p>
    <w:p w14:paraId="6881C664">
      <w:pPr>
        <w:snapToGrid w:val="0"/>
        <w:spacing w:before="50" w:after="120" w:afterLines="50" w:line="276" w:lineRule="auto"/>
        <w:jc w:val="left"/>
      </w:pPr>
      <w:r>
        <w:rPr>
          <w:rFonts w:hint="eastAsia"/>
        </w:rPr>
        <w:t xml:space="preserve">开 立 人：                                                  （公章） </w:t>
      </w:r>
    </w:p>
    <w:p w14:paraId="698DE246">
      <w:pPr>
        <w:snapToGrid w:val="0"/>
        <w:spacing w:before="50" w:after="120" w:afterLines="50" w:line="276" w:lineRule="auto"/>
        <w:jc w:val="left"/>
      </w:pPr>
      <w:r>
        <w:rPr>
          <w:rFonts w:hint="eastAsia"/>
        </w:rPr>
        <w:t xml:space="preserve">法定代表人（或授权代表） ：               （签字） </w:t>
      </w:r>
    </w:p>
    <w:p w14:paraId="6D7196DB">
      <w:pPr>
        <w:snapToGrid w:val="0"/>
        <w:spacing w:before="50" w:after="120" w:afterLines="50" w:line="276" w:lineRule="auto"/>
        <w:jc w:val="left"/>
      </w:pPr>
      <w:r>
        <w:rPr>
          <w:rFonts w:hint="eastAsia"/>
        </w:rPr>
        <w:t xml:space="preserve">地    址：                                       </w:t>
      </w:r>
    </w:p>
    <w:p w14:paraId="262C0644">
      <w:pPr>
        <w:snapToGrid w:val="0"/>
        <w:spacing w:before="50" w:after="120" w:afterLines="50" w:line="276" w:lineRule="auto"/>
        <w:jc w:val="left"/>
      </w:pPr>
      <w:r>
        <w:rPr>
          <w:rFonts w:hint="eastAsia"/>
        </w:rPr>
        <w:t xml:space="preserve">邮政编码：                 </w:t>
      </w:r>
    </w:p>
    <w:p w14:paraId="75B09D28">
      <w:pPr>
        <w:snapToGrid w:val="0"/>
        <w:spacing w:before="50" w:after="120" w:afterLines="50" w:line="276" w:lineRule="auto"/>
        <w:jc w:val="left"/>
      </w:pPr>
      <w:r>
        <w:rPr>
          <w:rFonts w:hint="eastAsia"/>
        </w:rPr>
        <w:t xml:space="preserve">电    话：                 </w:t>
      </w:r>
    </w:p>
    <w:p w14:paraId="2442E011">
      <w:pPr>
        <w:snapToGrid w:val="0"/>
        <w:spacing w:before="50" w:after="120" w:afterLines="50" w:line="276" w:lineRule="auto"/>
        <w:jc w:val="left"/>
      </w:pPr>
      <w:r>
        <w:rPr>
          <w:rFonts w:hint="eastAsia"/>
        </w:rPr>
        <w:t xml:space="preserve">传    真：                 </w:t>
      </w:r>
    </w:p>
    <w:p w14:paraId="6953D17C">
      <w:pPr>
        <w:snapToGrid w:val="0"/>
        <w:spacing w:before="50" w:after="120" w:afterLines="50" w:line="276" w:lineRule="auto"/>
        <w:jc w:val="left"/>
      </w:pPr>
      <w:r>
        <w:rPr>
          <w:rFonts w:hint="eastAsia"/>
        </w:rPr>
        <w:t>开立时间：      年       月        日</w:t>
      </w:r>
    </w:p>
    <w:p w14:paraId="7AC5215E">
      <w:pPr>
        <w:snapToGrid w:val="0"/>
        <w:spacing w:before="50" w:after="120" w:afterLines="50" w:line="440" w:lineRule="exact"/>
        <w:jc w:val="left"/>
      </w:pPr>
      <w:r>
        <w:br w:type="page"/>
      </w:r>
      <w:r>
        <w:rPr>
          <w:rFonts w:hint="eastAsia"/>
          <w:szCs w:val="21"/>
        </w:rPr>
        <w:t>9</w:t>
      </w:r>
      <w:r>
        <w:rPr>
          <w:szCs w:val="21"/>
        </w:rPr>
        <w:t>．供应商认为应当要提交的资格证明材料。</w:t>
      </w:r>
    </w:p>
    <w:p w14:paraId="1AB2D03A">
      <w:pPr>
        <w:spacing w:line="276" w:lineRule="auto"/>
        <w:rPr>
          <w:szCs w:val="21"/>
        </w:rPr>
      </w:pPr>
    </w:p>
    <w:p w14:paraId="2A94B072">
      <w:pPr>
        <w:pStyle w:val="7"/>
        <w:overflowPunct w:val="0"/>
        <w:ind w:firstLine="0"/>
        <w:rPr>
          <w:rFonts w:hint="eastAsia"/>
        </w:rPr>
      </w:pPr>
    </w:p>
    <w:p w14:paraId="6D74389F">
      <w:pPr>
        <w:snapToGrid w:val="0"/>
        <w:spacing w:before="50" w:after="120" w:afterLines="50" w:line="400" w:lineRule="exact"/>
        <w:jc w:val="left"/>
        <w:rPr>
          <w:bCs/>
          <w:sz w:val="24"/>
        </w:rPr>
      </w:pPr>
    </w:p>
    <w:p w14:paraId="1C97B57A">
      <w:pPr>
        <w:snapToGrid w:val="0"/>
        <w:spacing w:before="120" w:beforeLines="50" w:after="50" w:afterLines="0" w:line="440" w:lineRule="exact"/>
        <w:jc w:val="left"/>
        <w:outlineLvl w:val="1"/>
        <w:rPr>
          <w:rFonts w:hint="default" w:ascii="Times New Roman" w:hAnsi="Times New Roman" w:eastAsia="宋体" w:cs="Times New Roman"/>
          <w:b/>
          <w:sz w:val="24"/>
          <w:szCs w:val="24"/>
        </w:rPr>
      </w:pPr>
      <w:r>
        <w:br w:type="page"/>
      </w:r>
      <w:r>
        <w:rPr>
          <w:rFonts w:hint="eastAsia"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w:t>
      </w:r>
      <w:r>
        <w:rPr>
          <w:rFonts w:hint="eastAsia" w:ascii="宋体" w:hAnsi="宋体" w:eastAsia="宋体" w:cs="Times New Roman"/>
          <w:b w:val="0"/>
          <w:bCs w:val="0"/>
          <w:sz w:val="24"/>
          <w:szCs w:val="24"/>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sz w:val="24"/>
          <w:szCs w:val="24"/>
        </w:rPr>
      </w:pPr>
    </w:p>
    <w:p w14:paraId="5E4DF0E6">
      <w:pPr>
        <w:snapToGrid w:val="0"/>
        <w:spacing w:before="120" w:beforeLines="50" w:after="50" w:afterLines="0" w:line="360" w:lineRule="exact"/>
        <w:jc w:val="right"/>
        <w:rPr>
          <w:rFonts w:hint="default" w:ascii="Times New Roman" w:hAnsi="Times New Roman" w:eastAsia="宋体" w:cs="Times New Roman"/>
          <w:sz w:val="24"/>
          <w:szCs w:val="24"/>
        </w:rPr>
      </w:pPr>
    </w:p>
    <w:p w14:paraId="5ACA8B7E">
      <w:pPr>
        <w:snapToGrid w:val="0"/>
        <w:spacing w:before="120" w:beforeLines="50" w:after="50" w:afterLines="0" w:line="360" w:lineRule="exact"/>
        <w:jc w:val="center"/>
        <w:rPr>
          <w:rFonts w:hint="default" w:ascii="Times New Roman" w:hAnsi="Times New Roman" w:eastAsia="宋体" w:cs="Times New Roman"/>
          <w:sz w:val="24"/>
          <w:szCs w:val="24"/>
        </w:rPr>
      </w:pPr>
      <w:r>
        <w:rPr>
          <w:rFonts w:hint="eastAsia" w:ascii="宋体" w:hAnsi="宋体" w:eastAsia="宋体" w:cs="Times New Roman"/>
          <w:b/>
          <w:sz w:val="44"/>
          <w:szCs w:val="24"/>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sz w:val="44"/>
          <w:szCs w:val="24"/>
        </w:rPr>
      </w:pPr>
    </w:p>
    <w:p w14:paraId="753FD8F6">
      <w:pPr>
        <w:snapToGrid w:val="0"/>
        <w:spacing w:before="120" w:beforeLines="50" w:after="50" w:afterLines="0" w:line="360" w:lineRule="exact"/>
        <w:jc w:val="center"/>
        <w:rPr>
          <w:rFonts w:hint="default" w:ascii="Times New Roman" w:hAnsi="Times New Roman" w:eastAsia="宋体" w:cs="Times New Roman"/>
          <w:b/>
          <w:sz w:val="44"/>
          <w:szCs w:val="24"/>
        </w:rPr>
      </w:pPr>
    </w:p>
    <w:p w14:paraId="1F1E743F">
      <w:pPr>
        <w:snapToGrid w:val="0"/>
        <w:spacing w:before="120" w:beforeLines="50" w:after="50" w:afterLines="0" w:line="360" w:lineRule="exact"/>
        <w:jc w:val="center"/>
        <w:rPr>
          <w:rFonts w:hint="default" w:ascii="Times New Roman" w:hAnsi="Times New Roman" w:eastAsia="宋体" w:cs="Times New Roman"/>
          <w:b/>
          <w:sz w:val="44"/>
          <w:szCs w:val="24"/>
        </w:rPr>
      </w:pPr>
      <w:r>
        <w:rPr>
          <w:rFonts w:hint="eastAsia" w:ascii="Times New Roman" w:hAnsi="Times New Roman" w:eastAsia="宋体" w:cs="Times New Roman"/>
          <w:b/>
          <w:sz w:val="44"/>
          <w:szCs w:val="24"/>
          <w:lang w:val="en-US" w:eastAsia="zh-CN"/>
        </w:rPr>
        <w:t>商</w:t>
      </w:r>
      <w:r>
        <w:rPr>
          <w:rFonts w:hint="eastAsia" w:ascii="Times New Roman" w:hAnsi="Times New Roman" w:eastAsia="宋体" w:cs="Times New Roman"/>
          <w:b/>
          <w:sz w:val="44"/>
          <w:szCs w:val="24"/>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sz w:val="44"/>
          <w:szCs w:val="24"/>
        </w:rPr>
      </w:pPr>
    </w:p>
    <w:p w14:paraId="2B7DEB4C">
      <w:pPr>
        <w:snapToGrid w:val="0"/>
        <w:spacing w:before="120" w:beforeLines="50" w:after="50" w:afterLines="0" w:line="360" w:lineRule="exact"/>
        <w:rPr>
          <w:rFonts w:hint="default" w:ascii="Times New Roman" w:hAnsi="Times New Roman" w:eastAsia="宋体" w:cs="Times New Roman"/>
          <w:sz w:val="24"/>
          <w:szCs w:val="24"/>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分标号：（若无留空或写</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供应商地址：</w:t>
      </w:r>
    </w:p>
    <w:p w14:paraId="0DCA0AD0">
      <w:pPr>
        <w:pStyle w:val="7"/>
        <w:snapToGrid w:val="0"/>
        <w:spacing w:before="50" w:beforeLines="0" w:after="50" w:afterLines="0" w:line="360" w:lineRule="exact"/>
        <w:ind w:firstLine="960" w:firstLineChars="400"/>
        <w:rPr>
          <w:rFonts w:hint="default" w:ascii="Times New Roman" w:hAnsi="Times New Roman" w:eastAsia="宋体" w:cs="Times New Roman"/>
          <w:sz w:val="24"/>
          <w:szCs w:val="24"/>
        </w:rPr>
      </w:pPr>
    </w:p>
    <w:p w14:paraId="1ECC2634">
      <w:pPr>
        <w:snapToGrid w:val="0"/>
        <w:spacing w:before="120" w:beforeLines="50" w:after="50" w:afterLines="0"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rPr>
        <w:t>年  月  日</w:t>
      </w:r>
    </w:p>
    <w:p w14:paraId="0FF8CB36">
      <w:pPr>
        <w:snapToGrid w:val="0"/>
        <w:spacing w:before="120" w:beforeLines="50" w:after="50" w:line="440" w:lineRule="exact"/>
        <w:jc w:val="center"/>
        <w:outlineLvl w:val="1"/>
        <w:rPr>
          <w:bCs/>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sz w:val="24"/>
        </w:rPr>
      </w:pPr>
    </w:p>
    <w:p w14:paraId="217D74BA">
      <w:pPr>
        <w:snapToGrid w:val="0"/>
        <w:spacing w:before="120" w:beforeLines="50" w:after="50" w:line="440" w:lineRule="exact"/>
        <w:jc w:val="center"/>
        <w:rPr>
          <w:rFonts w:ascii="Times New Roman" w:hAnsi="Times New Roman" w:eastAsia="宋体" w:cs="Times New Roman"/>
          <w:sz w:val="24"/>
        </w:rPr>
      </w:pPr>
    </w:p>
    <w:p w14:paraId="3F7F300E">
      <w:pPr>
        <w:snapToGrid w:val="0"/>
        <w:spacing w:before="50" w:after="50" w:line="440" w:lineRule="exact"/>
        <w:ind w:firstLine="138" w:firstLineChars="49"/>
        <w:jc w:val="center"/>
        <w:rPr>
          <w:rFonts w:ascii="Times New Roman" w:hAnsi="Times New Roman" w:eastAsia="宋体" w:cs="Times New Roman"/>
          <w:b/>
          <w:sz w:val="28"/>
          <w:szCs w:val="28"/>
        </w:rPr>
      </w:pPr>
      <w:r>
        <w:rPr>
          <w:rFonts w:ascii="Times New Roman" w:hAnsi="Times New Roman" w:eastAsia="宋体" w:cs="Times New Roman"/>
          <w:b/>
          <w:sz w:val="28"/>
          <w:szCs w:val="28"/>
        </w:rPr>
        <w:t>目录</w:t>
      </w:r>
    </w:p>
    <w:p w14:paraId="1D8E922C">
      <w:pPr>
        <w:jc w:val="center"/>
        <w:rPr>
          <w:rFonts w:ascii="Times New Roman" w:hAnsi="Times New Roman" w:eastAsia="宋体" w:cs="Times New Roman"/>
          <w:b/>
          <w:sz w:val="24"/>
        </w:rPr>
      </w:pPr>
      <w:r>
        <w:rPr>
          <w:rFonts w:ascii="Times New Roman" w:hAnsi="Times New Roman" w:eastAsia="宋体" w:cs="Times New Roman"/>
          <w:b/>
          <w:sz w:val="24"/>
        </w:rPr>
        <w:t>（需有页码）</w:t>
      </w:r>
    </w:p>
    <w:p w14:paraId="5F8B9019">
      <w:pPr>
        <w:snapToGrid w:val="0"/>
        <w:spacing w:before="120" w:beforeLines="50" w:after="50" w:line="440" w:lineRule="exact"/>
        <w:jc w:val="center"/>
        <w:outlineLvl w:val="9"/>
        <w:rPr>
          <w:bCs/>
          <w:sz w:val="24"/>
        </w:rPr>
        <w:sectPr>
          <w:headerReference r:id="rId19"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sz w:val="24"/>
        </w:rPr>
      </w:pPr>
      <w:r>
        <w:rPr>
          <w:bCs/>
          <w:sz w:val="24"/>
        </w:rPr>
        <w:t>第二部分 商务</w:t>
      </w:r>
      <w:r>
        <w:rPr>
          <w:rFonts w:hint="eastAsia"/>
          <w:bCs/>
          <w:sz w:val="24"/>
        </w:rPr>
        <w:t>技术</w:t>
      </w:r>
      <w:r>
        <w:rPr>
          <w:bCs/>
          <w:sz w:val="24"/>
        </w:rPr>
        <w:t>文件</w:t>
      </w:r>
    </w:p>
    <w:p w14:paraId="74BBB3AA">
      <w:pPr>
        <w:snapToGrid w:val="0"/>
        <w:spacing w:before="120" w:beforeLines="50" w:after="50" w:line="360" w:lineRule="exact"/>
        <w:rPr>
          <w:b/>
          <w:szCs w:val="21"/>
        </w:rPr>
      </w:pPr>
      <w:bookmarkStart w:id="89"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89"/>
    <w:p w14:paraId="0E7961ED">
      <w:pPr>
        <w:jc w:val="center"/>
      </w:pPr>
      <w:bookmarkStart w:id="90" w:name="_Toc462320613"/>
      <w:bookmarkStart w:id="91" w:name="_Toc455309222"/>
      <w:bookmarkStart w:id="92" w:name="_Toc462223472"/>
    </w:p>
    <w:bookmarkEnd w:id="90"/>
    <w:bookmarkEnd w:id="91"/>
    <w:bookmarkEnd w:id="92"/>
    <w:p w14:paraId="57B08A83">
      <w:pPr>
        <w:snapToGrid w:val="0"/>
        <w:spacing w:before="120" w:beforeLines="50" w:after="50" w:line="440" w:lineRule="exact"/>
        <w:jc w:val="center"/>
        <w:rPr>
          <w:b/>
          <w:szCs w:val="21"/>
        </w:rPr>
      </w:pPr>
      <w:r>
        <w:rPr>
          <w:b/>
          <w:szCs w:val="21"/>
        </w:rPr>
        <w:t>法定代表人身份证明</w:t>
      </w:r>
    </w:p>
    <w:p w14:paraId="2E701902">
      <w:pPr>
        <w:spacing w:line="360" w:lineRule="auto"/>
      </w:pPr>
    </w:p>
    <w:p w14:paraId="47D42EDA">
      <w:pPr>
        <w:spacing w:line="360" w:lineRule="auto"/>
      </w:pPr>
    </w:p>
    <w:p w14:paraId="641667F1">
      <w:pPr>
        <w:spacing w:line="540" w:lineRule="exact"/>
        <w:rPr>
          <w:szCs w:val="21"/>
        </w:rPr>
      </w:pPr>
      <w:r>
        <w:rPr>
          <w:szCs w:val="21"/>
        </w:rPr>
        <w:t>供应商名称：</w:t>
      </w:r>
      <w:r>
        <w:rPr>
          <w:szCs w:val="21"/>
          <w:u w:val="single"/>
        </w:rPr>
        <w:t xml:space="preserve">                                         </w:t>
      </w:r>
    </w:p>
    <w:p w14:paraId="164CB009">
      <w:pPr>
        <w:spacing w:line="540" w:lineRule="exact"/>
        <w:rPr>
          <w:szCs w:val="21"/>
        </w:rPr>
      </w:pPr>
      <w:r>
        <w:rPr>
          <w:szCs w:val="21"/>
        </w:rPr>
        <w:t>单位性质：</w:t>
      </w:r>
      <w:r>
        <w:rPr>
          <w:szCs w:val="21"/>
          <w:u w:val="single"/>
        </w:rPr>
        <w:t xml:space="preserve">                                           </w:t>
      </w:r>
    </w:p>
    <w:p w14:paraId="1B1DAC5C">
      <w:pPr>
        <w:spacing w:line="540" w:lineRule="exact"/>
        <w:rPr>
          <w:szCs w:val="21"/>
        </w:rPr>
      </w:pPr>
      <w:r>
        <w:rPr>
          <w:szCs w:val="21"/>
        </w:rPr>
        <w:t>地址：</w:t>
      </w:r>
      <w:r>
        <w:rPr>
          <w:szCs w:val="21"/>
          <w:u w:val="single"/>
        </w:rPr>
        <w:t xml:space="preserve">                                               </w:t>
      </w:r>
    </w:p>
    <w:p w14:paraId="09886799">
      <w:pPr>
        <w:spacing w:line="540" w:lineRule="exact"/>
        <w:rPr>
          <w:szCs w:val="21"/>
          <w:u w:val="single"/>
        </w:rPr>
      </w:pPr>
      <w:r>
        <w:rPr>
          <w:szCs w:val="21"/>
        </w:rPr>
        <w:t>成立时间：</w:t>
      </w:r>
      <w:r>
        <w:rPr>
          <w:szCs w:val="21"/>
          <w:u w:val="single"/>
        </w:rPr>
        <w:t xml:space="preserve">          年        月        日</w:t>
      </w:r>
    </w:p>
    <w:p w14:paraId="67DA41BA">
      <w:pPr>
        <w:spacing w:line="540" w:lineRule="exact"/>
        <w:rPr>
          <w:szCs w:val="21"/>
        </w:rPr>
      </w:pPr>
      <w:r>
        <w:rPr>
          <w:szCs w:val="21"/>
        </w:rPr>
        <w:t>经营期限：</w:t>
      </w:r>
      <w:r>
        <w:rPr>
          <w:szCs w:val="21"/>
          <w:u w:val="single"/>
        </w:rPr>
        <w:t xml:space="preserve">                                           </w:t>
      </w:r>
    </w:p>
    <w:p w14:paraId="4983DEC3">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7193C5CB">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5C06959D">
      <w:pPr>
        <w:spacing w:line="540" w:lineRule="exact"/>
        <w:rPr>
          <w:szCs w:val="21"/>
        </w:rPr>
      </w:pPr>
      <w:r>
        <w:rPr>
          <w:szCs w:val="21"/>
        </w:rPr>
        <w:t>系</w:t>
      </w:r>
      <w:r>
        <w:rPr>
          <w:szCs w:val="21"/>
          <w:u w:val="single"/>
        </w:rPr>
        <w:t xml:space="preserve">                                      （ 供应商名称）</w:t>
      </w:r>
      <w:r>
        <w:rPr>
          <w:szCs w:val="21"/>
        </w:rPr>
        <w:t>的法定代表人。</w:t>
      </w:r>
    </w:p>
    <w:p w14:paraId="078DC376">
      <w:pPr>
        <w:spacing w:line="540" w:lineRule="exact"/>
        <w:rPr>
          <w:rFonts w:hint="eastAsia"/>
          <w:szCs w:val="21"/>
        </w:rPr>
      </w:pPr>
    </w:p>
    <w:p w14:paraId="579EBEAE">
      <w:pPr>
        <w:spacing w:line="540" w:lineRule="exact"/>
        <w:ind w:firstLine="420" w:firstLineChars="200"/>
        <w:rPr>
          <w:szCs w:val="21"/>
        </w:rPr>
      </w:pPr>
      <w:r>
        <w:rPr>
          <w:szCs w:val="21"/>
        </w:rPr>
        <w:t>特此证明。</w:t>
      </w:r>
    </w:p>
    <w:p w14:paraId="130FF427">
      <w:pPr>
        <w:spacing w:line="540" w:lineRule="exact"/>
        <w:rPr>
          <w:rFonts w:hint="eastAsia"/>
          <w:szCs w:val="21"/>
        </w:rPr>
      </w:pPr>
    </w:p>
    <w:p w14:paraId="3BE7A53C">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9CCE733">
      <w:pPr>
        <w:spacing w:line="360" w:lineRule="auto"/>
        <w:rPr>
          <w:szCs w:val="21"/>
        </w:rPr>
      </w:pPr>
      <w:r>
        <w:rPr>
          <w:szCs w:val="21"/>
        </w:rPr>
        <w:t xml:space="preserve">                                                   年       月       日 </w:t>
      </w:r>
    </w:p>
    <w:p w14:paraId="1ECE30EE">
      <w:pPr>
        <w:spacing w:line="540" w:lineRule="exact"/>
        <w:rPr>
          <w:rFonts w:hint="eastAsia"/>
          <w:szCs w:val="21"/>
        </w:rPr>
      </w:pPr>
    </w:p>
    <w:p w14:paraId="005422EE">
      <w:pPr>
        <w:spacing w:line="360" w:lineRule="auto"/>
        <w:rPr>
          <w:szCs w:val="21"/>
        </w:rPr>
      </w:pPr>
      <w:bookmarkStart w:id="93" w:name="_Hlk19199756"/>
      <w:r>
        <w:rPr>
          <w:szCs w:val="21"/>
        </w:rPr>
        <w:t>附件：法定代表人身份证复印件</w:t>
      </w:r>
    </w:p>
    <w:p w14:paraId="306C6E88">
      <w:pPr>
        <w:spacing w:line="360" w:lineRule="auto"/>
        <w:rPr>
          <w:szCs w:val="21"/>
        </w:rPr>
      </w:pPr>
    </w:p>
    <w:bookmarkEnd w:id="93"/>
    <w:p w14:paraId="07AF006A">
      <w:pPr>
        <w:snapToGrid w:val="0"/>
        <w:spacing w:before="120" w:beforeLines="50" w:after="50" w:line="360" w:lineRule="exact"/>
        <w:jc w:val="left"/>
        <w:rPr>
          <w:rFonts w:hint="eastAsia"/>
        </w:rPr>
      </w:pPr>
      <w:r>
        <w:rPr>
          <w:b/>
          <w:szCs w:val="21"/>
        </w:rPr>
        <w:br w:type="page"/>
      </w:r>
      <w:bookmarkStart w:id="94" w:name="_Hlk19199766"/>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94"/>
    <w:p w14:paraId="73819614">
      <w:pPr>
        <w:snapToGrid w:val="0"/>
        <w:spacing w:before="120" w:beforeLines="50" w:after="50" w:line="360" w:lineRule="exact"/>
        <w:jc w:val="center"/>
        <w:rPr>
          <w:b/>
          <w:szCs w:val="21"/>
        </w:rPr>
      </w:pPr>
      <w:r>
        <w:rPr>
          <w:b/>
          <w:szCs w:val="21"/>
        </w:rPr>
        <w:t>法定代表人授权委托书</w:t>
      </w:r>
    </w:p>
    <w:p w14:paraId="6DE60356">
      <w:pPr>
        <w:snapToGrid w:val="0"/>
        <w:spacing w:before="120" w:beforeLines="50" w:after="50" w:line="440" w:lineRule="exact"/>
        <w:rPr>
          <w:rFonts w:hint="eastAsia"/>
          <w:b/>
          <w:bCs/>
          <w:szCs w:val="21"/>
        </w:rPr>
      </w:pPr>
      <w:r>
        <w:rPr>
          <w:bCs/>
          <w:szCs w:val="21"/>
        </w:rPr>
        <w:t>致：</w:t>
      </w:r>
      <w:r>
        <w:rPr>
          <w:i/>
          <w:iCs/>
          <w:szCs w:val="21"/>
          <w:u w:val="single"/>
        </w:rPr>
        <w:t>（采购人名称）</w:t>
      </w:r>
    </w:p>
    <w:p w14:paraId="1C3D6517">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项目的磋商活动，并代表我方全权办理针对上述项目的磋商、截标、评审、签约等具体事务和签署相关文件。</w:t>
      </w:r>
    </w:p>
    <w:p w14:paraId="5585EEA4">
      <w:pPr>
        <w:snapToGrid w:val="0"/>
        <w:spacing w:before="120" w:beforeLines="50" w:after="50" w:line="440" w:lineRule="exact"/>
        <w:rPr>
          <w:szCs w:val="21"/>
        </w:rPr>
      </w:pPr>
      <w:r>
        <w:rPr>
          <w:szCs w:val="21"/>
        </w:rPr>
        <w:t xml:space="preserve">    我方对被授权人的签名事项负全部责任。</w:t>
      </w:r>
    </w:p>
    <w:p w14:paraId="514CC678">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szCs w:val="21"/>
        </w:rPr>
      </w:pPr>
      <w:r>
        <w:rPr>
          <w:szCs w:val="21"/>
        </w:rPr>
        <w:t>被授权人无转委托权，特此委托。</w:t>
      </w:r>
    </w:p>
    <w:p w14:paraId="0E6722AA">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3657ED9C">
      <w:pPr>
        <w:snapToGrid w:val="0"/>
        <w:spacing w:before="120" w:beforeLines="50" w:after="50" w:line="440" w:lineRule="exact"/>
        <w:rPr>
          <w:szCs w:val="21"/>
        </w:rPr>
      </w:pPr>
      <w:r>
        <w:rPr>
          <w:szCs w:val="21"/>
        </w:rPr>
        <w:t>职务：</w:t>
      </w:r>
      <w:r>
        <w:rPr>
          <w:szCs w:val="21"/>
          <w:u w:val="single"/>
        </w:rPr>
        <w:t xml:space="preserve">           </w:t>
      </w:r>
      <w:r>
        <w:rPr>
          <w:szCs w:val="21"/>
        </w:rPr>
        <w:t xml:space="preserve"> </w:t>
      </w:r>
    </w:p>
    <w:p w14:paraId="0C1BF131">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职务：</w:t>
      </w:r>
      <w:r>
        <w:rPr>
          <w:szCs w:val="21"/>
          <w:u w:val="single"/>
        </w:rPr>
        <w:t xml:space="preserve">           </w:t>
      </w:r>
    </w:p>
    <w:p w14:paraId="7B1AD0F6">
      <w:pPr>
        <w:snapToGrid w:val="0"/>
        <w:spacing w:before="120" w:beforeLines="5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授权人身份证号码：</w:t>
      </w:r>
      <w:r>
        <w:rPr>
          <w:szCs w:val="21"/>
          <w:u w:val="single"/>
        </w:rPr>
        <w:t xml:space="preserve">                 </w:t>
      </w:r>
    </w:p>
    <w:p w14:paraId="5CEC0ED1">
      <w:pPr>
        <w:snapToGrid w:val="0"/>
        <w:spacing w:before="120" w:beforeLines="50" w:after="50" w:line="440" w:lineRule="exact"/>
        <w:rPr>
          <w:rFonts w:hint="eastAsia"/>
          <w:szCs w:val="21"/>
        </w:rPr>
      </w:pPr>
      <w:r>
        <w:rPr>
          <w:szCs w:val="21"/>
        </w:rPr>
        <w:t xml:space="preserve">                                </w:t>
      </w:r>
    </w:p>
    <w:p w14:paraId="4C9D4FCB">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5816C127">
      <w:pPr>
        <w:snapToGrid w:val="0"/>
        <w:spacing w:before="120" w:beforeLines="50" w:after="50" w:line="440" w:lineRule="exact"/>
        <w:jc w:val="center"/>
        <w:rPr>
          <w:szCs w:val="21"/>
        </w:rPr>
      </w:pPr>
      <w:r>
        <w:rPr>
          <w:szCs w:val="21"/>
        </w:rPr>
        <w:t xml:space="preserve">                                        年    月    日</w:t>
      </w:r>
    </w:p>
    <w:p w14:paraId="711D9485">
      <w:pPr>
        <w:spacing w:line="360" w:lineRule="auto"/>
        <w:rPr>
          <w:szCs w:val="21"/>
        </w:rPr>
      </w:pPr>
      <w:r>
        <w:rPr>
          <w:szCs w:val="21"/>
        </w:rPr>
        <w:t>附件：法定代表人身份证复印件及授权代表身份证复印件</w:t>
      </w:r>
    </w:p>
    <w:p w14:paraId="16A16C83">
      <w:pPr>
        <w:jc w:val="center"/>
        <w:rPr>
          <w:bCs/>
          <w:sz w:val="24"/>
        </w:rPr>
      </w:pPr>
      <w:r>
        <w:br w:type="page"/>
      </w:r>
      <w:r>
        <w:t>（本商务文件供应商可自行编写，也可参照下述提纲编写）</w:t>
      </w:r>
    </w:p>
    <w:p w14:paraId="2F808CF2">
      <w:pPr>
        <w:snapToGrid w:val="0"/>
        <w:spacing w:before="50" w:after="120" w:afterLines="50"/>
        <w:jc w:val="left"/>
        <w:rPr>
          <w:rFonts w:hint="eastAsia"/>
          <w:szCs w:val="21"/>
        </w:rPr>
      </w:pPr>
    </w:p>
    <w:p w14:paraId="09EE3ADF">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rPr>
            </w:pPr>
            <w:r>
              <w:rPr>
                <w:color w:val="auto"/>
              </w:rPr>
              <w:t>偏离</w:t>
            </w:r>
            <w:r>
              <w:rPr>
                <w:color w:val="auto"/>
                <w:szCs w:val="21"/>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rPr>
            </w:pPr>
          </w:p>
        </w:tc>
      </w:tr>
    </w:tbl>
    <w:p w14:paraId="79D61255">
      <w:pPr>
        <w:rPr>
          <w:color w:val="auto"/>
          <w:szCs w:val="21"/>
        </w:rPr>
      </w:pPr>
    </w:p>
    <w:p w14:paraId="3AABD640">
      <w:pPr>
        <w:pStyle w:val="26"/>
        <w:tabs>
          <w:tab w:val="left" w:pos="2127"/>
        </w:tabs>
        <w:spacing w:line="340" w:lineRule="exact"/>
        <w:jc w:val="left"/>
        <w:rPr>
          <w:rFonts w:ascii="Times New Roman" w:hAnsi="Times New Roman" w:cs="Times New Roman"/>
          <w:color w:val="auto"/>
        </w:rPr>
      </w:pPr>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465418C5">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43BA77A4">
      <w:pPr>
        <w:rPr>
          <w:color w:val="auto"/>
        </w:rPr>
      </w:pPr>
      <w:r>
        <w:rPr>
          <w:rFonts w:hint="eastAsia"/>
          <w:color w:val="auto"/>
        </w:rPr>
        <w:t>（</w:t>
      </w:r>
      <w:r>
        <w:rPr>
          <w:color w:val="auto"/>
        </w:rPr>
        <w:t>3</w:t>
      </w:r>
      <w:r>
        <w:rPr>
          <w:rFonts w:hint="eastAsia"/>
          <w:color w:val="auto"/>
        </w:rPr>
        <w:t>）偏离认定说明详见评审方法及标准。</w:t>
      </w:r>
    </w:p>
    <w:p w14:paraId="53EB4A7C">
      <w:pPr>
        <w:rPr>
          <w:color w:val="auto"/>
        </w:rPr>
      </w:pPr>
      <w:r>
        <w:rPr>
          <w:color w:val="auto"/>
        </w:rPr>
        <w:t>（4）本表可扩展。</w:t>
      </w:r>
    </w:p>
    <w:p w14:paraId="29831C44">
      <w:pPr>
        <w:rPr>
          <w:color w:val="auto"/>
          <w:szCs w:val="21"/>
        </w:rPr>
      </w:pPr>
    </w:p>
    <w:p w14:paraId="548E0DFB">
      <w:pPr>
        <w:rPr>
          <w:color w:val="auto"/>
          <w:spacing w:val="20"/>
          <w:szCs w:val="21"/>
          <w:u w:val="single"/>
        </w:rPr>
      </w:pPr>
    </w:p>
    <w:p w14:paraId="09F783C8">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65D7D6BF">
      <w:pPr>
        <w:rPr>
          <w:color w:val="auto"/>
          <w:spacing w:val="20"/>
          <w:szCs w:val="21"/>
          <w:u w:val="single"/>
        </w:rPr>
      </w:pPr>
    </w:p>
    <w:p w14:paraId="6864B926">
      <w:pPr>
        <w:rPr>
          <w:color w:val="auto"/>
          <w:spacing w:val="20"/>
          <w:szCs w:val="21"/>
          <w:u w:val="single"/>
        </w:rPr>
      </w:pPr>
    </w:p>
    <w:p w14:paraId="0BC61BC3">
      <w:pPr>
        <w:rPr>
          <w:rFonts w:hint="eastAsia"/>
          <w:color w:val="auto"/>
          <w:szCs w:val="21"/>
        </w:rPr>
      </w:pPr>
    </w:p>
    <w:p w14:paraId="0F1D2032">
      <w:pPr>
        <w:snapToGrid w:val="0"/>
        <w:spacing w:before="50" w:after="120" w:afterLines="50"/>
        <w:jc w:val="left"/>
        <w:rPr>
          <w:rFonts w:hint="eastAsia"/>
          <w:color w:val="auto"/>
          <w:szCs w:val="21"/>
        </w:rPr>
      </w:pPr>
    </w:p>
    <w:p w14:paraId="5D1B24E1">
      <w:pPr>
        <w:snapToGrid w:val="0"/>
        <w:spacing w:before="50" w:after="120" w:afterLines="50"/>
        <w:jc w:val="left"/>
        <w:rPr>
          <w:rFonts w:hint="eastAsia"/>
          <w:color w:val="auto"/>
          <w:szCs w:val="21"/>
        </w:rPr>
      </w:pPr>
      <w:r>
        <w:rPr>
          <w:color w:val="auto"/>
          <w:szCs w:val="21"/>
        </w:rPr>
        <w:t>2．对本项目总体要求的理解。包括：</w:t>
      </w:r>
      <w:r>
        <w:rPr>
          <w:rFonts w:hint="eastAsia"/>
          <w:color w:val="auto"/>
          <w:szCs w:val="21"/>
        </w:rPr>
        <w:t>技术方案</w:t>
      </w:r>
      <w:r>
        <w:rPr>
          <w:color w:val="auto"/>
          <w:szCs w:val="21"/>
        </w:rPr>
        <w:t>、</w:t>
      </w:r>
      <w:r>
        <w:rPr>
          <w:rFonts w:hint="eastAsia"/>
          <w:color w:val="auto"/>
          <w:szCs w:val="21"/>
        </w:rPr>
        <w:t>项目管理及实施方案</w:t>
      </w:r>
      <w:r>
        <w:rPr>
          <w:rFonts w:hint="eastAsia"/>
          <w:color w:val="auto"/>
          <w:szCs w:val="21"/>
          <w:lang w:eastAsia="zh-CN"/>
        </w:rPr>
        <w:t>、培训服务方案</w:t>
      </w:r>
      <w:r>
        <w:rPr>
          <w:color w:val="auto"/>
          <w:szCs w:val="21"/>
        </w:rPr>
        <w:t>等的认识）</w:t>
      </w:r>
    </w:p>
    <w:p w14:paraId="5A1B045B">
      <w:pPr>
        <w:snapToGrid w:val="0"/>
        <w:spacing w:before="50" w:after="120" w:afterLines="50"/>
        <w:jc w:val="left"/>
        <w:rPr>
          <w:rFonts w:hint="eastAsia"/>
          <w:color w:val="auto"/>
          <w:szCs w:val="21"/>
        </w:rPr>
      </w:pPr>
    </w:p>
    <w:p w14:paraId="47561665">
      <w:pPr>
        <w:snapToGrid w:val="0"/>
        <w:spacing w:before="50" w:after="120" w:afterLines="50"/>
        <w:jc w:val="left"/>
        <w:rPr>
          <w:rFonts w:hint="eastAsia"/>
          <w:color w:val="auto"/>
          <w:szCs w:val="21"/>
        </w:rPr>
      </w:pPr>
    </w:p>
    <w:p w14:paraId="53ECF7BA">
      <w:pPr>
        <w:snapToGrid w:val="0"/>
        <w:spacing w:before="50" w:after="120" w:afterLines="50"/>
        <w:jc w:val="left"/>
        <w:rPr>
          <w:color w:val="auto"/>
          <w:szCs w:val="21"/>
        </w:rPr>
      </w:pPr>
    </w:p>
    <w:p w14:paraId="5FFA92E4">
      <w:pPr>
        <w:snapToGrid w:val="0"/>
        <w:spacing w:before="50" w:after="120" w:afterLines="50"/>
        <w:jc w:val="left"/>
        <w:rPr>
          <w:color w:val="auto"/>
          <w:szCs w:val="21"/>
        </w:rPr>
      </w:pPr>
    </w:p>
    <w:p w14:paraId="531A3EFB">
      <w:pPr>
        <w:snapToGrid w:val="0"/>
        <w:spacing w:before="50" w:after="120" w:afterLines="50"/>
        <w:jc w:val="left"/>
        <w:rPr>
          <w:rFonts w:hint="eastAsia"/>
          <w:color w:val="auto"/>
          <w:szCs w:val="21"/>
        </w:rPr>
      </w:pPr>
    </w:p>
    <w:p w14:paraId="4CD91E34">
      <w:pPr>
        <w:snapToGrid w:val="0"/>
        <w:spacing w:before="50" w:after="120" w:afterLines="50"/>
        <w:jc w:val="left"/>
        <w:rPr>
          <w:color w:val="auto"/>
          <w:szCs w:val="21"/>
        </w:rPr>
      </w:pPr>
      <w:r>
        <w:rPr>
          <w:rFonts w:hint="eastAsia"/>
          <w:color w:val="auto"/>
          <w:szCs w:val="21"/>
          <w:lang w:val="en-US" w:eastAsia="zh-CN"/>
        </w:rPr>
        <w:t>3</w:t>
      </w:r>
      <w:r>
        <w:rPr>
          <w:color w:val="auto"/>
          <w:szCs w:val="21"/>
        </w:rPr>
        <w:t>．技术服务、技术培训、售后服务的内容和措施。</w:t>
      </w:r>
    </w:p>
    <w:p w14:paraId="26CA276A">
      <w:pPr>
        <w:snapToGrid w:val="0"/>
        <w:spacing w:before="50" w:after="120" w:afterLines="50"/>
        <w:jc w:val="left"/>
        <w:rPr>
          <w:rFonts w:hint="eastAsia"/>
          <w:color w:val="auto"/>
          <w:szCs w:val="21"/>
        </w:rPr>
      </w:pPr>
    </w:p>
    <w:p w14:paraId="73F5C4D3">
      <w:pPr>
        <w:snapToGrid w:val="0"/>
        <w:spacing w:before="50" w:after="120" w:afterLines="50"/>
        <w:jc w:val="left"/>
        <w:rPr>
          <w:color w:val="auto"/>
          <w:szCs w:val="21"/>
        </w:rPr>
      </w:pPr>
      <w:r>
        <w:rPr>
          <w:rFonts w:hint="eastAsia"/>
          <w:color w:val="auto"/>
          <w:szCs w:val="21"/>
          <w:lang w:val="en-US" w:eastAsia="zh-CN"/>
        </w:rPr>
        <w:t>4</w:t>
      </w:r>
      <w:r>
        <w:rPr>
          <w:color w:val="auto"/>
          <w:szCs w:val="21"/>
        </w:rPr>
        <w:t>．为本项目提供的其他优惠服务。</w:t>
      </w:r>
    </w:p>
    <w:p w14:paraId="5864ABA4">
      <w:pPr>
        <w:snapToGrid w:val="0"/>
        <w:spacing w:before="50" w:after="120" w:afterLines="50"/>
        <w:jc w:val="left"/>
        <w:rPr>
          <w:rFonts w:hint="eastAsia"/>
          <w:color w:val="auto"/>
          <w:szCs w:val="21"/>
        </w:rPr>
      </w:pPr>
    </w:p>
    <w:p w14:paraId="100E80FD">
      <w:pPr>
        <w:snapToGrid w:val="0"/>
        <w:spacing w:before="50" w:after="120" w:afterLines="50"/>
        <w:jc w:val="left"/>
        <w:rPr>
          <w:rFonts w:hint="eastAsia"/>
          <w:color w:val="auto"/>
          <w:szCs w:val="21"/>
        </w:rPr>
      </w:pPr>
    </w:p>
    <w:p w14:paraId="08EAB71F">
      <w:pPr>
        <w:rPr>
          <w:color w:val="auto"/>
          <w:szCs w:val="21"/>
        </w:rPr>
      </w:pPr>
      <w:r>
        <w:rPr>
          <w:rFonts w:hint="eastAsia"/>
          <w:color w:val="auto"/>
          <w:szCs w:val="21"/>
          <w:lang w:val="en-US" w:eastAsia="zh-CN"/>
        </w:rPr>
        <w:t>5</w:t>
      </w:r>
      <w:r>
        <w:rPr>
          <w:color w:val="auto"/>
          <w:szCs w:val="21"/>
        </w:rPr>
        <w:t>．供应商需要说明的其他文件和说明。</w:t>
      </w:r>
    </w:p>
    <w:p w14:paraId="613E01DE">
      <w:pPr>
        <w:snapToGrid w:val="0"/>
        <w:spacing w:before="50" w:after="120" w:afterLines="50" w:line="440" w:lineRule="exact"/>
        <w:rPr>
          <w:color w:val="auto"/>
        </w:rPr>
      </w:pPr>
      <w:r>
        <w:rPr>
          <w:color w:val="auto"/>
        </w:rPr>
        <w:br w:type="page"/>
      </w:r>
      <w:r>
        <w:rPr>
          <w:rFonts w:hint="eastAsia"/>
          <w:color w:val="auto"/>
          <w:lang w:val="en-US" w:eastAsia="zh-CN"/>
        </w:rPr>
        <w:t>6</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rPr>
            </w:pPr>
            <w:r>
              <w:rPr>
                <w:color w:val="auto"/>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rPr>
            </w:pPr>
            <w:r>
              <w:rPr>
                <w:color w:val="auto"/>
                <w:szCs w:val="21"/>
              </w:rPr>
              <w:t>响应文件响应内容（</w:t>
            </w:r>
            <w:r>
              <w:rPr>
                <w:rFonts w:hint="eastAsia"/>
                <w:color w:val="auto"/>
                <w:szCs w:val="21"/>
              </w:rPr>
              <w:t>可</w:t>
            </w:r>
            <w:r>
              <w:rPr>
                <w:color w:val="auto"/>
                <w:szCs w:val="21"/>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rPr>
            </w:pPr>
            <w:r>
              <w:rPr>
                <w:color w:val="auto"/>
              </w:rPr>
              <w:t>偏离</w:t>
            </w:r>
            <w:r>
              <w:rPr>
                <w:color w:val="auto"/>
                <w:szCs w:val="21"/>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rPr>
            </w:pPr>
          </w:p>
        </w:tc>
      </w:tr>
    </w:tbl>
    <w:p w14:paraId="64BC61D0">
      <w:pPr>
        <w:pStyle w:val="26"/>
        <w:tabs>
          <w:tab w:val="left" w:pos="2127"/>
        </w:tabs>
        <w:spacing w:line="340" w:lineRule="exact"/>
        <w:ind w:firstLine="420" w:firstLineChars="200"/>
        <w:jc w:val="left"/>
        <w:rPr>
          <w:rFonts w:ascii="Times New Roman" w:hAnsi="Times New Roman" w:cs="Times New Roman"/>
          <w:color w:val="auto"/>
        </w:rPr>
      </w:pPr>
      <w:bookmarkStart w:id="95" w:name="_Hlk48144603"/>
      <w:r>
        <w:rPr>
          <w:rFonts w:ascii="Times New Roman" w:hAnsi="Times New Roman" w:cs="Times New Roman"/>
          <w:color w:val="auto"/>
        </w:rPr>
        <w:t>注：</w:t>
      </w:r>
      <w:bookmarkStart w:id="96"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1ADF5890">
      <w:pPr>
        <w:pStyle w:val="26"/>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3569CBA">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96"/>
    <w:p w14:paraId="0CE85AAD">
      <w:pPr>
        <w:pStyle w:val="26"/>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95"/>
    <w:p w14:paraId="754D076C">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5ADBA36">
      <w:pPr>
        <w:snapToGrid w:val="0"/>
        <w:spacing w:before="50" w:after="120" w:afterLines="50" w:line="440" w:lineRule="exact"/>
        <w:jc w:val="left"/>
        <w:rPr>
          <w:rFonts w:hint="eastAsia"/>
          <w:color w:val="auto"/>
          <w:spacing w:val="20"/>
          <w:szCs w:val="21"/>
          <w:u w:val="single"/>
        </w:rPr>
      </w:pPr>
    </w:p>
    <w:p w14:paraId="0F4BD5A9">
      <w:pPr>
        <w:pStyle w:val="26"/>
        <w:tabs>
          <w:tab w:val="left" w:pos="2127"/>
        </w:tabs>
        <w:spacing w:line="340" w:lineRule="exact"/>
        <w:ind w:firstLine="420" w:firstLineChars="200"/>
        <w:jc w:val="left"/>
        <w:rPr>
          <w:rFonts w:ascii="Times New Roman" w:hAnsi="Times New Roman" w:cs="Times New Roman"/>
          <w:color w:val="auto"/>
        </w:rPr>
      </w:pPr>
    </w:p>
    <w:p w14:paraId="0652545F">
      <w:pPr>
        <w:snapToGrid w:val="0"/>
        <w:spacing w:before="50" w:after="120" w:afterLines="50"/>
        <w:jc w:val="left"/>
        <w:rPr>
          <w:color w:val="auto"/>
          <w:szCs w:val="21"/>
        </w:rPr>
      </w:pPr>
      <w:r>
        <w:rPr>
          <w:rFonts w:hint="eastAsia"/>
          <w:color w:val="auto"/>
          <w:szCs w:val="21"/>
          <w:lang w:val="en-US" w:eastAsia="zh-CN"/>
        </w:rPr>
        <w:t>7</w:t>
      </w:r>
      <w:r>
        <w:rPr>
          <w:color w:val="auto"/>
          <w:szCs w:val="21"/>
        </w:rPr>
        <w:t>．项目拟投入服务团队人员结构表（包括但不限于学历、证书情况、职称、年龄等）</w:t>
      </w:r>
    </w:p>
    <w:p w14:paraId="262161E0">
      <w:pPr>
        <w:snapToGrid w:val="0"/>
        <w:spacing w:before="120" w:beforeLines="50" w:after="50" w:line="400" w:lineRule="exact"/>
        <w:jc w:val="center"/>
        <w:rPr>
          <w:color w:val="auto"/>
          <w:szCs w:val="21"/>
        </w:rPr>
      </w:pPr>
      <w:r>
        <w:rPr>
          <w:color w:val="auto"/>
          <w:szCs w:val="21"/>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BDC2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3C0F981C">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AFBE7C">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42860B4">
            <w:pPr>
              <w:snapToGrid w:val="0"/>
              <w:spacing w:before="120" w:beforeLines="50" w:after="50"/>
              <w:jc w:val="center"/>
              <w:rPr>
                <w:color w:val="auto"/>
                <w:szCs w:val="21"/>
              </w:rPr>
            </w:pPr>
            <w:r>
              <w:rPr>
                <w:color w:val="auto"/>
                <w:szCs w:val="21"/>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522D36A">
            <w:pPr>
              <w:snapToGrid w:val="0"/>
              <w:spacing w:before="120" w:beforeLines="50" w:after="50"/>
              <w:jc w:val="center"/>
              <w:rPr>
                <w:color w:val="auto"/>
                <w:szCs w:val="21"/>
              </w:rPr>
            </w:pPr>
            <w:r>
              <w:rPr>
                <w:color w:val="auto"/>
                <w:szCs w:val="21"/>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FF64E97">
            <w:pPr>
              <w:snapToGrid w:val="0"/>
              <w:spacing w:before="120" w:beforeLines="50" w:after="50"/>
              <w:jc w:val="center"/>
              <w:rPr>
                <w:color w:val="auto"/>
                <w:szCs w:val="21"/>
              </w:rPr>
            </w:pPr>
            <w:r>
              <w:rPr>
                <w:color w:val="auto"/>
                <w:szCs w:val="21"/>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C05607E">
            <w:pPr>
              <w:snapToGrid w:val="0"/>
              <w:spacing w:before="120" w:beforeLines="50" w:after="50"/>
              <w:jc w:val="center"/>
              <w:rPr>
                <w:bCs/>
                <w:color w:val="auto"/>
                <w:szCs w:val="21"/>
              </w:rPr>
            </w:pPr>
            <w:r>
              <w:rPr>
                <w:bCs/>
                <w:color w:val="auto"/>
                <w:szCs w:val="21"/>
              </w:rPr>
              <w:t>劳动合同编号</w:t>
            </w:r>
          </w:p>
        </w:tc>
      </w:tr>
      <w:tr w14:paraId="3C1D3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AC73D01">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38D7E5A">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D578E45">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B7326AC">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3ED1AFF">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6A8CA6">
            <w:pPr>
              <w:snapToGrid w:val="0"/>
              <w:spacing w:before="120" w:beforeLines="50" w:after="50"/>
              <w:rPr>
                <w:color w:val="auto"/>
                <w:szCs w:val="21"/>
              </w:rPr>
            </w:pPr>
          </w:p>
        </w:tc>
      </w:tr>
      <w:tr w14:paraId="11B56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0FDFD3D">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DAB2A1">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A8A63FD">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BC42C68">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387701B">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401DCCF">
            <w:pPr>
              <w:snapToGrid w:val="0"/>
              <w:spacing w:before="120" w:beforeLines="50" w:after="50"/>
              <w:rPr>
                <w:color w:val="auto"/>
                <w:szCs w:val="21"/>
              </w:rPr>
            </w:pPr>
          </w:p>
        </w:tc>
      </w:tr>
    </w:tbl>
    <w:p w14:paraId="6D19FE88">
      <w:pPr>
        <w:snapToGrid w:val="0"/>
        <w:spacing w:before="50" w:after="120" w:afterLines="50" w:line="440" w:lineRule="exact"/>
        <w:jc w:val="left"/>
        <w:rPr>
          <w:color w:val="auto"/>
          <w:szCs w:val="21"/>
        </w:rPr>
      </w:pPr>
      <w:r>
        <w:rPr>
          <w:color w:val="auto"/>
          <w:szCs w:val="21"/>
        </w:rPr>
        <w:t>注：在填写时，如本表格不适合供应商的实际情况，可根据本表格式自行划表填写。</w:t>
      </w:r>
    </w:p>
    <w:p w14:paraId="4983A4F1">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5610AFF1">
      <w:pPr>
        <w:rPr>
          <w:rFonts w:hint="eastAsia"/>
          <w:color w:val="auto"/>
          <w:spacing w:val="20"/>
          <w:szCs w:val="21"/>
          <w:u w:val="single"/>
        </w:rPr>
      </w:pPr>
    </w:p>
    <w:p w14:paraId="29C3B539">
      <w:pPr>
        <w:rPr>
          <w:rFonts w:hint="eastAsia"/>
          <w:color w:val="auto"/>
          <w:szCs w:val="21"/>
        </w:rPr>
      </w:pPr>
    </w:p>
    <w:p w14:paraId="5D33B9A2">
      <w:pPr>
        <w:rPr>
          <w:rFonts w:hint="eastAsia"/>
          <w:color w:val="auto"/>
          <w:szCs w:val="21"/>
        </w:rPr>
      </w:pPr>
    </w:p>
    <w:p w14:paraId="2E7D94B5">
      <w:pPr>
        <w:snapToGrid w:val="0"/>
        <w:spacing w:before="50" w:after="120" w:afterLines="50"/>
        <w:jc w:val="left"/>
        <w:rPr>
          <w:color w:val="auto"/>
          <w:szCs w:val="21"/>
        </w:rPr>
      </w:pPr>
      <w:r>
        <w:rPr>
          <w:rFonts w:hint="eastAsia"/>
          <w:color w:val="auto"/>
          <w:szCs w:val="21"/>
          <w:lang w:val="en-US" w:eastAsia="zh-CN"/>
        </w:rPr>
        <w:t>8</w:t>
      </w:r>
      <w:r>
        <w:rPr>
          <w:color w:val="auto"/>
          <w:szCs w:val="21"/>
        </w:rPr>
        <w:t>．企业管理体系认证或资质证明材料。</w:t>
      </w:r>
    </w:p>
    <w:p w14:paraId="124756F4">
      <w:pPr>
        <w:snapToGrid w:val="0"/>
        <w:spacing w:before="50" w:after="120" w:afterLines="50" w:line="440" w:lineRule="exact"/>
        <w:jc w:val="left"/>
        <w:rPr>
          <w:rFonts w:hint="eastAsia"/>
          <w:color w:val="auto"/>
          <w:szCs w:val="21"/>
        </w:rPr>
      </w:pPr>
    </w:p>
    <w:p w14:paraId="42B550CF">
      <w:pPr>
        <w:snapToGrid w:val="0"/>
        <w:spacing w:before="50" w:after="120" w:afterLines="50"/>
        <w:jc w:val="left"/>
        <w:rPr>
          <w:color w:val="4472C4"/>
          <w:szCs w:val="21"/>
        </w:rPr>
      </w:pPr>
      <w:r>
        <w:rPr>
          <w:rFonts w:hint="eastAsia"/>
          <w:color w:val="auto"/>
          <w:szCs w:val="21"/>
          <w:lang w:val="en-US" w:eastAsia="zh-CN"/>
        </w:rPr>
        <w:t>9</w:t>
      </w:r>
      <w:r>
        <w:rPr>
          <w:color w:val="auto"/>
          <w:szCs w:val="21"/>
        </w:rPr>
        <w:t>．供应商认为需提供的其他材料（根据采购文件编写）</w:t>
      </w:r>
    </w:p>
    <w:p w14:paraId="0943CD9C">
      <w:pPr>
        <w:snapToGrid w:val="0"/>
        <w:spacing w:before="50" w:after="120" w:afterLines="50"/>
        <w:jc w:val="left"/>
        <w:rPr>
          <w:color w:val="4472C4"/>
          <w:szCs w:val="21"/>
        </w:rPr>
      </w:pPr>
    </w:p>
    <w:p w14:paraId="414A17E4">
      <w:pPr>
        <w:snapToGrid w:val="0"/>
        <w:spacing w:before="50" w:after="120" w:afterLines="50"/>
        <w:jc w:val="left"/>
        <w:rPr>
          <w:color w:val="4472C4"/>
          <w:szCs w:val="21"/>
        </w:rPr>
      </w:pPr>
    </w:p>
    <w:p w14:paraId="58631EF3">
      <w:pPr>
        <w:snapToGrid w:val="0"/>
        <w:spacing w:before="50" w:after="120" w:afterLines="50"/>
        <w:jc w:val="left"/>
        <w:rPr>
          <w:color w:val="4472C4"/>
          <w:szCs w:val="21"/>
        </w:rPr>
      </w:pPr>
    </w:p>
    <w:p w14:paraId="43459B44">
      <w:pPr>
        <w:snapToGrid w:val="0"/>
        <w:spacing w:before="50" w:after="120" w:afterLines="50"/>
        <w:jc w:val="left"/>
        <w:rPr>
          <w:color w:val="4472C4"/>
          <w:szCs w:val="21"/>
        </w:rPr>
      </w:pPr>
    </w:p>
    <w:p w14:paraId="15EFCF1C">
      <w:pPr>
        <w:snapToGrid w:val="0"/>
        <w:spacing w:before="50" w:after="120" w:afterLines="50"/>
        <w:jc w:val="left"/>
        <w:rPr>
          <w:color w:val="4472C4"/>
          <w:szCs w:val="21"/>
        </w:rPr>
      </w:pPr>
    </w:p>
    <w:p w14:paraId="27FE1650">
      <w:pPr>
        <w:snapToGrid w:val="0"/>
        <w:spacing w:before="50" w:after="120" w:afterLines="50"/>
        <w:jc w:val="left"/>
        <w:rPr>
          <w:color w:val="4472C4"/>
          <w:szCs w:val="21"/>
        </w:rPr>
      </w:pPr>
    </w:p>
    <w:p w14:paraId="0D538D5D">
      <w:pPr>
        <w:snapToGrid w:val="0"/>
        <w:spacing w:before="50" w:after="120" w:afterLines="50"/>
        <w:jc w:val="left"/>
        <w:rPr>
          <w:color w:val="4472C4"/>
          <w:szCs w:val="21"/>
        </w:rPr>
      </w:pPr>
    </w:p>
    <w:p w14:paraId="06FA91E8">
      <w:pPr>
        <w:snapToGrid w:val="0"/>
        <w:spacing w:before="50" w:after="120" w:afterLines="50"/>
        <w:jc w:val="left"/>
        <w:rPr>
          <w:color w:val="auto"/>
          <w:szCs w:val="21"/>
        </w:rPr>
        <w:sectPr>
          <w:headerReference r:id="rId20" w:type="default"/>
          <w:footerReference r:id="rId21" w:type="default"/>
          <w:pgSz w:w="11906" w:h="16838"/>
          <w:pgMar w:top="1418" w:right="1418" w:bottom="1418" w:left="1274" w:header="851" w:footer="992" w:gutter="0"/>
          <w:cols w:space="720" w:num="1"/>
          <w:docGrid w:linePitch="312" w:charSpace="0"/>
        </w:sectPr>
      </w:pPr>
    </w:p>
    <w:p w14:paraId="3230D13F">
      <w:pPr>
        <w:snapToGrid w:val="0"/>
        <w:spacing w:before="50" w:after="120" w:afterLines="50"/>
        <w:jc w:val="left"/>
        <w:rPr>
          <w:rFonts w:hint="eastAsia"/>
          <w:b/>
          <w:color w:val="auto"/>
          <w:szCs w:val="21"/>
        </w:rPr>
      </w:pPr>
      <w:r>
        <w:rPr>
          <w:color w:val="auto"/>
          <w:szCs w:val="21"/>
        </w:rPr>
        <w:t>1</w:t>
      </w:r>
      <w:r>
        <w:rPr>
          <w:rFonts w:hint="eastAsia"/>
          <w:color w:val="auto"/>
          <w:szCs w:val="21"/>
          <w:lang w:val="en-US" w:eastAsia="zh-CN"/>
        </w:rPr>
        <w:t>0</w:t>
      </w:r>
      <w:r>
        <w:rPr>
          <w:color w:val="auto"/>
          <w:szCs w:val="21"/>
        </w:rPr>
        <w:t>．近年供应商类似成功案例的业绩证明</w:t>
      </w:r>
    </w:p>
    <w:p w14:paraId="0C23A386">
      <w:pPr>
        <w:snapToGrid w:val="0"/>
        <w:spacing w:before="50" w:after="120" w:afterLines="50"/>
        <w:jc w:val="center"/>
        <w:rPr>
          <w:color w:val="auto"/>
          <w:szCs w:val="21"/>
        </w:rPr>
      </w:pPr>
      <w:r>
        <w:rPr>
          <w:b/>
          <w:color w:val="auto"/>
          <w:szCs w:val="21"/>
        </w:rPr>
        <w:t>类似成功案例业绩一览表</w:t>
      </w:r>
    </w:p>
    <w:tbl>
      <w:tblPr>
        <w:tblStyle w:val="51"/>
        <w:tblW w:w="97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811"/>
        <w:gridCol w:w="1468"/>
        <w:gridCol w:w="2003"/>
        <w:gridCol w:w="1082"/>
        <w:gridCol w:w="1243"/>
        <w:gridCol w:w="1340"/>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794"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color w:val="auto"/>
                <w:szCs w:val="21"/>
              </w:rPr>
            </w:pPr>
          </w:p>
          <w:p w14:paraId="12E5F2FB">
            <w:pPr>
              <w:snapToGrid w:val="0"/>
              <w:spacing w:line="240" w:lineRule="exact"/>
              <w:jc w:val="center"/>
              <w:rPr>
                <w:color w:val="auto"/>
                <w:szCs w:val="21"/>
              </w:rPr>
            </w:pPr>
          </w:p>
          <w:p w14:paraId="78157A6A">
            <w:pPr>
              <w:snapToGrid w:val="0"/>
              <w:spacing w:line="240" w:lineRule="exact"/>
              <w:jc w:val="center"/>
              <w:rPr>
                <w:color w:val="auto"/>
                <w:szCs w:val="21"/>
              </w:rPr>
            </w:pPr>
            <w:r>
              <w:rPr>
                <w:rFonts w:hint="eastAsia"/>
                <w:color w:val="auto"/>
                <w:szCs w:val="21"/>
              </w:rPr>
              <w:t>序号</w:t>
            </w:r>
          </w:p>
        </w:tc>
        <w:tc>
          <w:tcPr>
            <w:tcW w:w="1811"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color w:val="auto"/>
                <w:szCs w:val="21"/>
              </w:rPr>
            </w:pPr>
            <w:r>
              <w:rPr>
                <w:color w:val="auto"/>
                <w:szCs w:val="21"/>
              </w:rPr>
              <w:t>采购单位名称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color w:val="auto"/>
                <w:szCs w:val="21"/>
              </w:rPr>
            </w:pPr>
            <w:r>
              <w:rPr>
                <w:color w:val="auto"/>
                <w:szCs w:val="21"/>
              </w:rPr>
              <w:t>项目名称或服务内容</w:t>
            </w:r>
          </w:p>
        </w:tc>
        <w:tc>
          <w:tcPr>
            <w:tcW w:w="2003"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color w:val="auto"/>
                <w:szCs w:val="21"/>
              </w:rPr>
            </w:pPr>
            <w:r>
              <w:rPr>
                <w:color w:val="auto"/>
                <w:szCs w:val="21"/>
              </w:rPr>
              <w:t>服务</w:t>
            </w:r>
          </w:p>
          <w:p w14:paraId="380AE042">
            <w:pPr>
              <w:snapToGrid w:val="0"/>
              <w:spacing w:line="240" w:lineRule="exact"/>
              <w:jc w:val="center"/>
              <w:rPr>
                <w:color w:val="auto"/>
                <w:szCs w:val="21"/>
              </w:rPr>
            </w:pPr>
            <w:r>
              <w:rPr>
                <w:color w:val="auto"/>
                <w:szCs w:val="21"/>
              </w:rPr>
              <w:t>数量或年限</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color w:val="auto"/>
                <w:szCs w:val="21"/>
              </w:rPr>
            </w:pPr>
            <w:r>
              <w:rPr>
                <w:color w:val="auto"/>
                <w:szCs w:val="21"/>
              </w:rPr>
              <w:t>单价</w:t>
            </w:r>
            <w:r>
              <w:rPr>
                <w:rFonts w:hint="eastAsia"/>
                <w:color w:val="auto"/>
                <w:szCs w:val="21"/>
              </w:rPr>
              <w:t>（元）</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color w:val="auto"/>
                <w:szCs w:val="21"/>
              </w:rPr>
            </w:pPr>
            <w:r>
              <w:rPr>
                <w:color w:val="auto"/>
                <w:szCs w:val="21"/>
              </w:rPr>
              <w:t>合同</w:t>
            </w:r>
            <w:r>
              <w:rPr>
                <w:rFonts w:hint="eastAsia"/>
                <w:color w:val="auto"/>
                <w:szCs w:val="21"/>
              </w:rPr>
              <w:t>总价</w:t>
            </w:r>
          </w:p>
          <w:p w14:paraId="19FA295E">
            <w:pPr>
              <w:snapToGrid w:val="0"/>
              <w:spacing w:line="240" w:lineRule="exact"/>
              <w:jc w:val="center"/>
              <w:rPr>
                <w:color w:val="auto"/>
                <w:szCs w:val="21"/>
              </w:rPr>
            </w:pPr>
            <w:r>
              <w:rPr>
                <w:color w:val="auto"/>
                <w:szCs w:val="21"/>
              </w:rPr>
              <w:t>（元）</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color w:val="auto"/>
                <w:szCs w:val="21"/>
              </w:rPr>
            </w:pPr>
            <w:r>
              <w:rPr>
                <w:color w:val="auto"/>
                <w:szCs w:val="21"/>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94"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color w:val="auto"/>
                <w:szCs w:val="21"/>
              </w:rPr>
            </w:pPr>
          </w:p>
        </w:tc>
        <w:tc>
          <w:tcPr>
            <w:tcW w:w="1811"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color w:val="auto"/>
                <w:szCs w:val="21"/>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color w:val="auto"/>
                <w:szCs w:val="21"/>
              </w:rPr>
            </w:pPr>
          </w:p>
        </w:tc>
        <w:tc>
          <w:tcPr>
            <w:tcW w:w="2003"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color w:val="auto"/>
                <w:szCs w:val="21"/>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color w:val="auto"/>
                <w:szCs w:val="21"/>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color w:val="auto"/>
                <w:szCs w:val="21"/>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94"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color w:val="auto"/>
                <w:szCs w:val="21"/>
              </w:rPr>
            </w:pPr>
          </w:p>
        </w:tc>
        <w:tc>
          <w:tcPr>
            <w:tcW w:w="1811"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color w:val="auto"/>
                <w:szCs w:val="21"/>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color w:val="auto"/>
                <w:szCs w:val="21"/>
              </w:rPr>
            </w:pPr>
          </w:p>
        </w:tc>
        <w:tc>
          <w:tcPr>
            <w:tcW w:w="2003"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color w:val="auto"/>
                <w:szCs w:val="21"/>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color w:val="auto"/>
                <w:szCs w:val="21"/>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color w:val="auto"/>
                <w:szCs w:val="21"/>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94"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color w:val="auto"/>
                <w:szCs w:val="21"/>
              </w:rPr>
            </w:pPr>
          </w:p>
        </w:tc>
        <w:tc>
          <w:tcPr>
            <w:tcW w:w="1811"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color w:val="auto"/>
                <w:szCs w:val="21"/>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color w:val="auto"/>
                <w:szCs w:val="21"/>
              </w:rPr>
            </w:pPr>
          </w:p>
        </w:tc>
        <w:tc>
          <w:tcPr>
            <w:tcW w:w="2003"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color w:val="auto"/>
                <w:szCs w:val="21"/>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color w:val="auto"/>
                <w:szCs w:val="21"/>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color w:val="auto"/>
                <w:szCs w:val="21"/>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94"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color w:val="auto"/>
                <w:szCs w:val="21"/>
              </w:rPr>
            </w:pPr>
          </w:p>
        </w:tc>
        <w:tc>
          <w:tcPr>
            <w:tcW w:w="1811"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color w:val="auto"/>
                <w:szCs w:val="21"/>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color w:val="auto"/>
                <w:szCs w:val="21"/>
              </w:rPr>
            </w:pPr>
          </w:p>
        </w:tc>
        <w:tc>
          <w:tcPr>
            <w:tcW w:w="2003"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color w:val="auto"/>
                <w:szCs w:val="21"/>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color w:val="auto"/>
                <w:szCs w:val="21"/>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color w:val="auto"/>
                <w:szCs w:val="21"/>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94"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color w:val="auto"/>
                <w:szCs w:val="21"/>
              </w:rPr>
            </w:pPr>
          </w:p>
        </w:tc>
        <w:tc>
          <w:tcPr>
            <w:tcW w:w="1811"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color w:val="auto"/>
                <w:szCs w:val="21"/>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color w:val="auto"/>
                <w:szCs w:val="21"/>
              </w:rPr>
            </w:pPr>
          </w:p>
        </w:tc>
        <w:tc>
          <w:tcPr>
            <w:tcW w:w="2003"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color w:val="auto"/>
                <w:szCs w:val="21"/>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color w:val="auto"/>
                <w:szCs w:val="21"/>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color w:val="auto"/>
                <w:szCs w:val="21"/>
              </w:rPr>
            </w:pPr>
          </w:p>
        </w:tc>
      </w:tr>
    </w:tbl>
    <w:p w14:paraId="37621774">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43B9D1DF">
      <w:pPr>
        <w:pStyle w:val="15"/>
        <w:snapToGrid w:val="0"/>
        <w:rPr>
          <w:rFonts w:hint="eastAsia"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r>
        <w:rPr>
          <w:rFonts w:hint="eastAsia" w:ascii="Times New Roman" w:hAnsi="Times New Roman" w:eastAsia="宋体" w:cs="Times New Roman"/>
          <w:color w:val="auto"/>
          <w:sz w:val="21"/>
          <w:szCs w:val="21"/>
        </w:rPr>
        <w:t>。</w:t>
      </w:r>
    </w:p>
    <w:p w14:paraId="1EE6FD66">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（2）</w:t>
      </w:r>
      <w:r>
        <w:rPr>
          <w:rFonts w:ascii="Times New Roman" w:hAnsi="Times New Roman" w:eastAsia="宋体" w:cs="Times New Roman"/>
          <w:color w:val="auto"/>
          <w:sz w:val="21"/>
          <w:szCs w:val="21"/>
        </w:rPr>
        <w:t>类似项目的定义见第四章《评审方法及标准》规定。</w:t>
      </w:r>
    </w:p>
    <w:p w14:paraId="7C346506">
      <w:pPr>
        <w:rPr>
          <w:color w:val="auto"/>
        </w:rPr>
      </w:pPr>
      <w:r>
        <w:rPr>
          <w:color w:val="auto"/>
          <w:szCs w:val="21"/>
        </w:rPr>
        <w:t>（3）</w:t>
      </w:r>
      <w:r>
        <w:rPr>
          <w:color w:val="auto"/>
        </w:rPr>
        <w:t>本表可拓展</w:t>
      </w:r>
    </w:p>
    <w:p w14:paraId="389711E6">
      <w:pPr>
        <w:snapToGrid w:val="0"/>
        <w:spacing w:before="50"/>
        <w:jc w:val="left"/>
        <w:rPr>
          <w:color w:val="auto"/>
          <w:szCs w:val="21"/>
        </w:rPr>
      </w:pPr>
    </w:p>
    <w:p w14:paraId="47EB1E3E">
      <w:pPr>
        <w:snapToGrid w:val="0"/>
        <w:spacing w:before="50"/>
        <w:jc w:val="left"/>
        <w:rPr>
          <w:rFonts w:hint="eastAsia"/>
          <w:color w:val="auto"/>
          <w:szCs w:val="21"/>
        </w:rPr>
        <w:sectPr>
          <w:pgSz w:w="11906" w:h="16838"/>
          <w:pgMar w:top="1417" w:right="1417" w:bottom="1417" w:left="1276" w:header="851" w:footer="992" w:gutter="0"/>
          <w:cols w:space="0" w:num="1"/>
          <w:rtlGutter w:val="0"/>
          <w:docGrid w:linePitch="312" w:charSpace="0"/>
        </w:sect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年    月   </w:t>
      </w:r>
    </w:p>
    <w:p w14:paraId="78970E52">
      <w:pPr>
        <w:snapToGrid w:val="0"/>
        <w:spacing w:before="50" w:after="120" w:afterLines="50"/>
        <w:jc w:val="left"/>
        <w:rPr>
          <w:color w:val="4472C4"/>
          <w:szCs w:val="21"/>
        </w:rPr>
      </w:pPr>
      <w:bookmarkStart w:id="97" w:name="_Hlk93046716"/>
      <w:bookmarkStart w:id="98" w:name="_Hlk19110561"/>
      <w:r>
        <w:rPr>
          <w:bCs/>
          <w:color w:val="auto"/>
          <w:sz w:val="24"/>
        </w:rPr>
        <w:t>1</w:t>
      </w:r>
      <w:r>
        <w:rPr>
          <w:rFonts w:hint="eastAsia"/>
          <w:bCs/>
          <w:color w:val="auto"/>
          <w:sz w:val="24"/>
          <w:lang w:val="en-US" w:eastAsia="zh-CN"/>
        </w:rPr>
        <w:t>1</w:t>
      </w:r>
      <w:r>
        <w:rPr>
          <w:bCs/>
          <w:color w:val="auto"/>
          <w:sz w:val="24"/>
        </w:rPr>
        <w:t>．</w:t>
      </w:r>
      <w:r>
        <w:rPr>
          <w:rFonts w:hint="eastAsia"/>
          <w:bCs/>
          <w:color w:val="auto"/>
          <w:sz w:val="24"/>
        </w:rPr>
        <w:t>符合政府采购政策的证明材料。</w:t>
      </w:r>
    </w:p>
    <w:p w14:paraId="4834BF44">
      <w:pPr>
        <w:rPr>
          <w:szCs w:val="21"/>
        </w:rPr>
      </w:pPr>
      <w:r>
        <w:rPr>
          <w:szCs w:val="21"/>
        </w:rPr>
        <w:t>1</w:t>
      </w:r>
      <w:r>
        <w:rPr>
          <w:rFonts w:hint="eastAsia"/>
          <w:szCs w:val="21"/>
          <w:lang w:val="en-US" w:eastAsia="zh-CN"/>
        </w:rPr>
        <w:t>1</w:t>
      </w:r>
      <w:r>
        <w:rPr>
          <w:szCs w:val="21"/>
        </w:rPr>
        <w:t>.1</w:t>
      </w:r>
      <w:r>
        <w:rPr>
          <w:rFonts w:hint="eastAsia"/>
          <w:bCs/>
          <w:szCs w:val="21"/>
        </w:rPr>
        <w:t>中小企业声明函</w:t>
      </w:r>
      <w:r>
        <w:rPr>
          <w:szCs w:val="21"/>
        </w:rPr>
        <w:t>。</w:t>
      </w:r>
    </w:p>
    <w:p w14:paraId="67EE5C14">
      <w:pPr>
        <w:spacing w:line="360" w:lineRule="auto"/>
        <w:ind w:firstLine="3584" w:firstLineChars="1700"/>
        <w:rPr>
          <w:b/>
          <w:szCs w:val="21"/>
          <w:highlight w:val="yellow"/>
        </w:rPr>
      </w:pPr>
      <w:bookmarkStart w:id="99" w:name="_Hlk60649458"/>
    </w:p>
    <w:bookmarkEnd w:id="99"/>
    <w:p w14:paraId="01D8FD55">
      <w:pPr>
        <w:spacing w:line="360" w:lineRule="auto"/>
        <w:ind w:firstLine="3584" w:firstLineChars="1700"/>
        <w:rPr>
          <w:b/>
          <w:szCs w:val="21"/>
        </w:rPr>
      </w:pPr>
      <w:r>
        <w:rPr>
          <w:rFonts w:hint="eastAsia"/>
          <w:b/>
          <w:szCs w:val="21"/>
        </w:rPr>
        <w:t>中小企业声明函（服务）</w:t>
      </w:r>
    </w:p>
    <w:p w14:paraId="66D17111">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5E7E2560">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55A3047">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2FA5337">
      <w:pPr>
        <w:spacing w:line="360" w:lineRule="auto"/>
        <w:ind w:firstLine="420"/>
        <w:rPr>
          <w:bCs/>
          <w:szCs w:val="21"/>
        </w:rPr>
      </w:pPr>
      <w:r>
        <w:rPr>
          <w:rFonts w:hint="eastAsia"/>
          <w:bCs/>
          <w:szCs w:val="21"/>
        </w:rPr>
        <w:t>……</w:t>
      </w:r>
    </w:p>
    <w:p w14:paraId="0CD0C1BC">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13416727">
      <w:pPr>
        <w:spacing w:line="360" w:lineRule="auto"/>
        <w:ind w:firstLine="420"/>
        <w:rPr>
          <w:bCs/>
          <w:szCs w:val="21"/>
        </w:rPr>
      </w:pPr>
      <w:r>
        <w:rPr>
          <w:rFonts w:hint="eastAsia"/>
          <w:bCs/>
          <w:szCs w:val="21"/>
        </w:rPr>
        <w:t>本企业对上述声明内容的真实性负责。如有虚假，将依法承担相应责任。</w:t>
      </w:r>
    </w:p>
    <w:p w14:paraId="08AB4018">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59AB1017">
      <w:pPr>
        <w:spacing w:line="360" w:lineRule="auto"/>
        <w:jc w:val="left"/>
        <w:rPr>
          <w:bCs/>
          <w:szCs w:val="21"/>
        </w:rPr>
      </w:pPr>
      <w:r>
        <w:rPr>
          <w:rFonts w:hint="eastAsia"/>
          <w:bCs/>
          <w:szCs w:val="21"/>
        </w:rPr>
        <w:t>（1）标的名称按照第二章采购需求一览表中的名称填写，</w:t>
      </w:r>
      <w:r>
        <w:rPr>
          <w:szCs w:val="21"/>
        </w:rPr>
        <w:t>所属行业标明“/”的</w:t>
      </w:r>
      <w:r>
        <w:rPr>
          <w:rFonts w:hint="eastAsia"/>
          <w:bCs/>
          <w:szCs w:val="21"/>
        </w:rPr>
        <w:t>，无需在上表填写。</w:t>
      </w:r>
    </w:p>
    <w:p w14:paraId="008BAC31">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F85C997">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6A93ACE3">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rFonts w:hint="eastAsia"/>
          <w:bCs/>
          <w:szCs w:val="21"/>
        </w:rPr>
      </w:pPr>
      <w:r>
        <w:rPr>
          <w:rFonts w:hint="eastAsia"/>
          <w:bCs/>
          <w:szCs w:val="21"/>
        </w:rPr>
        <w:t>（5）根据国际统计局《劳动工资统计报表制度》，从业人员数是指本单位工作，并取得工资或其他形式劳动报酬的人员数，是在岗职工、劳务派遣人员及其他从业人员之和。</w:t>
      </w:r>
    </w:p>
    <w:p w14:paraId="6AE66AD7">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275E61CB">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rFonts w:hint="eastAsia"/>
          <w:szCs w:val="21"/>
        </w:rPr>
      </w:pPr>
    </w:p>
    <w:p w14:paraId="459D26C0">
      <w:pPr>
        <w:snapToGrid w:val="0"/>
        <w:spacing w:before="50" w:after="120" w:afterLines="50"/>
        <w:jc w:val="left"/>
        <w:rPr>
          <w:szCs w:val="21"/>
        </w:rPr>
      </w:pPr>
      <w:r>
        <w:rPr>
          <w:szCs w:val="21"/>
        </w:rPr>
        <w:t>1</w:t>
      </w:r>
      <w:r>
        <w:rPr>
          <w:rFonts w:hint="eastAsia"/>
          <w:szCs w:val="21"/>
          <w:lang w:val="en-US" w:eastAsia="zh-CN"/>
        </w:rPr>
        <w:t>1</w:t>
      </w:r>
      <w:r>
        <w:rPr>
          <w:szCs w:val="21"/>
        </w:rPr>
        <w:t>.2监狱企业须提供最新一期《XX省监狱企业产品目录》或其他监狱企业证明材料。（非监狱企业无需提供）</w:t>
      </w:r>
    </w:p>
    <w:p w14:paraId="1AAE70B4">
      <w:pPr>
        <w:snapToGrid w:val="0"/>
        <w:spacing w:before="50" w:after="120" w:afterLines="50"/>
        <w:jc w:val="left"/>
        <w:rPr>
          <w:szCs w:val="21"/>
        </w:rPr>
      </w:pPr>
    </w:p>
    <w:p w14:paraId="065810CA">
      <w:pPr>
        <w:snapToGrid w:val="0"/>
        <w:spacing w:before="50" w:after="120" w:afterLines="50"/>
        <w:jc w:val="left"/>
      </w:pPr>
      <w:r>
        <w:rPr>
          <w:szCs w:val="21"/>
        </w:rPr>
        <w:t>1</w:t>
      </w:r>
      <w:r>
        <w:rPr>
          <w:rFonts w:hint="eastAsia"/>
          <w:szCs w:val="21"/>
          <w:lang w:val="en-US" w:eastAsia="zh-CN"/>
        </w:rPr>
        <w:t>1</w:t>
      </w:r>
      <w:r>
        <w:rPr>
          <w:szCs w:val="21"/>
        </w:rPr>
        <w:t>.3</w:t>
      </w:r>
      <w:bookmarkStart w:id="100" w:name="_Hlk19051624"/>
      <w:r>
        <w:t>残疾人福利性单位须提供《残疾人福利性单位声明函》，格式如下。</w:t>
      </w:r>
      <w:r>
        <w:rPr>
          <w:szCs w:val="21"/>
        </w:rPr>
        <w:t>（非残疾人福利性单位无需提供）</w:t>
      </w:r>
    </w:p>
    <w:bookmarkEnd w:id="100"/>
    <w:p w14:paraId="4A1E1109">
      <w:pPr>
        <w:spacing w:line="360" w:lineRule="auto"/>
        <w:jc w:val="center"/>
        <w:rPr>
          <w:b/>
          <w:szCs w:val="21"/>
        </w:rPr>
      </w:pPr>
      <w:bookmarkStart w:id="101" w:name="OLE_LINK14"/>
      <w:bookmarkStart w:id="102" w:name="OLE_LINK13"/>
      <w:r>
        <w:rPr>
          <w:b/>
          <w:szCs w:val="21"/>
        </w:rPr>
        <w:t>残疾人福利性单位声明函</w:t>
      </w:r>
      <w:bookmarkEnd w:id="101"/>
      <w:bookmarkEnd w:id="102"/>
    </w:p>
    <w:p w14:paraId="20377F8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rFonts w:hint="eastAsia"/>
          <w:szCs w:val="21"/>
        </w:rPr>
      </w:pPr>
      <w:r>
        <w:rPr>
          <w:szCs w:val="21"/>
        </w:rPr>
        <w:t>本单位对上述声明的真实性负责。如有虚假，将依法承担相应责任。</w:t>
      </w:r>
    </w:p>
    <w:p w14:paraId="659848DB">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224AE4D6">
      <w:pPr>
        <w:spacing w:line="360" w:lineRule="auto"/>
        <w:ind w:firstLine="420"/>
        <w:jc w:val="right"/>
        <w:rPr>
          <w:rFonts w:hint="eastAsia"/>
          <w:spacing w:val="6"/>
          <w:szCs w:val="21"/>
        </w:rPr>
      </w:pPr>
      <w:r>
        <w:rPr>
          <w:spacing w:val="6"/>
          <w:szCs w:val="21"/>
        </w:rPr>
        <w:t>单位名称（</w:t>
      </w:r>
      <w:r>
        <w:rPr>
          <w:rFonts w:hint="eastAsia"/>
          <w:spacing w:val="6"/>
          <w:szCs w:val="21"/>
        </w:rPr>
        <w:t>电子签章</w:t>
      </w:r>
      <w:r>
        <w:rPr>
          <w:spacing w:val="6"/>
          <w:szCs w:val="21"/>
        </w:rPr>
        <w:t xml:space="preserve">）：          </w:t>
      </w:r>
    </w:p>
    <w:p w14:paraId="349DE373">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  期：</w:t>
      </w:r>
    </w:p>
    <w:p w14:paraId="47CBC9AE"/>
    <w:p w14:paraId="5313045E">
      <w:pPr>
        <w:spacing w:line="360" w:lineRule="auto"/>
        <w:rPr>
          <w:spacing w:val="6"/>
          <w:szCs w:val="21"/>
        </w:rPr>
      </w:pPr>
    </w:p>
    <w:p w14:paraId="35B7A6A1">
      <w:pPr>
        <w:snapToGrid w:val="0"/>
        <w:spacing w:before="50" w:after="120" w:afterLines="50"/>
        <w:jc w:val="left"/>
        <w:rPr>
          <w:rFonts w:hint="eastAsia"/>
          <w:szCs w:val="21"/>
        </w:rPr>
        <w:sectPr>
          <w:headerReference r:id="rId22" w:type="default"/>
          <w:pgSz w:w="11906" w:h="16838"/>
          <w:pgMar w:top="1417" w:right="1417" w:bottom="1417" w:left="1276" w:header="851" w:footer="992" w:gutter="0"/>
          <w:cols w:space="0" w:num="1"/>
          <w:rtlGutter w:val="0"/>
          <w:docGrid w:linePitch="312" w:charSpace="0"/>
        </w:sectPr>
      </w:pPr>
    </w:p>
    <w:bookmarkEnd w:id="97"/>
    <w:p w14:paraId="23266FF2">
      <w:pPr>
        <w:snapToGrid w:val="0"/>
        <w:spacing w:before="50" w:after="120" w:afterLines="50"/>
        <w:jc w:val="left"/>
        <w:rPr>
          <w:szCs w:val="21"/>
        </w:rPr>
      </w:pPr>
      <w:r>
        <w:rPr>
          <w:szCs w:val="21"/>
        </w:rPr>
        <w:t>1</w:t>
      </w:r>
      <w:r>
        <w:rPr>
          <w:rFonts w:hint="eastAsia"/>
          <w:szCs w:val="21"/>
          <w:lang w:val="en-US" w:eastAsia="zh-CN"/>
        </w:rPr>
        <w:t>2</w:t>
      </w:r>
      <w:r>
        <w:rPr>
          <w:szCs w:val="21"/>
        </w:rPr>
        <w:t>．代理服务费承诺书</w:t>
      </w:r>
      <w:bookmarkEnd w:id="98"/>
    </w:p>
    <w:p w14:paraId="15352D67">
      <w:pPr>
        <w:spacing w:line="360" w:lineRule="exact"/>
        <w:rPr>
          <w:szCs w:val="21"/>
        </w:rPr>
      </w:pPr>
      <w:bookmarkStart w:id="103" w:name="_Hlk19110490"/>
      <w:r>
        <w:rPr>
          <w:szCs w:val="21"/>
        </w:rPr>
        <w:t>致：广西机电设备招标有限公司</w:t>
      </w:r>
    </w:p>
    <w:p w14:paraId="1E75347E">
      <w:pPr>
        <w:spacing w:line="360" w:lineRule="exact"/>
        <w:ind w:firstLine="420" w:firstLineChars="20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5FB25328">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103"/>
    <w:p w14:paraId="77A5155B">
      <w:pPr>
        <w:spacing w:line="360" w:lineRule="exact"/>
        <w:ind w:firstLine="420" w:firstLineChars="200"/>
        <w:rPr>
          <w:szCs w:val="21"/>
        </w:rPr>
      </w:pPr>
      <w:r>
        <w:rPr>
          <w:szCs w:val="21"/>
        </w:rPr>
        <w:t>我公司选择第</w:t>
      </w:r>
      <w:r>
        <w:rPr>
          <w:szCs w:val="21"/>
          <w:u w:val="single"/>
        </w:rPr>
        <w:t xml:space="preserve">     </w:t>
      </w:r>
      <w:r>
        <w:rPr>
          <w:szCs w:val="21"/>
        </w:rPr>
        <w:t>种方式缴纳代理服务费。</w:t>
      </w:r>
    </w:p>
    <w:p w14:paraId="47742C39">
      <w:pPr>
        <w:spacing w:line="360" w:lineRule="exact"/>
        <w:ind w:firstLine="420" w:firstLineChars="200"/>
        <w:rPr>
          <w:szCs w:val="21"/>
        </w:rPr>
      </w:pPr>
      <w:r>
        <w:rPr>
          <w:szCs w:val="21"/>
        </w:rPr>
        <w:t>第一种方式：一次性足额缴纳代理服务费。</w:t>
      </w:r>
    </w:p>
    <w:p w14:paraId="47E3DFD5">
      <w:pPr>
        <w:spacing w:line="360" w:lineRule="exact"/>
        <w:ind w:firstLine="420" w:firstLineChars="200"/>
        <w:rPr>
          <w:rFonts w:hint="eastAsia"/>
          <w:szCs w:val="21"/>
        </w:rPr>
      </w:pPr>
      <w:r>
        <w:rPr>
          <w:szCs w:val="21"/>
        </w:rPr>
        <w:t>第二种方式：从</w:t>
      </w:r>
      <w:r>
        <w:rPr>
          <w:rFonts w:hint="eastAsia"/>
          <w:szCs w:val="21"/>
        </w:rPr>
        <w:t>磋商</w:t>
      </w:r>
      <w:r>
        <w:rPr>
          <w:szCs w:val="21"/>
        </w:rPr>
        <w:t>保证金中抵扣代理服务费，不足部分补交。</w:t>
      </w:r>
    </w:p>
    <w:p w14:paraId="103E27D2">
      <w:pPr>
        <w:spacing w:line="360" w:lineRule="exact"/>
        <w:ind w:firstLine="420" w:firstLineChars="200"/>
        <w:rPr>
          <w:szCs w:val="21"/>
        </w:rPr>
      </w:pPr>
      <w:r>
        <w:rPr>
          <w:szCs w:val="21"/>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A8FC506">
            <w:pPr>
              <w:spacing w:line="360" w:lineRule="exact"/>
              <w:jc w:val="center"/>
              <w:rPr>
                <w:szCs w:val="21"/>
              </w:rPr>
            </w:pPr>
            <w:r>
              <w:rPr>
                <w:szCs w:val="21"/>
              </w:rPr>
              <w:t>收款户名</w:t>
            </w:r>
          </w:p>
        </w:tc>
        <w:tc>
          <w:tcPr>
            <w:tcW w:w="5431" w:type="dxa"/>
            <w:noWrap w:val="0"/>
            <w:vAlign w:val="center"/>
          </w:tcPr>
          <w:p w14:paraId="38481906">
            <w:pPr>
              <w:spacing w:line="360" w:lineRule="exact"/>
              <w:jc w:val="center"/>
              <w:rPr>
                <w:szCs w:val="21"/>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B246E2">
            <w:pPr>
              <w:spacing w:line="360" w:lineRule="exact"/>
              <w:jc w:val="center"/>
              <w:rPr>
                <w:szCs w:val="21"/>
              </w:rPr>
            </w:pPr>
            <w:r>
              <w:rPr>
                <w:szCs w:val="21"/>
              </w:rPr>
              <w:t>账    号</w:t>
            </w:r>
          </w:p>
        </w:tc>
        <w:tc>
          <w:tcPr>
            <w:tcW w:w="5431" w:type="dxa"/>
            <w:noWrap w:val="0"/>
            <w:vAlign w:val="center"/>
          </w:tcPr>
          <w:p w14:paraId="0A1EF65D">
            <w:pPr>
              <w:spacing w:line="360" w:lineRule="exact"/>
              <w:jc w:val="center"/>
              <w:rPr>
                <w:szCs w:val="21"/>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8798FBB">
            <w:pPr>
              <w:spacing w:line="360" w:lineRule="exact"/>
              <w:jc w:val="center"/>
              <w:rPr>
                <w:szCs w:val="21"/>
              </w:rPr>
            </w:pPr>
            <w:r>
              <w:rPr>
                <w:szCs w:val="21"/>
              </w:rPr>
              <w:t>开户银行</w:t>
            </w:r>
          </w:p>
        </w:tc>
        <w:tc>
          <w:tcPr>
            <w:tcW w:w="5431" w:type="dxa"/>
            <w:noWrap w:val="0"/>
            <w:vAlign w:val="center"/>
          </w:tcPr>
          <w:p w14:paraId="3B3754AF">
            <w:pPr>
              <w:spacing w:line="360" w:lineRule="exact"/>
              <w:jc w:val="center"/>
              <w:rPr>
                <w:szCs w:val="21"/>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BA714F4">
            <w:pPr>
              <w:spacing w:line="360" w:lineRule="exact"/>
              <w:jc w:val="center"/>
              <w:rPr>
                <w:szCs w:val="21"/>
              </w:rPr>
            </w:pPr>
            <w:r>
              <w:rPr>
                <w:szCs w:val="21"/>
              </w:rPr>
              <w:t>银行行号</w:t>
            </w:r>
          </w:p>
        </w:tc>
        <w:tc>
          <w:tcPr>
            <w:tcW w:w="5431" w:type="dxa"/>
            <w:noWrap w:val="0"/>
            <w:vAlign w:val="center"/>
          </w:tcPr>
          <w:p w14:paraId="3D5E392D">
            <w:pPr>
              <w:spacing w:line="360" w:lineRule="exact"/>
              <w:jc w:val="center"/>
              <w:rPr>
                <w:szCs w:val="21"/>
              </w:rPr>
            </w:pPr>
          </w:p>
        </w:tc>
      </w:tr>
    </w:tbl>
    <w:p w14:paraId="1539389B">
      <w:pPr>
        <w:spacing w:line="360" w:lineRule="exact"/>
        <w:ind w:firstLine="420" w:firstLineChars="200"/>
        <w:rPr>
          <w:szCs w:val="21"/>
        </w:rPr>
      </w:pPr>
      <w:r>
        <w:rPr>
          <w:szCs w:val="21"/>
        </w:rPr>
        <w:t>3．如果我单位未遵守有关采购文件关于磋商保证金的规定，贵方可以没收我单位磋商保证金。</w:t>
      </w:r>
    </w:p>
    <w:p w14:paraId="5E537596">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38DFB7B1">
      <w:pPr>
        <w:spacing w:line="360" w:lineRule="exact"/>
        <w:ind w:firstLine="420" w:firstLineChars="200"/>
        <w:rPr>
          <w:szCs w:val="21"/>
        </w:rPr>
      </w:pPr>
      <w:r>
        <w:rPr>
          <w:szCs w:val="21"/>
        </w:rPr>
        <w:t>第一种方式：开具收据。</w:t>
      </w:r>
    </w:p>
    <w:p w14:paraId="7E68E5BD">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53AFA6C2">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0E691965">
      <w:pPr>
        <w:spacing w:before="120" w:beforeLines="50" w:line="360" w:lineRule="auto"/>
        <w:jc w:val="left"/>
        <w:rPr>
          <w:szCs w:val="21"/>
        </w:rPr>
      </w:pPr>
    </w:p>
    <w:p w14:paraId="7229CEFA">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72285DA8">
      <w:pPr>
        <w:spacing w:before="120" w:beforeLines="50" w:line="360" w:lineRule="auto"/>
        <w:jc w:val="left"/>
        <w:rPr>
          <w:szCs w:val="21"/>
        </w:rPr>
      </w:pPr>
      <w:r>
        <w:rPr>
          <w:szCs w:val="21"/>
        </w:rPr>
        <w:t>供应商地址：</w:t>
      </w:r>
      <w:r>
        <w:rPr>
          <w:szCs w:val="21"/>
          <w:u w:val="single"/>
        </w:rPr>
        <w:t xml:space="preserve">                                     </w:t>
      </w:r>
    </w:p>
    <w:p w14:paraId="4D3C259B">
      <w:pPr>
        <w:spacing w:before="120" w:beforeLines="50" w:line="360" w:lineRule="auto"/>
        <w:jc w:val="left"/>
        <w:rPr>
          <w:szCs w:val="21"/>
          <w:u w:val="single"/>
        </w:rPr>
      </w:pPr>
    </w:p>
    <w:p w14:paraId="644ACBE1">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13BCAF8">
      <w:pPr>
        <w:spacing w:before="120" w:beforeLines="50"/>
        <w:rPr>
          <w:szCs w:val="21"/>
        </w:rPr>
      </w:pPr>
      <w:r>
        <w:rPr>
          <w:szCs w:val="21"/>
        </w:rPr>
        <w:t>说明：</w:t>
      </w:r>
    </w:p>
    <w:p w14:paraId="70478F46">
      <w:pPr>
        <w:spacing w:line="340" w:lineRule="exact"/>
        <w:ind w:firstLine="420" w:firstLineChars="200"/>
        <w:rPr>
          <w:szCs w:val="21"/>
        </w:rPr>
      </w:pPr>
      <w:r>
        <w:rPr>
          <w:szCs w:val="21"/>
        </w:rPr>
        <w:t>（1）为保障资金安全，上述账户不能为私人账户。</w:t>
      </w:r>
    </w:p>
    <w:p w14:paraId="59961100">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4A9100CB">
      <w:pPr>
        <w:snapToGrid w:val="0"/>
        <w:spacing w:before="120" w:beforeLines="50" w:after="50" w:afterLines="0" w:line="440" w:lineRule="exact"/>
        <w:jc w:val="left"/>
        <w:outlineLvl w:val="1"/>
        <w:rPr>
          <w:rFonts w:hint="default" w:ascii="Times New Roman" w:hAnsi="Times New Roman" w:eastAsia="宋体" w:cs="Times New Roman"/>
          <w:sz w:val="24"/>
          <w:szCs w:val="24"/>
        </w:rPr>
      </w:pPr>
      <w:r>
        <w:rPr>
          <w:szCs w:val="21"/>
        </w:rPr>
        <w:br w:type="page"/>
      </w: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.响应</w:t>
      </w:r>
      <w:r>
        <w:rPr>
          <w:rFonts w:hint="eastAsia" w:ascii="Times New Roman" w:hAnsi="Times New Roman" w:eastAsia="宋体" w:cs="Times New Roman"/>
          <w:sz w:val="24"/>
          <w:szCs w:val="24"/>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sz w:val="24"/>
          <w:szCs w:val="24"/>
        </w:rPr>
      </w:pPr>
    </w:p>
    <w:p w14:paraId="7F3C00D8">
      <w:pPr>
        <w:snapToGrid w:val="0"/>
        <w:spacing w:before="120" w:beforeLines="50" w:after="50" w:afterLines="0" w:line="360" w:lineRule="exact"/>
        <w:rPr>
          <w:rFonts w:hint="default" w:ascii="Times New Roman" w:hAnsi="Times New Roman" w:eastAsia="宋体" w:cs="Times New Roman"/>
          <w:sz w:val="24"/>
          <w:szCs w:val="24"/>
        </w:rPr>
      </w:pPr>
    </w:p>
    <w:p w14:paraId="2ABD3BA6">
      <w:pPr>
        <w:snapToGrid w:val="0"/>
        <w:spacing w:before="120" w:beforeLines="50" w:after="50" w:afterLines="0" w:line="360" w:lineRule="exact"/>
        <w:jc w:val="center"/>
        <w:rPr>
          <w:rFonts w:hint="default" w:ascii="Times New Roman" w:hAnsi="Times New Roman" w:eastAsia="宋体" w:cs="Times New Roman"/>
          <w:color w:val="FF0000"/>
          <w:sz w:val="24"/>
          <w:szCs w:val="24"/>
        </w:rPr>
      </w:pPr>
    </w:p>
    <w:p w14:paraId="2B1363F4">
      <w:pPr>
        <w:snapToGrid w:val="0"/>
        <w:spacing w:before="120" w:beforeLines="50" w:after="50" w:afterLines="0" w:line="360" w:lineRule="exact"/>
        <w:jc w:val="center"/>
        <w:rPr>
          <w:rFonts w:hint="default" w:ascii="Times New Roman" w:hAnsi="Times New Roman" w:eastAsia="宋体" w:cs="Times New Roman"/>
          <w:b/>
          <w:sz w:val="44"/>
          <w:szCs w:val="44"/>
        </w:rPr>
      </w:pPr>
      <w:r>
        <w:rPr>
          <w:rFonts w:hint="eastAsia" w:ascii="Times New Roman" w:hAnsi="Times New Roman" w:eastAsia="宋体" w:cs="Times New Roman"/>
          <w:b/>
          <w:sz w:val="44"/>
          <w:szCs w:val="44"/>
        </w:rPr>
        <w:t>电子</w:t>
      </w:r>
      <w:r>
        <w:rPr>
          <w:rFonts w:hint="eastAsia" w:ascii="Times New Roman" w:hAnsi="Times New Roman" w:eastAsia="宋体" w:cs="Times New Roman"/>
          <w:b/>
          <w:sz w:val="44"/>
          <w:szCs w:val="44"/>
          <w:lang w:val="en-US" w:eastAsia="zh-CN"/>
        </w:rPr>
        <w:t>响应</w:t>
      </w:r>
      <w:r>
        <w:rPr>
          <w:rFonts w:hint="eastAsia" w:ascii="Times New Roman" w:hAnsi="Times New Roman" w:eastAsia="宋体" w:cs="Times New Roman"/>
          <w:b/>
          <w:sz w:val="44"/>
          <w:szCs w:val="44"/>
        </w:rPr>
        <w:t>文件</w:t>
      </w:r>
    </w:p>
    <w:p w14:paraId="71E56E1C">
      <w:pPr>
        <w:snapToGrid w:val="0"/>
        <w:spacing w:before="120" w:beforeLines="50" w:after="50" w:afterLines="0" w:line="360" w:lineRule="exact"/>
        <w:jc w:val="center"/>
        <w:rPr>
          <w:rFonts w:hint="default" w:ascii="Times New Roman" w:hAnsi="Times New Roman" w:eastAsia="宋体" w:cs="Times New Roman"/>
          <w:b/>
          <w:sz w:val="44"/>
          <w:szCs w:val="44"/>
        </w:rPr>
      </w:pPr>
    </w:p>
    <w:p w14:paraId="587D1E08">
      <w:pPr>
        <w:snapToGrid w:val="0"/>
        <w:spacing w:before="120" w:beforeLines="50" w:after="50" w:afterLines="0" w:line="360" w:lineRule="exact"/>
        <w:jc w:val="center"/>
        <w:rPr>
          <w:rFonts w:hint="default" w:ascii="Times New Roman" w:hAnsi="Times New Roman" w:eastAsia="宋体" w:cs="Times New Roman"/>
          <w:b/>
          <w:sz w:val="44"/>
          <w:szCs w:val="44"/>
        </w:rPr>
      </w:pPr>
    </w:p>
    <w:p w14:paraId="6EEE1A12">
      <w:pPr>
        <w:snapToGrid w:val="0"/>
        <w:spacing w:before="120" w:beforeLines="50" w:after="50" w:afterLines="0" w:line="360" w:lineRule="exact"/>
        <w:jc w:val="center"/>
        <w:rPr>
          <w:rFonts w:hint="default" w:ascii="Times New Roman" w:hAnsi="Times New Roman" w:eastAsia="宋体" w:cs="Times New Roman"/>
          <w:b/>
          <w:sz w:val="44"/>
          <w:szCs w:val="44"/>
        </w:rPr>
      </w:pPr>
      <w:r>
        <w:rPr>
          <w:rFonts w:hint="eastAsia" w:ascii="Times New Roman" w:hAnsi="Times New Roman" w:eastAsia="宋体" w:cs="Times New Roman"/>
          <w:b/>
          <w:sz w:val="44"/>
          <w:szCs w:val="44"/>
        </w:rPr>
        <w:t>报价文件</w:t>
      </w:r>
    </w:p>
    <w:p w14:paraId="7E7A03EB">
      <w:pPr>
        <w:snapToGrid w:val="0"/>
        <w:spacing w:before="120" w:beforeLines="50" w:after="50" w:afterLines="0" w:line="360" w:lineRule="exact"/>
        <w:rPr>
          <w:rFonts w:hint="default" w:ascii="Times New Roman" w:hAnsi="Times New Roman" w:eastAsia="宋体" w:cs="Times New Roman"/>
          <w:sz w:val="24"/>
          <w:szCs w:val="24"/>
        </w:rPr>
      </w:pPr>
    </w:p>
    <w:p w14:paraId="71A99AD1">
      <w:pPr>
        <w:snapToGrid w:val="0"/>
        <w:spacing w:before="120" w:beforeLines="50" w:after="50" w:afterLines="0" w:line="360" w:lineRule="exact"/>
        <w:rPr>
          <w:rFonts w:hint="default" w:ascii="Times New Roman" w:hAnsi="Times New Roman" w:eastAsia="宋体" w:cs="Times New Roman"/>
          <w:sz w:val="24"/>
          <w:szCs w:val="24"/>
        </w:rPr>
      </w:pPr>
    </w:p>
    <w:p w14:paraId="21029E7A">
      <w:pPr>
        <w:snapToGrid w:val="0"/>
        <w:spacing w:before="120" w:beforeLines="50" w:after="50" w:afterLines="0" w:line="360" w:lineRule="exact"/>
        <w:rPr>
          <w:rFonts w:hint="default" w:ascii="Times New Roman" w:hAnsi="Times New Roman" w:eastAsia="宋体" w:cs="Times New Roman"/>
          <w:sz w:val="24"/>
          <w:szCs w:val="24"/>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分标号：（若无留空或写</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sz w:val="24"/>
          <w:szCs w:val="24"/>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p w14:paraId="7B7FEB64">
      <w:pPr>
        <w:snapToGrid w:val="0"/>
        <w:spacing w:before="120" w:beforeLines="50" w:after="50" w:afterLines="0" w:line="360" w:lineRule="exact"/>
        <w:ind w:firstLine="720" w:firstLineChars="300"/>
        <w:rPr>
          <w:rFonts w:hint="eastAsia" w:ascii="Times New Roman" w:hAnsi="Times New Roman" w:eastAsia="宋体" w:cs="Times New Roman"/>
          <w:sz w:val="24"/>
          <w:szCs w:val="24"/>
        </w:rPr>
        <w:sectPr>
          <w:pgSz w:w="11906" w:h="16838"/>
          <w:pgMar w:top="1417" w:right="1417" w:bottom="1417" w:left="1276" w:header="851" w:footer="992" w:gutter="0"/>
          <w:cols w:space="0" w:num="1"/>
          <w:rtlGutter w:val="0"/>
          <w:docGrid w:linePitch="312" w:charSpace="0"/>
        </w:sectPr>
      </w:pPr>
    </w:p>
    <w:p w14:paraId="0122F6B7">
      <w:pPr>
        <w:snapToGrid w:val="0"/>
        <w:spacing w:before="120" w:beforeLines="50" w:after="50" w:line="440" w:lineRule="exact"/>
        <w:jc w:val="center"/>
        <w:outlineLvl w:val="9"/>
        <w:rPr>
          <w:bCs/>
          <w:sz w:val="24"/>
        </w:rPr>
      </w:pPr>
      <w:r>
        <w:rPr>
          <w:bCs/>
          <w:sz w:val="24"/>
        </w:rPr>
        <w:t>第</w:t>
      </w:r>
      <w:r>
        <w:rPr>
          <w:rFonts w:hint="eastAsia"/>
          <w:bCs/>
          <w:sz w:val="24"/>
        </w:rPr>
        <w:t>三</w:t>
      </w:r>
      <w:r>
        <w:rPr>
          <w:bCs/>
          <w:sz w:val="24"/>
        </w:rPr>
        <w:t>部分 报价文件</w:t>
      </w:r>
    </w:p>
    <w:p w14:paraId="6D2E23F5">
      <w:pPr>
        <w:jc w:val="center"/>
        <w:rPr>
          <w:b/>
          <w:bCs/>
          <w:szCs w:val="21"/>
        </w:rPr>
      </w:pPr>
    </w:p>
    <w:p w14:paraId="1B85DA53">
      <w:pPr>
        <w:rPr>
          <w:rFonts w:hint="eastAsia"/>
          <w:b/>
          <w:szCs w:val="21"/>
        </w:rPr>
      </w:pPr>
      <w:r>
        <w:rPr>
          <w:b/>
          <w:szCs w:val="21"/>
        </w:rPr>
        <w:t>1．响应函格式：</w:t>
      </w:r>
    </w:p>
    <w:p w14:paraId="245C157E">
      <w:pPr>
        <w:rPr>
          <w:b/>
          <w:szCs w:val="21"/>
        </w:rPr>
      </w:pPr>
    </w:p>
    <w:p w14:paraId="7B3ACD4C">
      <w:pPr>
        <w:jc w:val="center"/>
        <w:rPr>
          <w:b/>
          <w:szCs w:val="21"/>
        </w:rPr>
      </w:pPr>
      <w:r>
        <w:rPr>
          <w:b/>
          <w:szCs w:val="21"/>
        </w:rPr>
        <w:t>响 应 函</w:t>
      </w:r>
    </w:p>
    <w:p w14:paraId="27A96BCD">
      <w:pPr>
        <w:rPr>
          <w:b/>
          <w:szCs w:val="21"/>
        </w:rPr>
      </w:pPr>
    </w:p>
    <w:p w14:paraId="738888ED">
      <w:pPr>
        <w:spacing w:line="360" w:lineRule="auto"/>
        <w:rPr>
          <w:szCs w:val="21"/>
        </w:rPr>
      </w:pPr>
      <w:bookmarkStart w:id="104" w:name="_Hlk19110643"/>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6FF0A0D1">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04"/>
    <w:p w14:paraId="28B4D779">
      <w:pPr>
        <w:spacing w:line="360" w:lineRule="auto"/>
        <w:ind w:firstLine="420" w:firstLineChars="200"/>
        <w:rPr>
          <w:szCs w:val="21"/>
        </w:rPr>
      </w:pPr>
      <w:r>
        <w:rPr>
          <w:szCs w:val="21"/>
        </w:rPr>
        <w:t>据此函，签字代表宣布同意如下：</w:t>
      </w:r>
    </w:p>
    <w:p w14:paraId="0C9FFAAC">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38C16516">
      <w:pPr>
        <w:spacing w:line="360" w:lineRule="auto"/>
        <w:rPr>
          <w:szCs w:val="21"/>
        </w:rPr>
      </w:pPr>
      <w:r>
        <w:rPr>
          <w:rFonts w:hint="eastAsia"/>
          <w:szCs w:val="21"/>
        </w:rPr>
        <w:t>（3）我方承诺本响应有效期为第三章供应商须知规定的期限。</w:t>
      </w:r>
    </w:p>
    <w:p w14:paraId="11F94176">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0248F7A7">
      <w:pPr>
        <w:spacing w:line="360" w:lineRule="auto"/>
        <w:rPr>
          <w:szCs w:val="21"/>
        </w:rPr>
      </w:pPr>
      <w:r>
        <w:rPr>
          <w:szCs w:val="21"/>
        </w:rPr>
        <w:t>（5）供应商同意按照贵方要求提供与响应有关的一切数据或资料。</w:t>
      </w:r>
    </w:p>
    <w:p w14:paraId="5226F80E">
      <w:pPr>
        <w:spacing w:line="360" w:lineRule="auto"/>
        <w:rPr>
          <w:szCs w:val="21"/>
        </w:rPr>
      </w:pPr>
      <w:r>
        <w:rPr>
          <w:szCs w:val="21"/>
        </w:rPr>
        <w:t>（</w:t>
      </w:r>
      <w:r>
        <w:rPr>
          <w:rFonts w:hint="eastAsia"/>
          <w:szCs w:val="21"/>
        </w:rPr>
        <w:t>6</w:t>
      </w:r>
      <w:r>
        <w:rPr>
          <w:szCs w:val="21"/>
        </w:rPr>
        <w:t>）与本项目有关的一切正式往来信函请寄：</w:t>
      </w:r>
    </w:p>
    <w:p w14:paraId="2EAE7166">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3F6DCB21">
      <w:pPr>
        <w:spacing w:line="360" w:lineRule="auto"/>
        <w:rPr>
          <w:szCs w:val="21"/>
        </w:rPr>
      </w:pPr>
      <w:r>
        <w:rPr>
          <w:szCs w:val="21"/>
        </w:rPr>
        <w:t>传真：</w:t>
      </w:r>
      <w:r>
        <w:rPr>
          <w:szCs w:val="21"/>
          <w:u w:val="single"/>
        </w:rPr>
        <w:t xml:space="preserve">           </w:t>
      </w:r>
      <w:r>
        <w:rPr>
          <w:szCs w:val="21"/>
        </w:rPr>
        <w:t xml:space="preserve"> </w:t>
      </w:r>
    </w:p>
    <w:p w14:paraId="052751A4">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2A8654A8">
      <w:pPr>
        <w:spacing w:line="360" w:lineRule="auto"/>
        <w:rPr>
          <w:rFonts w:hint="eastAsia"/>
          <w:szCs w:val="21"/>
        </w:rPr>
      </w:pPr>
    </w:p>
    <w:p w14:paraId="06A3BE02">
      <w:pPr>
        <w:spacing w:line="360" w:lineRule="auto"/>
        <w:rPr>
          <w:rFonts w:hint="eastAsia"/>
          <w:szCs w:val="21"/>
        </w:rPr>
      </w:pPr>
    </w:p>
    <w:p w14:paraId="1638CD8C">
      <w:pPr>
        <w:spacing w:line="360" w:lineRule="auto"/>
        <w:rPr>
          <w:rFonts w:hint="eastAsia"/>
          <w:szCs w:val="21"/>
          <w:u w:val="single"/>
        </w:rPr>
      </w:pPr>
      <w:r>
        <w:rPr>
          <w:szCs w:val="21"/>
        </w:rPr>
        <w:t>供应商</w:t>
      </w:r>
      <w:r>
        <w:rPr>
          <w:rFonts w:hint="eastAsia"/>
          <w:szCs w:val="21"/>
        </w:rPr>
        <w:t>名称(电子签章</w:t>
      </w:r>
      <w:r>
        <w:rPr>
          <w:szCs w:val="21"/>
        </w:rPr>
        <w:t>)：：</w:t>
      </w:r>
      <w:r>
        <w:rPr>
          <w:szCs w:val="21"/>
          <w:u w:val="single"/>
        </w:rPr>
        <w:t xml:space="preserve">                  </w:t>
      </w:r>
    </w:p>
    <w:p w14:paraId="44CF9F8C">
      <w:pPr>
        <w:spacing w:line="360" w:lineRule="auto"/>
        <w:rPr>
          <w:szCs w:val="21"/>
        </w:rPr>
      </w:pPr>
    </w:p>
    <w:p w14:paraId="6AE8FAEC">
      <w:pPr>
        <w:spacing w:line="360" w:lineRule="auto"/>
        <w:rPr>
          <w:rFonts w:hint="eastAsia"/>
          <w:szCs w:val="21"/>
        </w:rPr>
      </w:pPr>
    </w:p>
    <w:p w14:paraId="048AA8F3">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44E1687">
      <w:pPr>
        <w:rPr>
          <w:b/>
          <w:szCs w:val="21"/>
        </w:rPr>
      </w:pPr>
      <w:r>
        <w:rPr>
          <w:b/>
          <w:szCs w:val="21"/>
        </w:rPr>
        <w:br w:type="page"/>
      </w:r>
      <w:r>
        <w:rPr>
          <w:b/>
          <w:szCs w:val="21"/>
        </w:rPr>
        <w:t>2．响应报价明细表格式：</w:t>
      </w:r>
    </w:p>
    <w:p w14:paraId="2C2FD706">
      <w:pPr>
        <w:jc w:val="center"/>
        <w:rPr>
          <w:b/>
          <w:szCs w:val="21"/>
        </w:rPr>
      </w:pPr>
      <w:r>
        <w:rPr>
          <w:b/>
          <w:szCs w:val="21"/>
        </w:rPr>
        <w:t>响应报价明细表</w:t>
      </w:r>
    </w:p>
    <w:p w14:paraId="756BCFE1">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663"/>
        <w:gridCol w:w="130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color w:val="auto"/>
                <w:spacing w:val="20"/>
                <w:sz w:val="21"/>
                <w:szCs w:val="21"/>
              </w:rPr>
            </w:pPr>
            <w:r>
              <w:rPr>
                <w:color w:val="auto"/>
                <w:sz w:val="21"/>
                <w:szCs w:val="21"/>
              </w:rPr>
              <w:t>序号</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color w:val="auto"/>
                <w:sz w:val="21"/>
                <w:szCs w:val="21"/>
              </w:rPr>
            </w:pPr>
            <w:r>
              <w:rPr>
                <w:color w:val="auto"/>
                <w:sz w:val="21"/>
                <w:szCs w:val="21"/>
              </w:rPr>
              <w:t>服务名称</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682E81E">
            <w:pPr>
              <w:jc w:val="center"/>
              <w:rPr>
                <w:color w:val="auto"/>
                <w:sz w:val="21"/>
                <w:szCs w:val="21"/>
              </w:rPr>
            </w:pPr>
            <w:r>
              <w:rPr>
                <w:color w:val="auto"/>
                <w:sz w:val="21"/>
                <w:szCs w:val="21"/>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color w:val="auto"/>
                <w:sz w:val="21"/>
                <w:szCs w:val="21"/>
              </w:rPr>
            </w:pPr>
            <w:r>
              <w:rPr>
                <w:color w:val="auto"/>
                <w:sz w:val="21"/>
                <w:szCs w:val="21"/>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color w:val="auto"/>
                <w:sz w:val="21"/>
                <w:szCs w:val="21"/>
              </w:rPr>
            </w:pPr>
            <w:r>
              <w:rPr>
                <w:color w:val="auto"/>
                <w:sz w:val="21"/>
                <w:szCs w:val="21"/>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color w:val="auto"/>
                <w:sz w:val="21"/>
                <w:szCs w:val="21"/>
              </w:rPr>
            </w:pPr>
            <w:r>
              <w:rPr>
                <w:rFonts w:hint="eastAsia"/>
                <w:color w:val="auto"/>
                <w:sz w:val="21"/>
                <w:szCs w:val="21"/>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color w:val="auto"/>
                <w:spacing w:val="20"/>
                <w:sz w:val="21"/>
                <w:szCs w:val="21"/>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color w:val="auto"/>
                <w:spacing w:val="20"/>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8D9CBFF">
            <w:pPr>
              <w:jc w:val="center"/>
              <w:rPr>
                <w:color w:val="auto"/>
                <w:spacing w:val="20"/>
                <w:sz w:val="21"/>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color w:val="auto"/>
                <w:spacing w:val="2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color w:val="auto"/>
                <w:spacing w:val="20"/>
                <w:sz w:val="21"/>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color w:val="auto"/>
                <w:spacing w:val="20"/>
                <w:sz w:val="21"/>
                <w:szCs w:val="21"/>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color w:val="auto"/>
                <w:spacing w:val="20"/>
                <w:sz w:val="21"/>
                <w:szCs w:val="21"/>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color w:val="auto"/>
                <w:spacing w:val="20"/>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65D8261">
            <w:pPr>
              <w:jc w:val="center"/>
              <w:rPr>
                <w:color w:val="auto"/>
                <w:spacing w:val="20"/>
                <w:sz w:val="21"/>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color w:val="auto"/>
                <w:spacing w:val="2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color w:val="auto"/>
                <w:spacing w:val="20"/>
                <w:sz w:val="21"/>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color w:val="auto"/>
                <w:spacing w:val="20"/>
                <w:sz w:val="21"/>
                <w:szCs w:val="21"/>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color w:val="auto"/>
                <w:spacing w:val="20"/>
                <w:sz w:val="21"/>
                <w:szCs w:val="21"/>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color w:val="auto"/>
                <w:spacing w:val="20"/>
                <w:sz w:val="21"/>
                <w:szCs w:val="21"/>
              </w:rPr>
            </w:pPr>
            <w:r>
              <w:rPr>
                <w:color w:val="auto"/>
                <w:spacing w:val="20"/>
                <w:sz w:val="21"/>
                <w:szCs w:val="21"/>
              </w:rPr>
              <w:t>……</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B936A5E">
            <w:pPr>
              <w:jc w:val="center"/>
              <w:rPr>
                <w:color w:val="auto"/>
                <w:spacing w:val="20"/>
                <w:sz w:val="21"/>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color w:val="auto"/>
                <w:spacing w:val="2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color w:val="auto"/>
                <w:spacing w:val="20"/>
                <w:sz w:val="21"/>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color w:val="auto"/>
                <w:spacing w:val="20"/>
                <w:sz w:val="21"/>
                <w:szCs w:val="21"/>
              </w:rPr>
            </w:pPr>
          </w:p>
        </w:tc>
      </w:tr>
      <w:tr w14:paraId="0CCE2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exact"/>
          <w:jc w:val="center"/>
        </w:trPr>
        <w:tc>
          <w:tcPr>
            <w:tcW w:w="8625" w:type="dxa"/>
            <w:gridSpan w:val="6"/>
            <w:tcBorders>
              <w:top w:val="single" w:color="auto" w:sz="4" w:space="0"/>
              <w:left w:val="single" w:color="auto" w:sz="4" w:space="0"/>
              <w:bottom w:val="single" w:color="auto" w:sz="4" w:space="0"/>
              <w:right w:val="single" w:color="auto" w:sz="4" w:space="0"/>
            </w:tcBorders>
            <w:noWrap w:val="0"/>
            <w:vAlign w:val="center"/>
          </w:tcPr>
          <w:p w14:paraId="221429DB">
            <w:pPr>
              <w:jc w:val="left"/>
              <w:rPr>
                <w:color w:val="auto"/>
                <w:spacing w:val="20"/>
                <w:sz w:val="21"/>
                <w:szCs w:val="21"/>
              </w:rPr>
            </w:pPr>
            <w:r>
              <w:rPr>
                <w:rFonts w:ascii="Arial" w:hAnsi="Arial" w:cs="Arial"/>
                <w:color w:val="auto"/>
                <w:spacing w:val="20"/>
                <w:szCs w:val="21"/>
                <w:highlight w:val="none"/>
              </w:rPr>
              <w:t>响应</w:t>
            </w:r>
            <w:r>
              <w:rPr>
                <w:rFonts w:hint="eastAsia" w:ascii="Arial" w:hAnsi="Arial" w:cs="Arial"/>
                <w:color w:val="auto"/>
                <w:spacing w:val="20"/>
                <w:szCs w:val="21"/>
                <w:highlight w:val="none"/>
                <w:lang w:eastAsia="zh-CN"/>
              </w:rPr>
              <w:t>报</w:t>
            </w:r>
            <w:r>
              <w:rPr>
                <w:rFonts w:ascii="Arial" w:hAnsi="Arial" w:cs="Arial"/>
                <w:color w:val="auto"/>
                <w:spacing w:val="20"/>
                <w:szCs w:val="21"/>
                <w:highlight w:val="none"/>
              </w:rPr>
              <w:t>价：大写                       小写</w:t>
            </w:r>
          </w:p>
        </w:tc>
      </w:tr>
    </w:tbl>
    <w:p w14:paraId="419B13F7">
      <w:pPr>
        <w:rPr>
          <w:spacing w:val="20"/>
          <w:szCs w:val="21"/>
          <w:u w:val="single"/>
        </w:rPr>
      </w:pPr>
    </w:p>
    <w:p w14:paraId="07C31DB1">
      <w:pPr>
        <w:spacing w:line="360" w:lineRule="auto"/>
        <w:rPr>
          <w:spacing w:val="20"/>
          <w:szCs w:val="21"/>
        </w:rPr>
      </w:pPr>
    </w:p>
    <w:p w14:paraId="27632614">
      <w:pPr>
        <w:pStyle w:val="17"/>
      </w:pPr>
      <w:r>
        <w:rPr>
          <w:szCs w:val="21"/>
        </w:rPr>
        <w:t>注：</w:t>
      </w:r>
      <w:r>
        <w:rPr>
          <w:rFonts w:hint="eastAsia"/>
          <w:szCs w:val="21"/>
        </w:rPr>
        <w:t>本表如</w:t>
      </w:r>
      <w:r>
        <w:rPr>
          <w:rFonts w:hint="eastAsia"/>
        </w:rPr>
        <w:t>与广西政府采购云平台不一致的，以广西政府采购云平台为准。</w:t>
      </w:r>
    </w:p>
    <w:p w14:paraId="08B42480">
      <w:pPr>
        <w:jc w:val="left"/>
        <w:rPr>
          <w:szCs w:val="21"/>
        </w:rPr>
      </w:pPr>
    </w:p>
    <w:p w14:paraId="15DD91EE">
      <w:pPr>
        <w:spacing w:line="360" w:lineRule="auto"/>
        <w:rPr>
          <w:spacing w:val="20"/>
          <w:szCs w:val="21"/>
        </w:rPr>
      </w:pPr>
    </w:p>
    <w:p w14:paraId="781F2B45">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6729242">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2F11F5C6">
      <w:pPr>
        <w:snapToGrid w:val="0"/>
        <w:spacing w:before="50" w:after="120" w:afterLines="50"/>
        <w:jc w:val="left"/>
        <w:outlineLvl w:val="1"/>
        <w:rPr>
          <w:szCs w:val="21"/>
        </w:rPr>
      </w:pPr>
      <w:r>
        <w:rPr>
          <w:szCs w:val="21"/>
        </w:rPr>
        <w:br w:type="page"/>
      </w:r>
      <w:bookmarkStart w:id="105" w:name="_Hlk65852042"/>
      <w:r>
        <w:rPr>
          <w:rFonts w:hint="eastAsia"/>
          <w:szCs w:val="21"/>
          <w:lang w:val="en-US" w:eastAsia="zh-CN"/>
        </w:rPr>
        <w:t>4</w:t>
      </w:r>
      <w:r>
        <w:rPr>
          <w:rFonts w:hint="eastAsia"/>
          <w:szCs w:val="21"/>
        </w:rPr>
        <w:t>.开标一览表</w:t>
      </w:r>
    </w:p>
    <w:p w14:paraId="5ED81DB2">
      <w:pPr>
        <w:widowControl/>
        <w:jc w:val="left"/>
        <w:rPr>
          <w:color w:val="4472C4"/>
          <w:szCs w:val="21"/>
        </w:rPr>
      </w:pPr>
    </w:p>
    <w:p w14:paraId="0C2BE11D">
      <w:pPr>
        <w:widowControl/>
        <w:jc w:val="left"/>
        <w:rPr>
          <w:color w:val="4472C4"/>
          <w:szCs w:val="21"/>
        </w:rPr>
      </w:pPr>
    </w:p>
    <w:p w14:paraId="29C3AAA3">
      <w:pPr>
        <w:widowControl/>
        <w:jc w:val="left"/>
        <w:rPr>
          <w:color w:val="4472C4"/>
          <w:szCs w:val="21"/>
        </w:rPr>
      </w:pPr>
    </w:p>
    <w:p w14:paraId="22FC1D7E">
      <w:pPr>
        <w:rPr>
          <w:b/>
          <w:szCs w:val="21"/>
        </w:rPr>
      </w:pPr>
    </w:p>
    <w:p w14:paraId="3FE50C5A">
      <w:pPr>
        <w:rPr>
          <w:b/>
          <w:szCs w:val="21"/>
        </w:rPr>
      </w:pPr>
    </w:p>
    <w:p w14:paraId="12F2B6A6">
      <w:pPr>
        <w:rPr>
          <w:b/>
          <w:szCs w:val="21"/>
        </w:rPr>
      </w:pPr>
      <w:r>
        <w:rPr>
          <w:rFonts w:hint="eastAsia"/>
          <w:b/>
          <w:szCs w:val="21"/>
        </w:rPr>
        <w:t>格式详见广西政府采购云平台，且仅在广西政府采购云平台填写即可。</w:t>
      </w:r>
    </w:p>
    <w:p w14:paraId="1D5FF000">
      <w:pPr>
        <w:widowControl/>
        <w:jc w:val="left"/>
        <w:rPr>
          <w:szCs w:val="21"/>
        </w:rPr>
      </w:pPr>
    </w:p>
    <w:bookmarkEnd w:id="105"/>
    <w:p w14:paraId="6BB8EB0B">
      <w:pPr>
        <w:spacing w:line="360" w:lineRule="auto"/>
        <w:ind w:firstLine="420"/>
        <w:rPr>
          <w:rFonts w:hint="eastAsia"/>
          <w:szCs w:val="21"/>
        </w:rPr>
      </w:pPr>
    </w:p>
    <w:p w14:paraId="4C65E6E7">
      <w:pPr>
        <w:snapToGrid w:val="0"/>
        <w:spacing w:before="120" w:beforeLines="50" w:after="50" w:line="440" w:lineRule="exact"/>
        <w:jc w:val="left"/>
        <w:outlineLvl w:val="1"/>
        <w:rPr>
          <w:rFonts w:hint="eastAsia"/>
          <w:bCs/>
          <w:sz w:val="24"/>
        </w:rPr>
      </w:pPr>
      <w:r>
        <w:rPr>
          <w:bCs/>
          <w:sz w:val="24"/>
        </w:rPr>
        <w:t xml:space="preserve"> </w:t>
      </w:r>
    </w:p>
    <w:sectPr>
      <w:headerReference r:id="rId23" w:type="default"/>
      <w:pgSz w:w="11906" w:h="16838"/>
      <w:pgMar w:top="1417" w:right="1417" w:bottom="1417" w:left="1276"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33987"/>
    <w:multiLevelType w:val="singleLevel"/>
    <w:tmpl w:val="86133987"/>
    <w:lvl w:ilvl="0" w:tentative="0">
      <w:start w:val="1"/>
      <w:numFmt w:val="decimal"/>
      <w:suff w:val="nothing"/>
      <w:lvlText w:val="%1."/>
      <w:lvlJc w:val="left"/>
      <w:pPr>
        <w:ind w:left="425" w:hanging="425"/>
      </w:pPr>
      <w:rPr>
        <w:rFonts w:hint="default"/>
      </w:rPr>
    </w:lvl>
  </w:abstractNum>
  <w:abstractNum w:abstractNumId="1">
    <w:nsid w:val="96976C94"/>
    <w:multiLevelType w:val="singleLevel"/>
    <w:tmpl w:val="96976C94"/>
    <w:lvl w:ilvl="0" w:tentative="0">
      <w:start w:val="1"/>
      <w:numFmt w:val="decimal"/>
      <w:suff w:val="nothing"/>
      <w:lvlText w:val="%1."/>
      <w:lvlJc w:val="left"/>
      <w:pPr>
        <w:ind w:left="425" w:hanging="425"/>
      </w:pPr>
      <w:rPr>
        <w:rFonts w:hint="default"/>
      </w:rPr>
    </w:lvl>
  </w:abstractNum>
  <w:abstractNum w:abstractNumId="2">
    <w:nsid w:val="9874E270"/>
    <w:multiLevelType w:val="singleLevel"/>
    <w:tmpl w:val="9874E270"/>
    <w:lvl w:ilvl="0" w:tentative="0">
      <w:start w:val="1"/>
      <w:numFmt w:val="decimal"/>
      <w:suff w:val="nothing"/>
      <w:lvlText w:val="%1."/>
      <w:lvlJc w:val="left"/>
      <w:pPr>
        <w:ind w:left="425" w:hanging="425"/>
      </w:pPr>
      <w:rPr>
        <w:rFonts w:hint="default"/>
      </w:rPr>
    </w:lvl>
  </w:abstractNum>
  <w:abstractNum w:abstractNumId="3">
    <w:nsid w:val="9B103A83"/>
    <w:multiLevelType w:val="singleLevel"/>
    <w:tmpl w:val="9B103A83"/>
    <w:lvl w:ilvl="0" w:tentative="0">
      <w:start w:val="1"/>
      <w:numFmt w:val="decimal"/>
      <w:suff w:val="nothing"/>
      <w:lvlText w:val="%1."/>
      <w:lvlJc w:val="left"/>
      <w:pPr>
        <w:ind w:left="425" w:hanging="425"/>
      </w:pPr>
      <w:rPr>
        <w:rFonts w:hint="default"/>
      </w:rPr>
    </w:lvl>
  </w:abstractNum>
  <w:abstractNum w:abstractNumId="4">
    <w:nsid w:val="9F9CABBF"/>
    <w:multiLevelType w:val="singleLevel"/>
    <w:tmpl w:val="9F9CABBF"/>
    <w:lvl w:ilvl="0" w:tentative="0">
      <w:start w:val="1"/>
      <w:numFmt w:val="decimal"/>
      <w:suff w:val="nothing"/>
      <w:lvlText w:val="%1."/>
      <w:lvlJc w:val="left"/>
      <w:pPr>
        <w:ind w:left="425" w:hanging="425"/>
      </w:pPr>
      <w:rPr>
        <w:rFonts w:hint="default"/>
      </w:rPr>
    </w:lvl>
  </w:abstractNum>
  <w:abstractNum w:abstractNumId="5">
    <w:nsid w:val="A631B199"/>
    <w:multiLevelType w:val="singleLevel"/>
    <w:tmpl w:val="A631B199"/>
    <w:lvl w:ilvl="0" w:tentative="0">
      <w:start w:val="1"/>
      <w:numFmt w:val="decimal"/>
      <w:suff w:val="nothing"/>
      <w:lvlText w:val="%1."/>
      <w:lvlJc w:val="left"/>
      <w:pPr>
        <w:ind w:left="425" w:hanging="425"/>
      </w:pPr>
      <w:rPr>
        <w:rFonts w:hint="default"/>
      </w:rPr>
    </w:lvl>
  </w:abstractNum>
  <w:abstractNum w:abstractNumId="6">
    <w:nsid w:val="BD9778DB"/>
    <w:multiLevelType w:val="singleLevel"/>
    <w:tmpl w:val="BD9778DB"/>
    <w:lvl w:ilvl="0" w:tentative="0">
      <w:start w:val="1"/>
      <w:numFmt w:val="decimal"/>
      <w:suff w:val="space"/>
      <w:lvlText w:val="%1."/>
      <w:lvlJc w:val="left"/>
      <w:pPr>
        <w:ind w:left="425" w:hanging="425"/>
      </w:pPr>
      <w:rPr>
        <w:rFonts w:hint="default"/>
      </w:rPr>
    </w:lvl>
  </w:abstractNum>
  <w:abstractNum w:abstractNumId="7">
    <w:nsid w:val="BFD3D09E"/>
    <w:multiLevelType w:val="singleLevel"/>
    <w:tmpl w:val="BFD3D09E"/>
    <w:lvl w:ilvl="0" w:tentative="0">
      <w:start w:val="1"/>
      <w:numFmt w:val="decimal"/>
      <w:suff w:val="nothing"/>
      <w:lvlText w:val="%1."/>
      <w:lvlJc w:val="left"/>
      <w:pPr>
        <w:ind w:left="425" w:hanging="425"/>
      </w:pPr>
      <w:rPr>
        <w:rFonts w:hint="default"/>
      </w:rPr>
    </w:lvl>
  </w:abstractNum>
  <w:abstractNum w:abstractNumId="8">
    <w:nsid w:val="D1633BDF"/>
    <w:multiLevelType w:val="singleLevel"/>
    <w:tmpl w:val="D1633BDF"/>
    <w:lvl w:ilvl="0" w:tentative="0">
      <w:start w:val="1"/>
      <w:numFmt w:val="decimal"/>
      <w:suff w:val="nothing"/>
      <w:lvlText w:val="%1."/>
      <w:lvlJc w:val="left"/>
      <w:pPr>
        <w:ind w:left="425" w:hanging="425"/>
      </w:pPr>
      <w:rPr>
        <w:rFonts w:hint="default"/>
      </w:rPr>
    </w:lvl>
  </w:abstractNum>
  <w:abstractNum w:abstractNumId="9">
    <w:nsid w:val="D88DB3BA"/>
    <w:multiLevelType w:val="singleLevel"/>
    <w:tmpl w:val="D88DB3BA"/>
    <w:lvl w:ilvl="0" w:tentative="0">
      <w:start w:val="1"/>
      <w:numFmt w:val="decimal"/>
      <w:suff w:val="nothing"/>
      <w:lvlText w:val="%1."/>
      <w:lvlJc w:val="left"/>
      <w:pPr>
        <w:ind w:left="425" w:hanging="425"/>
      </w:pPr>
      <w:rPr>
        <w:rFonts w:hint="default"/>
      </w:rPr>
    </w:lvl>
  </w:abstractNum>
  <w:abstractNum w:abstractNumId="10">
    <w:nsid w:val="EE0AC5C8"/>
    <w:multiLevelType w:val="singleLevel"/>
    <w:tmpl w:val="EE0AC5C8"/>
    <w:lvl w:ilvl="0" w:tentative="0">
      <w:start w:val="1"/>
      <w:numFmt w:val="decimal"/>
      <w:suff w:val="nothing"/>
      <w:lvlText w:val="%1."/>
      <w:lvlJc w:val="left"/>
      <w:pPr>
        <w:ind w:left="425" w:hanging="425"/>
      </w:pPr>
      <w:rPr>
        <w:rFonts w:hint="default"/>
      </w:rPr>
    </w:lvl>
  </w:abstractNum>
  <w:abstractNum w:abstractNumId="11">
    <w:nsid w:val="F0074EA6"/>
    <w:multiLevelType w:val="singleLevel"/>
    <w:tmpl w:val="F0074EA6"/>
    <w:lvl w:ilvl="0" w:tentative="0">
      <w:start w:val="1"/>
      <w:numFmt w:val="decimal"/>
      <w:suff w:val="nothing"/>
      <w:lvlText w:val="%1."/>
      <w:lvlJc w:val="left"/>
      <w:pPr>
        <w:ind w:left="425" w:hanging="425"/>
      </w:pPr>
      <w:rPr>
        <w:rFonts w:hint="default"/>
      </w:rPr>
    </w:lvl>
  </w:abstractNum>
  <w:abstractNum w:abstractNumId="12">
    <w:nsid w:val="F722014A"/>
    <w:multiLevelType w:val="singleLevel"/>
    <w:tmpl w:val="F722014A"/>
    <w:lvl w:ilvl="0" w:tentative="0">
      <w:start w:val="1"/>
      <w:numFmt w:val="decimal"/>
      <w:suff w:val="nothing"/>
      <w:lvlText w:val="%1."/>
      <w:lvlJc w:val="left"/>
      <w:pPr>
        <w:ind w:left="425" w:hanging="425"/>
      </w:pPr>
      <w:rPr>
        <w:rFonts w:hint="default"/>
      </w:rPr>
    </w:lvl>
  </w:abstractNum>
  <w:abstractNum w:abstractNumId="13">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403846A"/>
    <w:multiLevelType w:val="singleLevel"/>
    <w:tmpl w:val="0403846A"/>
    <w:lvl w:ilvl="0" w:tentative="0">
      <w:start w:val="1"/>
      <w:numFmt w:val="decimal"/>
      <w:suff w:val="nothing"/>
      <w:lvlText w:val="%1."/>
      <w:lvlJc w:val="left"/>
      <w:pPr>
        <w:ind w:left="425" w:hanging="425"/>
      </w:pPr>
      <w:rPr>
        <w:rFonts w:hint="default"/>
      </w:rPr>
    </w:lvl>
  </w:abstractNum>
  <w:abstractNum w:abstractNumId="15">
    <w:nsid w:val="04D4AAC2"/>
    <w:multiLevelType w:val="singleLevel"/>
    <w:tmpl w:val="04D4AAC2"/>
    <w:lvl w:ilvl="0" w:tentative="0">
      <w:start w:val="1"/>
      <w:numFmt w:val="decimal"/>
      <w:suff w:val="nothing"/>
      <w:lvlText w:val="%1."/>
      <w:lvlJc w:val="left"/>
      <w:pPr>
        <w:ind w:left="425" w:hanging="425"/>
      </w:pPr>
      <w:rPr>
        <w:rFonts w:hint="default"/>
      </w:rPr>
    </w:lvl>
  </w:abstractNum>
  <w:abstractNum w:abstractNumId="16">
    <w:nsid w:val="102EA7E0"/>
    <w:multiLevelType w:val="singleLevel"/>
    <w:tmpl w:val="102EA7E0"/>
    <w:lvl w:ilvl="0" w:tentative="0">
      <w:start w:val="1"/>
      <w:numFmt w:val="decimal"/>
      <w:suff w:val="nothing"/>
      <w:lvlText w:val="%1."/>
      <w:lvlJc w:val="left"/>
      <w:pPr>
        <w:ind w:left="425" w:hanging="425"/>
      </w:pPr>
      <w:rPr>
        <w:rFonts w:hint="default"/>
      </w:rPr>
    </w:lvl>
  </w:abstractNum>
  <w:abstractNum w:abstractNumId="17">
    <w:nsid w:val="10DBB3DC"/>
    <w:multiLevelType w:val="singleLevel"/>
    <w:tmpl w:val="10DBB3DC"/>
    <w:lvl w:ilvl="0" w:tentative="0">
      <w:start w:val="1"/>
      <w:numFmt w:val="decimal"/>
      <w:suff w:val="nothing"/>
      <w:lvlText w:val="%1."/>
      <w:lvlJc w:val="left"/>
      <w:pPr>
        <w:ind w:left="425" w:hanging="425"/>
      </w:pPr>
      <w:rPr>
        <w:rFonts w:hint="default"/>
      </w:rPr>
    </w:lvl>
  </w:abstractNum>
  <w:abstractNum w:abstractNumId="18">
    <w:nsid w:val="15395946"/>
    <w:multiLevelType w:val="singleLevel"/>
    <w:tmpl w:val="15395946"/>
    <w:lvl w:ilvl="0" w:tentative="0">
      <w:start w:val="1"/>
      <w:numFmt w:val="decimal"/>
      <w:suff w:val="nothing"/>
      <w:lvlText w:val="%1、"/>
      <w:lvlJc w:val="left"/>
      <w:pPr>
        <w:ind w:left="0" w:firstLine="0"/>
      </w:pPr>
    </w:lvl>
  </w:abstractNum>
  <w:abstractNum w:abstractNumId="19">
    <w:nsid w:val="211BEC6F"/>
    <w:multiLevelType w:val="singleLevel"/>
    <w:tmpl w:val="211BEC6F"/>
    <w:lvl w:ilvl="0" w:tentative="0">
      <w:start w:val="1"/>
      <w:numFmt w:val="decimal"/>
      <w:suff w:val="nothing"/>
      <w:lvlText w:val="%1."/>
      <w:lvlJc w:val="left"/>
      <w:pPr>
        <w:ind w:left="425" w:hanging="425"/>
      </w:pPr>
      <w:rPr>
        <w:rFonts w:hint="default"/>
      </w:rPr>
    </w:lvl>
  </w:abstractNum>
  <w:abstractNum w:abstractNumId="20">
    <w:nsid w:val="27C03EE7"/>
    <w:multiLevelType w:val="singleLevel"/>
    <w:tmpl w:val="27C03EE7"/>
    <w:lvl w:ilvl="0" w:tentative="0">
      <w:start w:val="1"/>
      <w:numFmt w:val="decimal"/>
      <w:suff w:val="nothing"/>
      <w:lvlText w:val="%1."/>
      <w:lvlJc w:val="left"/>
      <w:pPr>
        <w:ind w:left="425" w:hanging="425"/>
      </w:pPr>
      <w:rPr>
        <w:rFonts w:hint="default"/>
      </w:rPr>
    </w:lvl>
  </w:abstractNum>
  <w:abstractNum w:abstractNumId="21">
    <w:nsid w:val="2FF4FD48"/>
    <w:multiLevelType w:val="singleLevel"/>
    <w:tmpl w:val="2FF4FD48"/>
    <w:lvl w:ilvl="0" w:tentative="0">
      <w:start w:val="1"/>
      <w:numFmt w:val="decimal"/>
      <w:suff w:val="nothing"/>
      <w:lvlText w:val="（%1）"/>
      <w:lvlJc w:val="left"/>
    </w:lvl>
  </w:abstractNum>
  <w:abstractNum w:abstractNumId="22">
    <w:nsid w:val="4BCC219D"/>
    <w:multiLevelType w:val="singleLevel"/>
    <w:tmpl w:val="4BCC219D"/>
    <w:lvl w:ilvl="0" w:tentative="0">
      <w:start w:val="1"/>
      <w:numFmt w:val="decimal"/>
      <w:suff w:val="nothing"/>
      <w:lvlText w:val="%1."/>
      <w:lvlJc w:val="left"/>
      <w:pPr>
        <w:ind w:left="425" w:hanging="425"/>
      </w:pPr>
      <w:rPr>
        <w:rFonts w:hint="default"/>
      </w:rPr>
    </w:lvl>
  </w:abstractNum>
  <w:abstractNum w:abstractNumId="23">
    <w:nsid w:val="509106CD"/>
    <w:multiLevelType w:val="singleLevel"/>
    <w:tmpl w:val="509106CD"/>
    <w:lvl w:ilvl="0" w:tentative="0">
      <w:start w:val="1"/>
      <w:numFmt w:val="decimal"/>
      <w:suff w:val="nothing"/>
      <w:lvlText w:val="%1."/>
      <w:lvlJc w:val="left"/>
      <w:pPr>
        <w:ind w:left="425" w:hanging="425"/>
      </w:pPr>
      <w:rPr>
        <w:rFonts w:hint="default"/>
      </w:rPr>
    </w:lvl>
  </w:abstractNum>
  <w:abstractNum w:abstractNumId="24">
    <w:nsid w:val="52F2B89A"/>
    <w:multiLevelType w:val="singleLevel"/>
    <w:tmpl w:val="52F2B89A"/>
    <w:lvl w:ilvl="0" w:tentative="0">
      <w:start w:val="5"/>
      <w:numFmt w:val="decimal"/>
      <w:lvlText w:val="%1."/>
      <w:lvlJc w:val="left"/>
      <w:pPr>
        <w:tabs>
          <w:tab w:val="left" w:pos="312"/>
        </w:tabs>
      </w:pPr>
    </w:lvl>
  </w:abstractNum>
  <w:abstractNum w:abstractNumId="25">
    <w:nsid w:val="5655641D"/>
    <w:multiLevelType w:val="singleLevel"/>
    <w:tmpl w:val="5655641D"/>
    <w:lvl w:ilvl="0" w:tentative="0">
      <w:start w:val="1"/>
      <w:numFmt w:val="decimal"/>
      <w:suff w:val="nothing"/>
      <w:lvlText w:val="%1."/>
      <w:lvlJc w:val="left"/>
      <w:pPr>
        <w:ind w:left="425" w:hanging="425"/>
      </w:pPr>
      <w:rPr>
        <w:rFonts w:hint="default"/>
      </w:rPr>
    </w:lvl>
  </w:abstractNum>
  <w:abstractNum w:abstractNumId="26">
    <w:nsid w:val="597B10C7"/>
    <w:multiLevelType w:val="singleLevel"/>
    <w:tmpl w:val="597B10C7"/>
    <w:lvl w:ilvl="0" w:tentative="0">
      <w:start w:val="1"/>
      <w:numFmt w:val="decimal"/>
      <w:suff w:val="nothing"/>
      <w:lvlText w:val="%1."/>
      <w:lvlJc w:val="left"/>
      <w:pPr>
        <w:ind w:left="425" w:hanging="425"/>
      </w:pPr>
      <w:rPr>
        <w:rFonts w:hint="default"/>
      </w:rPr>
    </w:lvl>
  </w:abstractNum>
  <w:abstractNum w:abstractNumId="27">
    <w:nsid w:val="5B8E918C"/>
    <w:multiLevelType w:val="singleLevel"/>
    <w:tmpl w:val="5B8E918C"/>
    <w:lvl w:ilvl="0" w:tentative="0">
      <w:start w:val="1"/>
      <w:numFmt w:val="decimal"/>
      <w:suff w:val="nothing"/>
      <w:lvlText w:val="%1."/>
      <w:lvlJc w:val="left"/>
      <w:pPr>
        <w:ind w:left="425" w:hanging="425"/>
      </w:pPr>
      <w:rPr>
        <w:rFonts w:hint="default"/>
      </w:rPr>
    </w:lvl>
  </w:abstractNum>
  <w:abstractNum w:abstractNumId="28">
    <w:nsid w:val="5CB35D87"/>
    <w:multiLevelType w:val="singleLevel"/>
    <w:tmpl w:val="5CB35D87"/>
    <w:lvl w:ilvl="0" w:tentative="0">
      <w:start w:val="1"/>
      <w:numFmt w:val="decimal"/>
      <w:suff w:val="nothing"/>
      <w:lvlText w:val="%1."/>
      <w:lvlJc w:val="left"/>
      <w:pPr>
        <w:ind w:left="425" w:hanging="425"/>
      </w:pPr>
      <w:rPr>
        <w:rFonts w:hint="default"/>
      </w:rPr>
    </w:lvl>
  </w:abstractNum>
  <w:abstractNum w:abstractNumId="29">
    <w:nsid w:val="6E53B3F5"/>
    <w:multiLevelType w:val="singleLevel"/>
    <w:tmpl w:val="6E53B3F5"/>
    <w:lvl w:ilvl="0" w:tentative="0">
      <w:start w:val="1"/>
      <w:numFmt w:val="decimal"/>
      <w:suff w:val="nothing"/>
      <w:lvlText w:val="%1."/>
      <w:lvlJc w:val="left"/>
      <w:pPr>
        <w:ind w:left="425" w:hanging="425"/>
      </w:pPr>
      <w:rPr>
        <w:rFonts w:hint="default"/>
      </w:rPr>
    </w:lvl>
  </w:abstractNum>
  <w:abstractNum w:abstractNumId="30">
    <w:nsid w:val="734CD26B"/>
    <w:multiLevelType w:val="singleLevel"/>
    <w:tmpl w:val="734CD26B"/>
    <w:lvl w:ilvl="0" w:tentative="0">
      <w:start w:val="1"/>
      <w:numFmt w:val="decimal"/>
      <w:suff w:val="space"/>
      <w:lvlText w:val="%1."/>
      <w:lvlJc w:val="left"/>
      <w:pPr>
        <w:ind w:left="425" w:hanging="425"/>
      </w:pPr>
      <w:rPr>
        <w:rFonts w:hint="default"/>
      </w:rPr>
    </w:lvl>
  </w:abstractNum>
  <w:num w:numId="1">
    <w:abstractNumId w:val="24"/>
  </w:num>
  <w:num w:numId="2">
    <w:abstractNumId w:val="3"/>
  </w:num>
  <w:num w:numId="3">
    <w:abstractNumId w:val="20"/>
  </w:num>
  <w:num w:numId="4">
    <w:abstractNumId w:val="12"/>
  </w:num>
  <w:num w:numId="5">
    <w:abstractNumId w:val="10"/>
  </w:num>
  <w:num w:numId="6">
    <w:abstractNumId w:val="28"/>
  </w:num>
  <w:num w:numId="7">
    <w:abstractNumId w:val="11"/>
  </w:num>
  <w:num w:numId="8">
    <w:abstractNumId w:val="16"/>
  </w:num>
  <w:num w:numId="9">
    <w:abstractNumId w:val="2"/>
  </w:num>
  <w:num w:numId="10">
    <w:abstractNumId w:val="30"/>
  </w:num>
  <w:num w:numId="11">
    <w:abstractNumId w:val="8"/>
  </w:num>
  <w:num w:numId="12">
    <w:abstractNumId w:val="17"/>
  </w:num>
  <w:num w:numId="13">
    <w:abstractNumId w:val="9"/>
  </w:num>
  <w:num w:numId="14">
    <w:abstractNumId w:val="23"/>
  </w:num>
  <w:num w:numId="15">
    <w:abstractNumId w:val="22"/>
  </w:num>
  <w:num w:numId="16">
    <w:abstractNumId w:val="19"/>
  </w:num>
  <w:num w:numId="17">
    <w:abstractNumId w:val="6"/>
  </w:num>
  <w:num w:numId="18">
    <w:abstractNumId w:val="7"/>
  </w:num>
  <w:num w:numId="19">
    <w:abstractNumId w:val="25"/>
  </w:num>
  <w:num w:numId="20">
    <w:abstractNumId w:val="26"/>
  </w:num>
  <w:num w:numId="21">
    <w:abstractNumId w:val="15"/>
  </w:num>
  <w:num w:numId="22">
    <w:abstractNumId w:val="4"/>
  </w:num>
  <w:num w:numId="23">
    <w:abstractNumId w:val="29"/>
  </w:num>
  <w:num w:numId="24">
    <w:abstractNumId w:val="14"/>
  </w:num>
  <w:num w:numId="25">
    <w:abstractNumId w:val="27"/>
  </w:num>
  <w:num w:numId="26">
    <w:abstractNumId w:val="5"/>
  </w:num>
  <w:num w:numId="27">
    <w:abstractNumId w:val="1"/>
  </w:num>
  <w:num w:numId="28">
    <w:abstractNumId w:val="0"/>
  </w:num>
  <w:num w:numId="29">
    <w:abstractNumId w:val="13"/>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Q7OZ6a4vJunXzbzZbS9mMgnQMx4=" w:salt="j78ovaZKtqIUyeaul5GQJw=="/>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8A0114"/>
    <w:rsid w:val="02E536DD"/>
    <w:rsid w:val="03F06C42"/>
    <w:rsid w:val="041B3357"/>
    <w:rsid w:val="049F025D"/>
    <w:rsid w:val="04C34346"/>
    <w:rsid w:val="04E30437"/>
    <w:rsid w:val="059160E1"/>
    <w:rsid w:val="05F41FAA"/>
    <w:rsid w:val="063B78DC"/>
    <w:rsid w:val="076E0F6D"/>
    <w:rsid w:val="07BA233A"/>
    <w:rsid w:val="07E84F31"/>
    <w:rsid w:val="0839529D"/>
    <w:rsid w:val="08EF5D98"/>
    <w:rsid w:val="097640A4"/>
    <w:rsid w:val="09974C33"/>
    <w:rsid w:val="09B82947"/>
    <w:rsid w:val="0BF958C7"/>
    <w:rsid w:val="0C3F3332"/>
    <w:rsid w:val="0C5A09A9"/>
    <w:rsid w:val="0CDB719E"/>
    <w:rsid w:val="0E0812B7"/>
    <w:rsid w:val="0E2E7579"/>
    <w:rsid w:val="0E8D2557"/>
    <w:rsid w:val="0EAB6A73"/>
    <w:rsid w:val="0ED72541"/>
    <w:rsid w:val="0F4D0707"/>
    <w:rsid w:val="0FBA2A45"/>
    <w:rsid w:val="0FC41654"/>
    <w:rsid w:val="0FDE7285"/>
    <w:rsid w:val="108942AE"/>
    <w:rsid w:val="113A727B"/>
    <w:rsid w:val="118C2ED5"/>
    <w:rsid w:val="11B83D31"/>
    <w:rsid w:val="12795B29"/>
    <w:rsid w:val="12894C8E"/>
    <w:rsid w:val="12F62B63"/>
    <w:rsid w:val="135A6E08"/>
    <w:rsid w:val="13696837"/>
    <w:rsid w:val="13B31AEC"/>
    <w:rsid w:val="13FE3FBA"/>
    <w:rsid w:val="140E1568"/>
    <w:rsid w:val="14404369"/>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8F3E8C"/>
    <w:rsid w:val="1FAC7E53"/>
    <w:rsid w:val="20517FE3"/>
    <w:rsid w:val="20CE2C18"/>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175494"/>
    <w:rsid w:val="2CA61832"/>
    <w:rsid w:val="2CF86E08"/>
    <w:rsid w:val="2D9B15EF"/>
    <w:rsid w:val="2E304308"/>
    <w:rsid w:val="2E5F4C31"/>
    <w:rsid w:val="2E6F7E34"/>
    <w:rsid w:val="2EB26D79"/>
    <w:rsid w:val="2F7145F4"/>
    <w:rsid w:val="3029048B"/>
    <w:rsid w:val="30580298"/>
    <w:rsid w:val="30646F90"/>
    <w:rsid w:val="30691717"/>
    <w:rsid w:val="30CB0402"/>
    <w:rsid w:val="31B66D5F"/>
    <w:rsid w:val="324D2681"/>
    <w:rsid w:val="32D973A7"/>
    <w:rsid w:val="34457450"/>
    <w:rsid w:val="34FD4189"/>
    <w:rsid w:val="35373F98"/>
    <w:rsid w:val="35E1219E"/>
    <w:rsid w:val="363B7932"/>
    <w:rsid w:val="36D15C2A"/>
    <w:rsid w:val="36FA4BBC"/>
    <w:rsid w:val="3701346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C9377CF"/>
    <w:rsid w:val="3D6F75C9"/>
    <w:rsid w:val="3DE90F01"/>
    <w:rsid w:val="3E266E35"/>
    <w:rsid w:val="3F592D90"/>
    <w:rsid w:val="3F7F04D5"/>
    <w:rsid w:val="40615707"/>
    <w:rsid w:val="40A005F0"/>
    <w:rsid w:val="414B5EF7"/>
    <w:rsid w:val="417E1386"/>
    <w:rsid w:val="419B66B1"/>
    <w:rsid w:val="41C2126D"/>
    <w:rsid w:val="422B6BF4"/>
    <w:rsid w:val="42347713"/>
    <w:rsid w:val="42971176"/>
    <w:rsid w:val="43B00A8F"/>
    <w:rsid w:val="43C7335E"/>
    <w:rsid w:val="44AF2F6C"/>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7F6702"/>
    <w:rsid w:val="4DAA2A72"/>
    <w:rsid w:val="4E1D39E1"/>
    <w:rsid w:val="4F123950"/>
    <w:rsid w:val="4F134C73"/>
    <w:rsid w:val="4F1E0038"/>
    <w:rsid w:val="4FBA240D"/>
    <w:rsid w:val="50607291"/>
    <w:rsid w:val="507519D9"/>
    <w:rsid w:val="50EC442B"/>
    <w:rsid w:val="52127D7D"/>
    <w:rsid w:val="52412A63"/>
    <w:rsid w:val="53386BD4"/>
    <w:rsid w:val="53763D4D"/>
    <w:rsid w:val="538D45BD"/>
    <w:rsid w:val="54135280"/>
    <w:rsid w:val="5526139C"/>
    <w:rsid w:val="552B2D26"/>
    <w:rsid w:val="554E1470"/>
    <w:rsid w:val="55553ECC"/>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5E3D40"/>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A5BDE"/>
    <w:rsid w:val="5E2F13E4"/>
    <w:rsid w:val="5EC546B7"/>
    <w:rsid w:val="5EE01513"/>
    <w:rsid w:val="5F906DD8"/>
    <w:rsid w:val="5FA9036D"/>
    <w:rsid w:val="5FE20A6A"/>
    <w:rsid w:val="5FE80DF1"/>
    <w:rsid w:val="60394F33"/>
    <w:rsid w:val="607641C6"/>
    <w:rsid w:val="607A028C"/>
    <w:rsid w:val="60C761CB"/>
    <w:rsid w:val="613219BB"/>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8D26F09"/>
    <w:rsid w:val="69CC68D0"/>
    <w:rsid w:val="6A121AD7"/>
    <w:rsid w:val="6A3C248C"/>
    <w:rsid w:val="6AD23B35"/>
    <w:rsid w:val="6BE031ED"/>
    <w:rsid w:val="6C3226C6"/>
    <w:rsid w:val="6C545FF5"/>
    <w:rsid w:val="6C591BE2"/>
    <w:rsid w:val="6E0A4A26"/>
    <w:rsid w:val="6E113896"/>
    <w:rsid w:val="6E5E1B6C"/>
    <w:rsid w:val="6EA46BCF"/>
    <w:rsid w:val="6EB57A17"/>
    <w:rsid w:val="6EEF71D1"/>
    <w:rsid w:val="6F021A16"/>
    <w:rsid w:val="6F1D40CE"/>
    <w:rsid w:val="701C60BF"/>
    <w:rsid w:val="7051517A"/>
    <w:rsid w:val="70D85BD1"/>
    <w:rsid w:val="715B338A"/>
    <w:rsid w:val="716A7ADC"/>
    <w:rsid w:val="71D76612"/>
    <w:rsid w:val="71DE2E53"/>
    <w:rsid w:val="721F39FF"/>
    <w:rsid w:val="729E121E"/>
    <w:rsid w:val="72E23A7A"/>
    <w:rsid w:val="72F6179B"/>
    <w:rsid w:val="738003CA"/>
    <w:rsid w:val="73C56EED"/>
    <w:rsid w:val="74F96055"/>
    <w:rsid w:val="758D4AB4"/>
    <w:rsid w:val="75D12961"/>
    <w:rsid w:val="765941C5"/>
    <w:rsid w:val="769211D6"/>
    <w:rsid w:val="76A46F0A"/>
    <w:rsid w:val="773B6CD4"/>
    <w:rsid w:val="77E30949"/>
    <w:rsid w:val="77E564DA"/>
    <w:rsid w:val="77F16A53"/>
    <w:rsid w:val="783525A0"/>
    <w:rsid w:val="786F12BD"/>
    <w:rsid w:val="786F1AA9"/>
    <w:rsid w:val="7872551D"/>
    <w:rsid w:val="78DE2685"/>
    <w:rsid w:val="7920071D"/>
    <w:rsid w:val="79C52BC7"/>
    <w:rsid w:val="79C747F6"/>
    <w:rsid w:val="7A36659D"/>
    <w:rsid w:val="7A6027C1"/>
    <w:rsid w:val="7A854A12"/>
    <w:rsid w:val="7B237820"/>
    <w:rsid w:val="7B974622"/>
    <w:rsid w:val="7D4E72F0"/>
    <w:rsid w:val="7E9219F9"/>
    <w:rsid w:val="7EC76F10"/>
    <w:rsid w:val="7EF87B3E"/>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9"/>
    <w:pPr>
      <w:keepNext/>
      <w:keepLines/>
      <w:spacing w:before="340" w:beforeLines="0" w:after="330" w:afterLines="0" w:line="576" w:lineRule="auto"/>
      <w:outlineLvl w:val="0"/>
    </w:pPr>
    <w:rPr>
      <w:kern w:val="44"/>
      <w:sz w:val="44"/>
      <w:szCs w:val="44"/>
    </w:rPr>
  </w:style>
  <w:style w:type="paragraph" w:styleId="4">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next w:val="36"/>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4"/>
    <w:qFormat/>
    <w:uiPriority w:val="0"/>
    <w:rPr>
      <w:rFonts w:ascii="Arial" w:hAnsi="Arial" w:eastAsia="黑体"/>
      <w:b/>
      <w:bCs/>
      <w:kern w:val="2"/>
      <w:sz w:val="32"/>
      <w:szCs w:val="32"/>
    </w:rPr>
  </w:style>
  <w:style w:type="character" w:customStyle="1" w:styleId="61">
    <w:name w:val="标题 3 Char"/>
    <w:link w:val="3"/>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2"/>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3"/>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character" w:customStyle="1" w:styleId="178">
    <w:name w:val="font21"/>
    <w:basedOn w:val="53"/>
    <w:qFormat/>
    <w:uiPriority w:val="0"/>
    <w:rPr>
      <w:rFonts w:hint="eastAsia" w:ascii="宋体" w:hAnsi="宋体" w:eastAsia="宋体" w:cs="宋体"/>
      <w:color w:val="000000"/>
      <w:sz w:val="24"/>
      <w:szCs w:val="24"/>
      <w:u w:val="none"/>
    </w:rPr>
  </w:style>
  <w:style w:type="character" w:customStyle="1" w:styleId="179">
    <w:name w:val="font31"/>
    <w:basedOn w:val="53"/>
    <w:qFormat/>
    <w:uiPriority w:val="0"/>
    <w:rPr>
      <w:rFonts w:hint="eastAsia" w:ascii="宋体" w:hAnsi="宋体" w:eastAsia="宋体" w:cs="宋体"/>
      <w:color w:val="FF0000"/>
      <w:sz w:val="24"/>
      <w:szCs w:val="24"/>
      <w:u w:val="none"/>
    </w:rPr>
  </w:style>
  <w:style w:type="paragraph" w:customStyle="1" w:styleId="18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emf"/><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81</Pages>
  <Words>12083</Words>
  <Characters>12699</Characters>
  <Lines>389</Lines>
  <Paragraphs>109</Paragraphs>
  <TotalTime>11</TotalTime>
  <ScaleCrop>false</ScaleCrop>
  <LinksUpToDate>false</LinksUpToDate>
  <CharactersWithSpaces>12740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NTKO</cp:lastModifiedBy>
  <cp:lastPrinted>2016-03-22T07:52:00Z</cp:lastPrinted>
  <dcterms:modified xsi:type="dcterms:W3CDTF">2025-10-10T02:42:34Z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eyJoZGlkIjoiOTlmOWZjMWI5MjE2N2NmY2RkNDAwOWU5Njg4NGE3YTciLCJ1c2VySWQiOiIxMzExMTQwNzM1In0=</vt:lpwstr>
  </property>
  <property fmtid="{D5CDD505-2E9C-101B-9397-08002B2CF9AE}" pid="14" name="ICV">
    <vt:lpwstr>6DDF3C7E0EA345908C22630218175762_13</vt:lpwstr>
  </property>
</Properties>
</file>