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8DAB34">
      <w:pPr>
        <w:rPr>
          <w:rFonts w:hint="eastAsia" w:ascii="宋体" w:hAnsi="宋体" w:eastAsia="宋体" w:cs="宋体"/>
          <w:b/>
          <w:bCs/>
          <w:color w:val="auto"/>
          <w:sz w:val="52"/>
          <w:lang w:eastAsia="zh-CN"/>
        </w:rPr>
      </w:pPr>
      <w:r>
        <w:rPr>
          <w:rFonts w:hint="eastAsia" w:ascii="宋体" w:hAnsi="宋体" w:eastAsia="宋体" w:cs="宋体"/>
          <w:b/>
          <w:bCs/>
          <w:color w:val="auto"/>
          <w:sz w:val="52"/>
          <w:lang w:eastAsia="zh-CN"/>
        </w:rPr>
        <w:drawing>
          <wp:inline distT="0" distB="0" distL="114300" distR="114300">
            <wp:extent cx="5707380" cy="8070850"/>
            <wp:effectExtent l="0" t="0" r="7620" b="6350"/>
            <wp:docPr id="7" name="图片 7" descr="SKM_28725071417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SKM_28725071417360"/>
                    <pic:cNvPicPr>
                      <a:picLocks noChangeAspect="1"/>
                    </pic:cNvPicPr>
                  </pic:nvPicPr>
                  <pic:blipFill>
                    <a:blip r:embed="rId9"/>
                    <a:stretch>
                      <a:fillRect/>
                    </a:stretch>
                  </pic:blipFill>
                  <pic:spPr>
                    <a:xfrm>
                      <a:off x="0" y="0"/>
                      <a:ext cx="5707380" cy="8070850"/>
                    </a:xfrm>
                    <a:prstGeom prst="rect">
                      <a:avLst/>
                    </a:prstGeom>
                  </pic:spPr>
                </pic:pic>
              </a:graphicData>
            </a:graphic>
          </wp:inline>
        </w:drawing>
      </w:r>
    </w:p>
    <w:p w14:paraId="19A34E31">
      <w:pPr>
        <w:rPr>
          <w:rFonts w:ascii="宋体" w:hAnsi="宋体" w:cs="宋体"/>
          <w:b/>
          <w:bCs/>
          <w:color w:val="auto"/>
          <w:sz w:val="52"/>
        </w:rPr>
      </w:pPr>
      <w:r>
        <w:rPr>
          <w:rFonts w:ascii="宋体" w:hAnsi="宋体" w:cs="宋体"/>
          <w:b/>
          <w:bCs/>
          <w:color w:val="auto"/>
          <w:sz w:val="52"/>
        </w:rPr>
        <w:br w:type="page"/>
      </w:r>
    </w:p>
    <w:p w14:paraId="5C8FF4F5">
      <w:pPr>
        <w:rPr>
          <w:rFonts w:ascii="宋体" w:hAnsi="宋体" w:cs="宋体"/>
          <w:b/>
          <w:bCs/>
          <w:color w:val="auto"/>
          <w:sz w:val="52"/>
        </w:rPr>
      </w:pPr>
      <w:r>
        <w:rPr>
          <w:rFonts w:hint="eastAsia" w:ascii="宋体" w:hAnsi="宋体" w:cs="宋体"/>
          <w:color w:val="auto"/>
        </w:rPr>
        <w:drawing>
          <wp:anchor distT="0" distB="0" distL="114300" distR="114300" simplePos="0" relativeHeight="251660288" behindDoc="0" locked="0" layoutInCell="1" allowOverlap="1">
            <wp:simplePos x="0" y="0"/>
            <wp:positionH relativeFrom="column">
              <wp:posOffset>2433320</wp:posOffset>
            </wp:positionH>
            <wp:positionV relativeFrom="paragraph">
              <wp:posOffset>354965</wp:posOffset>
            </wp:positionV>
            <wp:extent cx="752475" cy="752475"/>
            <wp:effectExtent l="0" t="0" r="9525" b="9525"/>
            <wp:wrapSquare wrapText="left"/>
            <wp:docPr id="2" name="图片 5" descr="638238BB99A253FEB9BED4DA40F32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638238BB99A253FEB9BED4DA40F32CE"/>
                    <pic:cNvPicPr>
                      <a:picLocks noChangeAspect="1"/>
                    </pic:cNvPicPr>
                  </pic:nvPicPr>
                  <pic:blipFill>
                    <a:blip r:embed="rId10" cstate="print"/>
                    <a:stretch>
                      <a:fillRect/>
                    </a:stretch>
                  </pic:blipFill>
                  <pic:spPr>
                    <a:xfrm>
                      <a:off x="0" y="0"/>
                      <a:ext cx="752475" cy="752475"/>
                    </a:xfrm>
                    <a:prstGeom prst="rect">
                      <a:avLst/>
                    </a:prstGeom>
                    <a:noFill/>
                    <a:ln>
                      <a:noFill/>
                    </a:ln>
                  </pic:spPr>
                </pic:pic>
              </a:graphicData>
            </a:graphic>
          </wp:anchor>
        </w:drawing>
      </w:r>
    </w:p>
    <w:p w14:paraId="30C32131">
      <w:pPr>
        <w:rPr>
          <w:rFonts w:ascii="宋体" w:hAnsi="宋体" w:cs="宋体"/>
          <w:b/>
          <w:bCs/>
          <w:color w:val="auto"/>
          <w:sz w:val="52"/>
        </w:rPr>
      </w:pPr>
    </w:p>
    <w:p w14:paraId="3E417DD2">
      <w:pPr>
        <w:rPr>
          <w:rFonts w:ascii="宋体" w:hAnsi="宋体" w:cs="宋体"/>
          <w:color w:val="auto"/>
        </w:rPr>
      </w:pPr>
    </w:p>
    <w:p w14:paraId="03DCB391">
      <w:pPr>
        <w:ind w:firstLine="198" w:firstLineChars="41"/>
        <w:jc w:val="center"/>
        <w:rPr>
          <w:rFonts w:ascii="宋体" w:hAnsi="宋体" w:cs="宋体"/>
          <w:b/>
          <w:bCs/>
          <w:color w:val="auto"/>
          <w:sz w:val="48"/>
          <w:szCs w:val="48"/>
        </w:rPr>
      </w:pPr>
      <w:r>
        <w:rPr>
          <w:rFonts w:hint="eastAsia" w:ascii="宋体" w:hAnsi="宋体" w:cs="宋体"/>
          <w:b/>
          <w:bCs/>
          <w:color w:val="auto"/>
          <w:sz w:val="48"/>
          <w:szCs w:val="48"/>
        </w:rPr>
        <w:t>广西中信恒泰工程顾问有限公司</w:t>
      </w:r>
    </w:p>
    <w:p w14:paraId="48D35329">
      <w:pPr>
        <w:ind w:firstLine="199" w:firstLineChars="66"/>
        <w:jc w:val="center"/>
        <w:rPr>
          <w:rFonts w:ascii="宋体" w:hAnsi="宋体" w:cs="宋体"/>
          <w:b/>
          <w:bCs/>
          <w:color w:val="auto"/>
          <w:sz w:val="30"/>
          <w:szCs w:val="30"/>
        </w:rPr>
      </w:pPr>
      <w:r>
        <w:rPr>
          <w:rFonts w:hint="eastAsia" w:ascii="宋体" w:hAnsi="宋体" w:cs="宋体"/>
          <w:b/>
          <w:color w:val="auto"/>
          <w:sz w:val="30"/>
          <w:szCs w:val="30"/>
        </w:rPr>
        <w:t xml:space="preserve">Guangxi Zhongxinhengtai </w:t>
      </w:r>
      <w:r>
        <w:rPr>
          <w:rFonts w:hint="eastAsia" w:ascii="宋体" w:hAnsi="宋体" w:cs="宋体"/>
          <w:b/>
          <w:caps/>
          <w:color w:val="auto"/>
          <w:sz w:val="30"/>
          <w:szCs w:val="30"/>
        </w:rPr>
        <w:t>e</w:t>
      </w:r>
      <w:r>
        <w:rPr>
          <w:rFonts w:hint="eastAsia" w:ascii="宋体" w:hAnsi="宋体" w:cs="宋体"/>
          <w:b/>
          <w:color w:val="auto"/>
          <w:sz w:val="30"/>
          <w:szCs w:val="30"/>
        </w:rPr>
        <w:t xml:space="preserve">ngineering </w:t>
      </w:r>
      <w:r>
        <w:rPr>
          <w:rFonts w:hint="eastAsia" w:ascii="宋体" w:hAnsi="宋体" w:cs="宋体"/>
          <w:b/>
          <w:caps/>
          <w:color w:val="auto"/>
          <w:sz w:val="30"/>
          <w:szCs w:val="30"/>
        </w:rPr>
        <w:t>c</w:t>
      </w:r>
      <w:r>
        <w:rPr>
          <w:rFonts w:hint="eastAsia" w:ascii="宋体" w:hAnsi="宋体" w:cs="宋体"/>
          <w:b/>
          <w:color w:val="auto"/>
          <w:sz w:val="30"/>
          <w:szCs w:val="30"/>
        </w:rPr>
        <w:t xml:space="preserve">onsulting </w:t>
      </w:r>
      <w:r>
        <w:rPr>
          <w:rFonts w:hint="eastAsia" w:ascii="宋体" w:hAnsi="宋体" w:cs="宋体"/>
          <w:b/>
          <w:caps/>
          <w:color w:val="auto"/>
          <w:sz w:val="30"/>
          <w:szCs w:val="30"/>
        </w:rPr>
        <w:t>c</w:t>
      </w:r>
      <w:r>
        <w:rPr>
          <w:rFonts w:hint="eastAsia" w:ascii="宋体" w:hAnsi="宋体" w:cs="宋体"/>
          <w:b/>
          <w:color w:val="auto"/>
          <w:sz w:val="30"/>
          <w:szCs w:val="30"/>
        </w:rPr>
        <w:t xml:space="preserve">o., </w:t>
      </w:r>
      <w:r>
        <w:rPr>
          <w:rFonts w:hint="eastAsia" w:ascii="宋体" w:hAnsi="宋体" w:cs="宋体"/>
          <w:b/>
          <w:caps/>
          <w:color w:val="auto"/>
          <w:sz w:val="30"/>
          <w:szCs w:val="30"/>
        </w:rPr>
        <w:t>l</w:t>
      </w:r>
      <w:r>
        <w:rPr>
          <w:rFonts w:hint="eastAsia" w:ascii="宋体" w:hAnsi="宋体" w:cs="宋体"/>
          <w:b/>
          <w:color w:val="auto"/>
          <w:sz w:val="30"/>
          <w:szCs w:val="30"/>
        </w:rPr>
        <w:t>td</w:t>
      </w:r>
    </w:p>
    <w:p w14:paraId="0463DF0F">
      <w:pPr>
        <w:pStyle w:val="2"/>
        <w:ind w:firstLine="400"/>
        <w:rPr>
          <w:rFonts w:ascii="宋体" w:hAnsi="宋体" w:cs="宋体"/>
          <w:color w:val="auto"/>
          <w:szCs w:val="21"/>
        </w:rPr>
      </w:pPr>
      <w:r>
        <w:rPr>
          <w:rFonts w:ascii="宋体" w:hAnsi="宋体" w:cs="宋体"/>
          <w:color w:val="auto"/>
          <w:sz w:val="20"/>
          <w:u w:val="single"/>
        </w:rPr>
        <mc:AlternateContent>
          <mc:Choice Requires="wps">
            <w:drawing>
              <wp:anchor distT="0" distB="0" distL="114300" distR="114300" simplePos="0" relativeHeight="251659264" behindDoc="0" locked="0" layoutInCell="1" allowOverlap="1">
                <wp:simplePos x="0" y="0"/>
                <wp:positionH relativeFrom="column">
                  <wp:posOffset>-142240</wp:posOffset>
                </wp:positionH>
                <wp:positionV relativeFrom="paragraph">
                  <wp:posOffset>77470</wp:posOffset>
                </wp:positionV>
                <wp:extent cx="5944235" cy="8255"/>
                <wp:effectExtent l="0" t="0" r="0" b="0"/>
                <wp:wrapNone/>
                <wp:docPr id="1" name="直线 4"/>
                <wp:cNvGraphicFramePr/>
                <a:graphic xmlns:a="http://schemas.openxmlformats.org/drawingml/2006/main">
                  <a:graphicData uri="http://schemas.microsoft.com/office/word/2010/wordprocessingShape">
                    <wps:wsp>
                      <wps:cNvCnPr/>
                      <wps:spPr>
                        <a:xfrm flipV="1">
                          <a:off x="0" y="0"/>
                          <a:ext cx="5944235" cy="8255"/>
                        </a:xfrm>
                        <a:prstGeom prst="line">
                          <a:avLst/>
                        </a:prstGeom>
                        <a:ln w="28575"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flip:y;margin-left:-11.2pt;margin-top:6.1pt;height:0.65pt;width:468.05pt;z-index:251659264;mso-width-relative:page;mso-height-relative:page;" filled="f" stroked="t" coordsize="21600,21600" o:gfxdata="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B8WPX&#10;AAAACQEAAA8AAAAAAAAAAQAgAAAAIgAAAGRycy9kb3ducmV2LnhtbFBLAQIUABQAAAAIAIdO4kAd&#10;mrFm6AEAAN0DAAAOAAAAAAAAAAEAIAAAACYBAABkcnMvZTJvRG9jLnhtbFBLBQYAAAAABgAGAFkB&#10;AACABQAAAAA=&#10;">
                <v:fill on="f" focussize="0,0"/>
                <v:stroke weight="2.25pt" color="#000000" joinstyle="round"/>
                <v:imagedata o:title=""/>
                <o:lock v:ext="edit" aspectratio="f"/>
              </v:line>
            </w:pict>
          </mc:Fallback>
        </mc:AlternateContent>
      </w:r>
      <w:r>
        <w:rPr>
          <w:rFonts w:hint="eastAsia" w:ascii="宋体" w:hAnsi="宋体" w:cs="宋体"/>
          <w:b/>
          <w:bCs/>
          <w:color w:val="auto"/>
          <w:sz w:val="10"/>
        </w:rPr>
        <w:t xml:space="preserve">                                                                                                </w:t>
      </w:r>
    </w:p>
    <w:p w14:paraId="28A33DFC">
      <w:pPr>
        <w:snapToGrid w:val="0"/>
        <w:jc w:val="center"/>
        <w:rPr>
          <w:rFonts w:ascii="宋体" w:hAnsi="宋体" w:cs="宋体"/>
          <w:b/>
          <w:color w:val="auto"/>
          <w:sz w:val="72"/>
          <w:szCs w:val="72"/>
        </w:rPr>
      </w:pPr>
    </w:p>
    <w:p w14:paraId="137B5AE3">
      <w:pPr>
        <w:snapToGrid w:val="0"/>
        <w:jc w:val="center"/>
        <w:rPr>
          <w:rFonts w:ascii="宋体" w:hAnsi="宋体" w:cs="宋体"/>
          <w:b/>
          <w:color w:val="auto"/>
          <w:sz w:val="44"/>
          <w:szCs w:val="44"/>
        </w:rPr>
      </w:pPr>
      <w:r>
        <w:rPr>
          <w:rFonts w:hint="eastAsia" w:ascii="宋体" w:hAnsi="宋体" w:cs="宋体"/>
          <w:b/>
          <w:color w:val="auto"/>
          <w:sz w:val="72"/>
          <w:szCs w:val="72"/>
        </w:rPr>
        <w:t>竞争性谈判文件</w:t>
      </w:r>
    </w:p>
    <w:p w14:paraId="65997AE8">
      <w:pPr>
        <w:jc w:val="center"/>
        <w:rPr>
          <w:rFonts w:ascii="宋体" w:hAnsi="宋体" w:cs="宋体"/>
          <w:b/>
          <w:color w:val="auto"/>
          <w:sz w:val="32"/>
          <w:szCs w:val="32"/>
        </w:rPr>
      </w:pPr>
      <w:r>
        <w:rPr>
          <w:rFonts w:hint="eastAsia" w:ascii="宋体" w:hAnsi="宋体" w:cs="宋体"/>
          <w:b/>
          <w:color w:val="auto"/>
          <w:sz w:val="32"/>
          <w:szCs w:val="32"/>
        </w:rPr>
        <w:t>（货物类）</w:t>
      </w:r>
    </w:p>
    <w:p w14:paraId="371E90A1">
      <w:pPr>
        <w:jc w:val="center"/>
        <w:rPr>
          <w:rFonts w:ascii="宋体" w:hAnsi="宋体" w:cs="宋体"/>
          <w:b/>
          <w:color w:val="auto"/>
          <w:sz w:val="32"/>
          <w:szCs w:val="32"/>
        </w:rPr>
      </w:pPr>
    </w:p>
    <w:p w14:paraId="40B85785">
      <w:pPr>
        <w:snapToGrid w:val="0"/>
        <w:spacing w:before="156" w:beforeLines="50" w:line="360" w:lineRule="auto"/>
        <w:jc w:val="center"/>
        <w:rPr>
          <w:rFonts w:ascii="宋体" w:hAnsi="宋体" w:cs="宋体"/>
          <w:color w:val="auto"/>
          <w:sz w:val="30"/>
          <w:szCs w:val="72"/>
        </w:rPr>
      </w:pPr>
      <w:r>
        <w:rPr>
          <w:rFonts w:hint="eastAsia" w:ascii="宋体" w:hAnsi="宋体" w:cs="宋体"/>
          <w:color w:val="auto"/>
          <w:sz w:val="30"/>
          <w:szCs w:val="72"/>
        </w:rPr>
        <w:t>（全流程电子化项目）</w:t>
      </w:r>
    </w:p>
    <w:p w14:paraId="3DAF8B82">
      <w:pPr>
        <w:jc w:val="center"/>
        <w:rPr>
          <w:rFonts w:ascii="宋体" w:hAnsi="宋体" w:cs="宋体"/>
          <w:b/>
          <w:color w:val="auto"/>
          <w:sz w:val="32"/>
          <w:szCs w:val="32"/>
        </w:rPr>
      </w:pPr>
    </w:p>
    <w:p w14:paraId="33EE9361">
      <w:pPr>
        <w:jc w:val="center"/>
        <w:rPr>
          <w:rFonts w:ascii="宋体" w:hAnsi="宋体" w:cs="宋体"/>
          <w:b/>
          <w:color w:val="auto"/>
          <w:sz w:val="32"/>
          <w:szCs w:val="32"/>
        </w:rPr>
      </w:pPr>
    </w:p>
    <w:p w14:paraId="77F97E46">
      <w:pPr>
        <w:spacing w:line="360" w:lineRule="auto"/>
        <w:ind w:firstLine="602" w:firstLineChars="200"/>
        <w:rPr>
          <w:rFonts w:ascii="宋体" w:hAnsi="宋体" w:cs="宋体"/>
          <w:b/>
          <w:color w:val="auto"/>
          <w:sz w:val="30"/>
          <w:szCs w:val="30"/>
        </w:rPr>
      </w:pPr>
      <w:r>
        <w:rPr>
          <w:rFonts w:hint="eastAsia" w:ascii="宋体" w:hAnsi="宋体" w:cs="宋体"/>
          <w:b/>
          <w:color w:val="auto"/>
          <w:sz w:val="30"/>
          <w:szCs w:val="30"/>
        </w:rPr>
        <w:t>项目名称：学校新一代认证支付系统项目</w:t>
      </w:r>
    </w:p>
    <w:p w14:paraId="77B640E3">
      <w:pPr>
        <w:spacing w:line="360" w:lineRule="auto"/>
        <w:ind w:firstLine="602" w:firstLineChars="200"/>
        <w:rPr>
          <w:rFonts w:hint="default" w:ascii="宋体" w:hAnsi="宋体" w:eastAsia="宋体" w:cs="宋体"/>
          <w:b/>
          <w:color w:val="auto"/>
          <w:sz w:val="30"/>
          <w:szCs w:val="30"/>
          <w:lang w:val="en-US" w:eastAsia="zh-CN"/>
        </w:rPr>
      </w:pPr>
      <w:r>
        <w:rPr>
          <w:rFonts w:hint="eastAsia" w:ascii="宋体" w:hAnsi="宋体" w:cs="宋体"/>
          <w:b/>
          <w:color w:val="auto"/>
          <w:sz w:val="30"/>
          <w:szCs w:val="30"/>
        </w:rPr>
        <w:t>项目编号：</w:t>
      </w:r>
      <w:r>
        <w:rPr>
          <w:rFonts w:hint="eastAsia" w:ascii="宋体" w:hAnsi="宋体" w:eastAsia="宋体" w:cs="宋体"/>
          <w:b/>
          <w:color w:val="auto"/>
          <w:sz w:val="30"/>
          <w:szCs w:val="30"/>
        </w:rPr>
        <w:t>GXZC2025-J1-001921-GXZX</w:t>
      </w:r>
    </w:p>
    <w:p w14:paraId="4D435E55">
      <w:pPr>
        <w:rPr>
          <w:color w:val="auto"/>
        </w:rPr>
      </w:pPr>
    </w:p>
    <w:p w14:paraId="7227DE26">
      <w:pPr>
        <w:pStyle w:val="17"/>
        <w:rPr>
          <w:rFonts w:ascii="宋体" w:hAnsi="宋体" w:cs="宋体"/>
          <w:b/>
          <w:color w:val="auto"/>
          <w:sz w:val="32"/>
          <w:szCs w:val="32"/>
        </w:rPr>
      </w:pPr>
      <w:r>
        <w:rPr>
          <w:rFonts w:ascii="宋体" w:hAnsi="宋体" w:cs="宋体"/>
          <w:color w:val="auto"/>
          <w:sz w:val="20"/>
          <w:u w:val="single"/>
        </w:rPr>
        <mc:AlternateContent>
          <mc:Choice Requires="wps">
            <w:drawing>
              <wp:anchor distT="0" distB="0" distL="114300" distR="114300" simplePos="0" relativeHeight="251661312" behindDoc="0" locked="0" layoutInCell="1" allowOverlap="1">
                <wp:simplePos x="0" y="0"/>
                <wp:positionH relativeFrom="column">
                  <wp:posOffset>-97155</wp:posOffset>
                </wp:positionH>
                <wp:positionV relativeFrom="paragraph">
                  <wp:posOffset>108585</wp:posOffset>
                </wp:positionV>
                <wp:extent cx="5944235" cy="8255"/>
                <wp:effectExtent l="0" t="0" r="0" b="0"/>
                <wp:wrapNone/>
                <wp:docPr id="3" name="直线 8"/>
                <wp:cNvGraphicFramePr/>
                <a:graphic xmlns:a="http://schemas.openxmlformats.org/drawingml/2006/main">
                  <a:graphicData uri="http://schemas.microsoft.com/office/word/2010/wordprocessingShape">
                    <wps:wsp>
                      <wps:cNvCnPr/>
                      <wps:spPr>
                        <a:xfrm flipV="1">
                          <a:off x="0" y="0"/>
                          <a:ext cx="5944235" cy="8255"/>
                        </a:xfrm>
                        <a:prstGeom prst="line">
                          <a:avLst/>
                        </a:prstGeom>
                        <a:ln w="28575" cap="flat" cmpd="sng">
                          <a:solidFill>
                            <a:srgbClr val="000000"/>
                          </a:solidFill>
                          <a:prstDash val="solid"/>
                          <a:headEnd type="none" w="med" len="med"/>
                          <a:tailEnd type="none" w="med" len="med"/>
                        </a:ln>
                      </wps:spPr>
                      <wps:bodyPr/>
                    </wps:wsp>
                  </a:graphicData>
                </a:graphic>
              </wp:anchor>
            </w:drawing>
          </mc:Choice>
          <mc:Fallback>
            <w:pict>
              <v:line id="直线 8" o:spid="_x0000_s1026" o:spt="20" style="position:absolute;left:0pt;flip:y;margin-left:-7.65pt;margin-top:8.55pt;height:0.65pt;width:468.05pt;z-index:251661312;mso-width-relative:page;mso-height-relative:page;" filled="f" stroked="t" coordsize="21600,21600" o:gfxdata="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rjCEx&#10;1wAAAAkBAAAPAAAAAAAAAAEAIAAAACIAAABkcnMvZG93bnJldi54bWxQSwECFAAUAAAACACHTuJA&#10;bLr0r+kBAADdAwAADgAAAAAAAAABACAAAAAmAQAAZHJzL2Uyb0RvYy54bWxQSwUGAAAAAAYABgBZ&#10;AQAAgQUAAAAA&#10;">
                <v:fill on="f" focussize="0,0"/>
                <v:stroke weight="2.25pt" color="#000000" joinstyle="round"/>
                <v:imagedata o:title=""/>
                <o:lock v:ext="edit" aspectratio="f"/>
              </v:line>
            </w:pict>
          </mc:Fallback>
        </mc:AlternateContent>
      </w:r>
    </w:p>
    <w:p w14:paraId="47B3DB82">
      <w:pPr>
        <w:rPr>
          <w:rFonts w:ascii="宋体" w:hAnsi="宋体" w:cs="宋体"/>
          <w:color w:val="auto"/>
        </w:rPr>
      </w:pPr>
    </w:p>
    <w:p w14:paraId="60504E2E">
      <w:pPr>
        <w:spacing w:line="360" w:lineRule="auto"/>
        <w:ind w:firstLine="643" w:firstLineChars="200"/>
        <w:rPr>
          <w:rFonts w:ascii="宋体" w:hAnsi="宋体" w:cs="宋体"/>
          <w:b/>
          <w:color w:val="auto"/>
          <w:sz w:val="32"/>
          <w:szCs w:val="32"/>
        </w:rPr>
      </w:pPr>
      <w:r>
        <w:rPr>
          <w:rFonts w:hint="eastAsia" w:ascii="宋体" w:hAnsi="宋体" w:cs="宋体"/>
          <w:b/>
          <w:color w:val="auto"/>
          <w:sz w:val="32"/>
          <w:szCs w:val="32"/>
        </w:rPr>
        <w:t>采购人：广西职业师范学院</w:t>
      </w:r>
    </w:p>
    <w:p w14:paraId="2760C068">
      <w:pPr>
        <w:spacing w:line="360" w:lineRule="auto"/>
        <w:ind w:firstLine="643" w:firstLineChars="200"/>
        <w:rPr>
          <w:rFonts w:ascii="宋体" w:hAnsi="宋体" w:cs="宋体"/>
          <w:b/>
          <w:color w:val="auto"/>
          <w:sz w:val="32"/>
          <w:szCs w:val="32"/>
        </w:rPr>
      </w:pPr>
      <w:r>
        <w:rPr>
          <w:rFonts w:hint="eastAsia" w:ascii="宋体" w:hAnsi="宋体" w:cs="宋体"/>
          <w:b/>
          <w:color w:val="auto"/>
          <w:sz w:val="32"/>
          <w:szCs w:val="32"/>
        </w:rPr>
        <w:t>采购代理机构：广西中信恒泰工程顾问有限公司</w:t>
      </w:r>
    </w:p>
    <w:p w14:paraId="57DE1D53">
      <w:pPr>
        <w:spacing w:line="360" w:lineRule="auto"/>
        <w:jc w:val="center"/>
        <w:rPr>
          <w:rFonts w:hint="eastAsia" w:ascii="宋体" w:hAnsi="宋体" w:cs="宋体"/>
          <w:b/>
          <w:color w:val="auto"/>
          <w:sz w:val="32"/>
          <w:szCs w:val="32"/>
        </w:rPr>
      </w:pPr>
    </w:p>
    <w:p w14:paraId="079F9A7B">
      <w:pPr>
        <w:spacing w:line="360" w:lineRule="auto"/>
        <w:jc w:val="center"/>
        <w:rPr>
          <w:rFonts w:ascii="宋体" w:hAnsi="宋体" w:cs="宋体"/>
          <w:b/>
          <w:color w:val="auto"/>
          <w:sz w:val="32"/>
          <w:szCs w:val="32"/>
        </w:rPr>
      </w:pPr>
      <w:r>
        <w:rPr>
          <w:rFonts w:hint="eastAsia" w:ascii="宋体" w:hAnsi="宋体" w:cs="宋体"/>
          <w:b/>
          <w:color w:val="auto"/>
          <w:sz w:val="32"/>
          <w:szCs w:val="32"/>
        </w:rPr>
        <w:t>2025年</w:t>
      </w:r>
      <w:r>
        <w:rPr>
          <w:rFonts w:hint="eastAsia" w:ascii="宋体" w:hAnsi="宋体" w:cs="宋体"/>
          <w:b/>
          <w:color w:val="auto"/>
          <w:sz w:val="32"/>
          <w:szCs w:val="32"/>
          <w:lang w:val="en-US" w:eastAsia="zh-CN"/>
        </w:rPr>
        <w:t>7</w:t>
      </w:r>
      <w:r>
        <w:rPr>
          <w:rFonts w:hint="eastAsia" w:ascii="宋体" w:hAnsi="宋体" w:cs="宋体"/>
          <w:b/>
          <w:color w:val="auto"/>
          <w:sz w:val="32"/>
          <w:szCs w:val="32"/>
        </w:rPr>
        <w:t>月</w:t>
      </w:r>
    </w:p>
    <w:p w14:paraId="112D8BEB">
      <w:pPr>
        <w:spacing w:line="360" w:lineRule="auto"/>
        <w:jc w:val="center"/>
        <w:rPr>
          <w:rFonts w:ascii="宋体" w:hAnsi="宋体" w:cs="宋体"/>
          <w:b/>
          <w:color w:val="auto"/>
          <w:sz w:val="44"/>
          <w:szCs w:val="44"/>
        </w:rPr>
      </w:pPr>
      <w:r>
        <w:rPr>
          <w:rFonts w:hint="eastAsia" w:ascii="宋体" w:hAnsi="宋体" w:cs="宋体"/>
          <w:b/>
          <w:color w:val="auto"/>
          <w:sz w:val="32"/>
          <w:szCs w:val="32"/>
        </w:rPr>
        <w:br w:type="page"/>
      </w:r>
      <w:r>
        <w:rPr>
          <w:rFonts w:hint="eastAsia" w:ascii="宋体" w:hAnsi="宋体" w:cs="宋体"/>
          <w:b/>
          <w:color w:val="auto"/>
          <w:sz w:val="44"/>
          <w:szCs w:val="44"/>
        </w:rPr>
        <w:t>目  录</w:t>
      </w:r>
    </w:p>
    <w:p w14:paraId="5FB8A4A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b/>
          <w:color w:val="auto"/>
          <w:sz w:val="24"/>
          <w:szCs w:val="24"/>
        </w:rPr>
      </w:pPr>
    </w:p>
    <w:p w14:paraId="40EF1FCE">
      <w:pPr>
        <w:pStyle w:val="20"/>
        <w:keepNext w:val="0"/>
        <w:keepLines w:val="0"/>
        <w:pageBreakBefore w:val="0"/>
        <w:widowControl w:val="0"/>
        <w:tabs>
          <w:tab w:val="right" w:leader="dot" w:pos="8992"/>
          <w:tab w:val="clear" w:pos="8296"/>
        </w:tabs>
        <w:kinsoku/>
        <w:wordWrap/>
        <w:overflowPunct/>
        <w:topLinePunct w:val="0"/>
        <w:autoSpaceDE/>
        <w:autoSpaceDN/>
        <w:bidi w:val="0"/>
        <w:adjustRightInd/>
        <w:snapToGrid/>
        <w:spacing w:line="500" w:lineRule="exact"/>
        <w:textAlignment w:val="auto"/>
        <w:rPr>
          <w:color w:val="auto"/>
          <w:sz w:val="24"/>
          <w:szCs w:val="24"/>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TOC \o "1-3" \h \z \u </w:instrText>
      </w:r>
      <w:r>
        <w:rPr>
          <w:rFonts w:hint="eastAsia" w:ascii="宋体" w:hAnsi="宋体" w:cs="宋体"/>
          <w:b/>
          <w:color w:val="auto"/>
          <w:sz w:val="24"/>
          <w:szCs w:val="24"/>
        </w:rPr>
        <w:fldChar w:fldCharType="separate"/>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HYPERLINK \l _Toc21012 </w:instrText>
      </w:r>
      <w:r>
        <w:rPr>
          <w:rFonts w:hint="eastAsia" w:ascii="宋体" w:hAnsi="宋体" w:cs="宋体"/>
          <w:color w:val="auto"/>
          <w:sz w:val="24"/>
          <w:szCs w:val="24"/>
        </w:rPr>
        <w:fldChar w:fldCharType="separate"/>
      </w:r>
      <w:r>
        <w:rPr>
          <w:rFonts w:hint="eastAsia" w:ascii="宋体" w:hAnsi="宋体" w:cs="宋体"/>
          <w:color w:val="auto"/>
          <w:sz w:val="24"/>
          <w:szCs w:val="24"/>
        </w:rPr>
        <w:t>第一章  竞争性谈判公告</w:t>
      </w:r>
      <w:r>
        <w:rPr>
          <w:color w:val="auto"/>
          <w:sz w:val="24"/>
          <w:szCs w:val="24"/>
        </w:rPr>
        <w:tab/>
      </w:r>
      <w:r>
        <w:rPr>
          <w:color w:val="auto"/>
          <w:sz w:val="24"/>
          <w:szCs w:val="24"/>
        </w:rPr>
        <w:fldChar w:fldCharType="begin"/>
      </w:r>
      <w:r>
        <w:rPr>
          <w:color w:val="auto"/>
          <w:sz w:val="24"/>
          <w:szCs w:val="24"/>
        </w:rPr>
        <w:instrText xml:space="preserve"> PAGEREF _Toc21012 \h </w:instrText>
      </w:r>
      <w:r>
        <w:rPr>
          <w:color w:val="auto"/>
          <w:sz w:val="24"/>
          <w:szCs w:val="24"/>
        </w:rPr>
        <w:fldChar w:fldCharType="separate"/>
      </w:r>
      <w:r>
        <w:rPr>
          <w:color w:val="auto"/>
          <w:sz w:val="24"/>
          <w:szCs w:val="24"/>
        </w:rPr>
        <w:t>1</w:t>
      </w:r>
      <w:r>
        <w:rPr>
          <w:color w:val="auto"/>
          <w:sz w:val="24"/>
          <w:szCs w:val="24"/>
        </w:rPr>
        <w:fldChar w:fldCharType="end"/>
      </w:r>
      <w:r>
        <w:rPr>
          <w:rFonts w:hint="eastAsia" w:ascii="宋体" w:hAnsi="宋体" w:cs="宋体"/>
          <w:color w:val="auto"/>
          <w:sz w:val="24"/>
          <w:szCs w:val="24"/>
        </w:rPr>
        <w:fldChar w:fldCharType="end"/>
      </w:r>
    </w:p>
    <w:p w14:paraId="2BF7134F">
      <w:pPr>
        <w:pStyle w:val="20"/>
        <w:keepNext w:val="0"/>
        <w:keepLines w:val="0"/>
        <w:pageBreakBefore w:val="0"/>
        <w:widowControl w:val="0"/>
        <w:tabs>
          <w:tab w:val="right" w:leader="dot" w:pos="8992"/>
          <w:tab w:val="clear" w:pos="8296"/>
        </w:tabs>
        <w:kinsoku/>
        <w:wordWrap/>
        <w:overflowPunct/>
        <w:topLinePunct w:val="0"/>
        <w:autoSpaceDE/>
        <w:autoSpaceDN/>
        <w:bidi w:val="0"/>
        <w:adjustRightInd/>
        <w:snapToGrid/>
        <w:spacing w:line="500" w:lineRule="exact"/>
        <w:textAlignment w:val="auto"/>
        <w:rPr>
          <w:color w:val="auto"/>
          <w:sz w:val="24"/>
          <w:szCs w:val="24"/>
        </w:rPr>
      </w:pP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HYPERLINK \l _Toc20359 </w:instrText>
      </w:r>
      <w:r>
        <w:rPr>
          <w:rFonts w:hint="eastAsia" w:ascii="宋体" w:hAnsi="宋体" w:cs="宋体"/>
          <w:color w:val="auto"/>
          <w:sz w:val="24"/>
          <w:szCs w:val="24"/>
        </w:rPr>
        <w:fldChar w:fldCharType="separate"/>
      </w:r>
      <w:r>
        <w:rPr>
          <w:rFonts w:hint="eastAsia" w:ascii="宋体" w:hAnsi="宋体" w:cs="宋体"/>
          <w:color w:val="auto"/>
          <w:sz w:val="24"/>
          <w:szCs w:val="24"/>
        </w:rPr>
        <w:t>第二章  供应商须知</w:t>
      </w:r>
      <w:r>
        <w:rPr>
          <w:color w:val="auto"/>
          <w:sz w:val="24"/>
          <w:szCs w:val="24"/>
        </w:rPr>
        <w:tab/>
      </w:r>
      <w:r>
        <w:rPr>
          <w:color w:val="auto"/>
          <w:sz w:val="24"/>
          <w:szCs w:val="24"/>
        </w:rPr>
        <w:fldChar w:fldCharType="begin"/>
      </w:r>
      <w:r>
        <w:rPr>
          <w:color w:val="auto"/>
          <w:sz w:val="24"/>
          <w:szCs w:val="24"/>
        </w:rPr>
        <w:instrText xml:space="preserve"> PAGEREF _Toc20359 \h </w:instrText>
      </w:r>
      <w:r>
        <w:rPr>
          <w:color w:val="auto"/>
          <w:sz w:val="24"/>
          <w:szCs w:val="24"/>
        </w:rPr>
        <w:fldChar w:fldCharType="separate"/>
      </w:r>
      <w:r>
        <w:rPr>
          <w:color w:val="auto"/>
          <w:sz w:val="24"/>
          <w:szCs w:val="24"/>
        </w:rPr>
        <w:t>7</w:t>
      </w:r>
      <w:r>
        <w:rPr>
          <w:color w:val="auto"/>
          <w:sz w:val="24"/>
          <w:szCs w:val="24"/>
        </w:rPr>
        <w:fldChar w:fldCharType="end"/>
      </w:r>
      <w:r>
        <w:rPr>
          <w:rFonts w:hint="eastAsia" w:ascii="宋体" w:hAnsi="宋体" w:cs="宋体"/>
          <w:color w:val="auto"/>
          <w:sz w:val="24"/>
          <w:szCs w:val="24"/>
        </w:rPr>
        <w:fldChar w:fldCharType="end"/>
      </w:r>
    </w:p>
    <w:p w14:paraId="67A12685">
      <w:pPr>
        <w:pStyle w:val="20"/>
        <w:keepNext w:val="0"/>
        <w:keepLines w:val="0"/>
        <w:pageBreakBefore w:val="0"/>
        <w:widowControl w:val="0"/>
        <w:tabs>
          <w:tab w:val="right" w:leader="dot" w:pos="8992"/>
          <w:tab w:val="clear" w:pos="8296"/>
        </w:tabs>
        <w:kinsoku/>
        <w:wordWrap/>
        <w:overflowPunct/>
        <w:topLinePunct w:val="0"/>
        <w:autoSpaceDE/>
        <w:autoSpaceDN/>
        <w:bidi w:val="0"/>
        <w:adjustRightInd/>
        <w:snapToGrid/>
        <w:spacing w:line="500" w:lineRule="exact"/>
        <w:textAlignment w:val="auto"/>
        <w:rPr>
          <w:color w:val="auto"/>
          <w:sz w:val="24"/>
          <w:szCs w:val="24"/>
        </w:rPr>
      </w:pP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HYPERLINK \l _Toc18286 </w:instrText>
      </w:r>
      <w:r>
        <w:rPr>
          <w:rFonts w:hint="eastAsia" w:ascii="宋体" w:hAnsi="宋体" w:cs="宋体"/>
          <w:color w:val="auto"/>
          <w:sz w:val="24"/>
          <w:szCs w:val="24"/>
        </w:rPr>
        <w:fldChar w:fldCharType="separate"/>
      </w:r>
      <w:r>
        <w:rPr>
          <w:rFonts w:hint="eastAsia" w:ascii="宋体" w:hAnsi="宋体" w:cs="宋体"/>
          <w:color w:val="auto"/>
          <w:sz w:val="24"/>
          <w:szCs w:val="24"/>
        </w:rPr>
        <w:t>第三章  采购需求</w:t>
      </w:r>
      <w:r>
        <w:rPr>
          <w:color w:val="auto"/>
          <w:sz w:val="24"/>
          <w:szCs w:val="24"/>
        </w:rPr>
        <w:tab/>
      </w:r>
      <w:r>
        <w:rPr>
          <w:color w:val="auto"/>
          <w:sz w:val="24"/>
          <w:szCs w:val="24"/>
        </w:rPr>
        <w:fldChar w:fldCharType="begin"/>
      </w:r>
      <w:r>
        <w:rPr>
          <w:color w:val="auto"/>
          <w:sz w:val="24"/>
          <w:szCs w:val="24"/>
        </w:rPr>
        <w:instrText xml:space="preserve"> PAGEREF _Toc18286 \h </w:instrText>
      </w:r>
      <w:r>
        <w:rPr>
          <w:color w:val="auto"/>
          <w:sz w:val="24"/>
          <w:szCs w:val="24"/>
        </w:rPr>
        <w:fldChar w:fldCharType="separate"/>
      </w:r>
      <w:r>
        <w:rPr>
          <w:color w:val="auto"/>
          <w:sz w:val="24"/>
          <w:szCs w:val="24"/>
        </w:rPr>
        <w:t>26</w:t>
      </w:r>
      <w:r>
        <w:rPr>
          <w:color w:val="auto"/>
          <w:sz w:val="24"/>
          <w:szCs w:val="24"/>
        </w:rPr>
        <w:fldChar w:fldCharType="end"/>
      </w:r>
      <w:r>
        <w:rPr>
          <w:rFonts w:hint="eastAsia" w:ascii="宋体" w:hAnsi="宋体" w:cs="宋体"/>
          <w:color w:val="auto"/>
          <w:sz w:val="24"/>
          <w:szCs w:val="24"/>
        </w:rPr>
        <w:fldChar w:fldCharType="end"/>
      </w:r>
    </w:p>
    <w:p w14:paraId="5779F798">
      <w:pPr>
        <w:pStyle w:val="20"/>
        <w:keepNext w:val="0"/>
        <w:keepLines w:val="0"/>
        <w:pageBreakBefore w:val="0"/>
        <w:widowControl w:val="0"/>
        <w:tabs>
          <w:tab w:val="right" w:leader="dot" w:pos="8992"/>
          <w:tab w:val="clear" w:pos="8296"/>
        </w:tabs>
        <w:kinsoku/>
        <w:wordWrap/>
        <w:overflowPunct/>
        <w:topLinePunct w:val="0"/>
        <w:autoSpaceDE/>
        <w:autoSpaceDN/>
        <w:bidi w:val="0"/>
        <w:adjustRightInd/>
        <w:snapToGrid/>
        <w:spacing w:line="500" w:lineRule="exact"/>
        <w:textAlignment w:val="auto"/>
        <w:rPr>
          <w:color w:val="auto"/>
          <w:sz w:val="24"/>
          <w:szCs w:val="24"/>
        </w:rPr>
      </w:pP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HYPERLINK \l _Toc22567 </w:instrText>
      </w:r>
      <w:r>
        <w:rPr>
          <w:rFonts w:hint="eastAsia" w:ascii="宋体" w:hAnsi="宋体" w:cs="宋体"/>
          <w:color w:val="auto"/>
          <w:sz w:val="24"/>
          <w:szCs w:val="24"/>
        </w:rPr>
        <w:fldChar w:fldCharType="separate"/>
      </w:r>
      <w:r>
        <w:rPr>
          <w:rFonts w:hint="eastAsia" w:ascii="宋体" w:hAnsi="宋体" w:cs="宋体"/>
          <w:color w:val="auto"/>
          <w:sz w:val="24"/>
          <w:szCs w:val="24"/>
        </w:rPr>
        <w:t>第四章  评审程序、评审方法和评审标准</w:t>
      </w:r>
      <w:bookmarkStart w:id="77" w:name="_GoBack"/>
      <w:bookmarkEnd w:id="77"/>
      <w:r>
        <w:rPr>
          <w:color w:val="auto"/>
          <w:sz w:val="24"/>
          <w:szCs w:val="24"/>
        </w:rPr>
        <w:tab/>
      </w:r>
      <w:r>
        <w:rPr>
          <w:color w:val="auto"/>
          <w:sz w:val="24"/>
          <w:szCs w:val="24"/>
        </w:rPr>
        <w:fldChar w:fldCharType="begin"/>
      </w:r>
      <w:r>
        <w:rPr>
          <w:color w:val="auto"/>
          <w:sz w:val="24"/>
          <w:szCs w:val="24"/>
        </w:rPr>
        <w:instrText xml:space="preserve"> PAGEREF _Toc22567 \h </w:instrText>
      </w:r>
      <w:r>
        <w:rPr>
          <w:color w:val="auto"/>
          <w:sz w:val="24"/>
          <w:szCs w:val="24"/>
        </w:rPr>
        <w:fldChar w:fldCharType="separate"/>
      </w:r>
      <w:r>
        <w:rPr>
          <w:color w:val="auto"/>
          <w:sz w:val="24"/>
          <w:szCs w:val="24"/>
        </w:rPr>
        <w:t>72</w:t>
      </w:r>
      <w:r>
        <w:rPr>
          <w:color w:val="auto"/>
          <w:sz w:val="24"/>
          <w:szCs w:val="24"/>
        </w:rPr>
        <w:fldChar w:fldCharType="end"/>
      </w:r>
      <w:r>
        <w:rPr>
          <w:rFonts w:hint="eastAsia" w:ascii="宋体" w:hAnsi="宋体" w:cs="宋体"/>
          <w:color w:val="auto"/>
          <w:sz w:val="24"/>
          <w:szCs w:val="24"/>
        </w:rPr>
        <w:fldChar w:fldCharType="end"/>
      </w:r>
    </w:p>
    <w:p w14:paraId="681DEF1D">
      <w:pPr>
        <w:pStyle w:val="20"/>
        <w:keepNext w:val="0"/>
        <w:keepLines w:val="0"/>
        <w:pageBreakBefore w:val="0"/>
        <w:widowControl w:val="0"/>
        <w:tabs>
          <w:tab w:val="right" w:leader="dot" w:pos="8992"/>
          <w:tab w:val="clear" w:pos="8296"/>
        </w:tabs>
        <w:kinsoku/>
        <w:wordWrap/>
        <w:overflowPunct/>
        <w:topLinePunct w:val="0"/>
        <w:autoSpaceDE/>
        <w:autoSpaceDN/>
        <w:bidi w:val="0"/>
        <w:adjustRightInd/>
        <w:snapToGrid/>
        <w:spacing w:line="500" w:lineRule="exact"/>
        <w:textAlignment w:val="auto"/>
        <w:rPr>
          <w:color w:val="auto"/>
          <w:sz w:val="24"/>
          <w:szCs w:val="24"/>
        </w:rPr>
      </w:pP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HYPERLINK \l _Toc8481 </w:instrText>
      </w:r>
      <w:r>
        <w:rPr>
          <w:rFonts w:hint="eastAsia" w:ascii="宋体" w:hAnsi="宋体" w:cs="宋体"/>
          <w:color w:val="auto"/>
          <w:sz w:val="24"/>
          <w:szCs w:val="24"/>
        </w:rPr>
        <w:fldChar w:fldCharType="separate"/>
      </w:r>
      <w:r>
        <w:rPr>
          <w:rFonts w:hint="eastAsia" w:ascii="宋体" w:hAnsi="宋体" w:cs="宋体"/>
          <w:color w:val="auto"/>
          <w:sz w:val="24"/>
          <w:szCs w:val="24"/>
        </w:rPr>
        <w:t>第五章  响应文件格式</w:t>
      </w:r>
      <w:r>
        <w:rPr>
          <w:color w:val="auto"/>
          <w:sz w:val="24"/>
          <w:szCs w:val="24"/>
        </w:rPr>
        <w:tab/>
      </w:r>
      <w:r>
        <w:rPr>
          <w:color w:val="auto"/>
          <w:sz w:val="24"/>
          <w:szCs w:val="24"/>
        </w:rPr>
        <w:fldChar w:fldCharType="begin"/>
      </w:r>
      <w:r>
        <w:rPr>
          <w:color w:val="auto"/>
          <w:sz w:val="24"/>
          <w:szCs w:val="24"/>
        </w:rPr>
        <w:instrText xml:space="preserve"> PAGEREF _Toc8481 \h </w:instrText>
      </w:r>
      <w:r>
        <w:rPr>
          <w:color w:val="auto"/>
          <w:sz w:val="24"/>
          <w:szCs w:val="24"/>
        </w:rPr>
        <w:fldChar w:fldCharType="separate"/>
      </w:r>
      <w:r>
        <w:rPr>
          <w:color w:val="auto"/>
          <w:sz w:val="24"/>
          <w:szCs w:val="24"/>
        </w:rPr>
        <w:t>79</w:t>
      </w:r>
      <w:r>
        <w:rPr>
          <w:color w:val="auto"/>
          <w:sz w:val="24"/>
          <w:szCs w:val="24"/>
        </w:rPr>
        <w:fldChar w:fldCharType="end"/>
      </w:r>
      <w:r>
        <w:rPr>
          <w:rFonts w:hint="eastAsia" w:ascii="宋体" w:hAnsi="宋体" w:cs="宋体"/>
          <w:color w:val="auto"/>
          <w:sz w:val="24"/>
          <w:szCs w:val="24"/>
        </w:rPr>
        <w:fldChar w:fldCharType="end"/>
      </w:r>
    </w:p>
    <w:p w14:paraId="3E9809A6">
      <w:pPr>
        <w:pStyle w:val="20"/>
        <w:keepNext w:val="0"/>
        <w:keepLines w:val="0"/>
        <w:pageBreakBefore w:val="0"/>
        <w:widowControl w:val="0"/>
        <w:tabs>
          <w:tab w:val="right" w:leader="dot" w:pos="8992"/>
          <w:tab w:val="clear" w:pos="8296"/>
        </w:tabs>
        <w:kinsoku/>
        <w:wordWrap/>
        <w:overflowPunct/>
        <w:topLinePunct w:val="0"/>
        <w:autoSpaceDE/>
        <w:autoSpaceDN/>
        <w:bidi w:val="0"/>
        <w:adjustRightInd/>
        <w:snapToGrid/>
        <w:spacing w:line="500" w:lineRule="exact"/>
        <w:ind w:firstLine="480" w:firstLineChars="200"/>
        <w:textAlignment w:val="auto"/>
        <w:rPr>
          <w:color w:val="auto"/>
          <w:sz w:val="24"/>
          <w:szCs w:val="24"/>
        </w:rPr>
      </w:pP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HYPERLINK \l _Toc26483 </w:instrText>
      </w:r>
      <w:r>
        <w:rPr>
          <w:rFonts w:hint="eastAsia" w:ascii="宋体" w:hAnsi="宋体" w:cs="宋体"/>
          <w:color w:val="auto"/>
          <w:sz w:val="24"/>
          <w:szCs w:val="24"/>
        </w:rPr>
        <w:fldChar w:fldCharType="separate"/>
      </w:r>
      <w:r>
        <w:rPr>
          <w:rFonts w:hint="eastAsia" w:ascii="宋体" w:hAnsi="宋体" w:cs="宋体"/>
          <w:color w:val="auto"/>
          <w:sz w:val="24"/>
          <w:szCs w:val="24"/>
        </w:rPr>
        <w:t>一、资格证明文件格式</w:t>
      </w:r>
      <w:r>
        <w:rPr>
          <w:color w:val="auto"/>
          <w:sz w:val="24"/>
          <w:szCs w:val="24"/>
        </w:rPr>
        <w:tab/>
      </w:r>
      <w:r>
        <w:rPr>
          <w:color w:val="auto"/>
          <w:sz w:val="24"/>
          <w:szCs w:val="24"/>
        </w:rPr>
        <w:fldChar w:fldCharType="begin"/>
      </w:r>
      <w:r>
        <w:rPr>
          <w:color w:val="auto"/>
          <w:sz w:val="24"/>
          <w:szCs w:val="24"/>
        </w:rPr>
        <w:instrText xml:space="preserve"> PAGEREF _Toc26483 \h </w:instrText>
      </w:r>
      <w:r>
        <w:rPr>
          <w:color w:val="auto"/>
          <w:sz w:val="24"/>
          <w:szCs w:val="24"/>
        </w:rPr>
        <w:fldChar w:fldCharType="separate"/>
      </w:r>
      <w:r>
        <w:rPr>
          <w:color w:val="auto"/>
          <w:sz w:val="24"/>
          <w:szCs w:val="24"/>
        </w:rPr>
        <w:t>79</w:t>
      </w:r>
      <w:r>
        <w:rPr>
          <w:color w:val="auto"/>
          <w:sz w:val="24"/>
          <w:szCs w:val="24"/>
        </w:rPr>
        <w:fldChar w:fldCharType="end"/>
      </w:r>
      <w:r>
        <w:rPr>
          <w:rFonts w:hint="eastAsia" w:ascii="宋体" w:hAnsi="宋体" w:cs="宋体"/>
          <w:color w:val="auto"/>
          <w:sz w:val="24"/>
          <w:szCs w:val="24"/>
        </w:rPr>
        <w:fldChar w:fldCharType="end"/>
      </w:r>
    </w:p>
    <w:p w14:paraId="03D97283">
      <w:pPr>
        <w:pStyle w:val="20"/>
        <w:keepNext w:val="0"/>
        <w:keepLines w:val="0"/>
        <w:pageBreakBefore w:val="0"/>
        <w:widowControl w:val="0"/>
        <w:tabs>
          <w:tab w:val="right" w:leader="dot" w:pos="8992"/>
          <w:tab w:val="clear" w:pos="8296"/>
        </w:tabs>
        <w:kinsoku/>
        <w:wordWrap/>
        <w:overflowPunct/>
        <w:topLinePunct w:val="0"/>
        <w:autoSpaceDE/>
        <w:autoSpaceDN/>
        <w:bidi w:val="0"/>
        <w:adjustRightInd/>
        <w:snapToGrid/>
        <w:spacing w:line="500" w:lineRule="exact"/>
        <w:ind w:firstLine="480" w:firstLineChars="200"/>
        <w:textAlignment w:val="auto"/>
        <w:rPr>
          <w:color w:val="auto"/>
          <w:sz w:val="24"/>
          <w:szCs w:val="24"/>
        </w:rPr>
      </w:pP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HYPERLINK \l _Toc14506 </w:instrText>
      </w:r>
      <w:r>
        <w:rPr>
          <w:rFonts w:hint="eastAsia" w:ascii="宋体" w:hAnsi="宋体" w:cs="宋体"/>
          <w:color w:val="auto"/>
          <w:sz w:val="24"/>
          <w:szCs w:val="24"/>
        </w:rPr>
        <w:fldChar w:fldCharType="separate"/>
      </w:r>
      <w:r>
        <w:rPr>
          <w:rFonts w:hint="eastAsia" w:ascii="宋体" w:hAnsi="宋体" w:cs="宋体"/>
          <w:color w:val="auto"/>
          <w:sz w:val="24"/>
          <w:szCs w:val="24"/>
        </w:rPr>
        <w:t>二、商务技术文件格式</w:t>
      </w:r>
      <w:r>
        <w:rPr>
          <w:color w:val="auto"/>
          <w:sz w:val="24"/>
          <w:szCs w:val="24"/>
        </w:rPr>
        <w:tab/>
      </w:r>
      <w:r>
        <w:rPr>
          <w:color w:val="auto"/>
          <w:sz w:val="24"/>
          <w:szCs w:val="24"/>
        </w:rPr>
        <w:fldChar w:fldCharType="begin"/>
      </w:r>
      <w:r>
        <w:rPr>
          <w:color w:val="auto"/>
          <w:sz w:val="24"/>
          <w:szCs w:val="24"/>
        </w:rPr>
        <w:instrText xml:space="preserve"> PAGEREF _Toc14506 \h </w:instrText>
      </w:r>
      <w:r>
        <w:rPr>
          <w:color w:val="auto"/>
          <w:sz w:val="24"/>
          <w:szCs w:val="24"/>
        </w:rPr>
        <w:fldChar w:fldCharType="separate"/>
      </w:r>
      <w:r>
        <w:rPr>
          <w:color w:val="auto"/>
          <w:sz w:val="24"/>
          <w:szCs w:val="24"/>
        </w:rPr>
        <w:t>88</w:t>
      </w:r>
      <w:r>
        <w:rPr>
          <w:color w:val="auto"/>
          <w:sz w:val="24"/>
          <w:szCs w:val="24"/>
        </w:rPr>
        <w:fldChar w:fldCharType="end"/>
      </w:r>
      <w:r>
        <w:rPr>
          <w:rFonts w:hint="eastAsia" w:ascii="宋体" w:hAnsi="宋体" w:cs="宋体"/>
          <w:color w:val="auto"/>
          <w:sz w:val="24"/>
          <w:szCs w:val="24"/>
        </w:rPr>
        <w:fldChar w:fldCharType="end"/>
      </w:r>
    </w:p>
    <w:p w14:paraId="41B71D8C">
      <w:pPr>
        <w:pStyle w:val="20"/>
        <w:keepNext w:val="0"/>
        <w:keepLines w:val="0"/>
        <w:pageBreakBefore w:val="0"/>
        <w:widowControl w:val="0"/>
        <w:tabs>
          <w:tab w:val="right" w:leader="dot" w:pos="8992"/>
          <w:tab w:val="clear" w:pos="8296"/>
        </w:tabs>
        <w:kinsoku/>
        <w:wordWrap/>
        <w:overflowPunct/>
        <w:topLinePunct w:val="0"/>
        <w:autoSpaceDE/>
        <w:autoSpaceDN/>
        <w:bidi w:val="0"/>
        <w:adjustRightInd/>
        <w:snapToGrid/>
        <w:spacing w:line="500" w:lineRule="exact"/>
        <w:ind w:firstLine="480" w:firstLineChars="200"/>
        <w:textAlignment w:val="auto"/>
        <w:rPr>
          <w:color w:val="auto"/>
          <w:sz w:val="24"/>
          <w:szCs w:val="24"/>
        </w:rPr>
      </w:pP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HYPERLINK \l _Toc175 </w:instrText>
      </w:r>
      <w:r>
        <w:rPr>
          <w:rFonts w:hint="eastAsia" w:ascii="宋体" w:hAnsi="宋体" w:cs="宋体"/>
          <w:color w:val="auto"/>
          <w:sz w:val="24"/>
          <w:szCs w:val="24"/>
        </w:rPr>
        <w:fldChar w:fldCharType="separate"/>
      </w:r>
      <w:r>
        <w:rPr>
          <w:rFonts w:hint="eastAsia" w:ascii="宋体" w:hAnsi="宋体" w:cs="宋体"/>
          <w:color w:val="auto"/>
          <w:sz w:val="24"/>
          <w:szCs w:val="24"/>
        </w:rPr>
        <w:t>三、报价文件格式</w:t>
      </w:r>
      <w:r>
        <w:rPr>
          <w:color w:val="auto"/>
          <w:sz w:val="24"/>
          <w:szCs w:val="24"/>
        </w:rPr>
        <w:tab/>
      </w:r>
      <w:r>
        <w:rPr>
          <w:color w:val="auto"/>
          <w:sz w:val="24"/>
          <w:szCs w:val="24"/>
        </w:rPr>
        <w:fldChar w:fldCharType="begin"/>
      </w:r>
      <w:r>
        <w:rPr>
          <w:color w:val="auto"/>
          <w:sz w:val="24"/>
          <w:szCs w:val="24"/>
        </w:rPr>
        <w:instrText xml:space="preserve"> PAGEREF _Toc175 \h </w:instrText>
      </w:r>
      <w:r>
        <w:rPr>
          <w:color w:val="auto"/>
          <w:sz w:val="24"/>
          <w:szCs w:val="24"/>
        </w:rPr>
        <w:fldChar w:fldCharType="separate"/>
      </w:r>
      <w:r>
        <w:rPr>
          <w:color w:val="auto"/>
          <w:sz w:val="24"/>
          <w:szCs w:val="24"/>
        </w:rPr>
        <w:t>100</w:t>
      </w:r>
      <w:r>
        <w:rPr>
          <w:color w:val="auto"/>
          <w:sz w:val="24"/>
          <w:szCs w:val="24"/>
        </w:rPr>
        <w:fldChar w:fldCharType="end"/>
      </w:r>
      <w:r>
        <w:rPr>
          <w:rFonts w:hint="eastAsia" w:ascii="宋体" w:hAnsi="宋体" w:cs="宋体"/>
          <w:color w:val="auto"/>
          <w:sz w:val="24"/>
          <w:szCs w:val="24"/>
        </w:rPr>
        <w:fldChar w:fldCharType="end"/>
      </w:r>
    </w:p>
    <w:p w14:paraId="1B76E1D7">
      <w:pPr>
        <w:pStyle w:val="20"/>
        <w:keepNext w:val="0"/>
        <w:keepLines w:val="0"/>
        <w:pageBreakBefore w:val="0"/>
        <w:widowControl w:val="0"/>
        <w:tabs>
          <w:tab w:val="right" w:leader="dot" w:pos="8992"/>
          <w:tab w:val="clear" w:pos="8296"/>
        </w:tabs>
        <w:kinsoku/>
        <w:wordWrap/>
        <w:overflowPunct/>
        <w:topLinePunct w:val="0"/>
        <w:autoSpaceDE/>
        <w:autoSpaceDN/>
        <w:bidi w:val="0"/>
        <w:adjustRightInd/>
        <w:snapToGrid/>
        <w:spacing w:line="500" w:lineRule="exact"/>
        <w:textAlignment w:val="auto"/>
        <w:rPr>
          <w:color w:val="auto"/>
          <w:sz w:val="24"/>
          <w:szCs w:val="24"/>
        </w:rPr>
      </w:pP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HYPERLINK \l _Toc15631 </w:instrText>
      </w:r>
      <w:r>
        <w:rPr>
          <w:rFonts w:hint="eastAsia" w:ascii="宋体" w:hAnsi="宋体" w:cs="宋体"/>
          <w:color w:val="auto"/>
          <w:sz w:val="24"/>
          <w:szCs w:val="24"/>
        </w:rPr>
        <w:fldChar w:fldCharType="separate"/>
      </w:r>
      <w:r>
        <w:rPr>
          <w:rFonts w:hint="eastAsia" w:ascii="宋体" w:hAnsi="宋体" w:cs="宋体"/>
          <w:color w:val="auto"/>
          <w:sz w:val="24"/>
          <w:szCs w:val="24"/>
        </w:rPr>
        <w:t>第六章 合同文本</w:t>
      </w:r>
      <w:r>
        <w:rPr>
          <w:color w:val="auto"/>
          <w:sz w:val="24"/>
          <w:szCs w:val="24"/>
        </w:rPr>
        <w:tab/>
      </w:r>
      <w:r>
        <w:rPr>
          <w:color w:val="auto"/>
          <w:sz w:val="24"/>
          <w:szCs w:val="24"/>
        </w:rPr>
        <w:fldChar w:fldCharType="begin"/>
      </w:r>
      <w:r>
        <w:rPr>
          <w:color w:val="auto"/>
          <w:sz w:val="24"/>
          <w:szCs w:val="24"/>
        </w:rPr>
        <w:instrText xml:space="preserve"> PAGEREF _Toc15631 \h </w:instrText>
      </w:r>
      <w:r>
        <w:rPr>
          <w:color w:val="auto"/>
          <w:sz w:val="24"/>
          <w:szCs w:val="24"/>
        </w:rPr>
        <w:fldChar w:fldCharType="separate"/>
      </w:r>
      <w:r>
        <w:rPr>
          <w:color w:val="auto"/>
          <w:sz w:val="24"/>
          <w:szCs w:val="24"/>
        </w:rPr>
        <w:t>113</w:t>
      </w:r>
      <w:r>
        <w:rPr>
          <w:color w:val="auto"/>
          <w:sz w:val="24"/>
          <w:szCs w:val="24"/>
        </w:rPr>
        <w:fldChar w:fldCharType="end"/>
      </w:r>
      <w:r>
        <w:rPr>
          <w:rFonts w:hint="eastAsia" w:ascii="宋体" w:hAnsi="宋体" w:cs="宋体"/>
          <w:color w:val="auto"/>
          <w:sz w:val="24"/>
          <w:szCs w:val="24"/>
        </w:rPr>
        <w:fldChar w:fldCharType="end"/>
      </w:r>
    </w:p>
    <w:p w14:paraId="793FC037">
      <w:pPr>
        <w:pStyle w:val="20"/>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cs="宋体"/>
          <w:color w:val="auto"/>
          <w:sz w:val="28"/>
          <w:szCs w:val="28"/>
        </w:rPr>
      </w:pPr>
      <w:r>
        <w:rPr>
          <w:rFonts w:hint="eastAsia" w:ascii="宋体" w:hAnsi="宋体" w:cs="宋体"/>
          <w:color w:val="auto"/>
          <w:sz w:val="24"/>
          <w:szCs w:val="24"/>
        </w:rPr>
        <w:fldChar w:fldCharType="end"/>
      </w:r>
    </w:p>
    <w:p w14:paraId="2B78583C">
      <w:pPr>
        <w:spacing w:line="400" w:lineRule="exact"/>
        <w:jc w:val="left"/>
        <w:rPr>
          <w:rFonts w:ascii="宋体" w:hAnsi="宋体" w:cs="宋体"/>
          <w:b/>
          <w:color w:val="auto"/>
          <w:sz w:val="32"/>
          <w:szCs w:val="32"/>
        </w:rPr>
      </w:pPr>
    </w:p>
    <w:p w14:paraId="495062D0">
      <w:pPr>
        <w:spacing w:line="400" w:lineRule="exact"/>
        <w:jc w:val="center"/>
        <w:rPr>
          <w:rFonts w:ascii="宋体" w:hAnsi="宋体" w:cs="宋体"/>
          <w:b/>
          <w:color w:val="auto"/>
          <w:sz w:val="32"/>
          <w:szCs w:val="32"/>
        </w:rPr>
      </w:pPr>
    </w:p>
    <w:p w14:paraId="71A8DC79">
      <w:pPr>
        <w:spacing w:line="400" w:lineRule="exact"/>
        <w:jc w:val="center"/>
        <w:rPr>
          <w:rFonts w:ascii="宋体" w:hAnsi="宋体" w:cs="宋体"/>
          <w:b/>
          <w:color w:val="auto"/>
          <w:sz w:val="32"/>
          <w:szCs w:val="32"/>
        </w:rPr>
      </w:pPr>
    </w:p>
    <w:p w14:paraId="47001C57">
      <w:pPr>
        <w:spacing w:line="400" w:lineRule="exact"/>
        <w:jc w:val="center"/>
        <w:rPr>
          <w:rFonts w:ascii="宋体" w:hAnsi="宋体" w:cs="宋体"/>
          <w:b/>
          <w:color w:val="auto"/>
          <w:sz w:val="32"/>
          <w:szCs w:val="32"/>
        </w:rPr>
      </w:pPr>
    </w:p>
    <w:p w14:paraId="08059674">
      <w:pPr>
        <w:spacing w:line="400" w:lineRule="exact"/>
        <w:jc w:val="center"/>
        <w:rPr>
          <w:rFonts w:ascii="宋体" w:hAnsi="宋体" w:cs="宋体"/>
          <w:b/>
          <w:color w:val="auto"/>
          <w:sz w:val="32"/>
          <w:szCs w:val="32"/>
        </w:rPr>
      </w:pPr>
    </w:p>
    <w:p w14:paraId="2C41C248">
      <w:pPr>
        <w:spacing w:line="400" w:lineRule="exact"/>
        <w:rPr>
          <w:rFonts w:ascii="宋体" w:hAnsi="宋体" w:cs="宋体"/>
          <w:b/>
          <w:color w:val="auto"/>
          <w:sz w:val="32"/>
          <w:szCs w:val="32"/>
        </w:rPr>
        <w:sectPr>
          <w:headerReference r:id="rId3" w:type="default"/>
          <w:pgSz w:w="11906" w:h="16838"/>
          <w:pgMar w:top="1440" w:right="1440" w:bottom="1440" w:left="1474" w:header="851" w:footer="992" w:gutter="0"/>
          <w:cols w:space="720" w:num="1"/>
          <w:titlePg/>
          <w:docGrid w:type="lines" w:linePitch="312" w:charSpace="0"/>
        </w:sectPr>
      </w:pPr>
    </w:p>
    <w:p w14:paraId="6C6B208F">
      <w:pPr>
        <w:pStyle w:val="3"/>
        <w:jc w:val="center"/>
        <w:rPr>
          <w:rFonts w:ascii="宋体" w:hAnsi="宋体" w:cs="宋体"/>
          <w:color w:val="auto"/>
        </w:rPr>
      </w:pPr>
      <w:bookmarkStart w:id="0" w:name="_Toc21012"/>
      <w:r>
        <w:rPr>
          <w:rFonts w:hint="eastAsia" w:ascii="宋体" w:hAnsi="宋体" w:cs="宋体"/>
          <w:color w:val="auto"/>
        </w:rPr>
        <w:t>第一章  竞争性谈判公告</w:t>
      </w:r>
      <w:bookmarkEnd w:id="0"/>
    </w:p>
    <w:p w14:paraId="4282EF06">
      <w:pPr>
        <w:rPr>
          <w:rFonts w:ascii="宋体" w:hAnsi="宋体" w:cs="宋体"/>
          <w:color w:val="auto"/>
        </w:rPr>
      </w:pPr>
    </w:p>
    <w:p w14:paraId="4D7DF300">
      <w:pPr>
        <w:spacing w:line="500" w:lineRule="exact"/>
        <w:jc w:val="center"/>
        <w:rPr>
          <w:rFonts w:ascii="宋体" w:hAnsi="宋体" w:cs="宋体"/>
          <w:b/>
          <w:bCs/>
          <w:color w:val="auto"/>
          <w:sz w:val="24"/>
        </w:rPr>
      </w:pPr>
      <w:r>
        <w:rPr>
          <w:rFonts w:hint="eastAsia" w:ascii="宋体" w:hAnsi="宋体" w:cs="宋体"/>
          <w:b/>
          <w:bCs/>
          <w:color w:val="auto"/>
          <w:sz w:val="24"/>
        </w:rPr>
        <w:t>学校新一代认证支付系统项目（项目编号：</w:t>
      </w:r>
      <w:r>
        <w:rPr>
          <w:rFonts w:hint="eastAsia" w:ascii="宋体" w:hAnsi="宋体" w:eastAsia="宋体" w:cs="宋体"/>
          <w:b/>
          <w:bCs/>
          <w:color w:val="auto"/>
          <w:sz w:val="24"/>
          <w:szCs w:val="24"/>
        </w:rPr>
        <w:t>GXZC2025-J1-001921-GXZX</w:t>
      </w:r>
      <w:r>
        <w:rPr>
          <w:rFonts w:hint="eastAsia" w:ascii="宋体" w:hAnsi="宋体" w:cs="宋体"/>
          <w:b/>
          <w:bCs/>
          <w:color w:val="auto"/>
          <w:sz w:val="24"/>
        </w:rPr>
        <w:t>）</w:t>
      </w:r>
    </w:p>
    <w:p w14:paraId="1643EDA1">
      <w:pPr>
        <w:spacing w:line="500" w:lineRule="exact"/>
        <w:jc w:val="center"/>
        <w:rPr>
          <w:rFonts w:hint="eastAsia" w:ascii="宋体" w:hAnsi="宋体" w:cs="宋体"/>
          <w:b/>
          <w:bCs/>
          <w:color w:val="auto"/>
          <w:sz w:val="24"/>
        </w:rPr>
      </w:pPr>
      <w:r>
        <w:rPr>
          <w:rFonts w:hint="eastAsia" w:ascii="宋体" w:hAnsi="宋体" w:cs="宋体"/>
          <w:b/>
          <w:bCs/>
          <w:color w:val="auto"/>
          <w:sz w:val="24"/>
        </w:rPr>
        <w:t>竞争性谈判公告</w:t>
      </w:r>
    </w:p>
    <w:p w14:paraId="336BCE72">
      <w:pPr>
        <w:rPr>
          <w:rFonts w:ascii="宋体" w:hAnsi="宋体" w:cs="宋体"/>
          <w:color w:val="auto"/>
        </w:rPr>
      </w:pPr>
    </w:p>
    <w:p w14:paraId="4055CBA3">
      <w:pPr>
        <w:pBdr>
          <w:top w:val="single" w:color="auto" w:sz="4" w:space="1"/>
          <w:left w:val="single" w:color="auto" w:sz="4" w:space="4"/>
          <w:bottom w:val="single" w:color="auto" w:sz="4" w:space="1"/>
          <w:right w:val="single" w:color="auto" w:sz="4" w:space="4"/>
        </w:pBdr>
        <w:spacing w:line="360" w:lineRule="auto"/>
        <w:rPr>
          <w:rFonts w:ascii="宋体" w:hAnsi="宋体" w:cs="宋体"/>
          <w:color w:val="auto"/>
          <w:szCs w:val="21"/>
        </w:rPr>
      </w:pPr>
      <w:bookmarkStart w:id="1" w:name="_Hlk37430271"/>
      <w:r>
        <w:rPr>
          <w:rFonts w:hint="eastAsia" w:ascii="宋体" w:hAnsi="宋体" w:cs="宋体"/>
          <w:color w:val="auto"/>
          <w:szCs w:val="21"/>
        </w:rPr>
        <w:t>项目概况</w:t>
      </w:r>
    </w:p>
    <w:p w14:paraId="10AE6389">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rPr>
      </w:pPr>
      <w:r>
        <w:rPr>
          <w:rFonts w:hint="eastAsia" w:ascii="宋体" w:hAnsi="宋体" w:cs="宋体"/>
          <w:color w:val="auto"/>
          <w:szCs w:val="21"/>
          <w:u w:val="single"/>
        </w:rPr>
        <w:t>学校新一代认证支付系统项目</w:t>
      </w:r>
      <w:r>
        <w:rPr>
          <w:rFonts w:hint="eastAsia" w:ascii="宋体" w:hAnsi="宋体" w:cs="宋体"/>
          <w:color w:val="auto"/>
          <w:szCs w:val="21"/>
        </w:rPr>
        <w:t>的潜在供应商应在“广西政府采购云平台”（</w:t>
      </w:r>
      <w:r>
        <w:rPr>
          <w:color w:val="auto"/>
        </w:rPr>
        <w:fldChar w:fldCharType="begin"/>
      </w:r>
      <w:r>
        <w:rPr>
          <w:color w:val="auto"/>
        </w:rPr>
        <w:instrText xml:space="preserve"> HYPERLINK "https://www.zcygov.cn/）获取（下载）采购文件，并于2022年%20%20月" </w:instrText>
      </w:r>
      <w:r>
        <w:rPr>
          <w:color w:val="auto"/>
        </w:rPr>
        <w:fldChar w:fldCharType="separate"/>
      </w:r>
      <w:r>
        <w:rPr>
          <w:rFonts w:hint="eastAsia" w:ascii="宋体" w:hAnsi="宋体" w:cs="宋体"/>
          <w:color w:val="auto"/>
          <w:szCs w:val="21"/>
        </w:rPr>
        <w:t>https://www.gcy.zfcg.gxzf.gov.cn）获取（下载）谈判文件，并于</w:t>
      </w:r>
      <w:r>
        <w:rPr>
          <w:rFonts w:hint="eastAsia" w:ascii="宋体" w:hAnsi="宋体" w:cs="宋体"/>
          <w:color w:val="auto"/>
          <w:szCs w:val="21"/>
          <w:u w:val="single"/>
        </w:rPr>
        <w:t>2025年</w:t>
      </w:r>
      <w:r>
        <w:rPr>
          <w:rFonts w:hint="eastAsia" w:ascii="宋体" w:hAnsi="宋体" w:cs="宋体"/>
          <w:color w:val="auto"/>
          <w:szCs w:val="21"/>
          <w:u w:val="single"/>
          <w:lang w:val="en-US" w:eastAsia="zh-CN"/>
        </w:rPr>
        <w:t>7</w:t>
      </w:r>
      <w:r>
        <w:rPr>
          <w:rFonts w:hint="eastAsia" w:ascii="宋体" w:hAnsi="宋体" w:cs="宋体"/>
          <w:color w:val="auto"/>
          <w:szCs w:val="21"/>
          <w:u w:val="single"/>
        </w:rPr>
        <w:t>月</w:t>
      </w:r>
      <w:r>
        <w:rPr>
          <w:rFonts w:hint="eastAsia" w:ascii="宋体" w:hAnsi="宋体" w:cs="宋体"/>
          <w:color w:val="auto"/>
          <w:szCs w:val="21"/>
          <w:u w:val="single"/>
        </w:rPr>
        <w:fldChar w:fldCharType="end"/>
      </w:r>
      <w:r>
        <w:rPr>
          <w:rFonts w:hint="eastAsia" w:ascii="宋体" w:hAnsi="宋体" w:cs="宋体"/>
          <w:color w:val="auto"/>
          <w:szCs w:val="21"/>
          <w:u w:val="single"/>
          <w:lang w:val="en-US" w:eastAsia="zh-CN"/>
        </w:rPr>
        <w:t>22</w:t>
      </w:r>
      <w:r>
        <w:rPr>
          <w:rFonts w:hint="eastAsia" w:ascii="宋体" w:hAnsi="宋体" w:cs="宋体"/>
          <w:color w:val="auto"/>
          <w:szCs w:val="21"/>
          <w:u w:val="single"/>
        </w:rPr>
        <w:t>日09时30分</w:t>
      </w:r>
      <w:r>
        <w:rPr>
          <w:rFonts w:hint="eastAsia" w:ascii="宋体" w:hAnsi="宋体" w:cs="宋体"/>
          <w:color w:val="auto"/>
          <w:szCs w:val="21"/>
        </w:rPr>
        <w:t>（北京时间）前递交（上传）响应文件。</w:t>
      </w:r>
    </w:p>
    <w:p w14:paraId="770AF14B">
      <w:pPr>
        <w:spacing w:line="360" w:lineRule="auto"/>
        <w:rPr>
          <w:rFonts w:ascii="宋体" w:hAnsi="宋体" w:cs="宋体"/>
          <w:b/>
          <w:bCs/>
          <w:color w:val="auto"/>
          <w:szCs w:val="21"/>
        </w:rPr>
      </w:pPr>
      <w:bookmarkStart w:id="2" w:name="_Toc28359012"/>
      <w:bookmarkStart w:id="3" w:name="_Toc35393629"/>
      <w:bookmarkStart w:id="4" w:name="_Toc44229878"/>
      <w:bookmarkStart w:id="5" w:name="_Toc35393798"/>
      <w:bookmarkStart w:id="6" w:name="_Toc28359089"/>
      <w:r>
        <w:rPr>
          <w:rFonts w:hint="eastAsia" w:ascii="宋体" w:hAnsi="宋体" w:cs="宋体"/>
          <w:b/>
          <w:bCs/>
          <w:color w:val="auto"/>
          <w:szCs w:val="21"/>
        </w:rPr>
        <w:t>一、项目基本情况</w:t>
      </w:r>
      <w:bookmarkEnd w:id="2"/>
      <w:bookmarkEnd w:id="3"/>
      <w:bookmarkEnd w:id="4"/>
      <w:bookmarkEnd w:id="5"/>
      <w:bookmarkEnd w:id="6"/>
    </w:p>
    <w:p w14:paraId="081C5CA0">
      <w:pPr>
        <w:spacing w:line="360" w:lineRule="auto"/>
        <w:ind w:firstLine="420" w:firstLineChars="200"/>
        <w:rPr>
          <w:rFonts w:hint="eastAsia" w:ascii="宋体" w:hAnsi="宋体" w:eastAsia="宋体" w:cs="宋体"/>
          <w:color w:val="auto"/>
          <w:szCs w:val="21"/>
          <w:lang w:eastAsia="zh-CN"/>
        </w:rPr>
      </w:pPr>
      <w:r>
        <w:rPr>
          <w:rFonts w:hint="eastAsia" w:ascii="宋体" w:hAnsi="宋体" w:cs="宋体"/>
          <w:color w:val="auto"/>
          <w:szCs w:val="21"/>
        </w:rPr>
        <w:t>1.项目编号：</w:t>
      </w:r>
      <w:r>
        <w:rPr>
          <w:rFonts w:hint="eastAsia" w:ascii="宋体" w:hAnsi="宋体" w:eastAsia="宋体" w:cs="宋体"/>
          <w:color w:val="auto"/>
          <w:sz w:val="21"/>
          <w:szCs w:val="21"/>
        </w:rPr>
        <w:t>GXZC2025-J1-001921-GXZX</w:t>
      </w:r>
      <w:r>
        <w:rPr>
          <w:rFonts w:hint="eastAsia" w:ascii="宋体" w:hAnsi="宋体" w:cs="宋体"/>
          <w:color w:val="auto"/>
          <w:szCs w:val="21"/>
          <w:lang w:eastAsia="zh-CN"/>
        </w:rPr>
        <w:t>（采购计划编号：广西政采[2025]13182号）</w:t>
      </w:r>
    </w:p>
    <w:p w14:paraId="6AC06BBB">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2.项目名称：学校新一代认证支付系统项目</w:t>
      </w:r>
    </w:p>
    <w:p w14:paraId="482B49F8">
      <w:pPr>
        <w:spacing w:line="360" w:lineRule="auto"/>
        <w:ind w:firstLine="420" w:firstLineChars="200"/>
        <w:rPr>
          <w:rFonts w:ascii="宋体" w:hAnsi="宋体" w:cs="宋体"/>
          <w:color w:val="auto"/>
          <w:szCs w:val="21"/>
        </w:rPr>
      </w:pPr>
      <w:r>
        <w:rPr>
          <w:rFonts w:hint="eastAsia" w:ascii="宋体" w:hAnsi="宋体" w:cs="宋体"/>
          <w:color w:val="auto"/>
          <w:szCs w:val="21"/>
        </w:rPr>
        <w:t>3.采购方式：竞争性谈判</w:t>
      </w:r>
    </w:p>
    <w:p w14:paraId="0429D56D">
      <w:pPr>
        <w:spacing w:line="360" w:lineRule="auto"/>
        <w:ind w:firstLine="420" w:firstLineChars="200"/>
        <w:rPr>
          <w:rFonts w:ascii="宋体" w:hAnsi="宋体" w:cs="宋体"/>
          <w:color w:val="auto"/>
          <w:szCs w:val="21"/>
        </w:rPr>
      </w:pPr>
      <w:r>
        <w:rPr>
          <w:rFonts w:hint="eastAsia" w:ascii="宋体" w:hAnsi="宋体" w:cs="宋体"/>
          <w:color w:val="auto"/>
          <w:szCs w:val="21"/>
        </w:rPr>
        <w:t>4.预算金额：人民币壹佰</w:t>
      </w:r>
      <w:r>
        <w:rPr>
          <w:rFonts w:hint="eastAsia" w:ascii="宋体" w:hAnsi="宋体" w:cs="宋体"/>
          <w:color w:val="auto"/>
          <w:szCs w:val="21"/>
          <w:lang w:val="en-US" w:eastAsia="zh-CN"/>
        </w:rPr>
        <w:t>叁</w:t>
      </w:r>
      <w:r>
        <w:rPr>
          <w:rFonts w:hint="eastAsia" w:ascii="宋体" w:hAnsi="宋体" w:cs="宋体"/>
          <w:color w:val="auto"/>
          <w:szCs w:val="21"/>
        </w:rPr>
        <w:t>拾</w:t>
      </w:r>
      <w:r>
        <w:rPr>
          <w:rFonts w:hint="eastAsia" w:ascii="宋体" w:hAnsi="宋体" w:cs="宋体"/>
          <w:color w:val="auto"/>
          <w:szCs w:val="21"/>
          <w:lang w:val="en-US" w:eastAsia="zh-CN"/>
        </w:rPr>
        <w:t>陆</w:t>
      </w:r>
      <w:r>
        <w:rPr>
          <w:rFonts w:hint="eastAsia" w:ascii="宋体" w:hAnsi="宋体" w:cs="宋体"/>
          <w:color w:val="auto"/>
          <w:szCs w:val="21"/>
        </w:rPr>
        <w:t>万</w:t>
      </w:r>
      <w:r>
        <w:rPr>
          <w:rFonts w:hint="eastAsia" w:ascii="宋体" w:hAnsi="宋体" w:cs="宋体"/>
          <w:color w:val="auto"/>
          <w:szCs w:val="21"/>
          <w:lang w:val="en-US" w:eastAsia="zh-CN"/>
        </w:rPr>
        <w:t>壹</w:t>
      </w:r>
      <w:r>
        <w:rPr>
          <w:rFonts w:hint="eastAsia" w:ascii="宋体" w:hAnsi="宋体" w:cs="宋体"/>
          <w:color w:val="auto"/>
          <w:szCs w:val="21"/>
        </w:rPr>
        <w:t>仟</w:t>
      </w:r>
      <w:r>
        <w:rPr>
          <w:rFonts w:hint="eastAsia" w:ascii="宋体" w:hAnsi="宋体" w:cs="宋体"/>
          <w:color w:val="auto"/>
          <w:szCs w:val="21"/>
          <w:lang w:val="en-US" w:eastAsia="zh-CN"/>
        </w:rPr>
        <w:t>伍佰贰拾元</w:t>
      </w:r>
      <w:r>
        <w:rPr>
          <w:rFonts w:hint="eastAsia" w:ascii="宋体" w:hAnsi="宋体" w:cs="宋体"/>
          <w:color w:val="auto"/>
          <w:szCs w:val="21"/>
        </w:rPr>
        <w:t>整(¥</w:t>
      </w:r>
      <w:r>
        <w:rPr>
          <w:rFonts w:hint="eastAsia" w:ascii="宋体" w:hAnsi="宋体" w:cs="宋体"/>
          <w:color w:val="auto"/>
          <w:szCs w:val="21"/>
          <w:lang w:val="en-US" w:eastAsia="zh-CN"/>
        </w:rPr>
        <w:t>1361520.00</w:t>
      </w:r>
      <w:r>
        <w:rPr>
          <w:rFonts w:hint="eastAsia" w:ascii="宋体" w:hAnsi="宋体" w:cs="宋体"/>
          <w:color w:val="auto"/>
          <w:szCs w:val="21"/>
        </w:rPr>
        <w:t>）</w:t>
      </w:r>
    </w:p>
    <w:p w14:paraId="404B026B">
      <w:pPr>
        <w:spacing w:line="360" w:lineRule="auto"/>
        <w:ind w:firstLine="420" w:firstLineChars="200"/>
        <w:rPr>
          <w:rFonts w:ascii="宋体" w:hAnsi="宋体" w:cs="宋体"/>
          <w:color w:val="auto"/>
          <w:szCs w:val="21"/>
        </w:rPr>
      </w:pPr>
      <w:r>
        <w:rPr>
          <w:rFonts w:hint="eastAsia" w:ascii="宋体" w:hAnsi="宋体" w:cs="宋体"/>
          <w:color w:val="auto"/>
          <w:szCs w:val="21"/>
        </w:rPr>
        <w:t>5.最高限价：人民币壹佰</w:t>
      </w:r>
      <w:r>
        <w:rPr>
          <w:rFonts w:hint="eastAsia" w:ascii="宋体" w:hAnsi="宋体" w:cs="宋体"/>
          <w:color w:val="auto"/>
          <w:szCs w:val="21"/>
          <w:lang w:val="en-US" w:eastAsia="zh-CN"/>
        </w:rPr>
        <w:t>叁</w:t>
      </w:r>
      <w:r>
        <w:rPr>
          <w:rFonts w:hint="eastAsia" w:ascii="宋体" w:hAnsi="宋体" w:cs="宋体"/>
          <w:color w:val="auto"/>
          <w:szCs w:val="21"/>
        </w:rPr>
        <w:t>拾</w:t>
      </w:r>
      <w:r>
        <w:rPr>
          <w:rFonts w:hint="eastAsia" w:ascii="宋体" w:hAnsi="宋体" w:cs="宋体"/>
          <w:color w:val="auto"/>
          <w:szCs w:val="21"/>
          <w:lang w:val="en-US" w:eastAsia="zh-CN"/>
        </w:rPr>
        <w:t>陆</w:t>
      </w:r>
      <w:r>
        <w:rPr>
          <w:rFonts w:hint="eastAsia" w:ascii="宋体" w:hAnsi="宋体" w:cs="宋体"/>
          <w:color w:val="auto"/>
          <w:szCs w:val="21"/>
        </w:rPr>
        <w:t>万</w:t>
      </w:r>
      <w:r>
        <w:rPr>
          <w:rFonts w:hint="eastAsia" w:ascii="宋体" w:hAnsi="宋体" w:cs="宋体"/>
          <w:color w:val="auto"/>
          <w:szCs w:val="21"/>
          <w:lang w:val="en-US" w:eastAsia="zh-CN"/>
        </w:rPr>
        <w:t>壹</w:t>
      </w:r>
      <w:r>
        <w:rPr>
          <w:rFonts w:hint="eastAsia" w:ascii="宋体" w:hAnsi="宋体" w:cs="宋体"/>
          <w:color w:val="auto"/>
          <w:szCs w:val="21"/>
        </w:rPr>
        <w:t>仟</w:t>
      </w:r>
      <w:r>
        <w:rPr>
          <w:rFonts w:hint="eastAsia" w:ascii="宋体" w:hAnsi="宋体" w:cs="宋体"/>
          <w:color w:val="auto"/>
          <w:szCs w:val="21"/>
          <w:lang w:val="en-US" w:eastAsia="zh-CN"/>
        </w:rPr>
        <w:t>伍佰贰拾元</w:t>
      </w:r>
      <w:r>
        <w:rPr>
          <w:rFonts w:hint="eastAsia" w:ascii="宋体" w:hAnsi="宋体" w:cs="宋体"/>
          <w:color w:val="auto"/>
          <w:szCs w:val="21"/>
        </w:rPr>
        <w:t>整(¥</w:t>
      </w:r>
      <w:r>
        <w:rPr>
          <w:rFonts w:hint="eastAsia" w:ascii="宋体" w:hAnsi="宋体" w:cs="宋体"/>
          <w:color w:val="auto"/>
          <w:szCs w:val="21"/>
          <w:lang w:val="en-US" w:eastAsia="zh-CN"/>
        </w:rPr>
        <w:t>1361520.00</w:t>
      </w:r>
      <w:r>
        <w:rPr>
          <w:rFonts w:hint="eastAsia" w:ascii="宋体" w:hAnsi="宋体" w:cs="宋体"/>
          <w:color w:val="auto"/>
          <w:szCs w:val="21"/>
        </w:rPr>
        <w:t>）</w:t>
      </w:r>
    </w:p>
    <w:p w14:paraId="728778FF">
      <w:pPr>
        <w:spacing w:line="360" w:lineRule="auto"/>
        <w:ind w:firstLine="420" w:firstLineChars="200"/>
        <w:rPr>
          <w:rFonts w:ascii="宋体" w:hAnsi="宋体" w:cs="宋体"/>
          <w:color w:val="auto"/>
          <w:szCs w:val="21"/>
        </w:rPr>
      </w:pPr>
      <w:r>
        <w:rPr>
          <w:rFonts w:hint="eastAsia" w:ascii="宋体" w:hAnsi="宋体" w:cs="宋体"/>
          <w:color w:val="auto"/>
          <w:szCs w:val="21"/>
        </w:rPr>
        <w:t>6.采购需求：</w:t>
      </w:r>
    </w:p>
    <w:tbl>
      <w:tblPr>
        <w:tblStyle w:val="25"/>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96"/>
        <w:gridCol w:w="2138"/>
        <w:gridCol w:w="873"/>
        <w:gridCol w:w="993"/>
        <w:gridCol w:w="4390"/>
      </w:tblGrid>
      <w:tr w14:paraId="5A752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83" w:type="pct"/>
            <w:tcBorders>
              <w:top w:val="single" w:color="auto" w:sz="4" w:space="0"/>
              <w:left w:val="single" w:color="auto" w:sz="4" w:space="0"/>
              <w:bottom w:val="single" w:color="auto" w:sz="4" w:space="0"/>
              <w:right w:val="single" w:color="auto" w:sz="4" w:space="0"/>
            </w:tcBorders>
            <w:vAlign w:val="center"/>
          </w:tcPr>
          <w:p w14:paraId="42D42A40">
            <w:pPr>
              <w:spacing w:line="500" w:lineRule="exact"/>
              <w:jc w:val="center"/>
              <w:rPr>
                <w:color w:val="auto"/>
                <w:szCs w:val="21"/>
              </w:rPr>
            </w:pPr>
            <w:r>
              <w:rPr>
                <w:rFonts w:hint="eastAsia"/>
                <w:color w:val="auto"/>
                <w:szCs w:val="21"/>
              </w:rPr>
              <w:t>序号</w:t>
            </w:r>
          </w:p>
        </w:tc>
        <w:tc>
          <w:tcPr>
            <w:tcW w:w="1176" w:type="pct"/>
            <w:tcBorders>
              <w:top w:val="single" w:color="auto" w:sz="4" w:space="0"/>
              <w:left w:val="single" w:color="auto" w:sz="4" w:space="0"/>
              <w:bottom w:val="single" w:color="auto" w:sz="4" w:space="0"/>
              <w:right w:val="single" w:color="auto" w:sz="4" w:space="0"/>
            </w:tcBorders>
            <w:vAlign w:val="center"/>
          </w:tcPr>
          <w:p w14:paraId="0FDA4335">
            <w:pPr>
              <w:spacing w:line="500" w:lineRule="exact"/>
              <w:jc w:val="center"/>
              <w:rPr>
                <w:color w:val="auto"/>
                <w:szCs w:val="21"/>
              </w:rPr>
            </w:pPr>
            <w:r>
              <w:rPr>
                <w:rFonts w:hint="eastAsia" w:ascii="宋体" w:hAnsi="宋体"/>
                <w:color w:val="auto"/>
              </w:rPr>
              <w:t>标的名称</w:t>
            </w:r>
          </w:p>
        </w:tc>
        <w:tc>
          <w:tcPr>
            <w:tcW w:w="480" w:type="pct"/>
            <w:tcBorders>
              <w:top w:val="single" w:color="auto" w:sz="4" w:space="0"/>
              <w:left w:val="single" w:color="auto" w:sz="4" w:space="0"/>
              <w:bottom w:val="single" w:color="auto" w:sz="4" w:space="0"/>
              <w:right w:val="single" w:color="auto" w:sz="4" w:space="0"/>
            </w:tcBorders>
            <w:vAlign w:val="center"/>
          </w:tcPr>
          <w:p w14:paraId="47A878FC">
            <w:pPr>
              <w:spacing w:line="500" w:lineRule="exact"/>
              <w:jc w:val="center"/>
              <w:rPr>
                <w:color w:val="auto"/>
                <w:szCs w:val="21"/>
              </w:rPr>
            </w:pPr>
            <w:r>
              <w:rPr>
                <w:rFonts w:hint="eastAsia"/>
                <w:color w:val="auto"/>
                <w:szCs w:val="21"/>
              </w:rPr>
              <w:t>数量</w:t>
            </w:r>
          </w:p>
        </w:tc>
        <w:tc>
          <w:tcPr>
            <w:tcW w:w="546" w:type="pct"/>
            <w:tcBorders>
              <w:top w:val="single" w:color="auto" w:sz="4" w:space="0"/>
              <w:left w:val="single" w:color="auto" w:sz="4" w:space="0"/>
              <w:bottom w:val="single" w:color="auto" w:sz="4" w:space="0"/>
              <w:right w:val="single" w:color="auto" w:sz="4" w:space="0"/>
            </w:tcBorders>
            <w:vAlign w:val="center"/>
          </w:tcPr>
          <w:p w14:paraId="047FADFD">
            <w:pPr>
              <w:spacing w:line="500" w:lineRule="exact"/>
              <w:jc w:val="center"/>
              <w:rPr>
                <w:color w:val="auto"/>
                <w:szCs w:val="21"/>
              </w:rPr>
            </w:pPr>
            <w:r>
              <w:rPr>
                <w:rFonts w:hint="eastAsia"/>
                <w:color w:val="auto"/>
                <w:szCs w:val="21"/>
              </w:rPr>
              <w:t>单位</w:t>
            </w:r>
          </w:p>
        </w:tc>
        <w:tc>
          <w:tcPr>
            <w:tcW w:w="2414" w:type="pct"/>
            <w:tcBorders>
              <w:top w:val="single" w:color="auto" w:sz="4" w:space="0"/>
              <w:left w:val="single" w:color="auto" w:sz="4" w:space="0"/>
              <w:bottom w:val="single" w:color="auto" w:sz="4" w:space="0"/>
              <w:right w:val="single" w:color="auto" w:sz="4" w:space="0"/>
            </w:tcBorders>
            <w:vAlign w:val="center"/>
          </w:tcPr>
          <w:p w14:paraId="37783B0C">
            <w:pPr>
              <w:spacing w:line="500" w:lineRule="exact"/>
              <w:jc w:val="center"/>
              <w:rPr>
                <w:color w:val="auto"/>
                <w:szCs w:val="21"/>
              </w:rPr>
            </w:pPr>
            <w:r>
              <w:rPr>
                <w:rFonts w:hint="eastAsia"/>
                <w:color w:val="auto"/>
                <w:szCs w:val="21"/>
              </w:rPr>
              <w:t>简要规格描述或项目基本概况介绍、用途</w:t>
            </w:r>
          </w:p>
        </w:tc>
      </w:tr>
      <w:tr w14:paraId="28F094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601F068D">
            <w:pPr>
              <w:spacing w:line="500" w:lineRule="exact"/>
              <w:rPr>
                <w:color w:val="auto"/>
                <w:szCs w:val="21"/>
              </w:rPr>
            </w:pPr>
            <w:r>
              <w:rPr>
                <w:rFonts w:hint="eastAsia"/>
                <w:color w:val="auto"/>
                <w:szCs w:val="21"/>
              </w:rPr>
              <w:t>一、认证支付底层数据服务</w:t>
            </w:r>
          </w:p>
        </w:tc>
      </w:tr>
      <w:tr w14:paraId="1EA00C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 w:hRule="atLeast"/>
        </w:trPr>
        <w:tc>
          <w:tcPr>
            <w:tcW w:w="383" w:type="pct"/>
            <w:tcBorders>
              <w:top w:val="single" w:color="auto" w:sz="4" w:space="0"/>
              <w:left w:val="single" w:color="auto" w:sz="4" w:space="0"/>
              <w:bottom w:val="single" w:color="auto" w:sz="4" w:space="0"/>
              <w:right w:val="single" w:color="auto" w:sz="4" w:space="0"/>
            </w:tcBorders>
            <w:vAlign w:val="bottom"/>
          </w:tcPr>
          <w:p w14:paraId="509FE88F">
            <w:pPr>
              <w:spacing w:line="500" w:lineRule="exact"/>
              <w:jc w:val="center"/>
              <w:rPr>
                <w:color w:val="auto"/>
                <w:szCs w:val="21"/>
              </w:rPr>
            </w:pPr>
            <w:r>
              <w:rPr>
                <w:rFonts w:hint="eastAsia"/>
                <w:color w:val="auto"/>
                <w:szCs w:val="21"/>
              </w:rPr>
              <w:t>1</w:t>
            </w:r>
          </w:p>
        </w:tc>
        <w:tc>
          <w:tcPr>
            <w:tcW w:w="1176" w:type="pct"/>
            <w:tcBorders>
              <w:top w:val="single" w:color="auto" w:sz="4" w:space="0"/>
              <w:left w:val="single" w:color="auto" w:sz="4" w:space="0"/>
              <w:bottom w:val="single" w:color="auto" w:sz="4" w:space="0"/>
              <w:right w:val="single" w:color="auto" w:sz="4" w:space="0"/>
            </w:tcBorders>
            <w:vAlign w:val="center"/>
          </w:tcPr>
          <w:p w14:paraId="7F00E7F0">
            <w:pPr>
              <w:spacing w:line="500" w:lineRule="exact"/>
              <w:jc w:val="center"/>
              <w:rPr>
                <w:color w:val="auto"/>
                <w:szCs w:val="21"/>
              </w:rPr>
            </w:pPr>
            <w:r>
              <w:rPr>
                <w:color w:val="auto"/>
                <w:szCs w:val="21"/>
              </w:rPr>
              <w:t>认证平台</w:t>
            </w:r>
          </w:p>
        </w:tc>
        <w:tc>
          <w:tcPr>
            <w:tcW w:w="480" w:type="pct"/>
            <w:tcBorders>
              <w:top w:val="single" w:color="auto" w:sz="4" w:space="0"/>
              <w:left w:val="single" w:color="auto" w:sz="4" w:space="0"/>
              <w:bottom w:val="single" w:color="auto" w:sz="4" w:space="0"/>
              <w:right w:val="single" w:color="auto" w:sz="4" w:space="0"/>
            </w:tcBorders>
            <w:vAlign w:val="center"/>
          </w:tcPr>
          <w:p w14:paraId="6B7F22DF">
            <w:pPr>
              <w:spacing w:line="500" w:lineRule="exact"/>
              <w:jc w:val="center"/>
              <w:rPr>
                <w:color w:val="auto"/>
                <w:szCs w:val="21"/>
              </w:rPr>
            </w:pPr>
            <w:r>
              <w:rPr>
                <w:rFonts w:hint="eastAsia"/>
                <w:color w:val="auto"/>
                <w:szCs w:val="21"/>
              </w:rPr>
              <w:t>1</w:t>
            </w:r>
          </w:p>
        </w:tc>
        <w:tc>
          <w:tcPr>
            <w:tcW w:w="546" w:type="pct"/>
            <w:tcBorders>
              <w:top w:val="single" w:color="auto" w:sz="4" w:space="0"/>
              <w:left w:val="single" w:color="auto" w:sz="4" w:space="0"/>
              <w:bottom w:val="single" w:color="auto" w:sz="4" w:space="0"/>
              <w:right w:val="single" w:color="auto" w:sz="4" w:space="0"/>
            </w:tcBorders>
            <w:vAlign w:val="center"/>
          </w:tcPr>
          <w:p w14:paraId="28943DFD">
            <w:pPr>
              <w:spacing w:line="500" w:lineRule="exact"/>
              <w:jc w:val="center"/>
              <w:rPr>
                <w:color w:val="auto"/>
                <w:szCs w:val="21"/>
              </w:rPr>
            </w:pPr>
            <w:r>
              <w:rPr>
                <w:rFonts w:hint="eastAsia"/>
                <w:color w:val="auto"/>
                <w:szCs w:val="21"/>
              </w:rPr>
              <w:t>套</w:t>
            </w:r>
          </w:p>
        </w:tc>
        <w:tc>
          <w:tcPr>
            <w:tcW w:w="2414" w:type="pct"/>
            <w:tcBorders>
              <w:top w:val="single" w:color="auto" w:sz="4" w:space="0"/>
              <w:left w:val="single" w:color="auto" w:sz="4" w:space="0"/>
              <w:bottom w:val="single" w:color="auto" w:sz="4" w:space="0"/>
              <w:right w:val="single" w:color="auto" w:sz="4" w:space="0"/>
            </w:tcBorders>
            <w:vAlign w:val="center"/>
          </w:tcPr>
          <w:p w14:paraId="6127348C">
            <w:pPr>
              <w:spacing w:line="500" w:lineRule="exact"/>
              <w:jc w:val="center"/>
              <w:rPr>
                <w:color w:val="auto"/>
                <w:szCs w:val="21"/>
              </w:rPr>
            </w:pPr>
            <w:r>
              <w:rPr>
                <w:rFonts w:hint="eastAsia"/>
                <w:color w:val="auto"/>
                <w:szCs w:val="21"/>
              </w:rPr>
              <w:t>详见谈判文件中的“采购需求”</w:t>
            </w:r>
          </w:p>
        </w:tc>
      </w:tr>
      <w:tr w14:paraId="50CA63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383" w:type="pct"/>
            <w:tcBorders>
              <w:top w:val="single" w:color="auto" w:sz="4" w:space="0"/>
              <w:left w:val="single" w:color="auto" w:sz="4" w:space="0"/>
              <w:bottom w:val="single" w:color="auto" w:sz="4" w:space="0"/>
              <w:right w:val="single" w:color="auto" w:sz="4" w:space="0"/>
            </w:tcBorders>
            <w:vAlign w:val="bottom"/>
          </w:tcPr>
          <w:p w14:paraId="2FA70E6C">
            <w:pPr>
              <w:spacing w:line="500" w:lineRule="exact"/>
              <w:jc w:val="center"/>
              <w:rPr>
                <w:color w:val="auto"/>
                <w:szCs w:val="21"/>
              </w:rPr>
            </w:pPr>
            <w:r>
              <w:rPr>
                <w:rFonts w:hint="eastAsia"/>
                <w:color w:val="auto"/>
                <w:szCs w:val="21"/>
              </w:rPr>
              <w:t>2</w:t>
            </w:r>
          </w:p>
        </w:tc>
        <w:tc>
          <w:tcPr>
            <w:tcW w:w="1176" w:type="pct"/>
            <w:tcBorders>
              <w:top w:val="single" w:color="auto" w:sz="4" w:space="0"/>
              <w:left w:val="single" w:color="auto" w:sz="4" w:space="0"/>
              <w:bottom w:val="single" w:color="auto" w:sz="4" w:space="0"/>
              <w:right w:val="single" w:color="auto" w:sz="4" w:space="0"/>
            </w:tcBorders>
            <w:vAlign w:val="center"/>
          </w:tcPr>
          <w:p w14:paraId="066CACE7">
            <w:pPr>
              <w:spacing w:line="500" w:lineRule="exact"/>
              <w:jc w:val="center"/>
              <w:rPr>
                <w:color w:val="auto"/>
                <w:szCs w:val="21"/>
              </w:rPr>
            </w:pPr>
            <w:r>
              <w:rPr>
                <w:color w:val="auto"/>
                <w:szCs w:val="21"/>
              </w:rPr>
              <w:t>支付平台</w:t>
            </w:r>
          </w:p>
        </w:tc>
        <w:tc>
          <w:tcPr>
            <w:tcW w:w="480" w:type="pct"/>
            <w:tcBorders>
              <w:top w:val="single" w:color="auto" w:sz="4" w:space="0"/>
              <w:left w:val="single" w:color="auto" w:sz="4" w:space="0"/>
              <w:bottom w:val="single" w:color="auto" w:sz="4" w:space="0"/>
              <w:right w:val="single" w:color="auto" w:sz="4" w:space="0"/>
            </w:tcBorders>
            <w:vAlign w:val="center"/>
          </w:tcPr>
          <w:p w14:paraId="264C8865">
            <w:pPr>
              <w:spacing w:line="500" w:lineRule="exact"/>
              <w:jc w:val="center"/>
              <w:rPr>
                <w:color w:val="auto"/>
                <w:szCs w:val="21"/>
              </w:rPr>
            </w:pPr>
            <w:r>
              <w:rPr>
                <w:rFonts w:hint="eastAsia"/>
                <w:color w:val="auto"/>
                <w:szCs w:val="21"/>
              </w:rPr>
              <w:t>1</w:t>
            </w:r>
          </w:p>
        </w:tc>
        <w:tc>
          <w:tcPr>
            <w:tcW w:w="546" w:type="pct"/>
            <w:tcBorders>
              <w:top w:val="single" w:color="auto" w:sz="4" w:space="0"/>
              <w:left w:val="single" w:color="auto" w:sz="4" w:space="0"/>
              <w:bottom w:val="single" w:color="auto" w:sz="4" w:space="0"/>
              <w:right w:val="single" w:color="auto" w:sz="4" w:space="0"/>
            </w:tcBorders>
            <w:vAlign w:val="center"/>
          </w:tcPr>
          <w:p w14:paraId="4B869547">
            <w:pPr>
              <w:spacing w:line="500" w:lineRule="exact"/>
              <w:jc w:val="center"/>
              <w:rPr>
                <w:color w:val="auto"/>
                <w:szCs w:val="21"/>
              </w:rPr>
            </w:pPr>
            <w:r>
              <w:rPr>
                <w:rFonts w:hint="eastAsia"/>
                <w:color w:val="auto"/>
                <w:szCs w:val="21"/>
              </w:rPr>
              <w:t>套</w:t>
            </w:r>
          </w:p>
        </w:tc>
        <w:tc>
          <w:tcPr>
            <w:tcW w:w="2414" w:type="pct"/>
            <w:tcBorders>
              <w:top w:val="single" w:color="auto" w:sz="4" w:space="0"/>
              <w:left w:val="single" w:color="auto" w:sz="4" w:space="0"/>
              <w:bottom w:val="single" w:color="auto" w:sz="4" w:space="0"/>
              <w:right w:val="single" w:color="auto" w:sz="4" w:space="0"/>
            </w:tcBorders>
            <w:vAlign w:val="center"/>
          </w:tcPr>
          <w:p w14:paraId="612C11D2">
            <w:pPr>
              <w:spacing w:line="500" w:lineRule="exact"/>
              <w:jc w:val="center"/>
              <w:rPr>
                <w:color w:val="auto"/>
                <w:szCs w:val="21"/>
              </w:rPr>
            </w:pPr>
            <w:r>
              <w:rPr>
                <w:rFonts w:hint="eastAsia"/>
                <w:color w:val="auto"/>
                <w:szCs w:val="21"/>
              </w:rPr>
              <w:t>详见谈判文件中的“采购需求”</w:t>
            </w:r>
          </w:p>
        </w:tc>
      </w:tr>
      <w:tr w14:paraId="56042A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3" w:type="pct"/>
            <w:tcBorders>
              <w:top w:val="single" w:color="auto" w:sz="4" w:space="0"/>
              <w:left w:val="single" w:color="auto" w:sz="4" w:space="0"/>
              <w:bottom w:val="single" w:color="auto" w:sz="4" w:space="0"/>
              <w:right w:val="single" w:color="auto" w:sz="4" w:space="0"/>
            </w:tcBorders>
            <w:vAlign w:val="bottom"/>
          </w:tcPr>
          <w:p w14:paraId="77C0F39E">
            <w:pPr>
              <w:spacing w:line="500" w:lineRule="exact"/>
              <w:jc w:val="center"/>
              <w:rPr>
                <w:color w:val="auto"/>
                <w:szCs w:val="21"/>
              </w:rPr>
            </w:pPr>
            <w:r>
              <w:rPr>
                <w:rFonts w:hint="eastAsia"/>
                <w:color w:val="auto"/>
                <w:szCs w:val="21"/>
              </w:rPr>
              <w:t>3</w:t>
            </w:r>
          </w:p>
        </w:tc>
        <w:tc>
          <w:tcPr>
            <w:tcW w:w="1176" w:type="pct"/>
            <w:tcBorders>
              <w:top w:val="single" w:color="auto" w:sz="4" w:space="0"/>
              <w:left w:val="single" w:color="auto" w:sz="4" w:space="0"/>
              <w:bottom w:val="single" w:color="auto" w:sz="4" w:space="0"/>
              <w:right w:val="single" w:color="auto" w:sz="4" w:space="0"/>
            </w:tcBorders>
            <w:vAlign w:val="center"/>
          </w:tcPr>
          <w:p w14:paraId="7E555CC1">
            <w:pPr>
              <w:spacing w:line="500" w:lineRule="exact"/>
              <w:jc w:val="center"/>
              <w:rPr>
                <w:color w:val="auto"/>
                <w:szCs w:val="21"/>
              </w:rPr>
            </w:pPr>
            <w:r>
              <w:rPr>
                <w:color w:val="auto"/>
                <w:szCs w:val="21"/>
              </w:rPr>
              <w:t>账务管理系统</w:t>
            </w:r>
          </w:p>
        </w:tc>
        <w:tc>
          <w:tcPr>
            <w:tcW w:w="480" w:type="pct"/>
            <w:tcBorders>
              <w:top w:val="single" w:color="auto" w:sz="4" w:space="0"/>
              <w:left w:val="single" w:color="auto" w:sz="4" w:space="0"/>
              <w:bottom w:val="single" w:color="auto" w:sz="4" w:space="0"/>
              <w:right w:val="single" w:color="auto" w:sz="4" w:space="0"/>
            </w:tcBorders>
            <w:vAlign w:val="center"/>
          </w:tcPr>
          <w:p w14:paraId="1C3068C0">
            <w:pPr>
              <w:spacing w:line="500" w:lineRule="exact"/>
              <w:jc w:val="center"/>
              <w:rPr>
                <w:color w:val="auto"/>
                <w:szCs w:val="21"/>
              </w:rPr>
            </w:pPr>
            <w:r>
              <w:rPr>
                <w:rFonts w:hint="eastAsia"/>
                <w:color w:val="auto"/>
                <w:szCs w:val="21"/>
              </w:rPr>
              <w:t>1</w:t>
            </w:r>
          </w:p>
        </w:tc>
        <w:tc>
          <w:tcPr>
            <w:tcW w:w="546" w:type="pct"/>
            <w:tcBorders>
              <w:top w:val="single" w:color="auto" w:sz="4" w:space="0"/>
              <w:left w:val="single" w:color="auto" w:sz="4" w:space="0"/>
              <w:bottom w:val="single" w:color="auto" w:sz="4" w:space="0"/>
              <w:right w:val="single" w:color="auto" w:sz="4" w:space="0"/>
            </w:tcBorders>
            <w:vAlign w:val="center"/>
          </w:tcPr>
          <w:p w14:paraId="0719209B">
            <w:pPr>
              <w:spacing w:line="500" w:lineRule="exact"/>
              <w:jc w:val="center"/>
              <w:rPr>
                <w:color w:val="auto"/>
                <w:szCs w:val="21"/>
              </w:rPr>
            </w:pPr>
            <w:r>
              <w:rPr>
                <w:rFonts w:hint="eastAsia"/>
                <w:color w:val="auto"/>
                <w:szCs w:val="21"/>
              </w:rPr>
              <w:t>套</w:t>
            </w:r>
          </w:p>
        </w:tc>
        <w:tc>
          <w:tcPr>
            <w:tcW w:w="2414" w:type="pct"/>
            <w:tcBorders>
              <w:top w:val="single" w:color="auto" w:sz="4" w:space="0"/>
              <w:left w:val="single" w:color="auto" w:sz="4" w:space="0"/>
              <w:bottom w:val="single" w:color="auto" w:sz="4" w:space="0"/>
              <w:right w:val="single" w:color="auto" w:sz="4" w:space="0"/>
            </w:tcBorders>
            <w:vAlign w:val="center"/>
          </w:tcPr>
          <w:p w14:paraId="156D8A36">
            <w:pPr>
              <w:spacing w:line="500" w:lineRule="exact"/>
              <w:jc w:val="center"/>
              <w:rPr>
                <w:color w:val="auto"/>
                <w:szCs w:val="21"/>
              </w:rPr>
            </w:pPr>
            <w:r>
              <w:rPr>
                <w:rFonts w:hint="eastAsia"/>
                <w:color w:val="auto"/>
                <w:szCs w:val="21"/>
              </w:rPr>
              <w:t>详见谈判文件中的“采购需求”</w:t>
            </w:r>
          </w:p>
        </w:tc>
      </w:tr>
      <w:tr w14:paraId="74913E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3" w:type="pct"/>
            <w:tcBorders>
              <w:top w:val="single" w:color="auto" w:sz="4" w:space="0"/>
              <w:left w:val="single" w:color="auto" w:sz="4" w:space="0"/>
              <w:bottom w:val="single" w:color="auto" w:sz="4" w:space="0"/>
              <w:right w:val="single" w:color="auto" w:sz="4" w:space="0"/>
            </w:tcBorders>
            <w:vAlign w:val="bottom"/>
          </w:tcPr>
          <w:p w14:paraId="5BF75CD8">
            <w:pPr>
              <w:spacing w:line="500" w:lineRule="exact"/>
              <w:jc w:val="center"/>
              <w:rPr>
                <w:color w:val="auto"/>
                <w:szCs w:val="21"/>
              </w:rPr>
            </w:pPr>
            <w:r>
              <w:rPr>
                <w:rFonts w:hint="eastAsia"/>
                <w:color w:val="auto"/>
                <w:szCs w:val="21"/>
              </w:rPr>
              <w:t>4</w:t>
            </w:r>
          </w:p>
        </w:tc>
        <w:tc>
          <w:tcPr>
            <w:tcW w:w="1176" w:type="pct"/>
            <w:tcBorders>
              <w:top w:val="single" w:color="auto" w:sz="4" w:space="0"/>
              <w:left w:val="single" w:color="auto" w:sz="4" w:space="0"/>
              <w:bottom w:val="single" w:color="auto" w:sz="4" w:space="0"/>
              <w:right w:val="single" w:color="auto" w:sz="4" w:space="0"/>
            </w:tcBorders>
            <w:vAlign w:val="center"/>
          </w:tcPr>
          <w:p w14:paraId="0F915344">
            <w:pPr>
              <w:spacing w:line="500" w:lineRule="exact"/>
              <w:jc w:val="center"/>
              <w:rPr>
                <w:color w:val="auto"/>
                <w:szCs w:val="21"/>
              </w:rPr>
            </w:pPr>
            <w:r>
              <w:rPr>
                <w:color w:val="auto"/>
                <w:szCs w:val="21"/>
              </w:rPr>
              <w:t>权管平台</w:t>
            </w:r>
          </w:p>
        </w:tc>
        <w:tc>
          <w:tcPr>
            <w:tcW w:w="480" w:type="pct"/>
            <w:tcBorders>
              <w:top w:val="single" w:color="auto" w:sz="4" w:space="0"/>
              <w:left w:val="single" w:color="auto" w:sz="4" w:space="0"/>
              <w:bottom w:val="single" w:color="auto" w:sz="4" w:space="0"/>
              <w:right w:val="single" w:color="auto" w:sz="4" w:space="0"/>
            </w:tcBorders>
            <w:vAlign w:val="center"/>
          </w:tcPr>
          <w:p w14:paraId="65D9F3AC">
            <w:pPr>
              <w:spacing w:line="500" w:lineRule="exact"/>
              <w:jc w:val="center"/>
              <w:rPr>
                <w:color w:val="auto"/>
                <w:szCs w:val="21"/>
              </w:rPr>
            </w:pPr>
            <w:r>
              <w:rPr>
                <w:color w:val="auto"/>
                <w:szCs w:val="21"/>
              </w:rPr>
              <w:t>1</w:t>
            </w:r>
          </w:p>
        </w:tc>
        <w:tc>
          <w:tcPr>
            <w:tcW w:w="546" w:type="pct"/>
            <w:tcBorders>
              <w:top w:val="single" w:color="auto" w:sz="4" w:space="0"/>
              <w:left w:val="single" w:color="auto" w:sz="4" w:space="0"/>
              <w:bottom w:val="single" w:color="auto" w:sz="4" w:space="0"/>
              <w:right w:val="single" w:color="auto" w:sz="4" w:space="0"/>
            </w:tcBorders>
            <w:vAlign w:val="center"/>
          </w:tcPr>
          <w:p w14:paraId="1829D108">
            <w:pPr>
              <w:spacing w:line="500" w:lineRule="exact"/>
              <w:jc w:val="center"/>
              <w:rPr>
                <w:color w:val="auto"/>
                <w:szCs w:val="21"/>
              </w:rPr>
            </w:pPr>
            <w:r>
              <w:rPr>
                <w:color w:val="auto"/>
                <w:szCs w:val="21"/>
              </w:rPr>
              <w:t>套</w:t>
            </w:r>
          </w:p>
        </w:tc>
        <w:tc>
          <w:tcPr>
            <w:tcW w:w="2414" w:type="pct"/>
            <w:tcBorders>
              <w:top w:val="single" w:color="auto" w:sz="4" w:space="0"/>
              <w:left w:val="single" w:color="auto" w:sz="4" w:space="0"/>
              <w:bottom w:val="single" w:color="auto" w:sz="4" w:space="0"/>
              <w:right w:val="single" w:color="auto" w:sz="4" w:space="0"/>
            </w:tcBorders>
            <w:vAlign w:val="center"/>
          </w:tcPr>
          <w:p w14:paraId="0BD67DAD">
            <w:pPr>
              <w:spacing w:line="500" w:lineRule="exact"/>
              <w:jc w:val="center"/>
              <w:rPr>
                <w:color w:val="auto"/>
                <w:szCs w:val="21"/>
              </w:rPr>
            </w:pPr>
            <w:r>
              <w:rPr>
                <w:rFonts w:hint="eastAsia"/>
                <w:color w:val="auto"/>
                <w:szCs w:val="21"/>
              </w:rPr>
              <w:t>详见谈判文件中的“采购需求”</w:t>
            </w:r>
          </w:p>
        </w:tc>
      </w:tr>
      <w:tr w14:paraId="7CCACD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3" w:type="pct"/>
            <w:tcBorders>
              <w:top w:val="single" w:color="auto" w:sz="4" w:space="0"/>
              <w:left w:val="single" w:color="auto" w:sz="4" w:space="0"/>
              <w:bottom w:val="single" w:color="auto" w:sz="4" w:space="0"/>
              <w:right w:val="single" w:color="auto" w:sz="4" w:space="0"/>
            </w:tcBorders>
            <w:vAlign w:val="bottom"/>
          </w:tcPr>
          <w:p w14:paraId="2FA127D3">
            <w:pPr>
              <w:spacing w:line="500" w:lineRule="exact"/>
              <w:jc w:val="center"/>
              <w:rPr>
                <w:color w:val="auto"/>
                <w:szCs w:val="21"/>
              </w:rPr>
            </w:pPr>
            <w:r>
              <w:rPr>
                <w:rFonts w:hint="eastAsia"/>
                <w:color w:val="auto"/>
                <w:szCs w:val="21"/>
              </w:rPr>
              <w:t>5</w:t>
            </w:r>
          </w:p>
        </w:tc>
        <w:tc>
          <w:tcPr>
            <w:tcW w:w="1176" w:type="pct"/>
            <w:tcBorders>
              <w:top w:val="single" w:color="auto" w:sz="4" w:space="0"/>
              <w:left w:val="single" w:color="auto" w:sz="4" w:space="0"/>
              <w:bottom w:val="single" w:color="auto" w:sz="4" w:space="0"/>
              <w:right w:val="single" w:color="auto" w:sz="4" w:space="0"/>
            </w:tcBorders>
            <w:vAlign w:val="center"/>
          </w:tcPr>
          <w:p w14:paraId="3802B26C">
            <w:pPr>
              <w:spacing w:line="500" w:lineRule="exact"/>
              <w:jc w:val="center"/>
              <w:rPr>
                <w:color w:val="auto"/>
                <w:szCs w:val="21"/>
              </w:rPr>
            </w:pPr>
            <w:r>
              <w:rPr>
                <w:color w:val="auto"/>
                <w:szCs w:val="21"/>
              </w:rPr>
              <w:t>聚合支付</w:t>
            </w:r>
          </w:p>
        </w:tc>
        <w:tc>
          <w:tcPr>
            <w:tcW w:w="480" w:type="pct"/>
            <w:tcBorders>
              <w:top w:val="single" w:color="auto" w:sz="4" w:space="0"/>
              <w:left w:val="single" w:color="auto" w:sz="4" w:space="0"/>
              <w:bottom w:val="single" w:color="auto" w:sz="4" w:space="0"/>
              <w:right w:val="single" w:color="auto" w:sz="4" w:space="0"/>
            </w:tcBorders>
            <w:vAlign w:val="center"/>
          </w:tcPr>
          <w:p w14:paraId="5D003B82">
            <w:pPr>
              <w:spacing w:line="500" w:lineRule="exact"/>
              <w:jc w:val="center"/>
              <w:rPr>
                <w:color w:val="auto"/>
                <w:szCs w:val="21"/>
              </w:rPr>
            </w:pPr>
            <w:r>
              <w:rPr>
                <w:color w:val="auto"/>
                <w:szCs w:val="21"/>
              </w:rPr>
              <w:t>1</w:t>
            </w:r>
          </w:p>
        </w:tc>
        <w:tc>
          <w:tcPr>
            <w:tcW w:w="546" w:type="pct"/>
            <w:tcBorders>
              <w:top w:val="single" w:color="auto" w:sz="4" w:space="0"/>
              <w:left w:val="single" w:color="auto" w:sz="4" w:space="0"/>
              <w:bottom w:val="single" w:color="auto" w:sz="4" w:space="0"/>
              <w:right w:val="single" w:color="auto" w:sz="4" w:space="0"/>
            </w:tcBorders>
            <w:vAlign w:val="center"/>
          </w:tcPr>
          <w:p w14:paraId="6D692135">
            <w:pPr>
              <w:spacing w:line="500" w:lineRule="exact"/>
              <w:jc w:val="center"/>
              <w:rPr>
                <w:color w:val="auto"/>
                <w:szCs w:val="21"/>
              </w:rPr>
            </w:pPr>
            <w:r>
              <w:rPr>
                <w:color w:val="auto"/>
                <w:szCs w:val="21"/>
              </w:rPr>
              <w:t>项</w:t>
            </w:r>
          </w:p>
        </w:tc>
        <w:tc>
          <w:tcPr>
            <w:tcW w:w="2414" w:type="pct"/>
            <w:tcBorders>
              <w:top w:val="single" w:color="auto" w:sz="4" w:space="0"/>
              <w:left w:val="single" w:color="auto" w:sz="4" w:space="0"/>
              <w:bottom w:val="single" w:color="auto" w:sz="4" w:space="0"/>
              <w:right w:val="single" w:color="auto" w:sz="4" w:space="0"/>
            </w:tcBorders>
            <w:vAlign w:val="center"/>
          </w:tcPr>
          <w:p w14:paraId="0F730F95">
            <w:pPr>
              <w:spacing w:line="500" w:lineRule="exact"/>
              <w:jc w:val="center"/>
              <w:rPr>
                <w:color w:val="auto"/>
                <w:szCs w:val="21"/>
              </w:rPr>
            </w:pPr>
            <w:r>
              <w:rPr>
                <w:rFonts w:hint="eastAsia"/>
                <w:color w:val="auto"/>
                <w:szCs w:val="21"/>
              </w:rPr>
              <w:t>详见谈判文件中的“采购需求”</w:t>
            </w:r>
          </w:p>
        </w:tc>
      </w:tr>
      <w:tr w14:paraId="50CCE1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3" w:type="pct"/>
            <w:tcBorders>
              <w:top w:val="single" w:color="auto" w:sz="4" w:space="0"/>
              <w:left w:val="single" w:color="auto" w:sz="4" w:space="0"/>
              <w:bottom w:val="single" w:color="auto" w:sz="4" w:space="0"/>
              <w:right w:val="single" w:color="auto" w:sz="4" w:space="0"/>
            </w:tcBorders>
            <w:vAlign w:val="bottom"/>
          </w:tcPr>
          <w:p w14:paraId="6AB284DA">
            <w:pPr>
              <w:spacing w:line="500" w:lineRule="exact"/>
              <w:jc w:val="center"/>
              <w:rPr>
                <w:color w:val="auto"/>
                <w:szCs w:val="21"/>
              </w:rPr>
            </w:pPr>
            <w:r>
              <w:rPr>
                <w:rFonts w:hint="eastAsia"/>
                <w:color w:val="auto"/>
                <w:szCs w:val="21"/>
              </w:rPr>
              <w:t>6</w:t>
            </w:r>
          </w:p>
        </w:tc>
        <w:tc>
          <w:tcPr>
            <w:tcW w:w="1176" w:type="pct"/>
            <w:tcBorders>
              <w:top w:val="single" w:color="auto" w:sz="4" w:space="0"/>
              <w:left w:val="single" w:color="auto" w:sz="4" w:space="0"/>
              <w:bottom w:val="single" w:color="auto" w:sz="4" w:space="0"/>
              <w:right w:val="single" w:color="auto" w:sz="4" w:space="0"/>
            </w:tcBorders>
            <w:vAlign w:val="center"/>
          </w:tcPr>
          <w:p w14:paraId="6A859E95">
            <w:pPr>
              <w:spacing w:line="500" w:lineRule="exact"/>
              <w:jc w:val="center"/>
              <w:rPr>
                <w:color w:val="auto"/>
                <w:szCs w:val="21"/>
              </w:rPr>
            </w:pPr>
            <w:r>
              <w:rPr>
                <w:color w:val="auto"/>
                <w:szCs w:val="21"/>
              </w:rPr>
              <w:t>移动服务</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14:paraId="164360F2">
            <w:pPr>
              <w:spacing w:line="500" w:lineRule="exact"/>
              <w:jc w:val="center"/>
              <w:rPr>
                <w:color w:val="auto"/>
                <w:szCs w:val="21"/>
              </w:rPr>
            </w:pPr>
            <w:r>
              <w:rPr>
                <w:rFonts w:hint="eastAsia"/>
                <w:color w:val="auto"/>
                <w:szCs w:val="21"/>
              </w:rPr>
              <w:t>1</w:t>
            </w:r>
          </w:p>
        </w:tc>
        <w:tc>
          <w:tcPr>
            <w:tcW w:w="546" w:type="pct"/>
            <w:tcBorders>
              <w:top w:val="single" w:color="auto" w:sz="4" w:space="0"/>
              <w:left w:val="single" w:color="auto" w:sz="4" w:space="0"/>
              <w:bottom w:val="single" w:color="auto" w:sz="4" w:space="0"/>
              <w:right w:val="single" w:color="auto" w:sz="4" w:space="0"/>
            </w:tcBorders>
            <w:shd w:val="clear" w:color="auto" w:fill="auto"/>
            <w:vAlign w:val="center"/>
          </w:tcPr>
          <w:p w14:paraId="26AC8987">
            <w:pPr>
              <w:spacing w:line="500" w:lineRule="exact"/>
              <w:jc w:val="center"/>
              <w:rPr>
                <w:color w:val="auto"/>
                <w:szCs w:val="21"/>
              </w:rPr>
            </w:pPr>
            <w:r>
              <w:rPr>
                <w:rFonts w:hint="eastAsia"/>
                <w:color w:val="auto"/>
                <w:szCs w:val="21"/>
              </w:rPr>
              <w:t>套</w:t>
            </w:r>
          </w:p>
        </w:tc>
        <w:tc>
          <w:tcPr>
            <w:tcW w:w="2414" w:type="pct"/>
            <w:tcBorders>
              <w:top w:val="single" w:color="auto" w:sz="4" w:space="0"/>
              <w:left w:val="single" w:color="auto" w:sz="4" w:space="0"/>
              <w:bottom w:val="single" w:color="auto" w:sz="4" w:space="0"/>
              <w:right w:val="single" w:color="auto" w:sz="4" w:space="0"/>
            </w:tcBorders>
            <w:vAlign w:val="center"/>
          </w:tcPr>
          <w:p w14:paraId="59F48F32">
            <w:pPr>
              <w:spacing w:line="500" w:lineRule="exact"/>
              <w:jc w:val="center"/>
              <w:rPr>
                <w:color w:val="auto"/>
                <w:szCs w:val="21"/>
              </w:rPr>
            </w:pPr>
            <w:r>
              <w:rPr>
                <w:rFonts w:hint="eastAsia"/>
                <w:color w:val="auto"/>
                <w:szCs w:val="21"/>
              </w:rPr>
              <w:t>详见谈判文件中的“采购需求”</w:t>
            </w:r>
          </w:p>
        </w:tc>
      </w:tr>
      <w:tr w14:paraId="4CBCBA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519D334B">
            <w:pPr>
              <w:spacing w:line="500" w:lineRule="exact"/>
              <w:rPr>
                <w:color w:val="auto"/>
                <w:szCs w:val="21"/>
              </w:rPr>
            </w:pPr>
            <w:r>
              <w:rPr>
                <w:rFonts w:hint="eastAsia"/>
                <w:color w:val="auto"/>
                <w:szCs w:val="21"/>
              </w:rPr>
              <w:t>二、客户服务系统及设施</w:t>
            </w:r>
          </w:p>
        </w:tc>
      </w:tr>
      <w:tr w14:paraId="00A877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3" w:type="pct"/>
            <w:tcBorders>
              <w:top w:val="single" w:color="auto" w:sz="4" w:space="0"/>
              <w:left w:val="single" w:color="auto" w:sz="4" w:space="0"/>
              <w:bottom w:val="single" w:color="auto" w:sz="4" w:space="0"/>
              <w:right w:val="single" w:color="auto" w:sz="4" w:space="0"/>
            </w:tcBorders>
            <w:vAlign w:val="center"/>
          </w:tcPr>
          <w:p w14:paraId="3274C7C4">
            <w:pPr>
              <w:spacing w:line="500" w:lineRule="exact"/>
              <w:jc w:val="center"/>
              <w:rPr>
                <w:color w:val="auto"/>
                <w:szCs w:val="21"/>
              </w:rPr>
            </w:pPr>
            <w:r>
              <w:rPr>
                <w:color w:val="auto"/>
                <w:szCs w:val="21"/>
              </w:rPr>
              <w:t>7</w:t>
            </w:r>
          </w:p>
        </w:tc>
        <w:tc>
          <w:tcPr>
            <w:tcW w:w="1176" w:type="pct"/>
            <w:tcBorders>
              <w:top w:val="single" w:color="auto" w:sz="4" w:space="0"/>
              <w:left w:val="single" w:color="auto" w:sz="4" w:space="0"/>
              <w:bottom w:val="single" w:color="auto" w:sz="4" w:space="0"/>
              <w:right w:val="single" w:color="auto" w:sz="4" w:space="0"/>
            </w:tcBorders>
            <w:vAlign w:val="center"/>
          </w:tcPr>
          <w:p w14:paraId="7F21C66E">
            <w:pPr>
              <w:spacing w:line="500" w:lineRule="exact"/>
              <w:jc w:val="center"/>
              <w:rPr>
                <w:color w:val="auto"/>
                <w:szCs w:val="21"/>
              </w:rPr>
            </w:pPr>
            <w:r>
              <w:rPr>
                <w:color w:val="auto"/>
                <w:szCs w:val="21"/>
              </w:rPr>
              <w:t>服务大厅</w:t>
            </w:r>
          </w:p>
        </w:tc>
        <w:tc>
          <w:tcPr>
            <w:tcW w:w="480" w:type="pct"/>
            <w:tcBorders>
              <w:top w:val="single" w:color="auto" w:sz="4" w:space="0"/>
              <w:left w:val="single" w:color="auto" w:sz="4" w:space="0"/>
              <w:bottom w:val="single" w:color="auto" w:sz="4" w:space="0"/>
              <w:right w:val="single" w:color="auto" w:sz="4" w:space="0"/>
            </w:tcBorders>
            <w:vAlign w:val="center"/>
          </w:tcPr>
          <w:p w14:paraId="74BAD597">
            <w:pPr>
              <w:spacing w:line="500" w:lineRule="exact"/>
              <w:jc w:val="center"/>
              <w:rPr>
                <w:color w:val="auto"/>
                <w:szCs w:val="21"/>
              </w:rPr>
            </w:pPr>
            <w:r>
              <w:rPr>
                <w:color w:val="auto"/>
                <w:szCs w:val="21"/>
              </w:rPr>
              <w:t>1</w:t>
            </w:r>
          </w:p>
        </w:tc>
        <w:tc>
          <w:tcPr>
            <w:tcW w:w="546" w:type="pct"/>
            <w:tcBorders>
              <w:top w:val="single" w:color="auto" w:sz="4" w:space="0"/>
              <w:left w:val="single" w:color="auto" w:sz="4" w:space="0"/>
              <w:bottom w:val="single" w:color="auto" w:sz="4" w:space="0"/>
              <w:right w:val="single" w:color="auto" w:sz="4" w:space="0"/>
            </w:tcBorders>
            <w:vAlign w:val="center"/>
          </w:tcPr>
          <w:p w14:paraId="4550B713">
            <w:pPr>
              <w:spacing w:line="500" w:lineRule="exact"/>
              <w:jc w:val="center"/>
              <w:rPr>
                <w:color w:val="auto"/>
                <w:szCs w:val="21"/>
              </w:rPr>
            </w:pPr>
            <w:r>
              <w:rPr>
                <w:color w:val="auto"/>
                <w:szCs w:val="21"/>
              </w:rPr>
              <w:t>套</w:t>
            </w:r>
          </w:p>
        </w:tc>
        <w:tc>
          <w:tcPr>
            <w:tcW w:w="2414" w:type="pct"/>
            <w:tcBorders>
              <w:top w:val="single" w:color="auto" w:sz="4" w:space="0"/>
              <w:left w:val="single" w:color="auto" w:sz="4" w:space="0"/>
              <w:bottom w:val="single" w:color="auto" w:sz="4" w:space="0"/>
              <w:right w:val="single" w:color="auto" w:sz="4" w:space="0"/>
            </w:tcBorders>
            <w:vAlign w:val="center"/>
          </w:tcPr>
          <w:p w14:paraId="1C7ADD8D">
            <w:pPr>
              <w:spacing w:line="500" w:lineRule="exact"/>
              <w:jc w:val="center"/>
              <w:rPr>
                <w:color w:val="auto"/>
                <w:szCs w:val="21"/>
              </w:rPr>
            </w:pPr>
            <w:r>
              <w:rPr>
                <w:rFonts w:hint="eastAsia"/>
                <w:color w:val="auto"/>
                <w:szCs w:val="21"/>
              </w:rPr>
              <w:t>详见</w:t>
            </w:r>
            <w:r>
              <w:rPr>
                <w:rFonts w:hint="eastAsia" w:ascii="宋体" w:hAnsi="宋体" w:cs="宋体"/>
                <w:color w:val="auto"/>
                <w:szCs w:val="21"/>
              </w:rPr>
              <w:t>谈判</w:t>
            </w:r>
            <w:r>
              <w:rPr>
                <w:rFonts w:hint="eastAsia"/>
                <w:color w:val="auto"/>
                <w:szCs w:val="21"/>
              </w:rPr>
              <w:t>文件中的“采购需求”</w:t>
            </w:r>
          </w:p>
        </w:tc>
      </w:tr>
      <w:tr w14:paraId="131AD5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3" w:type="pct"/>
            <w:tcBorders>
              <w:top w:val="single" w:color="auto" w:sz="4" w:space="0"/>
              <w:left w:val="single" w:color="auto" w:sz="4" w:space="0"/>
              <w:bottom w:val="single" w:color="auto" w:sz="4" w:space="0"/>
              <w:right w:val="single" w:color="auto" w:sz="4" w:space="0"/>
            </w:tcBorders>
            <w:vAlign w:val="center"/>
          </w:tcPr>
          <w:p w14:paraId="4C8A35EF">
            <w:pPr>
              <w:spacing w:line="500" w:lineRule="exact"/>
              <w:jc w:val="center"/>
              <w:rPr>
                <w:rFonts w:hint="eastAsia" w:eastAsia="宋体"/>
                <w:color w:val="auto"/>
                <w:szCs w:val="21"/>
                <w:lang w:val="en-US" w:eastAsia="zh-CN"/>
              </w:rPr>
            </w:pPr>
            <w:r>
              <w:rPr>
                <w:rFonts w:hint="eastAsia"/>
                <w:color w:val="auto"/>
                <w:szCs w:val="21"/>
                <w:lang w:val="en-US" w:eastAsia="zh-CN"/>
              </w:rPr>
              <w:t>8</w:t>
            </w:r>
          </w:p>
        </w:tc>
        <w:tc>
          <w:tcPr>
            <w:tcW w:w="1176" w:type="pct"/>
            <w:tcBorders>
              <w:top w:val="single" w:color="auto" w:sz="4" w:space="0"/>
              <w:left w:val="single" w:color="auto" w:sz="4" w:space="0"/>
              <w:bottom w:val="single" w:color="auto" w:sz="4" w:space="0"/>
              <w:right w:val="single" w:color="auto" w:sz="4" w:space="0"/>
            </w:tcBorders>
            <w:vAlign w:val="center"/>
          </w:tcPr>
          <w:p w14:paraId="5B54284D">
            <w:pPr>
              <w:spacing w:line="500" w:lineRule="exact"/>
              <w:jc w:val="center"/>
              <w:rPr>
                <w:color w:val="auto"/>
                <w:szCs w:val="21"/>
              </w:rPr>
            </w:pPr>
            <w:r>
              <w:rPr>
                <w:color w:val="auto"/>
                <w:szCs w:val="21"/>
              </w:rPr>
              <w:t>业务单位服务</w:t>
            </w:r>
          </w:p>
        </w:tc>
        <w:tc>
          <w:tcPr>
            <w:tcW w:w="480" w:type="pct"/>
            <w:tcBorders>
              <w:top w:val="single" w:color="auto" w:sz="4" w:space="0"/>
              <w:left w:val="single" w:color="auto" w:sz="4" w:space="0"/>
              <w:bottom w:val="single" w:color="auto" w:sz="4" w:space="0"/>
              <w:right w:val="single" w:color="auto" w:sz="4" w:space="0"/>
            </w:tcBorders>
            <w:vAlign w:val="center"/>
          </w:tcPr>
          <w:p w14:paraId="196DA900">
            <w:pPr>
              <w:spacing w:line="500" w:lineRule="exact"/>
              <w:jc w:val="center"/>
              <w:rPr>
                <w:color w:val="auto"/>
                <w:szCs w:val="21"/>
              </w:rPr>
            </w:pPr>
            <w:r>
              <w:rPr>
                <w:color w:val="auto"/>
                <w:szCs w:val="21"/>
              </w:rPr>
              <w:t>1</w:t>
            </w:r>
          </w:p>
        </w:tc>
        <w:tc>
          <w:tcPr>
            <w:tcW w:w="546" w:type="pct"/>
            <w:tcBorders>
              <w:top w:val="single" w:color="auto" w:sz="4" w:space="0"/>
              <w:left w:val="single" w:color="auto" w:sz="4" w:space="0"/>
              <w:bottom w:val="single" w:color="auto" w:sz="4" w:space="0"/>
              <w:right w:val="single" w:color="auto" w:sz="4" w:space="0"/>
            </w:tcBorders>
            <w:vAlign w:val="center"/>
          </w:tcPr>
          <w:p w14:paraId="2BBDCFE1">
            <w:pPr>
              <w:spacing w:line="500" w:lineRule="exact"/>
              <w:jc w:val="center"/>
              <w:rPr>
                <w:color w:val="auto"/>
                <w:szCs w:val="21"/>
              </w:rPr>
            </w:pPr>
            <w:r>
              <w:rPr>
                <w:color w:val="auto"/>
                <w:szCs w:val="21"/>
              </w:rPr>
              <w:t>套</w:t>
            </w:r>
          </w:p>
        </w:tc>
        <w:tc>
          <w:tcPr>
            <w:tcW w:w="2414" w:type="pct"/>
            <w:tcBorders>
              <w:top w:val="single" w:color="auto" w:sz="4" w:space="0"/>
              <w:left w:val="single" w:color="auto" w:sz="4" w:space="0"/>
              <w:bottom w:val="single" w:color="auto" w:sz="4" w:space="0"/>
              <w:right w:val="single" w:color="auto" w:sz="4" w:space="0"/>
            </w:tcBorders>
            <w:vAlign w:val="center"/>
          </w:tcPr>
          <w:p w14:paraId="7F94CA4E">
            <w:pPr>
              <w:spacing w:line="500" w:lineRule="exact"/>
              <w:jc w:val="center"/>
              <w:rPr>
                <w:color w:val="auto"/>
                <w:szCs w:val="21"/>
              </w:rPr>
            </w:pPr>
            <w:r>
              <w:rPr>
                <w:rFonts w:hint="eastAsia"/>
                <w:color w:val="auto"/>
                <w:szCs w:val="21"/>
              </w:rPr>
              <w:t>详见</w:t>
            </w:r>
            <w:r>
              <w:rPr>
                <w:rFonts w:hint="eastAsia" w:ascii="宋体" w:hAnsi="宋体" w:cs="宋体"/>
                <w:color w:val="auto"/>
                <w:szCs w:val="21"/>
              </w:rPr>
              <w:t>谈判</w:t>
            </w:r>
            <w:r>
              <w:rPr>
                <w:rFonts w:hint="eastAsia"/>
                <w:color w:val="auto"/>
                <w:szCs w:val="21"/>
              </w:rPr>
              <w:t>文件中的“采购需求”</w:t>
            </w:r>
          </w:p>
        </w:tc>
      </w:tr>
      <w:tr w14:paraId="0DEDB7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3" w:type="pct"/>
            <w:tcBorders>
              <w:top w:val="single" w:color="auto" w:sz="4" w:space="0"/>
              <w:left w:val="single" w:color="auto" w:sz="4" w:space="0"/>
              <w:bottom w:val="single" w:color="auto" w:sz="4" w:space="0"/>
              <w:right w:val="single" w:color="auto" w:sz="4" w:space="0"/>
            </w:tcBorders>
            <w:vAlign w:val="center"/>
          </w:tcPr>
          <w:p w14:paraId="11D6AB89">
            <w:pPr>
              <w:spacing w:line="500" w:lineRule="exact"/>
              <w:jc w:val="center"/>
              <w:rPr>
                <w:rFonts w:hint="eastAsia" w:eastAsia="宋体"/>
                <w:color w:val="auto"/>
                <w:szCs w:val="21"/>
                <w:lang w:val="en-US" w:eastAsia="zh-CN"/>
              </w:rPr>
            </w:pPr>
            <w:r>
              <w:rPr>
                <w:rFonts w:hint="eastAsia"/>
                <w:color w:val="auto"/>
                <w:szCs w:val="21"/>
                <w:lang w:val="en-US" w:eastAsia="zh-CN"/>
              </w:rPr>
              <w:t>9</w:t>
            </w:r>
          </w:p>
        </w:tc>
        <w:tc>
          <w:tcPr>
            <w:tcW w:w="1176" w:type="pct"/>
            <w:tcBorders>
              <w:top w:val="single" w:color="auto" w:sz="4" w:space="0"/>
              <w:left w:val="single" w:color="auto" w:sz="4" w:space="0"/>
              <w:bottom w:val="single" w:color="auto" w:sz="4" w:space="0"/>
              <w:right w:val="single" w:color="auto" w:sz="4" w:space="0"/>
            </w:tcBorders>
            <w:vAlign w:val="center"/>
          </w:tcPr>
          <w:p w14:paraId="217A8CFF">
            <w:pPr>
              <w:spacing w:line="500" w:lineRule="exact"/>
              <w:jc w:val="center"/>
              <w:rPr>
                <w:color w:val="auto"/>
                <w:szCs w:val="21"/>
              </w:rPr>
            </w:pPr>
            <w:r>
              <w:rPr>
                <w:color w:val="auto"/>
                <w:szCs w:val="21"/>
              </w:rPr>
              <w:t>自助柜台</w:t>
            </w:r>
          </w:p>
        </w:tc>
        <w:tc>
          <w:tcPr>
            <w:tcW w:w="480" w:type="pct"/>
            <w:tcBorders>
              <w:top w:val="single" w:color="auto" w:sz="4" w:space="0"/>
              <w:left w:val="single" w:color="auto" w:sz="4" w:space="0"/>
              <w:bottom w:val="single" w:color="auto" w:sz="4" w:space="0"/>
              <w:right w:val="single" w:color="auto" w:sz="4" w:space="0"/>
            </w:tcBorders>
            <w:vAlign w:val="center"/>
          </w:tcPr>
          <w:p w14:paraId="1B2F909E">
            <w:pPr>
              <w:spacing w:line="500" w:lineRule="exact"/>
              <w:jc w:val="center"/>
              <w:rPr>
                <w:color w:val="auto"/>
                <w:szCs w:val="21"/>
              </w:rPr>
            </w:pPr>
            <w:r>
              <w:rPr>
                <w:color w:val="auto"/>
                <w:szCs w:val="21"/>
              </w:rPr>
              <w:t>1</w:t>
            </w:r>
          </w:p>
        </w:tc>
        <w:tc>
          <w:tcPr>
            <w:tcW w:w="546" w:type="pct"/>
            <w:tcBorders>
              <w:top w:val="single" w:color="auto" w:sz="4" w:space="0"/>
              <w:left w:val="single" w:color="auto" w:sz="4" w:space="0"/>
              <w:bottom w:val="single" w:color="auto" w:sz="4" w:space="0"/>
              <w:right w:val="single" w:color="auto" w:sz="4" w:space="0"/>
            </w:tcBorders>
            <w:vAlign w:val="center"/>
          </w:tcPr>
          <w:p w14:paraId="0692B4F8">
            <w:pPr>
              <w:spacing w:line="500" w:lineRule="exact"/>
              <w:jc w:val="center"/>
              <w:rPr>
                <w:color w:val="auto"/>
                <w:szCs w:val="21"/>
              </w:rPr>
            </w:pPr>
            <w:r>
              <w:rPr>
                <w:color w:val="auto"/>
                <w:szCs w:val="21"/>
              </w:rPr>
              <w:t>套</w:t>
            </w:r>
          </w:p>
        </w:tc>
        <w:tc>
          <w:tcPr>
            <w:tcW w:w="2414" w:type="pct"/>
            <w:tcBorders>
              <w:top w:val="single" w:color="auto" w:sz="4" w:space="0"/>
              <w:left w:val="single" w:color="auto" w:sz="4" w:space="0"/>
              <w:bottom w:val="single" w:color="auto" w:sz="4" w:space="0"/>
              <w:right w:val="single" w:color="auto" w:sz="4" w:space="0"/>
            </w:tcBorders>
            <w:vAlign w:val="center"/>
          </w:tcPr>
          <w:p w14:paraId="66A41504">
            <w:pPr>
              <w:spacing w:line="500" w:lineRule="exact"/>
              <w:jc w:val="center"/>
              <w:rPr>
                <w:color w:val="auto"/>
                <w:szCs w:val="21"/>
              </w:rPr>
            </w:pPr>
            <w:r>
              <w:rPr>
                <w:rFonts w:hint="eastAsia"/>
                <w:color w:val="auto"/>
                <w:szCs w:val="21"/>
              </w:rPr>
              <w:t>详见</w:t>
            </w:r>
            <w:r>
              <w:rPr>
                <w:rFonts w:hint="eastAsia" w:ascii="宋体" w:hAnsi="宋体" w:cs="宋体"/>
                <w:color w:val="auto"/>
                <w:szCs w:val="21"/>
              </w:rPr>
              <w:t>谈判</w:t>
            </w:r>
            <w:r>
              <w:rPr>
                <w:rFonts w:hint="eastAsia"/>
                <w:color w:val="auto"/>
                <w:szCs w:val="21"/>
              </w:rPr>
              <w:t>文件中的“采购需求”</w:t>
            </w:r>
          </w:p>
        </w:tc>
      </w:tr>
      <w:tr w14:paraId="149416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3" w:type="pct"/>
            <w:tcBorders>
              <w:top w:val="single" w:color="auto" w:sz="4" w:space="0"/>
              <w:left w:val="single" w:color="auto" w:sz="4" w:space="0"/>
              <w:bottom w:val="single" w:color="auto" w:sz="4" w:space="0"/>
              <w:right w:val="single" w:color="auto" w:sz="4" w:space="0"/>
            </w:tcBorders>
            <w:vAlign w:val="center"/>
          </w:tcPr>
          <w:p w14:paraId="5F6F8FAC">
            <w:pPr>
              <w:spacing w:line="500" w:lineRule="exact"/>
              <w:jc w:val="center"/>
              <w:rPr>
                <w:rFonts w:hint="eastAsia" w:eastAsia="宋体"/>
                <w:color w:val="auto"/>
                <w:szCs w:val="21"/>
                <w:lang w:val="en-US" w:eastAsia="zh-CN"/>
              </w:rPr>
            </w:pPr>
            <w:r>
              <w:rPr>
                <w:color w:val="auto"/>
                <w:szCs w:val="21"/>
              </w:rPr>
              <w:t>1</w:t>
            </w:r>
            <w:r>
              <w:rPr>
                <w:rFonts w:hint="eastAsia"/>
                <w:color w:val="auto"/>
                <w:szCs w:val="21"/>
                <w:lang w:val="en-US" w:eastAsia="zh-CN"/>
              </w:rPr>
              <w:t>0</w:t>
            </w:r>
          </w:p>
        </w:tc>
        <w:tc>
          <w:tcPr>
            <w:tcW w:w="1176" w:type="pct"/>
            <w:tcBorders>
              <w:top w:val="single" w:color="auto" w:sz="4" w:space="0"/>
              <w:left w:val="single" w:color="auto" w:sz="4" w:space="0"/>
              <w:bottom w:val="single" w:color="auto" w:sz="4" w:space="0"/>
              <w:right w:val="single" w:color="auto" w:sz="4" w:space="0"/>
            </w:tcBorders>
            <w:vAlign w:val="center"/>
          </w:tcPr>
          <w:p w14:paraId="6F2169C3">
            <w:pPr>
              <w:spacing w:line="500" w:lineRule="exact"/>
              <w:rPr>
                <w:color w:val="auto"/>
                <w:szCs w:val="21"/>
              </w:rPr>
            </w:pPr>
            <w:r>
              <w:rPr>
                <w:color w:val="auto"/>
                <w:szCs w:val="21"/>
              </w:rPr>
              <w:t>自助柜台一体机（卡码+发卡补卡）</w:t>
            </w:r>
          </w:p>
        </w:tc>
        <w:tc>
          <w:tcPr>
            <w:tcW w:w="480" w:type="pct"/>
            <w:tcBorders>
              <w:top w:val="single" w:color="auto" w:sz="4" w:space="0"/>
              <w:left w:val="single" w:color="auto" w:sz="4" w:space="0"/>
              <w:bottom w:val="single" w:color="auto" w:sz="4" w:space="0"/>
              <w:right w:val="single" w:color="auto" w:sz="4" w:space="0"/>
            </w:tcBorders>
            <w:vAlign w:val="center"/>
          </w:tcPr>
          <w:p w14:paraId="237B8AF4">
            <w:pPr>
              <w:spacing w:line="500" w:lineRule="exact"/>
              <w:jc w:val="center"/>
              <w:rPr>
                <w:color w:val="auto"/>
                <w:szCs w:val="21"/>
              </w:rPr>
            </w:pPr>
            <w:r>
              <w:rPr>
                <w:color w:val="auto"/>
                <w:szCs w:val="21"/>
              </w:rPr>
              <w:t>2</w:t>
            </w:r>
          </w:p>
        </w:tc>
        <w:tc>
          <w:tcPr>
            <w:tcW w:w="546" w:type="pct"/>
            <w:tcBorders>
              <w:top w:val="single" w:color="auto" w:sz="4" w:space="0"/>
              <w:left w:val="single" w:color="auto" w:sz="4" w:space="0"/>
              <w:bottom w:val="single" w:color="auto" w:sz="4" w:space="0"/>
              <w:right w:val="single" w:color="auto" w:sz="4" w:space="0"/>
            </w:tcBorders>
            <w:vAlign w:val="center"/>
          </w:tcPr>
          <w:p w14:paraId="05B5FCC1">
            <w:pPr>
              <w:spacing w:line="500" w:lineRule="exact"/>
              <w:jc w:val="center"/>
              <w:rPr>
                <w:color w:val="auto"/>
                <w:szCs w:val="21"/>
              </w:rPr>
            </w:pPr>
            <w:r>
              <w:rPr>
                <w:color w:val="auto"/>
                <w:szCs w:val="21"/>
              </w:rPr>
              <w:t>台</w:t>
            </w:r>
          </w:p>
        </w:tc>
        <w:tc>
          <w:tcPr>
            <w:tcW w:w="2414" w:type="pct"/>
            <w:tcBorders>
              <w:top w:val="single" w:color="auto" w:sz="4" w:space="0"/>
              <w:left w:val="single" w:color="auto" w:sz="4" w:space="0"/>
              <w:bottom w:val="single" w:color="auto" w:sz="4" w:space="0"/>
              <w:right w:val="single" w:color="auto" w:sz="4" w:space="0"/>
            </w:tcBorders>
            <w:vAlign w:val="center"/>
          </w:tcPr>
          <w:p w14:paraId="065A0D45">
            <w:pPr>
              <w:spacing w:line="500" w:lineRule="exact"/>
              <w:jc w:val="center"/>
              <w:rPr>
                <w:color w:val="auto"/>
                <w:szCs w:val="21"/>
              </w:rPr>
            </w:pPr>
            <w:r>
              <w:rPr>
                <w:rFonts w:hint="eastAsia"/>
                <w:color w:val="auto"/>
                <w:szCs w:val="21"/>
              </w:rPr>
              <w:t>详见</w:t>
            </w:r>
            <w:r>
              <w:rPr>
                <w:rFonts w:hint="eastAsia" w:ascii="宋体" w:hAnsi="宋体" w:cs="宋体"/>
                <w:color w:val="auto"/>
                <w:szCs w:val="21"/>
              </w:rPr>
              <w:t>谈判</w:t>
            </w:r>
            <w:r>
              <w:rPr>
                <w:rFonts w:hint="eastAsia"/>
                <w:color w:val="auto"/>
                <w:szCs w:val="21"/>
              </w:rPr>
              <w:t>文件中的“采购需求”</w:t>
            </w:r>
          </w:p>
        </w:tc>
      </w:tr>
      <w:tr w14:paraId="16F8AC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3" w:type="pct"/>
            <w:tcBorders>
              <w:top w:val="single" w:color="auto" w:sz="4" w:space="0"/>
              <w:left w:val="single" w:color="auto" w:sz="4" w:space="0"/>
              <w:bottom w:val="single" w:color="auto" w:sz="4" w:space="0"/>
              <w:right w:val="single" w:color="auto" w:sz="4" w:space="0"/>
            </w:tcBorders>
            <w:vAlign w:val="center"/>
          </w:tcPr>
          <w:p w14:paraId="0E54CC94">
            <w:pPr>
              <w:spacing w:line="500" w:lineRule="exact"/>
              <w:jc w:val="center"/>
              <w:rPr>
                <w:rFonts w:hint="eastAsia" w:eastAsia="宋体"/>
                <w:color w:val="auto"/>
                <w:szCs w:val="21"/>
                <w:lang w:val="en-US" w:eastAsia="zh-CN"/>
              </w:rPr>
            </w:pPr>
            <w:r>
              <w:rPr>
                <w:color w:val="auto"/>
                <w:szCs w:val="21"/>
              </w:rPr>
              <w:t>1</w:t>
            </w:r>
            <w:r>
              <w:rPr>
                <w:rFonts w:hint="eastAsia"/>
                <w:color w:val="auto"/>
                <w:szCs w:val="21"/>
                <w:lang w:val="en-US" w:eastAsia="zh-CN"/>
              </w:rPr>
              <w:t>1</w:t>
            </w:r>
          </w:p>
        </w:tc>
        <w:tc>
          <w:tcPr>
            <w:tcW w:w="1176" w:type="pct"/>
            <w:tcBorders>
              <w:top w:val="single" w:color="auto" w:sz="4" w:space="0"/>
              <w:left w:val="single" w:color="auto" w:sz="4" w:space="0"/>
              <w:bottom w:val="single" w:color="auto" w:sz="4" w:space="0"/>
              <w:right w:val="single" w:color="auto" w:sz="4" w:space="0"/>
            </w:tcBorders>
            <w:vAlign w:val="center"/>
          </w:tcPr>
          <w:p w14:paraId="152AB77E">
            <w:pPr>
              <w:spacing w:line="500" w:lineRule="exact"/>
              <w:jc w:val="center"/>
              <w:rPr>
                <w:color w:val="auto"/>
                <w:szCs w:val="21"/>
              </w:rPr>
            </w:pPr>
            <w:r>
              <w:rPr>
                <w:color w:val="auto"/>
                <w:szCs w:val="21"/>
              </w:rPr>
              <w:t>一卡通批量发卡系统</w:t>
            </w:r>
          </w:p>
        </w:tc>
        <w:tc>
          <w:tcPr>
            <w:tcW w:w="480" w:type="pct"/>
            <w:tcBorders>
              <w:top w:val="single" w:color="auto" w:sz="4" w:space="0"/>
              <w:left w:val="single" w:color="auto" w:sz="4" w:space="0"/>
              <w:bottom w:val="single" w:color="auto" w:sz="4" w:space="0"/>
              <w:right w:val="single" w:color="auto" w:sz="4" w:space="0"/>
            </w:tcBorders>
            <w:vAlign w:val="center"/>
          </w:tcPr>
          <w:p w14:paraId="14383BA4">
            <w:pPr>
              <w:spacing w:line="500" w:lineRule="exact"/>
              <w:jc w:val="center"/>
              <w:rPr>
                <w:color w:val="auto"/>
                <w:szCs w:val="21"/>
              </w:rPr>
            </w:pPr>
            <w:r>
              <w:rPr>
                <w:color w:val="auto"/>
                <w:szCs w:val="21"/>
              </w:rPr>
              <w:t>1</w:t>
            </w:r>
          </w:p>
        </w:tc>
        <w:tc>
          <w:tcPr>
            <w:tcW w:w="546" w:type="pct"/>
            <w:tcBorders>
              <w:top w:val="single" w:color="auto" w:sz="4" w:space="0"/>
              <w:left w:val="single" w:color="auto" w:sz="4" w:space="0"/>
              <w:bottom w:val="single" w:color="auto" w:sz="4" w:space="0"/>
              <w:right w:val="single" w:color="auto" w:sz="4" w:space="0"/>
            </w:tcBorders>
            <w:vAlign w:val="center"/>
          </w:tcPr>
          <w:p w14:paraId="0669889C">
            <w:pPr>
              <w:spacing w:line="500" w:lineRule="exact"/>
              <w:jc w:val="center"/>
              <w:rPr>
                <w:color w:val="auto"/>
                <w:szCs w:val="21"/>
              </w:rPr>
            </w:pPr>
            <w:r>
              <w:rPr>
                <w:color w:val="auto"/>
                <w:szCs w:val="21"/>
              </w:rPr>
              <w:t>套</w:t>
            </w:r>
          </w:p>
        </w:tc>
        <w:tc>
          <w:tcPr>
            <w:tcW w:w="2414" w:type="pct"/>
            <w:tcBorders>
              <w:top w:val="single" w:color="auto" w:sz="4" w:space="0"/>
              <w:left w:val="single" w:color="auto" w:sz="4" w:space="0"/>
              <w:bottom w:val="single" w:color="auto" w:sz="4" w:space="0"/>
              <w:right w:val="single" w:color="auto" w:sz="4" w:space="0"/>
            </w:tcBorders>
            <w:vAlign w:val="center"/>
          </w:tcPr>
          <w:p w14:paraId="78DB3320">
            <w:pPr>
              <w:spacing w:line="500" w:lineRule="exact"/>
              <w:jc w:val="center"/>
              <w:rPr>
                <w:color w:val="auto"/>
                <w:szCs w:val="21"/>
              </w:rPr>
            </w:pPr>
            <w:r>
              <w:rPr>
                <w:rFonts w:hint="eastAsia"/>
                <w:color w:val="auto"/>
                <w:szCs w:val="21"/>
              </w:rPr>
              <w:t>详见</w:t>
            </w:r>
            <w:r>
              <w:rPr>
                <w:rFonts w:hint="eastAsia" w:ascii="宋体" w:hAnsi="宋体" w:cs="宋体"/>
                <w:color w:val="auto"/>
                <w:szCs w:val="21"/>
              </w:rPr>
              <w:t>谈判</w:t>
            </w:r>
            <w:r>
              <w:rPr>
                <w:rFonts w:hint="eastAsia"/>
                <w:color w:val="auto"/>
                <w:szCs w:val="21"/>
              </w:rPr>
              <w:t>文件中的“采购需求”</w:t>
            </w:r>
          </w:p>
        </w:tc>
      </w:tr>
      <w:tr w14:paraId="22CFA6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3" w:type="pct"/>
            <w:tcBorders>
              <w:top w:val="single" w:color="auto" w:sz="4" w:space="0"/>
              <w:left w:val="single" w:color="auto" w:sz="4" w:space="0"/>
              <w:bottom w:val="single" w:color="auto" w:sz="4" w:space="0"/>
              <w:right w:val="single" w:color="auto" w:sz="4" w:space="0"/>
            </w:tcBorders>
            <w:vAlign w:val="center"/>
          </w:tcPr>
          <w:p w14:paraId="79080092">
            <w:pPr>
              <w:spacing w:line="500" w:lineRule="exact"/>
              <w:jc w:val="center"/>
              <w:rPr>
                <w:color w:val="auto"/>
                <w:szCs w:val="21"/>
              </w:rPr>
            </w:pPr>
            <w:r>
              <w:rPr>
                <w:rFonts w:hint="eastAsia"/>
                <w:color w:val="auto"/>
                <w:szCs w:val="21"/>
              </w:rPr>
              <w:t>1</w:t>
            </w:r>
            <w:r>
              <w:rPr>
                <w:rFonts w:hint="eastAsia"/>
                <w:color w:val="auto"/>
                <w:szCs w:val="21"/>
                <w:lang w:val="en-US" w:eastAsia="zh-CN"/>
              </w:rPr>
              <w:t>2</w:t>
            </w:r>
          </w:p>
        </w:tc>
        <w:tc>
          <w:tcPr>
            <w:tcW w:w="1176" w:type="pct"/>
            <w:tcBorders>
              <w:top w:val="single" w:color="auto" w:sz="4" w:space="0"/>
              <w:left w:val="single" w:color="auto" w:sz="4" w:space="0"/>
              <w:bottom w:val="single" w:color="auto" w:sz="4" w:space="0"/>
              <w:right w:val="single" w:color="auto" w:sz="4" w:space="0"/>
            </w:tcBorders>
            <w:vAlign w:val="center"/>
          </w:tcPr>
          <w:p w14:paraId="188F95C3">
            <w:pPr>
              <w:spacing w:line="500" w:lineRule="exact"/>
              <w:jc w:val="center"/>
              <w:rPr>
                <w:color w:val="auto"/>
                <w:szCs w:val="21"/>
              </w:rPr>
            </w:pPr>
            <w:r>
              <w:rPr>
                <w:rFonts w:hint="eastAsia" w:ascii="宋体" w:hAnsi="宋体" w:cs="宋体"/>
                <w:color w:val="auto"/>
                <w:kern w:val="0"/>
                <w:szCs w:val="21"/>
              </w:rPr>
              <w:t>IC读卡器</w:t>
            </w:r>
          </w:p>
        </w:tc>
        <w:tc>
          <w:tcPr>
            <w:tcW w:w="480" w:type="pct"/>
            <w:tcBorders>
              <w:top w:val="single" w:color="auto" w:sz="4" w:space="0"/>
              <w:left w:val="single" w:color="auto" w:sz="4" w:space="0"/>
              <w:bottom w:val="single" w:color="auto" w:sz="4" w:space="0"/>
              <w:right w:val="single" w:color="auto" w:sz="4" w:space="0"/>
            </w:tcBorders>
            <w:vAlign w:val="center"/>
          </w:tcPr>
          <w:p w14:paraId="37D59E90">
            <w:pPr>
              <w:spacing w:line="500" w:lineRule="exact"/>
              <w:jc w:val="center"/>
              <w:rPr>
                <w:color w:val="auto"/>
                <w:szCs w:val="21"/>
              </w:rPr>
            </w:pPr>
            <w:r>
              <w:rPr>
                <w:color w:val="auto"/>
                <w:szCs w:val="21"/>
              </w:rPr>
              <w:t>8</w:t>
            </w:r>
          </w:p>
        </w:tc>
        <w:tc>
          <w:tcPr>
            <w:tcW w:w="546" w:type="pct"/>
            <w:tcBorders>
              <w:top w:val="single" w:color="auto" w:sz="4" w:space="0"/>
              <w:left w:val="single" w:color="auto" w:sz="4" w:space="0"/>
              <w:bottom w:val="single" w:color="auto" w:sz="4" w:space="0"/>
              <w:right w:val="single" w:color="auto" w:sz="4" w:space="0"/>
            </w:tcBorders>
            <w:vAlign w:val="center"/>
          </w:tcPr>
          <w:p w14:paraId="0C2204FE">
            <w:pPr>
              <w:spacing w:line="500" w:lineRule="exact"/>
              <w:jc w:val="center"/>
              <w:rPr>
                <w:color w:val="auto"/>
                <w:szCs w:val="21"/>
              </w:rPr>
            </w:pPr>
            <w:r>
              <w:rPr>
                <w:color w:val="auto"/>
                <w:szCs w:val="21"/>
              </w:rPr>
              <w:t>个</w:t>
            </w:r>
          </w:p>
        </w:tc>
        <w:tc>
          <w:tcPr>
            <w:tcW w:w="2414" w:type="pct"/>
            <w:tcBorders>
              <w:top w:val="single" w:color="auto" w:sz="4" w:space="0"/>
              <w:left w:val="single" w:color="auto" w:sz="4" w:space="0"/>
              <w:bottom w:val="single" w:color="auto" w:sz="4" w:space="0"/>
              <w:right w:val="single" w:color="auto" w:sz="4" w:space="0"/>
            </w:tcBorders>
            <w:vAlign w:val="center"/>
          </w:tcPr>
          <w:p w14:paraId="3A41EF8F">
            <w:pPr>
              <w:spacing w:line="500" w:lineRule="exact"/>
              <w:jc w:val="center"/>
              <w:rPr>
                <w:color w:val="auto"/>
                <w:szCs w:val="21"/>
              </w:rPr>
            </w:pPr>
            <w:r>
              <w:rPr>
                <w:rFonts w:hint="eastAsia"/>
                <w:color w:val="auto"/>
                <w:szCs w:val="21"/>
              </w:rPr>
              <w:t>详见</w:t>
            </w:r>
            <w:r>
              <w:rPr>
                <w:rFonts w:hint="eastAsia" w:ascii="宋体" w:hAnsi="宋体" w:cs="宋体"/>
                <w:color w:val="auto"/>
                <w:szCs w:val="21"/>
              </w:rPr>
              <w:t>谈判</w:t>
            </w:r>
            <w:r>
              <w:rPr>
                <w:rFonts w:hint="eastAsia"/>
                <w:color w:val="auto"/>
                <w:szCs w:val="21"/>
              </w:rPr>
              <w:t>文件中的“采购需求”</w:t>
            </w:r>
          </w:p>
        </w:tc>
      </w:tr>
      <w:tr w14:paraId="38D121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3" w:type="pct"/>
            <w:tcBorders>
              <w:top w:val="single" w:color="auto" w:sz="4" w:space="0"/>
              <w:left w:val="single" w:color="auto" w:sz="4" w:space="0"/>
              <w:bottom w:val="single" w:color="auto" w:sz="4" w:space="0"/>
              <w:right w:val="single" w:color="auto" w:sz="4" w:space="0"/>
            </w:tcBorders>
            <w:vAlign w:val="center"/>
          </w:tcPr>
          <w:p w14:paraId="7CA1033C">
            <w:pPr>
              <w:spacing w:line="500" w:lineRule="exact"/>
              <w:jc w:val="center"/>
              <w:rPr>
                <w:rFonts w:hint="eastAsia" w:eastAsia="宋体"/>
                <w:color w:val="auto"/>
                <w:szCs w:val="21"/>
                <w:lang w:val="en-US" w:eastAsia="zh-CN"/>
              </w:rPr>
            </w:pPr>
            <w:r>
              <w:rPr>
                <w:rFonts w:hint="eastAsia"/>
                <w:color w:val="auto"/>
                <w:szCs w:val="21"/>
              </w:rPr>
              <w:t>1</w:t>
            </w:r>
            <w:r>
              <w:rPr>
                <w:rFonts w:hint="eastAsia"/>
                <w:color w:val="auto"/>
                <w:szCs w:val="21"/>
                <w:lang w:val="en-US" w:eastAsia="zh-CN"/>
              </w:rPr>
              <w:t>3</w:t>
            </w:r>
          </w:p>
        </w:tc>
        <w:tc>
          <w:tcPr>
            <w:tcW w:w="1176" w:type="pct"/>
            <w:tcBorders>
              <w:top w:val="single" w:color="auto" w:sz="4" w:space="0"/>
              <w:left w:val="single" w:color="auto" w:sz="4" w:space="0"/>
              <w:bottom w:val="single" w:color="auto" w:sz="4" w:space="0"/>
              <w:right w:val="single" w:color="auto" w:sz="4" w:space="0"/>
            </w:tcBorders>
            <w:vAlign w:val="center"/>
          </w:tcPr>
          <w:p w14:paraId="6D3CC05D">
            <w:pPr>
              <w:spacing w:line="500" w:lineRule="exact"/>
              <w:jc w:val="center"/>
              <w:rPr>
                <w:color w:val="auto"/>
                <w:szCs w:val="21"/>
              </w:rPr>
            </w:pPr>
            <w:r>
              <w:rPr>
                <w:color w:val="auto"/>
                <w:szCs w:val="21"/>
              </w:rPr>
              <w:t>指纹采集仪</w:t>
            </w:r>
          </w:p>
        </w:tc>
        <w:tc>
          <w:tcPr>
            <w:tcW w:w="480" w:type="pct"/>
            <w:tcBorders>
              <w:top w:val="single" w:color="auto" w:sz="4" w:space="0"/>
              <w:left w:val="single" w:color="auto" w:sz="4" w:space="0"/>
              <w:bottom w:val="single" w:color="auto" w:sz="4" w:space="0"/>
              <w:right w:val="single" w:color="auto" w:sz="4" w:space="0"/>
            </w:tcBorders>
            <w:vAlign w:val="center"/>
          </w:tcPr>
          <w:p w14:paraId="7E97DA9A">
            <w:pPr>
              <w:spacing w:line="500" w:lineRule="exact"/>
              <w:jc w:val="center"/>
              <w:rPr>
                <w:color w:val="auto"/>
                <w:szCs w:val="21"/>
              </w:rPr>
            </w:pPr>
            <w:r>
              <w:rPr>
                <w:color w:val="auto"/>
                <w:szCs w:val="21"/>
              </w:rPr>
              <w:t>1</w:t>
            </w:r>
          </w:p>
        </w:tc>
        <w:tc>
          <w:tcPr>
            <w:tcW w:w="546" w:type="pct"/>
            <w:tcBorders>
              <w:top w:val="single" w:color="auto" w:sz="4" w:space="0"/>
              <w:left w:val="single" w:color="auto" w:sz="4" w:space="0"/>
              <w:bottom w:val="single" w:color="auto" w:sz="4" w:space="0"/>
              <w:right w:val="single" w:color="auto" w:sz="4" w:space="0"/>
            </w:tcBorders>
            <w:vAlign w:val="center"/>
          </w:tcPr>
          <w:p w14:paraId="27268CB9">
            <w:pPr>
              <w:spacing w:line="500" w:lineRule="exact"/>
              <w:jc w:val="center"/>
              <w:rPr>
                <w:color w:val="auto"/>
                <w:szCs w:val="21"/>
              </w:rPr>
            </w:pPr>
            <w:r>
              <w:rPr>
                <w:color w:val="auto"/>
                <w:szCs w:val="21"/>
              </w:rPr>
              <w:t>台</w:t>
            </w:r>
          </w:p>
        </w:tc>
        <w:tc>
          <w:tcPr>
            <w:tcW w:w="2414" w:type="pct"/>
            <w:tcBorders>
              <w:top w:val="single" w:color="auto" w:sz="4" w:space="0"/>
              <w:left w:val="single" w:color="auto" w:sz="4" w:space="0"/>
              <w:bottom w:val="single" w:color="auto" w:sz="4" w:space="0"/>
              <w:right w:val="single" w:color="auto" w:sz="4" w:space="0"/>
            </w:tcBorders>
            <w:vAlign w:val="center"/>
          </w:tcPr>
          <w:p w14:paraId="579F0061">
            <w:pPr>
              <w:spacing w:line="500" w:lineRule="exact"/>
              <w:jc w:val="center"/>
              <w:rPr>
                <w:color w:val="auto"/>
                <w:szCs w:val="21"/>
              </w:rPr>
            </w:pPr>
            <w:r>
              <w:rPr>
                <w:rFonts w:hint="eastAsia"/>
                <w:color w:val="auto"/>
                <w:szCs w:val="21"/>
              </w:rPr>
              <w:t>详见</w:t>
            </w:r>
            <w:r>
              <w:rPr>
                <w:rFonts w:hint="eastAsia" w:ascii="宋体" w:hAnsi="宋体" w:cs="宋体"/>
                <w:color w:val="auto"/>
                <w:szCs w:val="21"/>
              </w:rPr>
              <w:t>谈判</w:t>
            </w:r>
            <w:r>
              <w:rPr>
                <w:rFonts w:hint="eastAsia"/>
                <w:color w:val="auto"/>
                <w:szCs w:val="21"/>
              </w:rPr>
              <w:t>文件中的“采购需求”</w:t>
            </w:r>
          </w:p>
        </w:tc>
      </w:tr>
      <w:tr w14:paraId="120707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3" w:type="pct"/>
            <w:tcBorders>
              <w:top w:val="single" w:color="auto" w:sz="4" w:space="0"/>
              <w:left w:val="single" w:color="auto" w:sz="4" w:space="0"/>
              <w:bottom w:val="single" w:color="auto" w:sz="4" w:space="0"/>
              <w:right w:val="single" w:color="auto" w:sz="4" w:space="0"/>
            </w:tcBorders>
            <w:vAlign w:val="center"/>
          </w:tcPr>
          <w:p w14:paraId="7AEA1462">
            <w:pPr>
              <w:spacing w:line="500" w:lineRule="exact"/>
              <w:jc w:val="center"/>
              <w:rPr>
                <w:color w:val="auto"/>
                <w:szCs w:val="21"/>
              </w:rPr>
            </w:pPr>
            <w:r>
              <w:rPr>
                <w:rFonts w:hint="eastAsia"/>
                <w:color w:val="auto"/>
                <w:szCs w:val="21"/>
              </w:rPr>
              <w:t>1</w:t>
            </w:r>
            <w:r>
              <w:rPr>
                <w:rFonts w:hint="eastAsia"/>
                <w:color w:val="auto"/>
                <w:szCs w:val="21"/>
                <w:lang w:val="en-US" w:eastAsia="zh-CN"/>
              </w:rPr>
              <w:t>4</w:t>
            </w:r>
          </w:p>
        </w:tc>
        <w:tc>
          <w:tcPr>
            <w:tcW w:w="1176" w:type="pct"/>
            <w:tcBorders>
              <w:top w:val="single" w:color="auto" w:sz="4" w:space="0"/>
              <w:left w:val="single" w:color="auto" w:sz="4" w:space="0"/>
              <w:bottom w:val="single" w:color="auto" w:sz="4" w:space="0"/>
              <w:right w:val="single" w:color="auto" w:sz="4" w:space="0"/>
            </w:tcBorders>
            <w:vAlign w:val="center"/>
          </w:tcPr>
          <w:p w14:paraId="56DFD4BA">
            <w:pPr>
              <w:spacing w:line="500" w:lineRule="exact"/>
              <w:jc w:val="center"/>
              <w:rPr>
                <w:color w:val="auto"/>
                <w:szCs w:val="21"/>
              </w:rPr>
            </w:pPr>
            <w:r>
              <w:rPr>
                <w:color w:val="auto"/>
                <w:szCs w:val="21"/>
              </w:rPr>
              <w:t>掌纹采集模块</w:t>
            </w:r>
          </w:p>
        </w:tc>
        <w:tc>
          <w:tcPr>
            <w:tcW w:w="480" w:type="pct"/>
            <w:tcBorders>
              <w:top w:val="single" w:color="auto" w:sz="4" w:space="0"/>
              <w:left w:val="single" w:color="auto" w:sz="4" w:space="0"/>
              <w:bottom w:val="single" w:color="auto" w:sz="4" w:space="0"/>
              <w:right w:val="single" w:color="auto" w:sz="4" w:space="0"/>
            </w:tcBorders>
            <w:vAlign w:val="center"/>
          </w:tcPr>
          <w:p w14:paraId="3DA8FCE6">
            <w:pPr>
              <w:spacing w:line="500" w:lineRule="exact"/>
              <w:jc w:val="center"/>
              <w:rPr>
                <w:color w:val="auto"/>
                <w:szCs w:val="21"/>
              </w:rPr>
            </w:pPr>
            <w:r>
              <w:rPr>
                <w:color w:val="auto"/>
                <w:szCs w:val="21"/>
              </w:rPr>
              <w:t>2</w:t>
            </w:r>
          </w:p>
        </w:tc>
        <w:tc>
          <w:tcPr>
            <w:tcW w:w="546" w:type="pct"/>
            <w:tcBorders>
              <w:top w:val="single" w:color="auto" w:sz="4" w:space="0"/>
              <w:left w:val="single" w:color="auto" w:sz="4" w:space="0"/>
              <w:bottom w:val="single" w:color="auto" w:sz="4" w:space="0"/>
              <w:right w:val="single" w:color="auto" w:sz="4" w:space="0"/>
            </w:tcBorders>
            <w:vAlign w:val="center"/>
          </w:tcPr>
          <w:p w14:paraId="216BA983">
            <w:pPr>
              <w:spacing w:line="500" w:lineRule="exact"/>
              <w:jc w:val="center"/>
              <w:rPr>
                <w:color w:val="auto"/>
                <w:szCs w:val="21"/>
              </w:rPr>
            </w:pPr>
            <w:r>
              <w:rPr>
                <w:color w:val="auto"/>
                <w:szCs w:val="21"/>
              </w:rPr>
              <w:t>台</w:t>
            </w:r>
          </w:p>
        </w:tc>
        <w:tc>
          <w:tcPr>
            <w:tcW w:w="2414" w:type="pct"/>
            <w:tcBorders>
              <w:top w:val="single" w:color="auto" w:sz="4" w:space="0"/>
              <w:left w:val="single" w:color="auto" w:sz="4" w:space="0"/>
              <w:bottom w:val="single" w:color="auto" w:sz="4" w:space="0"/>
              <w:right w:val="single" w:color="auto" w:sz="4" w:space="0"/>
            </w:tcBorders>
            <w:vAlign w:val="center"/>
          </w:tcPr>
          <w:p w14:paraId="38820FCB">
            <w:pPr>
              <w:spacing w:line="500" w:lineRule="exact"/>
              <w:jc w:val="center"/>
              <w:rPr>
                <w:color w:val="auto"/>
                <w:szCs w:val="21"/>
              </w:rPr>
            </w:pPr>
            <w:r>
              <w:rPr>
                <w:rFonts w:hint="eastAsia"/>
                <w:color w:val="auto"/>
                <w:szCs w:val="21"/>
              </w:rPr>
              <w:t>详见</w:t>
            </w:r>
            <w:r>
              <w:rPr>
                <w:rFonts w:hint="eastAsia" w:ascii="宋体" w:hAnsi="宋体" w:cs="宋体"/>
                <w:color w:val="auto"/>
                <w:szCs w:val="21"/>
              </w:rPr>
              <w:t>谈判</w:t>
            </w:r>
            <w:r>
              <w:rPr>
                <w:rFonts w:hint="eastAsia"/>
                <w:color w:val="auto"/>
                <w:szCs w:val="21"/>
              </w:rPr>
              <w:t>文件中的“采购需求”</w:t>
            </w:r>
          </w:p>
        </w:tc>
      </w:tr>
      <w:tr w14:paraId="7466CB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3" w:type="pct"/>
            <w:tcBorders>
              <w:top w:val="single" w:color="auto" w:sz="4" w:space="0"/>
              <w:left w:val="single" w:color="auto" w:sz="4" w:space="0"/>
              <w:bottom w:val="single" w:color="auto" w:sz="4" w:space="0"/>
              <w:right w:val="single" w:color="auto" w:sz="4" w:space="0"/>
            </w:tcBorders>
            <w:vAlign w:val="center"/>
          </w:tcPr>
          <w:p w14:paraId="2E9E6ABC">
            <w:pPr>
              <w:spacing w:line="500" w:lineRule="exact"/>
              <w:jc w:val="center"/>
              <w:rPr>
                <w:color w:val="auto"/>
                <w:szCs w:val="21"/>
              </w:rPr>
            </w:pPr>
            <w:r>
              <w:rPr>
                <w:rFonts w:hint="eastAsia"/>
                <w:color w:val="auto"/>
                <w:szCs w:val="21"/>
              </w:rPr>
              <w:t>1</w:t>
            </w:r>
            <w:r>
              <w:rPr>
                <w:rFonts w:hint="eastAsia"/>
                <w:color w:val="auto"/>
                <w:szCs w:val="21"/>
                <w:lang w:val="en-US" w:eastAsia="zh-CN"/>
              </w:rPr>
              <w:t>5</w:t>
            </w:r>
          </w:p>
        </w:tc>
        <w:tc>
          <w:tcPr>
            <w:tcW w:w="1176" w:type="pct"/>
            <w:tcBorders>
              <w:top w:val="single" w:color="auto" w:sz="4" w:space="0"/>
              <w:left w:val="single" w:color="auto" w:sz="4" w:space="0"/>
              <w:bottom w:val="single" w:color="auto" w:sz="4" w:space="0"/>
              <w:right w:val="single" w:color="auto" w:sz="4" w:space="0"/>
            </w:tcBorders>
            <w:vAlign w:val="center"/>
          </w:tcPr>
          <w:p w14:paraId="2A1024A7">
            <w:pPr>
              <w:spacing w:line="500" w:lineRule="exact"/>
              <w:jc w:val="center"/>
              <w:rPr>
                <w:color w:val="auto"/>
                <w:szCs w:val="21"/>
              </w:rPr>
            </w:pPr>
            <w:r>
              <w:rPr>
                <w:color w:val="auto"/>
                <w:szCs w:val="21"/>
              </w:rPr>
              <w:t>校园卡</w:t>
            </w:r>
          </w:p>
        </w:tc>
        <w:tc>
          <w:tcPr>
            <w:tcW w:w="480" w:type="pct"/>
            <w:tcBorders>
              <w:top w:val="single" w:color="auto" w:sz="4" w:space="0"/>
              <w:left w:val="single" w:color="auto" w:sz="4" w:space="0"/>
              <w:bottom w:val="single" w:color="auto" w:sz="4" w:space="0"/>
              <w:right w:val="single" w:color="auto" w:sz="4" w:space="0"/>
            </w:tcBorders>
            <w:vAlign w:val="center"/>
          </w:tcPr>
          <w:p w14:paraId="3EFC2D67">
            <w:pPr>
              <w:spacing w:line="500" w:lineRule="exact"/>
              <w:jc w:val="center"/>
              <w:rPr>
                <w:color w:val="auto"/>
                <w:szCs w:val="21"/>
              </w:rPr>
            </w:pPr>
            <w:r>
              <w:rPr>
                <w:color w:val="auto"/>
                <w:szCs w:val="21"/>
              </w:rPr>
              <w:t>2000</w:t>
            </w:r>
          </w:p>
        </w:tc>
        <w:tc>
          <w:tcPr>
            <w:tcW w:w="546" w:type="pct"/>
            <w:tcBorders>
              <w:top w:val="single" w:color="auto" w:sz="4" w:space="0"/>
              <w:left w:val="single" w:color="auto" w:sz="4" w:space="0"/>
              <w:bottom w:val="single" w:color="auto" w:sz="4" w:space="0"/>
              <w:right w:val="single" w:color="auto" w:sz="4" w:space="0"/>
            </w:tcBorders>
            <w:vAlign w:val="center"/>
          </w:tcPr>
          <w:p w14:paraId="06387384">
            <w:pPr>
              <w:spacing w:line="500" w:lineRule="exact"/>
              <w:jc w:val="center"/>
              <w:rPr>
                <w:color w:val="auto"/>
                <w:szCs w:val="21"/>
              </w:rPr>
            </w:pPr>
            <w:r>
              <w:rPr>
                <w:color w:val="auto"/>
                <w:szCs w:val="21"/>
              </w:rPr>
              <w:t>张</w:t>
            </w:r>
          </w:p>
        </w:tc>
        <w:tc>
          <w:tcPr>
            <w:tcW w:w="2414" w:type="pct"/>
            <w:tcBorders>
              <w:top w:val="single" w:color="auto" w:sz="4" w:space="0"/>
              <w:left w:val="single" w:color="auto" w:sz="4" w:space="0"/>
              <w:bottom w:val="single" w:color="auto" w:sz="4" w:space="0"/>
              <w:right w:val="single" w:color="auto" w:sz="4" w:space="0"/>
            </w:tcBorders>
            <w:vAlign w:val="center"/>
          </w:tcPr>
          <w:p w14:paraId="7B50A044">
            <w:pPr>
              <w:spacing w:line="500" w:lineRule="exact"/>
              <w:jc w:val="center"/>
              <w:rPr>
                <w:color w:val="auto"/>
                <w:szCs w:val="21"/>
              </w:rPr>
            </w:pPr>
            <w:r>
              <w:rPr>
                <w:rFonts w:hint="eastAsia"/>
                <w:color w:val="auto"/>
                <w:szCs w:val="21"/>
              </w:rPr>
              <w:t>详见</w:t>
            </w:r>
            <w:r>
              <w:rPr>
                <w:rFonts w:hint="eastAsia" w:ascii="宋体" w:hAnsi="宋体" w:cs="宋体"/>
                <w:color w:val="auto"/>
                <w:szCs w:val="21"/>
              </w:rPr>
              <w:t>谈判</w:t>
            </w:r>
            <w:r>
              <w:rPr>
                <w:rFonts w:hint="eastAsia"/>
                <w:color w:val="auto"/>
                <w:szCs w:val="21"/>
              </w:rPr>
              <w:t>文件中的“采购需求”</w:t>
            </w:r>
          </w:p>
        </w:tc>
      </w:tr>
      <w:tr w14:paraId="2214BD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474A560C">
            <w:pPr>
              <w:spacing w:line="500" w:lineRule="exact"/>
              <w:rPr>
                <w:color w:val="auto"/>
                <w:szCs w:val="21"/>
              </w:rPr>
            </w:pPr>
            <w:r>
              <w:rPr>
                <w:rFonts w:hint="eastAsia"/>
                <w:color w:val="auto"/>
                <w:szCs w:val="21"/>
              </w:rPr>
              <w:t>三、消费系统及硬件</w:t>
            </w:r>
          </w:p>
        </w:tc>
      </w:tr>
      <w:tr w14:paraId="5BD09D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3" w:type="pct"/>
            <w:tcBorders>
              <w:top w:val="single" w:color="auto" w:sz="4" w:space="0"/>
              <w:left w:val="single" w:color="auto" w:sz="4" w:space="0"/>
              <w:bottom w:val="single" w:color="auto" w:sz="4" w:space="0"/>
              <w:right w:val="single" w:color="auto" w:sz="4" w:space="0"/>
            </w:tcBorders>
            <w:vAlign w:val="center"/>
          </w:tcPr>
          <w:p w14:paraId="64212928">
            <w:pPr>
              <w:spacing w:line="500" w:lineRule="exact"/>
              <w:jc w:val="center"/>
              <w:rPr>
                <w:color w:val="auto"/>
                <w:szCs w:val="21"/>
              </w:rPr>
            </w:pPr>
            <w:r>
              <w:rPr>
                <w:rFonts w:hint="eastAsia"/>
                <w:color w:val="auto"/>
                <w:szCs w:val="21"/>
              </w:rPr>
              <w:t>1</w:t>
            </w:r>
            <w:r>
              <w:rPr>
                <w:rFonts w:hint="eastAsia"/>
                <w:color w:val="auto"/>
                <w:szCs w:val="21"/>
                <w:lang w:val="en-US" w:eastAsia="zh-CN"/>
              </w:rPr>
              <w:t>6</w:t>
            </w:r>
          </w:p>
        </w:tc>
        <w:tc>
          <w:tcPr>
            <w:tcW w:w="1176" w:type="pct"/>
            <w:tcBorders>
              <w:top w:val="single" w:color="auto" w:sz="4" w:space="0"/>
              <w:left w:val="single" w:color="auto" w:sz="4" w:space="0"/>
              <w:bottom w:val="single" w:color="auto" w:sz="4" w:space="0"/>
              <w:right w:val="single" w:color="auto" w:sz="4" w:space="0"/>
            </w:tcBorders>
            <w:vAlign w:val="center"/>
          </w:tcPr>
          <w:p w14:paraId="47C31000">
            <w:pPr>
              <w:spacing w:line="500" w:lineRule="exact"/>
              <w:jc w:val="center"/>
              <w:rPr>
                <w:color w:val="auto"/>
                <w:szCs w:val="21"/>
              </w:rPr>
            </w:pPr>
            <w:r>
              <w:rPr>
                <w:color w:val="auto"/>
                <w:szCs w:val="21"/>
              </w:rPr>
              <w:t>POS软网关</w:t>
            </w:r>
          </w:p>
        </w:tc>
        <w:tc>
          <w:tcPr>
            <w:tcW w:w="480" w:type="pct"/>
            <w:tcBorders>
              <w:top w:val="single" w:color="auto" w:sz="4" w:space="0"/>
              <w:left w:val="single" w:color="auto" w:sz="4" w:space="0"/>
              <w:bottom w:val="single" w:color="auto" w:sz="4" w:space="0"/>
              <w:right w:val="single" w:color="auto" w:sz="4" w:space="0"/>
            </w:tcBorders>
            <w:vAlign w:val="center"/>
          </w:tcPr>
          <w:p w14:paraId="093A7FF6">
            <w:pPr>
              <w:spacing w:line="500" w:lineRule="exact"/>
              <w:jc w:val="center"/>
              <w:rPr>
                <w:color w:val="auto"/>
                <w:szCs w:val="21"/>
              </w:rPr>
            </w:pPr>
            <w:r>
              <w:rPr>
                <w:color w:val="auto"/>
                <w:szCs w:val="21"/>
              </w:rPr>
              <w:t>1</w:t>
            </w:r>
          </w:p>
        </w:tc>
        <w:tc>
          <w:tcPr>
            <w:tcW w:w="546" w:type="pct"/>
            <w:tcBorders>
              <w:top w:val="single" w:color="auto" w:sz="4" w:space="0"/>
              <w:left w:val="single" w:color="auto" w:sz="4" w:space="0"/>
              <w:bottom w:val="single" w:color="auto" w:sz="4" w:space="0"/>
              <w:right w:val="single" w:color="auto" w:sz="4" w:space="0"/>
            </w:tcBorders>
            <w:vAlign w:val="center"/>
          </w:tcPr>
          <w:p w14:paraId="10341CEA">
            <w:pPr>
              <w:spacing w:line="500" w:lineRule="exact"/>
              <w:jc w:val="center"/>
              <w:rPr>
                <w:color w:val="auto"/>
                <w:szCs w:val="21"/>
              </w:rPr>
            </w:pPr>
            <w:r>
              <w:rPr>
                <w:color w:val="auto"/>
                <w:szCs w:val="21"/>
              </w:rPr>
              <w:t>套</w:t>
            </w:r>
          </w:p>
        </w:tc>
        <w:tc>
          <w:tcPr>
            <w:tcW w:w="2414" w:type="pct"/>
            <w:tcBorders>
              <w:top w:val="single" w:color="auto" w:sz="4" w:space="0"/>
              <w:left w:val="single" w:color="auto" w:sz="4" w:space="0"/>
              <w:bottom w:val="single" w:color="auto" w:sz="4" w:space="0"/>
              <w:right w:val="single" w:color="auto" w:sz="4" w:space="0"/>
            </w:tcBorders>
            <w:vAlign w:val="center"/>
          </w:tcPr>
          <w:p w14:paraId="121F9937">
            <w:pPr>
              <w:spacing w:line="500" w:lineRule="exact"/>
              <w:jc w:val="center"/>
              <w:rPr>
                <w:color w:val="auto"/>
                <w:szCs w:val="21"/>
              </w:rPr>
            </w:pPr>
            <w:r>
              <w:rPr>
                <w:rFonts w:hint="eastAsia"/>
                <w:color w:val="auto"/>
                <w:szCs w:val="21"/>
              </w:rPr>
              <w:t>详见</w:t>
            </w:r>
            <w:r>
              <w:rPr>
                <w:rFonts w:hint="eastAsia" w:ascii="宋体" w:hAnsi="宋体" w:cs="宋体"/>
                <w:color w:val="auto"/>
                <w:szCs w:val="21"/>
              </w:rPr>
              <w:t>谈判</w:t>
            </w:r>
            <w:r>
              <w:rPr>
                <w:rFonts w:hint="eastAsia"/>
                <w:color w:val="auto"/>
                <w:szCs w:val="21"/>
              </w:rPr>
              <w:t>文件中的“采购需求”</w:t>
            </w:r>
          </w:p>
        </w:tc>
      </w:tr>
      <w:tr w14:paraId="5A3195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3" w:type="pct"/>
            <w:tcBorders>
              <w:top w:val="single" w:color="auto" w:sz="4" w:space="0"/>
              <w:left w:val="single" w:color="auto" w:sz="4" w:space="0"/>
              <w:bottom w:val="single" w:color="auto" w:sz="4" w:space="0"/>
              <w:right w:val="single" w:color="auto" w:sz="4" w:space="0"/>
            </w:tcBorders>
            <w:vAlign w:val="center"/>
          </w:tcPr>
          <w:p w14:paraId="3BAB7D26">
            <w:pPr>
              <w:spacing w:line="500" w:lineRule="exact"/>
              <w:jc w:val="center"/>
              <w:rPr>
                <w:color w:val="auto"/>
                <w:szCs w:val="21"/>
              </w:rPr>
            </w:pPr>
            <w:r>
              <w:rPr>
                <w:rFonts w:hint="eastAsia"/>
                <w:color w:val="auto"/>
                <w:szCs w:val="21"/>
              </w:rPr>
              <w:t>1</w:t>
            </w:r>
            <w:r>
              <w:rPr>
                <w:rFonts w:hint="eastAsia"/>
                <w:color w:val="auto"/>
                <w:szCs w:val="21"/>
                <w:lang w:val="en-US" w:eastAsia="zh-CN"/>
              </w:rPr>
              <w:t>7</w:t>
            </w:r>
          </w:p>
        </w:tc>
        <w:tc>
          <w:tcPr>
            <w:tcW w:w="1176" w:type="pct"/>
            <w:tcBorders>
              <w:top w:val="single" w:color="auto" w:sz="4" w:space="0"/>
              <w:left w:val="single" w:color="auto" w:sz="4" w:space="0"/>
              <w:bottom w:val="single" w:color="auto" w:sz="4" w:space="0"/>
              <w:right w:val="single" w:color="auto" w:sz="4" w:space="0"/>
            </w:tcBorders>
            <w:vAlign w:val="center"/>
          </w:tcPr>
          <w:p w14:paraId="6A5F9BAE">
            <w:pPr>
              <w:spacing w:line="500" w:lineRule="exact"/>
              <w:jc w:val="center"/>
              <w:rPr>
                <w:color w:val="auto"/>
                <w:szCs w:val="21"/>
              </w:rPr>
            </w:pPr>
            <w:r>
              <w:rPr>
                <w:color w:val="auto"/>
                <w:szCs w:val="21"/>
              </w:rPr>
              <w:t>卡码掌POS机（台式）</w:t>
            </w:r>
          </w:p>
        </w:tc>
        <w:tc>
          <w:tcPr>
            <w:tcW w:w="480" w:type="pct"/>
            <w:tcBorders>
              <w:top w:val="single" w:color="auto" w:sz="4" w:space="0"/>
              <w:left w:val="single" w:color="auto" w:sz="4" w:space="0"/>
              <w:bottom w:val="single" w:color="auto" w:sz="4" w:space="0"/>
              <w:right w:val="single" w:color="auto" w:sz="4" w:space="0"/>
            </w:tcBorders>
            <w:vAlign w:val="center"/>
          </w:tcPr>
          <w:p w14:paraId="4878EB7F">
            <w:pPr>
              <w:spacing w:line="500" w:lineRule="exact"/>
              <w:jc w:val="center"/>
              <w:rPr>
                <w:color w:val="auto"/>
                <w:szCs w:val="21"/>
              </w:rPr>
            </w:pPr>
            <w:r>
              <w:rPr>
                <w:color w:val="auto"/>
                <w:szCs w:val="21"/>
              </w:rPr>
              <w:t>20</w:t>
            </w:r>
          </w:p>
        </w:tc>
        <w:tc>
          <w:tcPr>
            <w:tcW w:w="546" w:type="pct"/>
            <w:tcBorders>
              <w:top w:val="single" w:color="auto" w:sz="4" w:space="0"/>
              <w:left w:val="single" w:color="auto" w:sz="4" w:space="0"/>
              <w:bottom w:val="single" w:color="auto" w:sz="4" w:space="0"/>
              <w:right w:val="single" w:color="auto" w:sz="4" w:space="0"/>
            </w:tcBorders>
            <w:vAlign w:val="center"/>
          </w:tcPr>
          <w:p w14:paraId="1FCD3E5F">
            <w:pPr>
              <w:spacing w:line="500" w:lineRule="exact"/>
              <w:jc w:val="center"/>
              <w:rPr>
                <w:color w:val="auto"/>
                <w:szCs w:val="21"/>
              </w:rPr>
            </w:pPr>
            <w:r>
              <w:rPr>
                <w:color w:val="auto"/>
                <w:szCs w:val="21"/>
              </w:rPr>
              <w:t>台</w:t>
            </w:r>
          </w:p>
        </w:tc>
        <w:tc>
          <w:tcPr>
            <w:tcW w:w="2414" w:type="pct"/>
            <w:tcBorders>
              <w:top w:val="single" w:color="auto" w:sz="4" w:space="0"/>
              <w:left w:val="single" w:color="auto" w:sz="4" w:space="0"/>
              <w:bottom w:val="single" w:color="auto" w:sz="4" w:space="0"/>
              <w:right w:val="single" w:color="auto" w:sz="4" w:space="0"/>
            </w:tcBorders>
            <w:vAlign w:val="center"/>
          </w:tcPr>
          <w:p w14:paraId="2E2E567E">
            <w:pPr>
              <w:spacing w:line="500" w:lineRule="exact"/>
              <w:jc w:val="center"/>
              <w:rPr>
                <w:color w:val="auto"/>
                <w:szCs w:val="21"/>
              </w:rPr>
            </w:pPr>
            <w:r>
              <w:rPr>
                <w:rFonts w:hint="eastAsia"/>
                <w:color w:val="auto"/>
                <w:szCs w:val="21"/>
              </w:rPr>
              <w:t>详见</w:t>
            </w:r>
            <w:r>
              <w:rPr>
                <w:rFonts w:hint="eastAsia" w:ascii="宋体" w:hAnsi="宋体" w:cs="宋体"/>
                <w:color w:val="auto"/>
                <w:szCs w:val="21"/>
              </w:rPr>
              <w:t>谈判</w:t>
            </w:r>
            <w:r>
              <w:rPr>
                <w:rFonts w:hint="eastAsia"/>
                <w:color w:val="auto"/>
                <w:szCs w:val="21"/>
              </w:rPr>
              <w:t>文件中的“采购需求”</w:t>
            </w:r>
          </w:p>
        </w:tc>
      </w:tr>
      <w:tr w14:paraId="5D970D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3" w:type="pct"/>
            <w:tcBorders>
              <w:top w:val="single" w:color="auto" w:sz="4" w:space="0"/>
              <w:left w:val="single" w:color="auto" w:sz="4" w:space="0"/>
              <w:bottom w:val="single" w:color="auto" w:sz="4" w:space="0"/>
              <w:right w:val="single" w:color="auto" w:sz="4" w:space="0"/>
            </w:tcBorders>
            <w:vAlign w:val="center"/>
          </w:tcPr>
          <w:p w14:paraId="044D22B1">
            <w:pPr>
              <w:spacing w:line="500" w:lineRule="exact"/>
              <w:jc w:val="center"/>
              <w:rPr>
                <w:color w:val="auto"/>
                <w:szCs w:val="21"/>
              </w:rPr>
            </w:pPr>
            <w:r>
              <w:rPr>
                <w:rFonts w:hint="eastAsia"/>
                <w:color w:val="auto"/>
                <w:szCs w:val="21"/>
              </w:rPr>
              <w:t>1</w:t>
            </w:r>
            <w:r>
              <w:rPr>
                <w:rFonts w:hint="eastAsia"/>
                <w:color w:val="auto"/>
                <w:szCs w:val="21"/>
                <w:lang w:val="en-US" w:eastAsia="zh-CN"/>
              </w:rPr>
              <w:t>8</w:t>
            </w:r>
          </w:p>
        </w:tc>
        <w:tc>
          <w:tcPr>
            <w:tcW w:w="1176" w:type="pct"/>
            <w:tcBorders>
              <w:top w:val="single" w:color="auto" w:sz="4" w:space="0"/>
              <w:left w:val="single" w:color="auto" w:sz="4" w:space="0"/>
              <w:bottom w:val="single" w:color="auto" w:sz="4" w:space="0"/>
              <w:right w:val="single" w:color="auto" w:sz="4" w:space="0"/>
            </w:tcBorders>
            <w:vAlign w:val="center"/>
          </w:tcPr>
          <w:p w14:paraId="0D82691D">
            <w:pPr>
              <w:spacing w:line="500" w:lineRule="exact"/>
              <w:jc w:val="center"/>
              <w:rPr>
                <w:color w:val="auto"/>
                <w:szCs w:val="21"/>
              </w:rPr>
            </w:pPr>
            <w:r>
              <w:rPr>
                <w:color w:val="auto"/>
                <w:szCs w:val="21"/>
              </w:rPr>
              <w:t>卡码掌POS机（挂式）</w:t>
            </w:r>
          </w:p>
        </w:tc>
        <w:tc>
          <w:tcPr>
            <w:tcW w:w="480" w:type="pct"/>
            <w:tcBorders>
              <w:top w:val="single" w:color="auto" w:sz="4" w:space="0"/>
              <w:left w:val="single" w:color="auto" w:sz="4" w:space="0"/>
              <w:bottom w:val="single" w:color="auto" w:sz="4" w:space="0"/>
              <w:right w:val="single" w:color="auto" w:sz="4" w:space="0"/>
            </w:tcBorders>
            <w:vAlign w:val="center"/>
          </w:tcPr>
          <w:p w14:paraId="509DA2E6">
            <w:pPr>
              <w:spacing w:line="500" w:lineRule="exact"/>
              <w:jc w:val="center"/>
              <w:rPr>
                <w:color w:val="auto"/>
                <w:szCs w:val="21"/>
              </w:rPr>
            </w:pPr>
            <w:r>
              <w:rPr>
                <w:color w:val="auto"/>
                <w:szCs w:val="21"/>
              </w:rPr>
              <w:t>90</w:t>
            </w:r>
          </w:p>
        </w:tc>
        <w:tc>
          <w:tcPr>
            <w:tcW w:w="546" w:type="pct"/>
            <w:tcBorders>
              <w:top w:val="single" w:color="auto" w:sz="4" w:space="0"/>
              <w:left w:val="single" w:color="auto" w:sz="4" w:space="0"/>
              <w:bottom w:val="single" w:color="auto" w:sz="4" w:space="0"/>
              <w:right w:val="single" w:color="auto" w:sz="4" w:space="0"/>
            </w:tcBorders>
            <w:vAlign w:val="center"/>
          </w:tcPr>
          <w:p w14:paraId="188F350C">
            <w:pPr>
              <w:spacing w:line="500" w:lineRule="exact"/>
              <w:jc w:val="center"/>
              <w:rPr>
                <w:color w:val="auto"/>
                <w:szCs w:val="21"/>
              </w:rPr>
            </w:pPr>
            <w:r>
              <w:rPr>
                <w:color w:val="auto"/>
                <w:szCs w:val="21"/>
              </w:rPr>
              <w:t>台</w:t>
            </w:r>
          </w:p>
        </w:tc>
        <w:tc>
          <w:tcPr>
            <w:tcW w:w="2414" w:type="pct"/>
            <w:tcBorders>
              <w:top w:val="single" w:color="auto" w:sz="4" w:space="0"/>
              <w:left w:val="single" w:color="auto" w:sz="4" w:space="0"/>
              <w:bottom w:val="single" w:color="auto" w:sz="4" w:space="0"/>
              <w:right w:val="single" w:color="auto" w:sz="4" w:space="0"/>
            </w:tcBorders>
            <w:vAlign w:val="center"/>
          </w:tcPr>
          <w:p w14:paraId="29B64D3F">
            <w:pPr>
              <w:spacing w:line="500" w:lineRule="exact"/>
              <w:jc w:val="center"/>
              <w:rPr>
                <w:color w:val="auto"/>
                <w:szCs w:val="21"/>
              </w:rPr>
            </w:pPr>
            <w:r>
              <w:rPr>
                <w:rFonts w:hint="eastAsia"/>
                <w:color w:val="auto"/>
                <w:szCs w:val="21"/>
              </w:rPr>
              <w:t>详见</w:t>
            </w:r>
            <w:r>
              <w:rPr>
                <w:rFonts w:hint="eastAsia" w:ascii="宋体" w:hAnsi="宋体" w:cs="宋体"/>
                <w:color w:val="auto"/>
                <w:szCs w:val="21"/>
              </w:rPr>
              <w:t>谈判</w:t>
            </w:r>
            <w:r>
              <w:rPr>
                <w:rFonts w:hint="eastAsia"/>
                <w:color w:val="auto"/>
                <w:szCs w:val="21"/>
              </w:rPr>
              <w:t>文件中的“采购需求”</w:t>
            </w:r>
          </w:p>
        </w:tc>
      </w:tr>
      <w:tr w14:paraId="268BD7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3" w:type="pct"/>
            <w:tcBorders>
              <w:top w:val="single" w:color="auto" w:sz="4" w:space="0"/>
              <w:left w:val="single" w:color="auto" w:sz="4" w:space="0"/>
              <w:bottom w:val="single" w:color="auto" w:sz="4" w:space="0"/>
              <w:right w:val="single" w:color="auto" w:sz="4" w:space="0"/>
            </w:tcBorders>
            <w:vAlign w:val="center"/>
          </w:tcPr>
          <w:p w14:paraId="78B8047B">
            <w:pPr>
              <w:spacing w:line="500" w:lineRule="exact"/>
              <w:jc w:val="center"/>
              <w:rPr>
                <w:color w:val="auto"/>
                <w:szCs w:val="21"/>
              </w:rPr>
            </w:pPr>
            <w:r>
              <w:rPr>
                <w:rFonts w:hint="eastAsia"/>
                <w:color w:val="auto"/>
                <w:szCs w:val="21"/>
                <w:lang w:val="en-US" w:eastAsia="zh-CN"/>
              </w:rPr>
              <w:t>19</w:t>
            </w:r>
          </w:p>
        </w:tc>
        <w:tc>
          <w:tcPr>
            <w:tcW w:w="1176" w:type="pct"/>
            <w:tcBorders>
              <w:top w:val="single" w:color="auto" w:sz="4" w:space="0"/>
              <w:left w:val="single" w:color="auto" w:sz="4" w:space="0"/>
              <w:bottom w:val="single" w:color="auto" w:sz="4" w:space="0"/>
              <w:right w:val="single" w:color="auto" w:sz="4" w:space="0"/>
            </w:tcBorders>
            <w:vAlign w:val="center"/>
          </w:tcPr>
          <w:p w14:paraId="108AF57C">
            <w:pPr>
              <w:spacing w:line="500" w:lineRule="exact"/>
              <w:jc w:val="center"/>
              <w:rPr>
                <w:color w:val="auto"/>
                <w:szCs w:val="21"/>
              </w:rPr>
            </w:pPr>
            <w:r>
              <w:rPr>
                <w:color w:val="auto"/>
                <w:szCs w:val="21"/>
              </w:rPr>
              <w:t>24口交换机</w:t>
            </w:r>
          </w:p>
        </w:tc>
        <w:tc>
          <w:tcPr>
            <w:tcW w:w="480" w:type="pct"/>
            <w:tcBorders>
              <w:top w:val="single" w:color="auto" w:sz="4" w:space="0"/>
              <w:left w:val="single" w:color="auto" w:sz="4" w:space="0"/>
              <w:bottom w:val="single" w:color="auto" w:sz="4" w:space="0"/>
              <w:right w:val="single" w:color="auto" w:sz="4" w:space="0"/>
            </w:tcBorders>
            <w:vAlign w:val="center"/>
          </w:tcPr>
          <w:p w14:paraId="7E996006">
            <w:pPr>
              <w:spacing w:line="500" w:lineRule="exact"/>
              <w:jc w:val="center"/>
              <w:rPr>
                <w:color w:val="auto"/>
                <w:szCs w:val="21"/>
              </w:rPr>
            </w:pPr>
            <w:r>
              <w:rPr>
                <w:color w:val="auto"/>
                <w:szCs w:val="21"/>
              </w:rPr>
              <w:t>6</w:t>
            </w:r>
          </w:p>
        </w:tc>
        <w:tc>
          <w:tcPr>
            <w:tcW w:w="546" w:type="pct"/>
            <w:tcBorders>
              <w:top w:val="single" w:color="auto" w:sz="4" w:space="0"/>
              <w:left w:val="single" w:color="auto" w:sz="4" w:space="0"/>
              <w:bottom w:val="single" w:color="auto" w:sz="4" w:space="0"/>
              <w:right w:val="single" w:color="auto" w:sz="4" w:space="0"/>
            </w:tcBorders>
            <w:vAlign w:val="center"/>
          </w:tcPr>
          <w:p w14:paraId="7712C309">
            <w:pPr>
              <w:spacing w:line="500" w:lineRule="exact"/>
              <w:jc w:val="center"/>
              <w:rPr>
                <w:color w:val="auto"/>
                <w:szCs w:val="21"/>
              </w:rPr>
            </w:pPr>
            <w:r>
              <w:rPr>
                <w:color w:val="auto"/>
                <w:szCs w:val="21"/>
              </w:rPr>
              <w:t>台</w:t>
            </w:r>
          </w:p>
        </w:tc>
        <w:tc>
          <w:tcPr>
            <w:tcW w:w="2414" w:type="pct"/>
            <w:tcBorders>
              <w:top w:val="single" w:color="auto" w:sz="4" w:space="0"/>
              <w:left w:val="single" w:color="auto" w:sz="4" w:space="0"/>
              <w:bottom w:val="single" w:color="auto" w:sz="4" w:space="0"/>
              <w:right w:val="single" w:color="auto" w:sz="4" w:space="0"/>
            </w:tcBorders>
            <w:vAlign w:val="center"/>
          </w:tcPr>
          <w:p w14:paraId="4B791720">
            <w:pPr>
              <w:spacing w:line="500" w:lineRule="exact"/>
              <w:jc w:val="center"/>
              <w:rPr>
                <w:color w:val="auto"/>
                <w:szCs w:val="21"/>
              </w:rPr>
            </w:pPr>
            <w:r>
              <w:rPr>
                <w:rFonts w:hint="eastAsia"/>
                <w:color w:val="auto"/>
                <w:szCs w:val="21"/>
              </w:rPr>
              <w:t>详见</w:t>
            </w:r>
            <w:r>
              <w:rPr>
                <w:rFonts w:hint="eastAsia" w:ascii="宋体" w:hAnsi="宋体" w:cs="宋体"/>
                <w:color w:val="auto"/>
                <w:szCs w:val="21"/>
              </w:rPr>
              <w:t>谈判</w:t>
            </w:r>
            <w:r>
              <w:rPr>
                <w:rFonts w:hint="eastAsia"/>
                <w:color w:val="auto"/>
                <w:szCs w:val="21"/>
              </w:rPr>
              <w:t>文件中的“采购需求”</w:t>
            </w:r>
          </w:p>
        </w:tc>
      </w:tr>
      <w:tr w14:paraId="2AF62C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3" w:type="pct"/>
            <w:tcBorders>
              <w:top w:val="single" w:color="auto" w:sz="4" w:space="0"/>
              <w:left w:val="single" w:color="auto" w:sz="4" w:space="0"/>
              <w:bottom w:val="single" w:color="auto" w:sz="4" w:space="0"/>
              <w:right w:val="single" w:color="auto" w:sz="4" w:space="0"/>
            </w:tcBorders>
            <w:vAlign w:val="center"/>
          </w:tcPr>
          <w:p w14:paraId="6FC2AB0D">
            <w:pPr>
              <w:spacing w:line="500" w:lineRule="exact"/>
              <w:jc w:val="center"/>
              <w:rPr>
                <w:color w:val="auto"/>
                <w:szCs w:val="21"/>
              </w:rPr>
            </w:pPr>
            <w:r>
              <w:rPr>
                <w:rFonts w:hint="eastAsia"/>
                <w:color w:val="auto"/>
                <w:szCs w:val="21"/>
              </w:rPr>
              <w:t>2</w:t>
            </w:r>
            <w:r>
              <w:rPr>
                <w:rFonts w:hint="eastAsia"/>
                <w:color w:val="auto"/>
                <w:szCs w:val="21"/>
                <w:lang w:val="en-US" w:eastAsia="zh-CN"/>
              </w:rPr>
              <w:t>0</w:t>
            </w:r>
          </w:p>
        </w:tc>
        <w:tc>
          <w:tcPr>
            <w:tcW w:w="1176" w:type="pct"/>
            <w:tcBorders>
              <w:top w:val="single" w:color="auto" w:sz="4" w:space="0"/>
              <w:left w:val="single" w:color="auto" w:sz="4" w:space="0"/>
              <w:bottom w:val="single" w:color="auto" w:sz="4" w:space="0"/>
              <w:right w:val="single" w:color="auto" w:sz="4" w:space="0"/>
            </w:tcBorders>
            <w:vAlign w:val="center"/>
          </w:tcPr>
          <w:p w14:paraId="7F48F88A">
            <w:pPr>
              <w:spacing w:line="500" w:lineRule="exact"/>
              <w:jc w:val="center"/>
              <w:rPr>
                <w:color w:val="auto"/>
                <w:szCs w:val="21"/>
              </w:rPr>
            </w:pPr>
            <w:r>
              <w:rPr>
                <w:color w:val="auto"/>
                <w:szCs w:val="21"/>
              </w:rPr>
              <w:t>机柜</w:t>
            </w:r>
          </w:p>
        </w:tc>
        <w:tc>
          <w:tcPr>
            <w:tcW w:w="480" w:type="pct"/>
            <w:tcBorders>
              <w:top w:val="single" w:color="auto" w:sz="4" w:space="0"/>
              <w:left w:val="single" w:color="auto" w:sz="4" w:space="0"/>
              <w:bottom w:val="single" w:color="auto" w:sz="4" w:space="0"/>
              <w:right w:val="single" w:color="auto" w:sz="4" w:space="0"/>
            </w:tcBorders>
            <w:vAlign w:val="center"/>
          </w:tcPr>
          <w:p w14:paraId="7AF1FD46">
            <w:pPr>
              <w:spacing w:line="500" w:lineRule="exact"/>
              <w:jc w:val="center"/>
              <w:rPr>
                <w:color w:val="auto"/>
                <w:szCs w:val="21"/>
              </w:rPr>
            </w:pPr>
            <w:r>
              <w:rPr>
                <w:color w:val="auto"/>
                <w:szCs w:val="21"/>
              </w:rPr>
              <w:t>3</w:t>
            </w:r>
          </w:p>
        </w:tc>
        <w:tc>
          <w:tcPr>
            <w:tcW w:w="546" w:type="pct"/>
            <w:tcBorders>
              <w:top w:val="single" w:color="auto" w:sz="4" w:space="0"/>
              <w:left w:val="single" w:color="auto" w:sz="4" w:space="0"/>
              <w:bottom w:val="single" w:color="auto" w:sz="4" w:space="0"/>
              <w:right w:val="single" w:color="auto" w:sz="4" w:space="0"/>
            </w:tcBorders>
            <w:vAlign w:val="center"/>
          </w:tcPr>
          <w:p w14:paraId="54A12D70">
            <w:pPr>
              <w:spacing w:line="500" w:lineRule="exact"/>
              <w:jc w:val="center"/>
              <w:rPr>
                <w:color w:val="auto"/>
                <w:szCs w:val="21"/>
              </w:rPr>
            </w:pPr>
            <w:r>
              <w:rPr>
                <w:color w:val="auto"/>
                <w:szCs w:val="21"/>
              </w:rPr>
              <w:t>台</w:t>
            </w:r>
          </w:p>
        </w:tc>
        <w:tc>
          <w:tcPr>
            <w:tcW w:w="2414" w:type="pct"/>
            <w:tcBorders>
              <w:top w:val="single" w:color="auto" w:sz="4" w:space="0"/>
              <w:left w:val="single" w:color="auto" w:sz="4" w:space="0"/>
              <w:bottom w:val="single" w:color="auto" w:sz="4" w:space="0"/>
              <w:right w:val="single" w:color="auto" w:sz="4" w:space="0"/>
            </w:tcBorders>
            <w:vAlign w:val="center"/>
          </w:tcPr>
          <w:p w14:paraId="5258A7CE">
            <w:pPr>
              <w:spacing w:line="500" w:lineRule="exact"/>
              <w:jc w:val="center"/>
              <w:rPr>
                <w:color w:val="auto"/>
                <w:szCs w:val="21"/>
              </w:rPr>
            </w:pPr>
            <w:r>
              <w:rPr>
                <w:rFonts w:hint="eastAsia"/>
                <w:color w:val="auto"/>
                <w:szCs w:val="21"/>
              </w:rPr>
              <w:t>详见</w:t>
            </w:r>
            <w:r>
              <w:rPr>
                <w:rFonts w:hint="eastAsia" w:ascii="宋体" w:hAnsi="宋体" w:cs="宋体"/>
                <w:color w:val="auto"/>
                <w:szCs w:val="21"/>
              </w:rPr>
              <w:t>谈判</w:t>
            </w:r>
            <w:r>
              <w:rPr>
                <w:rFonts w:hint="eastAsia"/>
                <w:color w:val="auto"/>
                <w:szCs w:val="21"/>
              </w:rPr>
              <w:t>文件中的“采购需求”</w:t>
            </w:r>
          </w:p>
        </w:tc>
      </w:tr>
      <w:tr w14:paraId="0C66FC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3" w:type="pct"/>
            <w:tcBorders>
              <w:top w:val="single" w:color="auto" w:sz="4" w:space="0"/>
              <w:left w:val="single" w:color="auto" w:sz="4" w:space="0"/>
              <w:bottom w:val="single" w:color="auto" w:sz="4" w:space="0"/>
              <w:right w:val="single" w:color="auto" w:sz="4" w:space="0"/>
            </w:tcBorders>
            <w:vAlign w:val="center"/>
          </w:tcPr>
          <w:p w14:paraId="7A5EC58A">
            <w:pPr>
              <w:spacing w:line="500" w:lineRule="exact"/>
              <w:jc w:val="center"/>
              <w:rPr>
                <w:rFonts w:hint="eastAsia" w:eastAsia="宋体"/>
                <w:color w:val="auto"/>
                <w:szCs w:val="21"/>
                <w:lang w:val="en-US" w:eastAsia="zh-CN"/>
              </w:rPr>
            </w:pPr>
            <w:r>
              <w:rPr>
                <w:rFonts w:hint="eastAsia"/>
                <w:color w:val="auto"/>
                <w:szCs w:val="21"/>
              </w:rPr>
              <w:t>2</w:t>
            </w:r>
            <w:r>
              <w:rPr>
                <w:rFonts w:hint="eastAsia"/>
                <w:color w:val="auto"/>
                <w:szCs w:val="21"/>
                <w:lang w:val="en-US" w:eastAsia="zh-CN"/>
              </w:rPr>
              <w:t>1</w:t>
            </w:r>
          </w:p>
        </w:tc>
        <w:tc>
          <w:tcPr>
            <w:tcW w:w="1176" w:type="pct"/>
            <w:tcBorders>
              <w:top w:val="single" w:color="auto" w:sz="4" w:space="0"/>
              <w:left w:val="single" w:color="auto" w:sz="4" w:space="0"/>
              <w:bottom w:val="single" w:color="auto" w:sz="4" w:space="0"/>
              <w:right w:val="single" w:color="auto" w:sz="4" w:space="0"/>
            </w:tcBorders>
            <w:vAlign w:val="center"/>
          </w:tcPr>
          <w:p w14:paraId="01A19EDF">
            <w:pPr>
              <w:spacing w:line="500" w:lineRule="exact"/>
              <w:jc w:val="center"/>
              <w:rPr>
                <w:color w:val="auto"/>
                <w:szCs w:val="21"/>
              </w:rPr>
            </w:pPr>
            <w:r>
              <w:rPr>
                <w:color w:val="auto"/>
                <w:szCs w:val="21"/>
              </w:rPr>
              <w:t>设备安装及线材</w:t>
            </w:r>
          </w:p>
        </w:tc>
        <w:tc>
          <w:tcPr>
            <w:tcW w:w="480" w:type="pct"/>
            <w:tcBorders>
              <w:top w:val="single" w:color="auto" w:sz="4" w:space="0"/>
              <w:left w:val="single" w:color="auto" w:sz="4" w:space="0"/>
              <w:bottom w:val="single" w:color="auto" w:sz="4" w:space="0"/>
              <w:right w:val="single" w:color="auto" w:sz="4" w:space="0"/>
            </w:tcBorders>
            <w:vAlign w:val="center"/>
          </w:tcPr>
          <w:p w14:paraId="28632B55">
            <w:pPr>
              <w:spacing w:line="500" w:lineRule="exact"/>
              <w:jc w:val="center"/>
              <w:rPr>
                <w:color w:val="auto"/>
                <w:szCs w:val="21"/>
              </w:rPr>
            </w:pPr>
            <w:r>
              <w:rPr>
                <w:color w:val="auto"/>
                <w:szCs w:val="21"/>
              </w:rPr>
              <w:t>1</w:t>
            </w:r>
          </w:p>
        </w:tc>
        <w:tc>
          <w:tcPr>
            <w:tcW w:w="546" w:type="pct"/>
            <w:tcBorders>
              <w:top w:val="single" w:color="auto" w:sz="4" w:space="0"/>
              <w:left w:val="single" w:color="auto" w:sz="4" w:space="0"/>
              <w:bottom w:val="single" w:color="auto" w:sz="4" w:space="0"/>
              <w:right w:val="single" w:color="auto" w:sz="4" w:space="0"/>
            </w:tcBorders>
            <w:vAlign w:val="center"/>
          </w:tcPr>
          <w:p w14:paraId="01C4929A">
            <w:pPr>
              <w:spacing w:line="500" w:lineRule="exact"/>
              <w:jc w:val="center"/>
              <w:rPr>
                <w:color w:val="auto"/>
                <w:szCs w:val="21"/>
              </w:rPr>
            </w:pPr>
            <w:r>
              <w:rPr>
                <w:color w:val="auto"/>
                <w:szCs w:val="21"/>
              </w:rPr>
              <w:t>项</w:t>
            </w:r>
          </w:p>
        </w:tc>
        <w:tc>
          <w:tcPr>
            <w:tcW w:w="2414" w:type="pct"/>
            <w:tcBorders>
              <w:top w:val="single" w:color="auto" w:sz="4" w:space="0"/>
              <w:left w:val="single" w:color="auto" w:sz="4" w:space="0"/>
              <w:bottom w:val="single" w:color="auto" w:sz="4" w:space="0"/>
              <w:right w:val="single" w:color="auto" w:sz="4" w:space="0"/>
            </w:tcBorders>
            <w:vAlign w:val="center"/>
          </w:tcPr>
          <w:p w14:paraId="3B8B44F9">
            <w:pPr>
              <w:spacing w:line="500" w:lineRule="exact"/>
              <w:jc w:val="center"/>
              <w:rPr>
                <w:color w:val="auto"/>
                <w:szCs w:val="21"/>
              </w:rPr>
            </w:pPr>
            <w:r>
              <w:rPr>
                <w:rFonts w:hint="eastAsia"/>
                <w:color w:val="auto"/>
                <w:szCs w:val="21"/>
              </w:rPr>
              <w:t>详见</w:t>
            </w:r>
            <w:r>
              <w:rPr>
                <w:rFonts w:hint="eastAsia" w:ascii="宋体" w:hAnsi="宋体" w:cs="宋体"/>
                <w:color w:val="auto"/>
                <w:szCs w:val="21"/>
              </w:rPr>
              <w:t>谈判</w:t>
            </w:r>
            <w:r>
              <w:rPr>
                <w:rFonts w:hint="eastAsia"/>
                <w:color w:val="auto"/>
                <w:szCs w:val="21"/>
              </w:rPr>
              <w:t>文件中的“采购需求”</w:t>
            </w:r>
          </w:p>
        </w:tc>
      </w:tr>
      <w:tr w14:paraId="694717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0D41E3AD">
            <w:pPr>
              <w:spacing w:line="500" w:lineRule="exact"/>
              <w:rPr>
                <w:color w:val="auto"/>
                <w:szCs w:val="21"/>
              </w:rPr>
            </w:pPr>
            <w:r>
              <w:rPr>
                <w:rFonts w:hint="eastAsia"/>
                <w:color w:val="auto"/>
                <w:szCs w:val="21"/>
                <w:lang w:val="en-US" w:eastAsia="zh-CN"/>
              </w:rPr>
              <w:t>四、硬件设施</w:t>
            </w:r>
          </w:p>
        </w:tc>
      </w:tr>
      <w:tr w14:paraId="3F4D2A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3" w:type="pct"/>
            <w:tcBorders>
              <w:top w:val="single" w:color="auto" w:sz="4" w:space="0"/>
              <w:left w:val="single" w:color="auto" w:sz="4" w:space="0"/>
              <w:bottom w:val="single" w:color="auto" w:sz="4" w:space="0"/>
              <w:right w:val="single" w:color="auto" w:sz="4" w:space="0"/>
            </w:tcBorders>
            <w:vAlign w:val="center"/>
          </w:tcPr>
          <w:p w14:paraId="5813332F">
            <w:pPr>
              <w:spacing w:line="500" w:lineRule="exact"/>
              <w:jc w:val="center"/>
              <w:rPr>
                <w:rFonts w:hint="default"/>
                <w:color w:val="auto"/>
                <w:szCs w:val="21"/>
                <w:lang w:val="en-US"/>
              </w:rPr>
            </w:pPr>
            <w:r>
              <w:rPr>
                <w:rFonts w:hint="eastAsia"/>
                <w:color w:val="auto"/>
                <w:szCs w:val="21"/>
                <w:lang w:val="en-US" w:eastAsia="zh-CN"/>
              </w:rPr>
              <w:t>22</w:t>
            </w:r>
          </w:p>
        </w:tc>
        <w:tc>
          <w:tcPr>
            <w:tcW w:w="1176" w:type="pct"/>
            <w:tcBorders>
              <w:top w:val="single" w:color="auto" w:sz="4" w:space="0"/>
              <w:left w:val="single" w:color="auto" w:sz="4" w:space="0"/>
              <w:bottom w:val="single" w:color="auto" w:sz="4" w:space="0"/>
              <w:right w:val="single" w:color="auto" w:sz="4" w:space="0"/>
            </w:tcBorders>
            <w:vAlign w:val="center"/>
          </w:tcPr>
          <w:p w14:paraId="3D1B72A8">
            <w:pPr>
              <w:spacing w:line="500" w:lineRule="exact"/>
              <w:jc w:val="center"/>
              <w:rPr>
                <w:color w:val="auto"/>
                <w:szCs w:val="21"/>
              </w:rPr>
            </w:pPr>
            <w:r>
              <w:rPr>
                <w:rFonts w:hint="eastAsia"/>
                <w:color w:val="auto"/>
                <w:szCs w:val="21"/>
                <w:lang w:val="en-US" w:eastAsia="zh-CN"/>
              </w:rPr>
              <w:t>存储交换机</w:t>
            </w:r>
          </w:p>
        </w:tc>
        <w:tc>
          <w:tcPr>
            <w:tcW w:w="480" w:type="pct"/>
            <w:tcBorders>
              <w:top w:val="single" w:color="auto" w:sz="4" w:space="0"/>
              <w:left w:val="single" w:color="auto" w:sz="4" w:space="0"/>
              <w:bottom w:val="single" w:color="auto" w:sz="4" w:space="0"/>
              <w:right w:val="single" w:color="auto" w:sz="4" w:space="0"/>
            </w:tcBorders>
            <w:vAlign w:val="center"/>
          </w:tcPr>
          <w:p w14:paraId="528AEC58">
            <w:pPr>
              <w:spacing w:line="500" w:lineRule="exact"/>
              <w:jc w:val="center"/>
              <w:rPr>
                <w:color w:val="auto"/>
                <w:szCs w:val="21"/>
              </w:rPr>
            </w:pPr>
            <w:r>
              <w:rPr>
                <w:rFonts w:hint="eastAsia"/>
                <w:color w:val="auto"/>
                <w:szCs w:val="21"/>
                <w:lang w:val="en-US" w:eastAsia="zh-CN"/>
              </w:rPr>
              <w:t>1</w:t>
            </w:r>
          </w:p>
        </w:tc>
        <w:tc>
          <w:tcPr>
            <w:tcW w:w="546" w:type="pct"/>
            <w:tcBorders>
              <w:top w:val="single" w:color="auto" w:sz="4" w:space="0"/>
              <w:left w:val="single" w:color="auto" w:sz="4" w:space="0"/>
              <w:bottom w:val="single" w:color="auto" w:sz="4" w:space="0"/>
              <w:right w:val="single" w:color="auto" w:sz="4" w:space="0"/>
            </w:tcBorders>
            <w:vAlign w:val="center"/>
          </w:tcPr>
          <w:p w14:paraId="2460BBE5">
            <w:pPr>
              <w:spacing w:line="500" w:lineRule="exact"/>
              <w:jc w:val="center"/>
              <w:rPr>
                <w:color w:val="auto"/>
                <w:szCs w:val="21"/>
              </w:rPr>
            </w:pPr>
            <w:r>
              <w:rPr>
                <w:rFonts w:hint="eastAsia"/>
                <w:color w:val="auto"/>
                <w:szCs w:val="21"/>
                <w:lang w:val="en-US" w:eastAsia="zh-CN"/>
              </w:rPr>
              <w:t>台</w:t>
            </w:r>
          </w:p>
        </w:tc>
        <w:tc>
          <w:tcPr>
            <w:tcW w:w="2414" w:type="pct"/>
            <w:tcBorders>
              <w:top w:val="single" w:color="auto" w:sz="4" w:space="0"/>
              <w:left w:val="single" w:color="auto" w:sz="4" w:space="0"/>
              <w:bottom w:val="single" w:color="auto" w:sz="4" w:space="0"/>
              <w:right w:val="single" w:color="auto" w:sz="4" w:space="0"/>
            </w:tcBorders>
            <w:vAlign w:val="center"/>
          </w:tcPr>
          <w:p w14:paraId="024ADD17">
            <w:pPr>
              <w:spacing w:line="500" w:lineRule="exact"/>
              <w:jc w:val="center"/>
              <w:rPr>
                <w:color w:val="auto"/>
                <w:szCs w:val="21"/>
              </w:rPr>
            </w:pPr>
            <w:r>
              <w:rPr>
                <w:rFonts w:hint="eastAsia"/>
                <w:color w:val="auto"/>
                <w:szCs w:val="21"/>
              </w:rPr>
              <w:t>详见</w:t>
            </w:r>
            <w:r>
              <w:rPr>
                <w:rFonts w:hint="eastAsia" w:ascii="宋体" w:hAnsi="宋体" w:cs="宋体"/>
                <w:color w:val="auto"/>
                <w:szCs w:val="21"/>
              </w:rPr>
              <w:t>谈判</w:t>
            </w:r>
            <w:r>
              <w:rPr>
                <w:rFonts w:hint="eastAsia"/>
                <w:color w:val="auto"/>
                <w:szCs w:val="21"/>
              </w:rPr>
              <w:t>文件中的“采购需求”</w:t>
            </w:r>
          </w:p>
        </w:tc>
      </w:tr>
      <w:tr w14:paraId="17FB6C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44985E44">
            <w:pPr>
              <w:spacing w:line="500" w:lineRule="exact"/>
              <w:rPr>
                <w:color w:val="auto"/>
                <w:szCs w:val="21"/>
              </w:rPr>
            </w:pPr>
            <w:r>
              <w:rPr>
                <w:rFonts w:hint="eastAsia"/>
                <w:color w:val="auto"/>
                <w:szCs w:val="21"/>
                <w:lang w:val="en-US" w:eastAsia="zh-CN"/>
              </w:rPr>
              <w:t>五</w:t>
            </w:r>
            <w:r>
              <w:rPr>
                <w:rFonts w:hint="eastAsia"/>
                <w:color w:val="auto"/>
                <w:szCs w:val="21"/>
              </w:rPr>
              <w:t>、数字化校园对接</w:t>
            </w:r>
          </w:p>
        </w:tc>
      </w:tr>
      <w:tr w14:paraId="7A79E1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3" w:type="pct"/>
            <w:tcBorders>
              <w:top w:val="single" w:color="auto" w:sz="4" w:space="0"/>
              <w:left w:val="single" w:color="auto" w:sz="4" w:space="0"/>
              <w:bottom w:val="single" w:color="auto" w:sz="4" w:space="0"/>
              <w:right w:val="single" w:color="auto" w:sz="4" w:space="0"/>
            </w:tcBorders>
            <w:vAlign w:val="center"/>
          </w:tcPr>
          <w:p w14:paraId="05A14C6C">
            <w:pPr>
              <w:spacing w:line="500" w:lineRule="exact"/>
              <w:jc w:val="center"/>
              <w:rPr>
                <w:rFonts w:hint="default"/>
                <w:color w:val="auto"/>
                <w:szCs w:val="21"/>
                <w:lang w:val="en-US"/>
              </w:rPr>
            </w:pPr>
            <w:r>
              <w:rPr>
                <w:rFonts w:hint="eastAsia"/>
                <w:color w:val="auto"/>
                <w:szCs w:val="21"/>
              </w:rPr>
              <w:t>2</w:t>
            </w:r>
            <w:r>
              <w:rPr>
                <w:rFonts w:hint="eastAsia"/>
                <w:color w:val="auto"/>
                <w:szCs w:val="21"/>
                <w:lang w:val="en-US" w:eastAsia="zh-CN"/>
              </w:rPr>
              <w:t>3</w:t>
            </w:r>
          </w:p>
        </w:tc>
        <w:tc>
          <w:tcPr>
            <w:tcW w:w="1176" w:type="pct"/>
            <w:tcBorders>
              <w:top w:val="single" w:color="auto" w:sz="4" w:space="0"/>
              <w:left w:val="single" w:color="auto" w:sz="4" w:space="0"/>
              <w:bottom w:val="single" w:color="auto" w:sz="4" w:space="0"/>
              <w:right w:val="single" w:color="auto" w:sz="4" w:space="0"/>
            </w:tcBorders>
            <w:vAlign w:val="center"/>
          </w:tcPr>
          <w:p w14:paraId="32B04510">
            <w:pPr>
              <w:spacing w:line="500" w:lineRule="exact"/>
              <w:jc w:val="center"/>
              <w:rPr>
                <w:color w:val="auto"/>
                <w:szCs w:val="21"/>
              </w:rPr>
            </w:pPr>
            <w:r>
              <w:rPr>
                <w:color w:val="auto"/>
                <w:szCs w:val="21"/>
              </w:rPr>
              <w:t>财务核算系统和收费系统对接</w:t>
            </w:r>
          </w:p>
        </w:tc>
        <w:tc>
          <w:tcPr>
            <w:tcW w:w="480" w:type="pct"/>
            <w:tcBorders>
              <w:top w:val="single" w:color="auto" w:sz="4" w:space="0"/>
              <w:left w:val="single" w:color="auto" w:sz="4" w:space="0"/>
              <w:bottom w:val="single" w:color="auto" w:sz="4" w:space="0"/>
              <w:right w:val="single" w:color="auto" w:sz="4" w:space="0"/>
            </w:tcBorders>
            <w:vAlign w:val="center"/>
          </w:tcPr>
          <w:p w14:paraId="42FD412B">
            <w:pPr>
              <w:spacing w:line="500" w:lineRule="exact"/>
              <w:jc w:val="center"/>
              <w:rPr>
                <w:color w:val="auto"/>
                <w:szCs w:val="21"/>
              </w:rPr>
            </w:pPr>
            <w:r>
              <w:rPr>
                <w:color w:val="auto"/>
                <w:szCs w:val="21"/>
              </w:rPr>
              <w:t>1</w:t>
            </w:r>
          </w:p>
        </w:tc>
        <w:tc>
          <w:tcPr>
            <w:tcW w:w="546" w:type="pct"/>
            <w:tcBorders>
              <w:top w:val="single" w:color="auto" w:sz="4" w:space="0"/>
              <w:left w:val="single" w:color="auto" w:sz="4" w:space="0"/>
              <w:bottom w:val="single" w:color="auto" w:sz="4" w:space="0"/>
              <w:right w:val="single" w:color="auto" w:sz="4" w:space="0"/>
            </w:tcBorders>
            <w:vAlign w:val="center"/>
          </w:tcPr>
          <w:p w14:paraId="64C336D8">
            <w:pPr>
              <w:spacing w:line="500" w:lineRule="exact"/>
              <w:jc w:val="center"/>
              <w:rPr>
                <w:color w:val="auto"/>
                <w:szCs w:val="21"/>
              </w:rPr>
            </w:pPr>
            <w:r>
              <w:rPr>
                <w:color w:val="auto"/>
                <w:szCs w:val="21"/>
              </w:rPr>
              <w:t>项</w:t>
            </w:r>
          </w:p>
        </w:tc>
        <w:tc>
          <w:tcPr>
            <w:tcW w:w="2414" w:type="pct"/>
            <w:tcBorders>
              <w:top w:val="single" w:color="auto" w:sz="4" w:space="0"/>
              <w:left w:val="single" w:color="auto" w:sz="4" w:space="0"/>
              <w:bottom w:val="single" w:color="auto" w:sz="4" w:space="0"/>
              <w:right w:val="single" w:color="auto" w:sz="4" w:space="0"/>
            </w:tcBorders>
            <w:vAlign w:val="center"/>
          </w:tcPr>
          <w:p w14:paraId="37CF8BD9">
            <w:pPr>
              <w:spacing w:line="500" w:lineRule="exact"/>
              <w:jc w:val="center"/>
              <w:rPr>
                <w:color w:val="auto"/>
                <w:szCs w:val="21"/>
              </w:rPr>
            </w:pPr>
            <w:r>
              <w:rPr>
                <w:rFonts w:hint="eastAsia"/>
                <w:color w:val="auto"/>
                <w:szCs w:val="21"/>
              </w:rPr>
              <w:t>详见</w:t>
            </w:r>
            <w:r>
              <w:rPr>
                <w:rFonts w:hint="eastAsia" w:ascii="宋体" w:hAnsi="宋体" w:cs="宋体"/>
                <w:color w:val="auto"/>
                <w:szCs w:val="21"/>
              </w:rPr>
              <w:t>谈判</w:t>
            </w:r>
            <w:r>
              <w:rPr>
                <w:rFonts w:hint="eastAsia"/>
                <w:color w:val="auto"/>
                <w:szCs w:val="21"/>
              </w:rPr>
              <w:t>文件中的“采购需求”</w:t>
            </w:r>
          </w:p>
        </w:tc>
      </w:tr>
      <w:tr w14:paraId="6DFABA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3" w:type="pct"/>
            <w:tcBorders>
              <w:top w:val="single" w:color="auto" w:sz="4" w:space="0"/>
              <w:left w:val="single" w:color="auto" w:sz="4" w:space="0"/>
              <w:bottom w:val="single" w:color="auto" w:sz="4" w:space="0"/>
              <w:right w:val="single" w:color="auto" w:sz="4" w:space="0"/>
            </w:tcBorders>
            <w:vAlign w:val="center"/>
          </w:tcPr>
          <w:p w14:paraId="19C29EA4">
            <w:pPr>
              <w:spacing w:line="500" w:lineRule="exact"/>
              <w:jc w:val="center"/>
              <w:rPr>
                <w:rFonts w:hint="default"/>
                <w:color w:val="auto"/>
                <w:szCs w:val="21"/>
                <w:lang w:val="en-US"/>
              </w:rPr>
            </w:pPr>
            <w:r>
              <w:rPr>
                <w:rFonts w:hint="eastAsia"/>
                <w:color w:val="auto"/>
                <w:szCs w:val="21"/>
                <w:lang w:val="en-US" w:eastAsia="zh-CN"/>
              </w:rPr>
              <w:t>24</w:t>
            </w:r>
          </w:p>
        </w:tc>
        <w:tc>
          <w:tcPr>
            <w:tcW w:w="1176" w:type="pct"/>
            <w:tcBorders>
              <w:top w:val="single" w:color="auto" w:sz="4" w:space="0"/>
              <w:left w:val="single" w:color="auto" w:sz="4" w:space="0"/>
              <w:bottom w:val="single" w:color="auto" w:sz="4" w:space="0"/>
              <w:right w:val="single" w:color="auto" w:sz="4" w:space="0"/>
            </w:tcBorders>
            <w:vAlign w:val="center"/>
          </w:tcPr>
          <w:p w14:paraId="5BA38C2D">
            <w:pPr>
              <w:spacing w:line="500" w:lineRule="exact"/>
              <w:jc w:val="center"/>
              <w:rPr>
                <w:color w:val="auto"/>
                <w:szCs w:val="21"/>
              </w:rPr>
            </w:pPr>
            <w:r>
              <w:rPr>
                <w:color w:val="auto"/>
                <w:szCs w:val="21"/>
              </w:rPr>
              <w:t>统一认证对接</w:t>
            </w:r>
          </w:p>
        </w:tc>
        <w:tc>
          <w:tcPr>
            <w:tcW w:w="480" w:type="pct"/>
            <w:tcBorders>
              <w:top w:val="single" w:color="auto" w:sz="4" w:space="0"/>
              <w:left w:val="single" w:color="auto" w:sz="4" w:space="0"/>
              <w:bottom w:val="single" w:color="auto" w:sz="4" w:space="0"/>
              <w:right w:val="single" w:color="auto" w:sz="4" w:space="0"/>
            </w:tcBorders>
            <w:vAlign w:val="bottom"/>
          </w:tcPr>
          <w:p w14:paraId="6115AD70">
            <w:pPr>
              <w:spacing w:line="500" w:lineRule="exact"/>
              <w:jc w:val="center"/>
              <w:rPr>
                <w:color w:val="auto"/>
                <w:szCs w:val="21"/>
              </w:rPr>
            </w:pPr>
            <w:r>
              <w:rPr>
                <w:color w:val="auto"/>
                <w:szCs w:val="21"/>
              </w:rPr>
              <w:t>1</w:t>
            </w:r>
          </w:p>
        </w:tc>
        <w:tc>
          <w:tcPr>
            <w:tcW w:w="546" w:type="pct"/>
            <w:tcBorders>
              <w:top w:val="single" w:color="auto" w:sz="4" w:space="0"/>
              <w:left w:val="single" w:color="auto" w:sz="4" w:space="0"/>
              <w:bottom w:val="single" w:color="auto" w:sz="4" w:space="0"/>
              <w:right w:val="single" w:color="auto" w:sz="4" w:space="0"/>
            </w:tcBorders>
            <w:vAlign w:val="bottom"/>
          </w:tcPr>
          <w:p w14:paraId="71C33FDB">
            <w:pPr>
              <w:spacing w:line="500" w:lineRule="exact"/>
              <w:jc w:val="center"/>
              <w:rPr>
                <w:color w:val="auto"/>
                <w:szCs w:val="21"/>
              </w:rPr>
            </w:pPr>
            <w:r>
              <w:rPr>
                <w:color w:val="auto"/>
                <w:szCs w:val="21"/>
              </w:rPr>
              <w:t>项</w:t>
            </w:r>
          </w:p>
        </w:tc>
        <w:tc>
          <w:tcPr>
            <w:tcW w:w="2414" w:type="pct"/>
            <w:tcBorders>
              <w:top w:val="single" w:color="auto" w:sz="4" w:space="0"/>
              <w:left w:val="single" w:color="auto" w:sz="4" w:space="0"/>
              <w:bottom w:val="single" w:color="auto" w:sz="4" w:space="0"/>
              <w:right w:val="single" w:color="auto" w:sz="4" w:space="0"/>
            </w:tcBorders>
            <w:vAlign w:val="center"/>
          </w:tcPr>
          <w:p w14:paraId="3AA30C3B">
            <w:pPr>
              <w:spacing w:line="500" w:lineRule="exact"/>
              <w:jc w:val="center"/>
              <w:rPr>
                <w:color w:val="auto"/>
                <w:szCs w:val="21"/>
              </w:rPr>
            </w:pPr>
            <w:r>
              <w:rPr>
                <w:rFonts w:hint="eastAsia"/>
                <w:color w:val="auto"/>
                <w:szCs w:val="21"/>
              </w:rPr>
              <w:t>详见</w:t>
            </w:r>
            <w:r>
              <w:rPr>
                <w:rFonts w:hint="eastAsia" w:ascii="宋体" w:hAnsi="宋体" w:cs="宋体"/>
                <w:color w:val="auto"/>
                <w:szCs w:val="21"/>
              </w:rPr>
              <w:t>谈判</w:t>
            </w:r>
            <w:r>
              <w:rPr>
                <w:rFonts w:hint="eastAsia"/>
                <w:color w:val="auto"/>
                <w:szCs w:val="21"/>
              </w:rPr>
              <w:t>文件中的“采购需求”</w:t>
            </w:r>
          </w:p>
        </w:tc>
      </w:tr>
      <w:tr w14:paraId="465A39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3" w:type="pct"/>
            <w:tcBorders>
              <w:top w:val="single" w:color="auto" w:sz="4" w:space="0"/>
              <w:left w:val="single" w:color="auto" w:sz="4" w:space="0"/>
              <w:bottom w:val="single" w:color="auto" w:sz="4" w:space="0"/>
              <w:right w:val="single" w:color="auto" w:sz="4" w:space="0"/>
            </w:tcBorders>
            <w:vAlign w:val="center"/>
          </w:tcPr>
          <w:p w14:paraId="6C162609">
            <w:pPr>
              <w:spacing w:line="500" w:lineRule="exact"/>
              <w:jc w:val="center"/>
              <w:rPr>
                <w:rFonts w:hint="default"/>
                <w:color w:val="auto"/>
                <w:szCs w:val="21"/>
                <w:lang w:val="en-US"/>
              </w:rPr>
            </w:pPr>
            <w:r>
              <w:rPr>
                <w:rFonts w:hint="eastAsia"/>
                <w:color w:val="auto"/>
                <w:szCs w:val="21"/>
                <w:lang w:val="en-US" w:eastAsia="zh-CN"/>
              </w:rPr>
              <w:t>25</w:t>
            </w:r>
          </w:p>
        </w:tc>
        <w:tc>
          <w:tcPr>
            <w:tcW w:w="1176" w:type="pct"/>
            <w:tcBorders>
              <w:top w:val="single" w:color="auto" w:sz="4" w:space="0"/>
              <w:left w:val="single" w:color="auto" w:sz="4" w:space="0"/>
              <w:bottom w:val="single" w:color="auto" w:sz="4" w:space="0"/>
              <w:right w:val="single" w:color="auto" w:sz="4" w:space="0"/>
            </w:tcBorders>
            <w:vAlign w:val="center"/>
          </w:tcPr>
          <w:p w14:paraId="4127F563">
            <w:pPr>
              <w:spacing w:line="500" w:lineRule="exact"/>
              <w:jc w:val="center"/>
              <w:rPr>
                <w:color w:val="auto"/>
                <w:szCs w:val="21"/>
              </w:rPr>
            </w:pPr>
            <w:r>
              <w:rPr>
                <w:color w:val="auto"/>
                <w:szCs w:val="21"/>
              </w:rPr>
              <w:t>统一数据对接</w:t>
            </w:r>
          </w:p>
        </w:tc>
        <w:tc>
          <w:tcPr>
            <w:tcW w:w="480" w:type="pct"/>
            <w:tcBorders>
              <w:top w:val="single" w:color="auto" w:sz="4" w:space="0"/>
              <w:left w:val="single" w:color="auto" w:sz="4" w:space="0"/>
              <w:bottom w:val="single" w:color="auto" w:sz="4" w:space="0"/>
              <w:right w:val="single" w:color="auto" w:sz="4" w:space="0"/>
            </w:tcBorders>
            <w:vAlign w:val="bottom"/>
          </w:tcPr>
          <w:p w14:paraId="466EB420">
            <w:pPr>
              <w:spacing w:line="500" w:lineRule="exact"/>
              <w:jc w:val="center"/>
              <w:rPr>
                <w:color w:val="auto"/>
                <w:szCs w:val="21"/>
              </w:rPr>
            </w:pPr>
            <w:r>
              <w:rPr>
                <w:color w:val="auto"/>
                <w:szCs w:val="21"/>
              </w:rPr>
              <w:t>1</w:t>
            </w:r>
          </w:p>
        </w:tc>
        <w:tc>
          <w:tcPr>
            <w:tcW w:w="546" w:type="pct"/>
            <w:tcBorders>
              <w:top w:val="single" w:color="auto" w:sz="4" w:space="0"/>
              <w:left w:val="single" w:color="auto" w:sz="4" w:space="0"/>
              <w:bottom w:val="single" w:color="auto" w:sz="4" w:space="0"/>
              <w:right w:val="single" w:color="auto" w:sz="4" w:space="0"/>
            </w:tcBorders>
            <w:vAlign w:val="bottom"/>
          </w:tcPr>
          <w:p w14:paraId="141A4159">
            <w:pPr>
              <w:spacing w:line="500" w:lineRule="exact"/>
              <w:jc w:val="center"/>
              <w:rPr>
                <w:color w:val="auto"/>
                <w:szCs w:val="21"/>
              </w:rPr>
            </w:pPr>
            <w:r>
              <w:rPr>
                <w:color w:val="auto"/>
                <w:szCs w:val="21"/>
              </w:rPr>
              <w:t>项</w:t>
            </w:r>
          </w:p>
        </w:tc>
        <w:tc>
          <w:tcPr>
            <w:tcW w:w="2414" w:type="pct"/>
            <w:tcBorders>
              <w:top w:val="single" w:color="auto" w:sz="4" w:space="0"/>
              <w:left w:val="single" w:color="auto" w:sz="4" w:space="0"/>
              <w:bottom w:val="single" w:color="auto" w:sz="4" w:space="0"/>
              <w:right w:val="single" w:color="auto" w:sz="4" w:space="0"/>
            </w:tcBorders>
            <w:vAlign w:val="center"/>
          </w:tcPr>
          <w:p w14:paraId="74BF5C20">
            <w:pPr>
              <w:spacing w:line="500" w:lineRule="exact"/>
              <w:jc w:val="center"/>
              <w:rPr>
                <w:color w:val="auto"/>
                <w:szCs w:val="21"/>
              </w:rPr>
            </w:pPr>
            <w:r>
              <w:rPr>
                <w:rFonts w:hint="eastAsia"/>
                <w:color w:val="auto"/>
                <w:szCs w:val="21"/>
              </w:rPr>
              <w:t>详见</w:t>
            </w:r>
            <w:r>
              <w:rPr>
                <w:rFonts w:hint="eastAsia" w:ascii="宋体" w:hAnsi="宋体" w:cs="宋体"/>
                <w:color w:val="auto"/>
                <w:szCs w:val="21"/>
              </w:rPr>
              <w:t>谈判</w:t>
            </w:r>
            <w:r>
              <w:rPr>
                <w:rFonts w:hint="eastAsia"/>
                <w:color w:val="auto"/>
                <w:szCs w:val="21"/>
              </w:rPr>
              <w:t>文件中的“采购需求”</w:t>
            </w:r>
          </w:p>
        </w:tc>
      </w:tr>
      <w:tr w14:paraId="636477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3" w:type="pct"/>
            <w:tcBorders>
              <w:top w:val="single" w:color="auto" w:sz="4" w:space="0"/>
              <w:left w:val="single" w:color="auto" w:sz="4" w:space="0"/>
              <w:bottom w:val="single" w:color="auto" w:sz="4" w:space="0"/>
              <w:right w:val="single" w:color="auto" w:sz="4" w:space="0"/>
            </w:tcBorders>
            <w:vAlign w:val="center"/>
          </w:tcPr>
          <w:p w14:paraId="59118A1A">
            <w:pPr>
              <w:spacing w:line="500" w:lineRule="exact"/>
              <w:jc w:val="center"/>
              <w:rPr>
                <w:rFonts w:hint="default"/>
                <w:color w:val="auto"/>
                <w:szCs w:val="21"/>
                <w:lang w:val="en-US"/>
              </w:rPr>
            </w:pPr>
            <w:r>
              <w:rPr>
                <w:rFonts w:hint="eastAsia"/>
                <w:color w:val="auto"/>
                <w:szCs w:val="21"/>
                <w:lang w:val="en-US" w:eastAsia="zh-CN"/>
              </w:rPr>
              <w:t>26</w:t>
            </w:r>
          </w:p>
        </w:tc>
        <w:tc>
          <w:tcPr>
            <w:tcW w:w="1176" w:type="pct"/>
            <w:tcBorders>
              <w:top w:val="single" w:color="auto" w:sz="4" w:space="0"/>
              <w:left w:val="single" w:color="auto" w:sz="4" w:space="0"/>
              <w:bottom w:val="single" w:color="auto" w:sz="4" w:space="0"/>
              <w:right w:val="single" w:color="auto" w:sz="4" w:space="0"/>
            </w:tcBorders>
            <w:vAlign w:val="center"/>
          </w:tcPr>
          <w:p w14:paraId="54E21D5B">
            <w:pPr>
              <w:spacing w:line="500" w:lineRule="exact"/>
              <w:jc w:val="center"/>
              <w:rPr>
                <w:color w:val="auto"/>
                <w:szCs w:val="21"/>
              </w:rPr>
            </w:pPr>
            <w:r>
              <w:rPr>
                <w:color w:val="auto"/>
                <w:szCs w:val="21"/>
              </w:rPr>
              <w:t>统一门户对接</w:t>
            </w:r>
          </w:p>
        </w:tc>
        <w:tc>
          <w:tcPr>
            <w:tcW w:w="480" w:type="pct"/>
            <w:tcBorders>
              <w:top w:val="single" w:color="auto" w:sz="4" w:space="0"/>
              <w:left w:val="single" w:color="auto" w:sz="4" w:space="0"/>
              <w:bottom w:val="single" w:color="auto" w:sz="4" w:space="0"/>
              <w:right w:val="single" w:color="auto" w:sz="4" w:space="0"/>
            </w:tcBorders>
            <w:vAlign w:val="bottom"/>
          </w:tcPr>
          <w:p w14:paraId="36D21751">
            <w:pPr>
              <w:spacing w:line="500" w:lineRule="exact"/>
              <w:jc w:val="center"/>
              <w:rPr>
                <w:color w:val="auto"/>
                <w:szCs w:val="21"/>
              </w:rPr>
            </w:pPr>
            <w:r>
              <w:rPr>
                <w:color w:val="auto"/>
                <w:szCs w:val="21"/>
              </w:rPr>
              <w:t>1</w:t>
            </w:r>
          </w:p>
        </w:tc>
        <w:tc>
          <w:tcPr>
            <w:tcW w:w="546" w:type="pct"/>
            <w:tcBorders>
              <w:top w:val="single" w:color="auto" w:sz="4" w:space="0"/>
              <w:left w:val="single" w:color="auto" w:sz="4" w:space="0"/>
              <w:bottom w:val="single" w:color="auto" w:sz="4" w:space="0"/>
              <w:right w:val="single" w:color="auto" w:sz="4" w:space="0"/>
            </w:tcBorders>
            <w:vAlign w:val="bottom"/>
          </w:tcPr>
          <w:p w14:paraId="1DE3CC25">
            <w:pPr>
              <w:spacing w:line="500" w:lineRule="exact"/>
              <w:jc w:val="center"/>
              <w:rPr>
                <w:color w:val="auto"/>
                <w:szCs w:val="21"/>
              </w:rPr>
            </w:pPr>
            <w:r>
              <w:rPr>
                <w:color w:val="auto"/>
                <w:szCs w:val="21"/>
              </w:rPr>
              <w:t>项</w:t>
            </w:r>
          </w:p>
        </w:tc>
        <w:tc>
          <w:tcPr>
            <w:tcW w:w="2414" w:type="pct"/>
            <w:tcBorders>
              <w:top w:val="single" w:color="auto" w:sz="4" w:space="0"/>
              <w:left w:val="single" w:color="auto" w:sz="4" w:space="0"/>
              <w:bottom w:val="single" w:color="auto" w:sz="4" w:space="0"/>
              <w:right w:val="single" w:color="auto" w:sz="4" w:space="0"/>
            </w:tcBorders>
            <w:vAlign w:val="center"/>
          </w:tcPr>
          <w:p w14:paraId="28CEB88C">
            <w:pPr>
              <w:spacing w:line="500" w:lineRule="exact"/>
              <w:jc w:val="center"/>
              <w:rPr>
                <w:color w:val="auto"/>
                <w:szCs w:val="21"/>
              </w:rPr>
            </w:pPr>
            <w:r>
              <w:rPr>
                <w:rFonts w:hint="eastAsia"/>
                <w:color w:val="auto"/>
                <w:szCs w:val="21"/>
              </w:rPr>
              <w:t>详见</w:t>
            </w:r>
            <w:r>
              <w:rPr>
                <w:rFonts w:hint="eastAsia" w:ascii="宋体" w:hAnsi="宋体" w:cs="宋体"/>
                <w:color w:val="auto"/>
                <w:szCs w:val="21"/>
              </w:rPr>
              <w:t>谈判</w:t>
            </w:r>
            <w:r>
              <w:rPr>
                <w:rFonts w:hint="eastAsia"/>
                <w:color w:val="auto"/>
                <w:szCs w:val="21"/>
              </w:rPr>
              <w:t>文件中的“采购需求”</w:t>
            </w:r>
          </w:p>
        </w:tc>
      </w:tr>
      <w:tr w14:paraId="4A8E03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3" w:type="pct"/>
            <w:tcBorders>
              <w:top w:val="single" w:color="auto" w:sz="4" w:space="0"/>
              <w:left w:val="single" w:color="auto" w:sz="4" w:space="0"/>
              <w:bottom w:val="single" w:color="auto" w:sz="4" w:space="0"/>
              <w:right w:val="single" w:color="auto" w:sz="4" w:space="0"/>
            </w:tcBorders>
            <w:vAlign w:val="center"/>
          </w:tcPr>
          <w:p w14:paraId="219F0BB1">
            <w:pPr>
              <w:spacing w:line="500" w:lineRule="exact"/>
              <w:jc w:val="center"/>
              <w:rPr>
                <w:rFonts w:hint="default"/>
                <w:color w:val="auto"/>
                <w:szCs w:val="21"/>
                <w:lang w:val="en-US"/>
              </w:rPr>
            </w:pPr>
            <w:r>
              <w:rPr>
                <w:rFonts w:hint="eastAsia"/>
                <w:color w:val="auto"/>
                <w:szCs w:val="21"/>
                <w:lang w:val="en-US" w:eastAsia="zh-CN"/>
              </w:rPr>
              <w:t>27</w:t>
            </w:r>
          </w:p>
        </w:tc>
        <w:tc>
          <w:tcPr>
            <w:tcW w:w="1176" w:type="pct"/>
            <w:tcBorders>
              <w:top w:val="single" w:color="auto" w:sz="4" w:space="0"/>
              <w:left w:val="single" w:color="auto" w:sz="4" w:space="0"/>
              <w:bottom w:val="single" w:color="auto" w:sz="4" w:space="0"/>
              <w:right w:val="single" w:color="auto" w:sz="4" w:space="0"/>
            </w:tcBorders>
            <w:vAlign w:val="center"/>
          </w:tcPr>
          <w:p w14:paraId="264F60AD">
            <w:pPr>
              <w:spacing w:line="500" w:lineRule="exact"/>
              <w:jc w:val="center"/>
              <w:rPr>
                <w:color w:val="auto"/>
                <w:szCs w:val="21"/>
              </w:rPr>
            </w:pPr>
            <w:r>
              <w:rPr>
                <w:color w:val="auto"/>
                <w:szCs w:val="21"/>
              </w:rPr>
              <w:t>图书馆系统对接</w:t>
            </w:r>
          </w:p>
        </w:tc>
        <w:tc>
          <w:tcPr>
            <w:tcW w:w="480" w:type="pct"/>
            <w:tcBorders>
              <w:top w:val="single" w:color="auto" w:sz="4" w:space="0"/>
              <w:left w:val="single" w:color="auto" w:sz="4" w:space="0"/>
              <w:bottom w:val="single" w:color="auto" w:sz="4" w:space="0"/>
              <w:right w:val="single" w:color="auto" w:sz="4" w:space="0"/>
            </w:tcBorders>
            <w:vAlign w:val="bottom"/>
          </w:tcPr>
          <w:p w14:paraId="2200FE52">
            <w:pPr>
              <w:spacing w:line="500" w:lineRule="exact"/>
              <w:jc w:val="center"/>
              <w:rPr>
                <w:color w:val="auto"/>
                <w:szCs w:val="21"/>
              </w:rPr>
            </w:pPr>
            <w:r>
              <w:rPr>
                <w:color w:val="auto"/>
                <w:szCs w:val="21"/>
              </w:rPr>
              <w:t>1</w:t>
            </w:r>
          </w:p>
        </w:tc>
        <w:tc>
          <w:tcPr>
            <w:tcW w:w="546" w:type="pct"/>
            <w:tcBorders>
              <w:top w:val="single" w:color="auto" w:sz="4" w:space="0"/>
              <w:left w:val="single" w:color="auto" w:sz="4" w:space="0"/>
              <w:bottom w:val="single" w:color="auto" w:sz="4" w:space="0"/>
              <w:right w:val="single" w:color="auto" w:sz="4" w:space="0"/>
            </w:tcBorders>
            <w:vAlign w:val="bottom"/>
          </w:tcPr>
          <w:p w14:paraId="4BB43F7A">
            <w:pPr>
              <w:spacing w:line="500" w:lineRule="exact"/>
              <w:jc w:val="center"/>
              <w:rPr>
                <w:color w:val="auto"/>
                <w:szCs w:val="21"/>
              </w:rPr>
            </w:pPr>
            <w:r>
              <w:rPr>
                <w:color w:val="auto"/>
                <w:szCs w:val="21"/>
              </w:rPr>
              <w:t>项</w:t>
            </w:r>
          </w:p>
        </w:tc>
        <w:tc>
          <w:tcPr>
            <w:tcW w:w="2414" w:type="pct"/>
            <w:tcBorders>
              <w:top w:val="single" w:color="auto" w:sz="4" w:space="0"/>
              <w:left w:val="single" w:color="auto" w:sz="4" w:space="0"/>
              <w:bottom w:val="single" w:color="auto" w:sz="4" w:space="0"/>
              <w:right w:val="single" w:color="auto" w:sz="4" w:space="0"/>
            </w:tcBorders>
            <w:vAlign w:val="center"/>
          </w:tcPr>
          <w:p w14:paraId="4CC8159F">
            <w:pPr>
              <w:spacing w:line="500" w:lineRule="exact"/>
              <w:jc w:val="center"/>
              <w:rPr>
                <w:color w:val="auto"/>
                <w:szCs w:val="21"/>
              </w:rPr>
            </w:pPr>
            <w:r>
              <w:rPr>
                <w:rFonts w:hint="eastAsia"/>
                <w:color w:val="auto"/>
                <w:szCs w:val="21"/>
              </w:rPr>
              <w:t>详见</w:t>
            </w:r>
            <w:r>
              <w:rPr>
                <w:rFonts w:hint="eastAsia" w:ascii="宋体" w:hAnsi="宋体" w:cs="宋体"/>
                <w:color w:val="auto"/>
                <w:szCs w:val="21"/>
              </w:rPr>
              <w:t>谈判</w:t>
            </w:r>
            <w:r>
              <w:rPr>
                <w:rFonts w:hint="eastAsia"/>
                <w:color w:val="auto"/>
                <w:szCs w:val="21"/>
              </w:rPr>
              <w:t>文件中的“采购需求”</w:t>
            </w:r>
          </w:p>
        </w:tc>
      </w:tr>
      <w:tr w14:paraId="262E57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3" w:type="pct"/>
            <w:tcBorders>
              <w:top w:val="single" w:color="auto" w:sz="4" w:space="0"/>
              <w:left w:val="single" w:color="auto" w:sz="4" w:space="0"/>
              <w:bottom w:val="single" w:color="auto" w:sz="4" w:space="0"/>
              <w:right w:val="single" w:color="auto" w:sz="4" w:space="0"/>
            </w:tcBorders>
            <w:vAlign w:val="center"/>
          </w:tcPr>
          <w:p w14:paraId="3D6F049E">
            <w:pPr>
              <w:spacing w:line="500" w:lineRule="exact"/>
              <w:jc w:val="center"/>
              <w:rPr>
                <w:rFonts w:hint="default" w:eastAsia="宋体"/>
                <w:color w:val="auto"/>
                <w:szCs w:val="21"/>
                <w:lang w:val="en-US" w:eastAsia="zh-CN"/>
              </w:rPr>
            </w:pPr>
            <w:r>
              <w:rPr>
                <w:rFonts w:hint="eastAsia"/>
                <w:color w:val="auto"/>
                <w:szCs w:val="21"/>
                <w:lang w:val="en-US" w:eastAsia="zh-CN"/>
              </w:rPr>
              <w:t>28</w:t>
            </w:r>
          </w:p>
        </w:tc>
        <w:tc>
          <w:tcPr>
            <w:tcW w:w="1176" w:type="pct"/>
            <w:tcBorders>
              <w:top w:val="single" w:color="auto" w:sz="4" w:space="0"/>
              <w:left w:val="single" w:color="auto" w:sz="4" w:space="0"/>
              <w:bottom w:val="single" w:color="auto" w:sz="4" w:space="0"/>
              <w:right w:val="single" w:color="auto" w:sz="4" w:space="0"/>
            </w:tcBorders>
            <w:vAlign w:val="center"/>
          </w:tcPr>
          <w:p w14:paraId="0A2C46C5">
            <w:pPr>
              <w:spacing w:line="500" w:lineRule="exact"/>
              <w:jc w:val="center"/>
              <w:rPr>
                <w:color w:val="auto"/>
                <w:szCs w:val="21"/>
              </w:rPr>
            </w:pPr>
            <w:r>
              <w:rPr>
                <w:rFonts w:hint="eastAsia" w:ascii="宋体" w:hAnsi="宋体" w:cs="宋体"/>
                <w:color w:val="auto"/>
                <w:kern w:val="0"/>
                <w:szCs w:val="21"/>
                <w:lang w:val="en-US" w:eastAsia="zh-CN"/>
              </w:rPr>
              <w:t>两校区新一代认证支付系统专用物理网络的建设与对接</w:t>
            </w:r>
          </w:p>
        </w:tc>
        <w:tc>
          <w:tcPr>
            <w:tcW w:w="480" w:type="pct"/>
            <w:tcBorders>
              <w:top w:val="single" w:color="auto" w:sz="4" w:space="0"/>
              <w:left w:val="single" w:color="auto" w:sz="4" w:space="0"/>
              <w:bottom w:val="single" w:color="auto" w:sz="4" w:space="0"/>
              <w:right w:val="single" w:color="auto" w:sz="4" w:space="0"/>
            </w:tcBorders>
            <w:vAlign w:val="center"/>
          </w:tcPr>
          <w:p w14:paraId="63949246">
            <w:pPr>
              <w:spacing w:line="500" w:lineRule="exact"/>
              <w:jc w:val="center"/>
              <w:rPr>
                <w:rFonts w:hint="eastAsia" w:eastAsia="宋体"/>
                <w:color w:val="auto"/>
                <w:szCs w:val="21"/>
                <w:lang w:val="en-US" w:eastAsia="zh-CN"/>
              </w:rPr>
            </w:pPr>
            <w:r>
              <w:rPr>
                <w:rFonts w:hint="eastAsia"/>
                <w:color w:val="auto"/>
                <w:szCs w:val="21"/>
                <w:lang w:val="en-US" w:eastAsia="zh-CN"/>
              </w:rPr>
              <w:t>1</w:t>
            </w:r>
          </w:p>
        </w:tc>
        <w:tc>
          <w:tcPr>
            <w:tcW w:w="546" w:type="pct"/>
            <w:tcBorders>
              <w:top w:val="single" w:color="auto" w:sz="4" w:space="0"/>
              <w:left w:val="single" w:color="auto" w:sz="4" w:space="0"/>
              <w:bottom w:val="single" w:color="auto" w:sz="4" w:space="0"/>
              <w:right w:val="single" w:color="auto" w:sz="4" w:space="0"/>
            </w:tcBorders>
            <w:vAlign w:val="center"/>
          </w:tcPr>
          <w:p w14:paraId="67798E6A">
            <w:pPr>
              <w:spacing w:line="500" w:lineRule="exact"/>
              <w:jc w:val="center"/>
              <w:rPr>
                <w:rFonts w:hint="eastAsia" w:eastAsia="宋体"/>
                <w:color w:val="auto"/>
                <w:szCs w:val="21"/>
                <w:lang w:val="en-US" w:eastAsia="zh-CN"/>
              </w:rPr>
            </w:pPr>
            <w:r>
              <w:rPr>
                <w:rFonts w:hint="eastAsia"/>
                <w:color w:val="auto"/>
                <w:szCs w:val="21"/>
                <w:lang w:val="en-US" w:eastAsia="zh-CN"/>
              </w:rPr>
              <w:t>项</w:t>
            </w:r>
          </w:p>
        </w:tc>
        <w:tc>
          <w:tcPr>
            <w:tcW w:w="2414" w:type="pct"/>
            <w:tcBorders>
              <w:top w:val="single" w:color="auto" w:sz="4" w:space="0"/>
              <w:left w:val="single" w:color="auto" w:sz="4" w:space="0"/>
              <w:bottom w:val="single" w:color="auto" w:sz="4" w:space="0"/>
              <w:right w:val="single" w:color="auto" w:sz="4" w:space="0"/>
            </w:tcBorders>
            <w:vAlign w:val="center"/>
          </w:tcPr>
          <w:p w14:paraId="21586167">
            <w:pPr>
              <w:spacing w:line="500" w:lineRule="exact"/>
              <w:jc w:val="center"/>
              <w:rPr>
                <w:rFonts w:hint="eastAsia"/>
                <w:color w:val="auto"/>
                <w:szCs w:val="21"/>
              </w:rPr>
            </w:pPr>
            <w:r>
              <w:rPr>
                <w:rFonts w:hint="eastAsia"/>
                <w:color w:val="auto"/>
                <w:szCs w:val="21"/>
              </w:rPr>
              <w:t>详见</w:t>
            </w:r>
            <w:r>
              <w:rPr>
                <w:rFonts w:hint="eastAsia" w:ascii="宋体" w:hAnsi="宋体" w:cs="宋体"/>
                <w:color w:val="auto"/>
                <w:szCs w:val="21"/>
              </w:rPr>
              <w:t>谈判</w:t>
            </w:r>
            <w:r>
              <w:rPr>
                <w:rFonts w:hint="eastAsia"/>
                <w:color w:val="auto"/>
                <w:szCs w:val="21"/>
              </w:rPr>
              <w:t>文件中的“采购需求”</w:t>
            </w:r>
          </w:p>
        </w:tc>
      </w:tr>
      <w:tr w14:paraId="3DDD03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3" w:type="pct"/>
            <w:tcBorders>
              <w:top w:val="single" w:color="auto" w:sz="4" w:space="0"/>
              <w:left w:val="single" w:color="auto" w:sz="4" w:space="0"/>
              <w:bottom w:val="single" w:color="auto" w:sz="4" w:space="0"/>
              <w:right w:val="single" w:color="auto" w:sz="4" w:space="0"/>
            </w:tcBorders>
            <w:vAlign w:val="center"/>
          </w:tcPr>
          <w:p w14:paraId="77327B13">
            <w:pPr>
              <w:spacing w:line="500" w:lineRule="exact"/>
              <w:jc w:val="center"/>
              <w:rPr>
                <w:rFonts w:hint="default" w:eastAsia="宋体"/>
                <w:color w:val="auto"/>
                <w:szCs w:val="21"/>
                <w:lang w:val="en-US" w:eastAsia="zh-CN"/>
              </w:rPr>
            </w:pPr>
            <w:r>
              <w:rPr>
                <w:rFonts w:hint="eastAsia"/>
                <w:color w:val="auto"/>
                <w:szCs w:val="21"/>
                <w:lang w:val="en-US" w:eastAsia="zh-CN"/>
              </w:rPr>
              <w:t>29</w:t>
            </w:r>
          </w:p>
        </w:tc>
        <w:tc>
          <w:tcPr>
            <w:tcW w:w="1176" w:type="pct"/>
            <w:tcBorders>
              <w:top w:val="single" w:color="auto" w:sz="4" w:space="0"/>
              <w:left w:val="single" w:color="auto" w:sz="4" w:space="0"/>
              <w:bottom w:val="single" w:color="auto" w:sz="4" w:space="0"/>
              <w:right w:val="single" w:color="auto" w:sz="4" w:space="0"/>
            </w:tcBorders>
            <w:vAlign w:val="center"/>
          </w:tcPr>
          <w:p w14:paraId="68F61318">
            <w:pPr>
              <w:spacing w:line="500" w:lineRule="exact"/>
              <w:jc w:val="center"/>
              <w:rPr>
                <w:color w:val="auto"/>
                <w:szCs w:val="21"/>
              </w:rPr>
            </w:pPr>
            <w:r>
              <w:rPr>
                <w:rFonts w:hint="eastAsia" w:ascii="宋体" w:hAnsi="宋体" w:cs="宋体"/>
                <w:color w:val="auto"/>
                <w:kern w:val="0"/>
                <w:szCs w:val="21"/>
                <w:lang w:val="en-US" w:eastAsia="zh-CN"/>
              </w:rPr>
              <w:t>银行（或者第三方）对接服务</w:t>
            </w:r>
          </w:p>
        </w:tc>
        <w:tc>
          <w:tcPr>
            <w:tcW w:w="480" w:type="pct"/>
            <w:tcBorders>
              <w:top w:val="single" w:color="auto" w:sz="4" w:space="0"/>
              <w:left w:val="single" w:color="auto" w:sz="4" w:space="0"/>
              <w:bottom w:val="single" w:color="auto" w:sz="4" w:space="0"/>
              <w:right w:val="single" w:color="auto" w:sz="4" w:space="0"/>
            </w:tcBorders>
            <w:vAlign w:val="center"/>
          </w:tcPr>
          <w:p w14:paraId="1865AB48">
            <w:pPr>
              <w:spacing w:line="500" w:lineRule="exact"/>
              <w:jc w:val="center"/>
              <w:rPr>
                <w:rFonts w:hint="eastAsia" w:eastAsia="宋体"/>
                <w:color w:val="auto"/>
                <w:szCs w:val="21"/>
                <w:lang w:val="en-US" w:eastAsia="zh-CN"/>
              </w:rPr>
            </w:pPr>
            <w:r>
              <w:rPr>
                <w:rFonts w:hint="eastAsia"/>
                <w:color w:val="auto"/>
                <w:lang w:val="en-US" w:eastAsia="zh-CN"/>
              </w:rPr>
              <w:t>1</w:t>
            </w:r>
          </w:p>
        </w:tc>
        <w:tc>
          <w:tcPr>
            <w:tcW w:w="546" w:type="pct"/>
            <w:tcBorders>
              <w:top w:val="single" w:color="auto" w:sz="4" w:space="0"/>
              <w:left w:val="single" w:color="auto" w:sz="4" w:space="0"/>
              <w:bottom w:val="single" w:color="auto" w:sz="4" w:space="0"/>
              <w:right w:val="single" w:color="auto" w:sz="4" w:space="0"/>
            </w:tcBorders>
            <w:vAlign w:val="center"/>
          </w:tcPr>
          <w:p w14:paraId="764547D9">
            <w:pPr>
              <w:spacing w:line="500" w:lineRule="exact"/>
              <w:jc w:val="center"/>
              <w:rPr>
                <w:rFonts w:hint="eastAsia" w:eastAsia="宋体"/>
                <w:color w:val="auto"/>
                <w:szCs w:val="21"/>
                <w:lang w:val="en-US" w:eastAsia="zh-CN"/>
              </w:rPr>
            </w:pPr>
            <w:r>
              <w:rPr>
                <w:rFonts w:hint="eastAsia"/>
                <w:color w:val="auto"/>
                <w:szCs w:val="21"/>
                <w:lang w:val="en-US" w:eastAsia="zh-CN"/>
              </w:rPr>
              <w:t>项</w:t>
            </w:r>
          </w:p>
        </w:tc>
        <w:tc>
          <w:tcPr>
            <w:tcW w:w="2414" w:type="pct"/>
            <w:tcBorders>
              <w:top w:val="single" w:color="auto" w:sz="4" w:space="0"/>
              <w:left w:val="single" w:color="auto" w:sz="4" w:space="0"/>
              <w:bottom w:val="single" w:color="auto" w:sz="4" w:space="0"/>
              <w:right w:val="single" w:color="auto" w:sz="4" w:space="0"/>
            </w:tcBorders>
            <w:vAlign w:val="center"/>
          </w:tcPr>
          <w:p w14:paraId="2958AF07">
            <w:pPr>
              <w:spacing w:line="500" w:lineRule="exact"/>
              <w:jc w:val="center"/>
              <w:rPr>
                <w:rFonts w:hint="eastAsia"/>
                <w:color w:val="auto"/>
                <w:szCs w:val="21"/>
              </w:rPr>
            </w:pPr>
            <w:r>
              <w:rPr>
                <w:rFonts w:hint="eastAsia"/>
                <w:color w:val="auto"/>
                <w:szCs w:val="21"/>
              </w:rPr>
              <w:t>详见</w:t>
            </w:r>
            <w:r>
              <w:rPr>
                <w:rFonts w:hint="eastAsia" w:ascii="宋体" w:hAnsi="宋体" w:cs="宋体"/>
                <w:color w:val="auto"/>
                <w:szCs w:val="21"/>
              </w:rPr>
              <w:t>谈判</w:t>
            </w:r>
            <w:r>
              <w:rPr>
                <w:rFonts w:hint="eastAsia"/>
                <w:color w:val="auto"/>
                <w:szCs w:val="21"/>
              </w:rPr>
              <w:t>文件中的“采购需求”</w:t>
            </w:r>
          </w:p>
        </w:tc>
      </w:tr>
    </w:tbl>
    <w:p w14:paraId="3516F96F">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7.合同履行期限：合同生效后180天内（包括供货、安装、调试、验收工作），除双方对推迟工期书面达成一致外，成交供应商必须在规定的工期内完工。</w:t>
      </w:r>
    </w:p>
    <w:p w14:paraId="0A397668">
      <w:pPr>
        <w:spacing w:line="360" w:lineRule="auto"/>
        <w:ind w:firstLine="420" w:firstLineChars="200"/>
        <w:rPr>
          <w:rFonts w:ascii="宋体" w:hAnsi="宋体" w:cs="宋体"/>
          <w:color w:val="auto"/>
          <w:szCs w:val="21"/>
        </w:rPr>
      </w:pPr>
      <w:r>
        <w:rPr>
          <w:rFonts w:hint="eastAsia" w:ascii="宋体" w:hAnsi="宋体" w:cs="宋体"/>
          <w:color w:val="auto"/>
          <w:szCs w:val="21"/>
        </w:rPr>
        <w:t>8.本项目不接受联合体谈判。</w:t>
      </w:r>
    </w:p>
    <w:p w14:paraId="78A05895">
      <w:pPr>
        <w:spacing w:line="360" w:lineRule="auto"/>
        <w:rPr>
          <w:rFonts w:ascii="宋体" w:hAnsi="宋体" w:cs="宋体"/>
          <w:b/>
          <w:bCs/>
          <w:color w:val="auto"/>
          <w:szCs w:val="21"/>
        </w:rPr>
      </w:pPr>
      <w:bookmarkStart w:id="7" w:name="_Toc28359013"/>
      <w:bookmarkStart w:id="8" w:name="_Toc44229879"/>
      <w:bookmarkStart w:id="9" w:name="_Toc35393630"/>
      <w:bookmarkStart w:id="10" w:name="_Toc28359090"/>
      <w:bookmarkStart w:id="11" w:name="_Toc35393799"/>
      <w:r>
        <w:rPr>
          <w:rFonts w:hint="eastAsia" w:ascii="宋体" w:hAnsi="宋体" w:cs="宋体"/>
          <w:b/>
          <w:bCs/>
          <w:color w:val="auto"/>
          <w:szCs w:val="21"/>
        </w:rPr>
        <w:t>二、供应商的资格条件：</w:t>
      </w:r>
      <w:bookmarkEnd w:id="7"/>
      <w:bookmarkEnd w:id="8"/>
      <w:bookmarkEnd w:id="9"/>
      <w:bookmarkEnd w:id="10"/>
      <w:bookmarkEnd w:id="11"/>
    </w:p>
    <w:p w14:paraId="74C5405E">
      <w:pPr>
        <w:spacing w:line="360" w:lineRule="auto"/>
        <w:ind w:firstLine="420" w:firstLineChars="200"/>
        <w:rPr>
          <w:rFonts w:ascii="宋体" w:hAnsi="宋体" w:cs="宋体"/>
          <w:color w:val="auto"/>
          <w:szCs w:val="21"/>
        </w:rPr>
      </w:pPr>
      <w:bookmarkStart w:id="12" w:name="PO_3000001867_PM005"/>
      <w:bookmarkStart w:id="13" w:name="_Toc28359014"/>
      <w:bookmarkStart w:id="14" w:name="_Toc35393800"/>
      <w:bookmarkStart w:id="15" w:name="_Toc35393631"/>
      <w:bookmarkStart w:id="16" w:name="_Toc28359091"/>
      <w:bookmarkStart w:id="17" w:name="_Toc44229880"/>
      <w:r>
        <w:rPr>
          <w:rFonts w:hint="eastAsia" w:ascii="宋体" w:hAnsi="宋体" w:cs="宋体"/>
          <w:color w:val="auto"/>
          <w:szCs w:val="21"/>
        </w:rPr>
        <w:t>1.符合《中华人民共和国政府采购法》第二十二条的规定。</w:t>
      </w:r>
    </w:p>
    <w:p w14:paraId="084B7AD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rPr>
        <w:t>2</w:t>
      </w:r>
      <w:bookmarkEnd w:id="12"/>
      <w:r>
        <w:rPr>
          <w:rFonts w:hint="eastAsia" w:ascii="宋体" w:hAnsi="宋体" w:cs="宋体"/>
          <w:color w:val="auto"/>
          <w:szCs w:val="21"/>
        </w:rPr>
        <w:t>.落实</w:t>
      </w:r>
      <w:r>
        <w:rPr>
          <w:rFonts w:hint="eastAsia" w:ascii="宋体" w:hAnsi="宋体" w:cs="宋体"/>
          <w:color w:val="auto"/>
          <w:szCs w:val="21"/>
          <w:highlight w:val="none"/>
        </w:rPr>
        <w:t>政府采购政策需满足的资格要求：</w:t>
      </w:r>
    </w:p>
    <w:p w14:paraId="79EB7EE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□专门面向中小企业采购的项目（供应商应为中小微企业、监狱企业、残疾人福利性单位）</w:t>
      </w:r>
    </w:p>
    <w:p w14:paraId="032E64F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☑非专门面向中小企业采购的项目</w:t>
      </w:r>
    </w:p>
    <w:p w14:paraId="0A1FCB12">
      <w:pPr>
        <w:spacing w:line="360" w:lineRule="auto"/>
        <w:ind w:firstLine="420" w:firstLineChars="200"/>
        <w:rPr>
          <w:rFonts w:ascii="宋体" w:hAnsi="宋体" w:cs="宋体"/>
          <w:color w:val="auto"/>
          <w:szCs w:val="21"/>
        </w:rPr>
      </w:pPr>
      <w:r>
        <w:rPr>
          <w:rFonts w:hint="eastAsia" w:ascii="宋体" w:hAnsi="宋体" w:cs="宋体"/>
          <w:color w:val="auto"/>
          <w:szCs w:val="21"/>
        </w:rPr>
        <w:t>3.本项目的特定资格要求：</w:t>
      </w:r>
      <w:r>
        <w:rPr>
          <w:rFonts w:hint="eastAsia" w:ascii="宋体" w:hAnsi="宋体" w:cs="宋体"/>
          <w:color w:val="auto"/>
          <w:szCs w:val="21"/>
          <w:u w:val="single"/>
        </w:rPr>
        <w:t>无</w:t>
      </w:r>
      <w:r>
        <w:rPr>
          <w:rFonts w:hint="eastAsia" w:ascii="宋体" w:hAnsi="宋体" w:cs="宋体"/>
          <w:color w:val="auto"/>
          <w:szCs w:val="21"/>
        </w:rPr>
        <w:t>。</w:t>
      </w:r>
    </w:p>
    <w:p w14:paraId="6FA860B5">
      <w:pPr>
        <w:spacing w:line="360" w:lineRule="auto"/>
        <w:ind w:firstLine="420" w:firstLineChars="200"/>
        <w:rPr>
          <w:rFonts w:ascii="宋体" w:hAnsi="宋体" w:cs="宋体"/>
          <w:color w:val="auto"/>
          <w:szCs w:val="21"/>
        </w:rPr>
      </w:pPr>
      <w:r>
        <w:rPr>
          <w:rFonts w:hint="eastAsia" w:ascii="宋体" w:hAnsi="宋体" w:cs="宋体"/>
          <w:color w:val="auto"/>
          <w:szCs w:val="21"/>
        </w:rPr>
        <w:t>4.本项目的特定条件：</w:t>
      </w:r>
      <w:r>
        <w:rPr>
          <w:rFonts w:hint="eastAsia" w:ascii="宋体" w:hAnsi="宋体" w:cs="宋体"/>
          <w:color w:val="auto"/>
          <w:szCs w:val="21"/>
          <w:u w:val="single"/>
        </w:rPr>
        <w:t>无</w:t>
      </w:r>
      <w:r>
        <w:rPr>
          <w:rFonts w:hint="eastAsia" w:ascii="宋体" w:hAnsi="宋体" w:cs="宋体"/>
          <w:color w:val="auto"/>
          <w:szCs w:val="21"/>
        </w:rPr>
        <w:t>。</w:t>
      </w:r>
    </w:p>
    <w:p w14:paraId="21CA5F71">
      <w:pPr>
        <w:spacing w:line="360" w:lineRule="auto"/>
        <w:ind w:firstLine="420" w:firstLineChars="200"/>
        <w:rPr>
          <w:rFonts w:ascii="宋体" w:hAnsi="宋体" w:cs="宋体"/>
          <w:color w:val="auto"/>
          <w:szCs w:val="21"/>
        </w:rPr>
      </w:pPr>
      <w:r>
        <w:rPr>
          <w:rFonts w:hint="eastAsia" w:ascii="宋体" w:hAnsi="宋体" w:cs="宋体"/>
          <w:color w:val="auto"/>
          <w:szCs w:val="21"/>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0CD5794">
      <w:pPr>
        <w:spacing w:line="360" w:lineRule="auto"/>
        <w:ind w:firstLine="420" w:firstLineChars="200"/>
        <w:rPr>
          <w:rFonts w:ascii="宋体" w:hAnsi="宋体" w:cs="宋体"/>
          <w:color w:val="auto"/>
          <w:szCs w:val="21"/>
        </w:rPr>
      </w:pPr>
      <w:r>
        <w:rPr>
          <w:rFonts w:hint="eastAsia" w:ascii="宋体" w:hAnsi="宋体" w:cs="宋体"/>
          <w:color w:val="auto"/>
          <w:szCs w:val="21"/>
        </w:rPr>
        <w:t>6.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62DE5E5F">
      <w:pPr>
        <w:spacing w:line="360" w:lineRule="auto"/>
        <w:rPr>
          <w:rFonts w:ascii="宋体" w:hAnsi="宋体" w:cs="宋体"/>
          <w:b/>
          <w:bCs/>
          <w:color w:val="auto"/>
          <w:szCs w:val="21"/>
        </w:rPr>
      </w:pPr>
      <w:r>
        <w:rPr>
          <w:rFonts w:hint="eastAsia" w:ascii="宋体" w:hAnsi="宋体" w:cs="宋体"/>
          <w:b/>
          <w:bCs/>
          <w:color w:val="auto"/>
          <w:szCs w:val="21"/>
        </w:rPr>
        <w:t>三、获取竞争性谈判文件</w:t>
      </w:r>
      <w:bookmarkEnd w:id="13"/>
      <w:bookmarkEnd w:id="14"/>
      <w:bookmarkEnd w:id="15"/>
      <w:bookmarkEnd w:id="16"/>
      <w:bookmarkEnd w:id="17"/>
    </w:p>
    <w:p w14:paraId="4CB7BF42">
      <w:pPr>
        <w:spacing w:line="360" w:lineRule="auto"/>
        <w:ind w:firstLine="540"/>
        <w:rPr>
          <w:rFonts w:ascii="宋体" w:hAnsi="宋体" w:cs="宋体"/>
          <w:color w:val="auto"/>
          <w:kern w:val="0"/>
          <w:szCs w:val="21"/>
          <w:u w:val="single"/>
        </w:rPr>
      </w:pPr>
      <w:bookmarkStart w:id="18" w:name="_Toc28359092"/>
      <w:bookmarkStart w:id="19" w:name="_Toc28359015"/>
      <w:bookmarkStart w:id="20" w:name="_Toc35393801"/>
      <w:bookmarkStart w:id="21" w:name="_Toc35393632"/>
      <w:bookmarkStart w:id="22" w:name="_Toc44229881"/>
      <w:r>
        <w:rPr>
          <w:rFonts w:hint="eastAsia" w:ascii="宋体" w:hAnsi="宋体" w:cs="宋体"/>
          <w:color w:val="auto"/>
          <w:kern w:val="0"/>
          <w:szCs w:val="21"/>
        </w:rPr>
        <w:t>时间：</w:t>
      </w:r>
      <w:r>
        <w:rPr>
          <w:rFonts w:hint="eastAsia" w:ascii="宋体" w:hAnsi="宋体" w:cs="宋体"/>
          <w:color w:val="auto"/>
          <w:kern w:val="0"/>
          <w:szCs w:val="21"/>
          <w:u w:val="single"/>
        </w:rPr>
        <w:t>2025年</w:t>
      </w:r>
      <w:r>
        <w:rPr>
          <w:rFonts w:hint="eastAsia" w:ascii="宋体" w:hAnsi="宋体" w:cs="宋体"/>
          <w:color w:val="auto"/>
          <w:kern w:val="0"/>
          <w:szCs w:val="21"/>
          <w:u w:val="single"/>
          <w:lang w:val="en-US" w:eastAsia="zh-CN"/>
        </w:rPr>
        <w:t>7</w:t>
      </w:r>
      <w:r>
        <w:rPr>
          <w:rFonts w:hint="eastAsia" w:ascii="宋体" w:hAnsi="宋体" w:cs="宋体"/>
          <w:color w:val="auto"/>
          <w:kern w:val="0"/>
          <w:szCs w:val="21"/>
          <w:u w:val="single"/>
        </w:rPr>
        <w:t>月</w:t>
      </w:r>
      <w:r>
        <w:rPr>
          <w:rFonts w:hint="eastAsia" w:ascii="宋体" w:hAnsi="宋体" w:cs="宋体"/>
          <w:color w:val="auto"/>
          <w:kern w:val="0"/>
          <w:szCs w:val="21"/>
          <w:u w:val="single"/>
          <w:lang w:val="en-US" w:eastAsia="zh-CN"/>
        </w:rPr>
        <w:t>14</w:t>
      </w:r>
      <w:r>
        <w:rPr>
          <w:rFonts w:hint="eastAsia" w:ascii="宋体" w:hAnsi="宋体" w:cs="宋体"/>
          <w:color w:val="auto"/>
          <w:kern w:val="0"/>
          <w:szCs w:val="21"/>
          <w:u w:val="single"/>
        </w:rPr>
        <w:t>日至2025年</w:t>
      </w:r>
      <w:r>
        <w:rPr>
          <w:rFonts w:hint="eastAsia" w:ascii="宋体" w:hAnsi="宋体" w:cs="宋体"/>
          <w:color w:val="auto"/>
          <w:kern w:val="0"/>
          <w:szCs w:val="21"/>
          <w:u w:val="single"/>
          <w:lang w:val="en-US" w:eastAsia="zh-CN"/>
        </w:rPr>
        <w:t>7</w:t>
      </w:r>
      <w:r>
        <w:rPr>
          <w:rFonts w:hint="eastAsia" w:ascii="宋体" w:hAnsi="宋体" w:cs="宋体"/>
          <w:color w:val="auto"/>
          <w:kern w:val="0"/>
          <w:szCs w:val="21"/>
          <w:u w:val="single"/>
        </w:rPr>
        <w:t>月</w:t>
      </w:r>
      <w:r>
        <w:rPr>
          <w:rFonts w:hint="eastAsia" w:ascii="宋体" w:hAnsi="宋体" w:cs="宋体"/>
          <w:color w:val="auto"/>
          <w:kern w:val="0"/>
          <w:szCs w:val="21"/>
          <w:u w:val="single"/>
          <w:lang w:val="en-US" w:eastAsia="zh-CN"/>
        </w:rPr>
        <w:t>21</w:t>
      </w:r>
      <w:r>
        <w:rPr>
          <w:rFonts w:hint="eastAsia" w:ascii="宋体" w:hAnsi="宋体" w:cs="宋体"/>
          <w:color w:val="auto"/>
          <w:kern w:val="0"/>
          <w:szCs w:val="21"/>
          <w:u w:val="single"/>
        </w:rPr>
        <w:t>日，每天上午00:00至11:59，下午12:00至23:59（北京时间，法定节假日除外）。</w:t>
      </w:r>
    </w:p>
    <w:p w14:paraId="7EB2D01B">
      <w:pPr>
        <w:spacing w:line="360" w:lineRule="auto"/>
        <w:ind w:firstLine="540"/>
        <w:rPr>
          <w:rFonts w:ascii="宋体" w:hAnsi="宋体" w:cs="宋体"/>
          <w:color w:val="auto"/>
          <w:kern w:val="0"/>
          <w:szCs w:val="21"/>
          <w:u w:val="single"/>
        </w:rPr>
      </w:pPr>
      <w:r>
        <w:rPr>
          <w:rFonts w:hint="eastAsia" w:ascii="宋体" w:hAnsi="宋体" w:cs="宋体"/>
          <w:color w:val="auto"/>
          <w:kern w:val="0"/>
          <w:szCs w:val="21"/>
        </w:rPr>
        <w:t>获取方式：</w:t>
      </w:r>
      <w:r>
        <w:rPr>
          <w:rFonts w:hint="eastAsia" w:ascii="宋体" w:hAnsi="宋体" w:cs="宋体"/>
          <w:color w:val="auto"/>
          <w:kern w:val="0"/>
          <w:szCs w:val="21"/>
          <w:u w:val="single"/>
        </w:rPr>
        <w:t>网上下载。本项目不发放纸质谈判文件，潜在供应商可自行在“广西政府采购云平台”（https://www.gcy.zfcg.gxzf.gov.cn）下载谈判文件操作路径：登录广西政府采购云平台－项目采购－获取谈判文件－找到本项目－点击“申请获取谈判文件”，按系统操作获取谈判文件。电子响应文件制作需要基于广西政府采购云平台获取的谈判文件编制，通过其他方式获取谈判文件的，将有可能导致供应商无法在广西政府采购云平台编制及上传响应文件。</w:t>
      </w:r>
    </w:p>
    <w:p w14:paraId="6A21C492">
      <w:pPr>
        <w:spacing w:line="360" w:lineRule="auto"/>
        <w:ind w:firstLine="540"/>
        <w:rPr>
          <w:rFonts w:ascii="宋体" w:hAnsi="宋体" w:cs="宋体"/>
          <w:color w:val="auto"/>
          <w:szCs w:val="21"/>
        </w:rPr>
      </w:pPr>
      <w:r>
        <w:rPr>
          <w:rFonts w:hint="eastAsia" w:ascii="宋体" w:hAnsi="宋体" w:cs="宋体"/>
          <w:color w:val="auto"/>
          <w:kern w:val="0"/>
          <w:szCs w:val="21"/>
        </w:rPr>
        <w:t>售价：</w:t>
      </w:r>
      <w:r>
        <w:rPr>
          <w:rFonts w:hint="eastAsia" w:ascii="宋体" w:hAnsi="宋体" w:cs="宋体"/>
          <w:color w:val="auto"/>
          <w:kern w:val="0"/>
          <w:szCs w:val="21"/>
          <w:u w:val="single"/>
        </w:rPr>
        <w:t>0.00元</w:t>
      </w:r>
      <w:r>
        <w:rPr>
          <w:rFonts w:hint="eastAsia" w:ascii="宋体" w:hAnsi="宋体" w:cs="宋体"/>
          <w:color w:val="auto"/>
          <w:szCs w:val="21"/>
        </w:rPr>
        <w:t>。</w:t>
      </w:r>
    </w:p>
    <w:p w14:paraId="5FB5EE2A">
      <w:pPr>
        <w:spacing w:line="360" w:lineRule="auto"/>
        <w:rPr>
          <w:rFonts w:ascii="宋体" w:hAnsi="宋体" w:cs="宋体"/>
          <w:b/>
          <w:bCs/>
          <w:color w:val="auto"/>
          <w:szCs w:val="21"/>
        </w:rPr>
      </w:pPr>
      <w:r>
        <w:rPr>
          <w:rFonts w:hint="eastAsia" w:ascii="宋体" w:hAnsi="宋体" w:cs="宋体"/>
          <w:b/>
          <w:bCs/>
          <w:color w:val="auto"/>
          <w:szCs w:val="21"/>
        </w:rPr>
        <w:t>四、响应文件提交</w:t>
      </w:r>
      <w:bookmarkEnd w:id="18"/>
      <w:bookmarkEnd w:id="19"/>
      <w:bookmarkEnd w:id="20"/>
      <w:bookmarkEnd w:id="21"/>
      <w:bookmarkEnd w:id="22"/>
    </w:p>
    <w:p w14:paraId="245368FB">
      <w:pPr>
        <w:spacing w:line="360" w:lineRule="auto"/>
        <w:ind w:firstLine="420" w:firstLineChars="200"/>
        <w:rPr>
          <w:rFonts w:ascii="宋体" w:hAnsi="宋体" w:cs="宋体"/>
          <w:color w:val="auto"/>
          <w:szCs w:val="21"/>
          <w:u w:val="single"/>
        </w:rPr>
      </w:pPr>
      <w:r>
        <w:rPr>
          <w:rFonts w:hint="eastAsia" w:ascii="宋体" w:hAnsi="宋体" w:cs="宋体"/>
          <w:bCs/>
          <w:color w:val="auto"/>
          <w:szCs w:val="21"/>
        </w:rPr>
        <w:t>1</w:t>
      </w:r>
      <w:r>
        <w:rPr>
          <w:rFonts w:hint="eastAsia" w:ascii="宋体" w:hAnsi="宋体" w:cs="宋体"/>
          <w:color w:val="auto"/>
          <w:szCs w:val="21"/>
        </w:rPr>
        <w:t>.</w:t>
      </w:r>
      <w:r>
        <w:rPr>
          <w:rFonts w:hint="eastAsia" w:ascii="宋体" w:hAnsi="宋体" w:cs="宋体"/>
          <w:bCs/>
          <w:color w:val="auto"/>
          <w:szCs w:val="21"/>
        </w:rPr>
        <w:t>截止时间：</w:t>
      </w:r>
      <w:r>
        <w:rPr>
          <w:rFonts w:hint="eastAsia" w:ascii="宋体" w:hAnsi="宋体" w:cs="宋体"/>
          <w:color w:val="auto"/>
          <w:szCs w:val="21"/>
          <w:u w:val="single"/>
        </w:rPr>
        <w:t>2025年</w:t>
      </w:r>
      <w:r>
        <w:rPr>
          <w:rFonts w:hint="eastAsia" w:ascii="宋体" w:hAnsi="宋体" w:cs="宋体"/>
          <w:color w:val="auto"/>
          <w:kern w:val="0"/>
          <w:szCs w:val="21"/>
          <w:u w:val="single"/>
          <w:lang w:val="en-US" w:eastAsia="zh-CN"/>
        </w:rPr>
        <w:t>7</w:t>
      </w:r>
      <w:r>
        <w:rPr>
          <w:rFonts w:hint="eastAsia" w:ascii="宋体" w:hAnsi="宋体" w:cs="宋体"/>
          <w:color w:val="auto"/>
          <w:kern w:val="0"/>
          <w:szCs w:val="21"/>
          <w:u w:val="single"/>
        </w:rPr>
        <w:t>月</w:t>
      </w:r>
      <w:r>
        <w:rPr>
          <w:rFonts w:hint="eastAsia" w:ascii="宋体" w:hAnsi="宋体" w:cs="宋体"/>
          <w:color w:val="auto"/>
          <w:kern w:val="0"/>
          <w:szCs w:val="21"/>
          <w:u w:val="single"/>
          <w:lang w:val="en-US" w:eastAsia="zh-CN"/>
        </w:rPr>
        <w:t>22</w:t>
      </w:r>
      <w:r>
        <w:rPr>
          <w:rFonts w:hint="eastAsia" w:ascii="宋体" w:hAnsi="宋体" w:cs="宋体"/>
          <w:color w:val="auto"/>
          <w:kern w:val="0"/>
          <w:szCs w:val="21"/>
          <w:u w:val="single"/>
        </w:rPr>
        <w:t>日</w:t>
      </w:r>
      <w:r>
        <w:rPr>
          <w:rFonts w:hint="eastAsia" w:ascii="宋体" w:hAnsi="宋体" w:cs="宋体"/>
          <w:color w:val="auto"/>
          <w:szCs w:val="21"/>
          <w:u w:val="single"/>
        </w:rPr>
        <w:t>09时30分</w:t>
      </w:r>
      <w:r>
        <w:rPr>
          <w:rFonts w:hint="eastAsia" w:ascii="宋体" w:hAnsi="宋体" w:cs="宋体"/>
          <w:bCs/>
          <w:color w:val="auto"/>
          <w:szCs w:val="21"/>
        </w:rPr>
        <w:t>（北京时间）</w:t>
      </w:r>
    </w:p>
    <w:p w14:paraId="24E9670C">
      <w:pPr>
        <w:spacing w:line="360" w:lineRule="auto"/>
        <w:ind w:firstLine="420" w:firstLineChars="200"/>
        <w:rPr>
          <w:rFonts w:ascii="宋体" w:hAnsi="宋体" w:cs="宋体"/>
          <w:color w:val="auto"/>
          <w:szCs w:val="21"/>
        </w:rPr>
      </w:pPr>
      <w:r>
        <w:rPr>
          <w:rFonts w:hint="eastAsia" w:ascii="宋体" w:hAnsi="宋体" w:cs="宋体"/>
          <w:color w:val="auto"/>
          <w:szCs w:val="21"/>
        </w:rPr>
        <w:t>2.地点：</w:t>
      </w:r>
      <w:r>
        <w:rPr>
          <w:rFonts w:hint="eastAsia" w:ascii="宋体" w:hAnsi="宋体" w:cs="宋体"/>
          <w:color w:val="auto"/>
          <w:szCs w:val="21"/>
          <w:u w:val="single"/>
        </w:rPr>
        <w:t>“广西政府采购云平台”（https://www.gcy.zfcg.gxzf.gov.cn）</w:t>
      </w:r>
    </w:p>
    <w:p w14:paraId="7DED9720">
      <w:pPr>
        <w:spacing w:line="360" w:lineRule="auto"/>
        <w:rPr>
          <w:rFonts w:ascii="宋体" w:hAnsi="宋体" w:cs="宋体"/>
          <w:b/>
          <w:bCs/>
          <w:color w:val="auto"/>
          <w:szCs w:val="21"/>
        </w:rPr>
      </w:pPr>
      <w:bookmarkStart w:id="23" w:name="_Toc35393633"/>
      <w:bookmarkStart w:id="24" w:name="_Toc44229882"/>
      <w:bookmarkStart w:id="25" w:name="_Toc35393802"/>
      <w:bookmarkStart w:id="26" w:name="_Toc28359093"/>
      <w:bookmarkStart w:id="27" w:name="_Toc28359016"/>
      <w:r>
        <w:rPr>
          <w:rFonts w:hint="eastAsia" w:ascii="宋体" w:hAnsi="宋体" w:cs="宋体"/>
          <w:b/>
          <w:bCs/>
          <w:color w:val="auto"/>
          <w:szCs w:val="21"/>
        </w:rPr>
        <w:t>五、开启</w:t>
      </w:r>
      <w:bookmarkEnd w:id="23"/>
      <w:bookmarkEnd w:id="24"/>
      <w:bookmarkEnd w:id="25"/>
      <w:bookmarkEnd w:id="26"/>
      <w:bookmarkEnd w:id="27"/>
    </w:p>
    <w:p w14:paraId="701B766E">
      <w:pPr>
        <w:spacing w:line="360" w:lineRule="auto"/>
        <w:ind w:firstLine="420" w:firstLineChars="200"/>
        <w:rPr>
          <w:rFonts w:ascii="宋体" w:hAnsi="宋体" w:cs="宋体"/>
          <w:bCs/>
          <w:color w:val="auto"/>
          <w:szCs w:val="21"/>
          <w:u w:val="single"/>
        </w:rPr>
      </w:pPr>
      <w:r>
        <w:rPr>
          <w:rFonts w:hint="eastAsia" w:ascii="宋体" w:hAnsi="宋体" w:cs="宋体"/>
          <w:color w:val="auto"/>
          <w:szCs w:val="21"/>
        </w:rPr>
        <w:t>1.</w:t>
      </w:r>
      <w:bookmarkStart w:id="28" w:name="_Toc28359017"/>
      <w:bookmarkStart w:id="29" w:name="_Toc28359094"/>
      <w:bookmarkStart w:id="30" w:name="_Toc35393634"/>
      <w:bookmarkStart w:id="31" w:name="_Toc44229883"/>
      <w:bookmarkStart w:id="32" w:name="_Toc35393803"/>
      <w:r>
        <w:rPr>
          <w:rFonts w:hint="eastAsia" w:ascii="宋体" w:hAnsi="宋体" w:cs="宋体"/>
          <w:color w:val="auto"/>
          <w:szCs w:val="21"/>
        </w:rPr>
        <w:t>时间：</w:t>
      </w:r>
      <w:r>
        <w:rPr>
          <w:rFonts w:hint="eastAsia" w:ascii="宋体" w:hAnsi="宋体" w:cs="宋体"/>
          <w:color w:val="auto"/>
          <w:szCs w:val="21"/>
          <w:u w:val="single"/>
        </w:rPr>
        <w:t>2025年</w:t>
      </w:r>
      <w:r>
        <w:rPr>
          <w:rFonts w:hint="eastAsia" w:ascii="宋体" w:hAnsi="宋体" w:cs="宋体"/>
          <w:color w:val="auto"/>
          <w:kern w:val="0"/>
          <w:szCs w:val="21"/>
          <w:u w:val="single"/>
          <w:lang w:val="en-US" w:eastAsia="zh-CN"/>
        </w:rPr>
        <w:t>7</w:t>
      </w:r>
      <w:r>
        <w:rPr>
          <w:rFonts w:hint="eastAsia" w:ascii="宋体" w:hAnsi="宋体" w:cs="宋体"/>
          <w:color w:val="auto"/>
          <w:kern w:val="0"/>
          <w:szCs w:val="21"/>
          <w:u w:val="single"/>
        </w:rPr>
        <w:t>月</w:t>
      </w:r>
      <w:r>
        <w:rPr>
          <w:rFonts w:hint="eastAsia" w:ascii="宋体" w:hAnsi="宋体" w:cs="宋体"/>
          <w:color w:val="auto"/>
          <w:kern w:val="0"/>
          <w:szCs w:val="21"/>
          <w:u w:val="single"/>
          <w:lang w:val="en-US" w:eastAsia="zh-CN"/>
        </w:rPr>
        <w:t>22</w:t>
      </w:r>
      <w:r>
        <w:rPr>
          <w:rFonts w:hint="eastAsia" w:ascii="宋体" w:hAnsi="宋体" w:cs="宋体"/>
          <w:color w:val="auto"/>
          <w:kern w:val="0"/>
          <w:szCs w:val="21"/>
          <w:u w:val="single"/>
        </w:rPr>
        <w:t>日</w:t>
      </w:r>
      <w:r>
        <w:rPr>
          <w:rFonts w:hint="eastAsia" w:ascii="宋体" w:hAnsi="宋体" w:cs="宋体"/>
          <w:color w:val="auto"/>
          <w:szCs w:val="21"/>
          <w:u w:val="single"/>
        </w:rPr>
        <w:t>09时30分</w:t>
      </w:r>
      <w:r>
        <w:rPr>
          <w:rFonts w:hint="eastAsia" w:ascii="宋体" w:hAnsi="宋体" w:cs="宋体"/>
          <w:bCs/>
          <w:color w:val="auto"/>
          <w:szCs w:val="21"/>
        </w:rPr>
        <w:t>（北京时间）</w:t>
      </w:r>
      <w:r>
        <w:rPr>
          <w:rFonts w:hint="eastAsia" w:ascii="宋体" w:hAnsi="宋体" w:cs="宋体"/>
          <w:color w:val="auto"/>
          <w:szCs w:val="21"/>
        </w:rPr>
        <w:t>后</w:t>
      </w:r>
    </w:p>
    <w:p w14:paraId="4546F48B">
      <w:pPr>
        <w:spacing w:line="360" w:lineRule="auto"/>
        <w:ind w:firstLine="420" w:firstLineChars="200"/>
        <w:rPr>
          <w:rFonts w:ascii="宋体" w:hAnsi="宋体" w:cs="宋体"/>
          <w:bCs/>
          <w:color w:val="auto"/>
          <w:szCs w:val="21"/>
          <w:u w:val="single"/>
        </w:rPr>
      </w:pPr>
      <w:r>
        <w:rPr>
          <w:rFonts w:hint="eastAsia" w:ascii="宋体" w:hAnsi="宋体" w:cs="宋体"/>
          <w:color w:val="auto"/>
          <w:szCs w:val="21"/>
        </w:rPr>
        <w:t>2.地点：</w:t>
      </w:r>
      <w:r>
        <w:rPr>
          <w:rFonts w:hint="eastAsia" w:ascii="宋体" w:hAnsi="宋体" w:cs="宋体"/>
          <w:color w:val="auto"/>
          <w:szCs w:val="21"/>
          <w:u w:val="single"/>
        </w:rPr>
        <w:t>“广西政府采购云平台”（https://www.gcy.zfcg.gxzf.gov.cn）</w:t>
      </w:r>
    </w:p>
    <w:p w14:paraId="4319E9C4">
      <w:pPr>
        <w:spacing w:line="360" w:lineRule="auto"/>
        <w:rPr>
          <w:rFonts w:ascii="宋体" w:hAnsi="宋体" w:cs="宋体"/>
          <w:b/>
          <w:bCs/>
          <w:color w:val="auto"/>
          <w:szCs w:val="21"/>
        </w:rPr>
      </w:pPr>
      <w:r>
        <w:rPr>
          <w:rFonts w:hint="eastAsia" w:ascii="宋体" w:hAnsi="宋体" w:cs="宋体"/>
          <w:b/>
          <w:bCs/>
          <w:color w:val="auto"/>
          <w:szCs w:val="21"/>
        </w:rPr>
        <w:t>六、公告期限</w:t>
      </w:r>
      <w:bookmarkEnd w:id="28"/>
      <w:bookmarkEnd w:id="29"/>
      <w:bookmarkEnd w:id="30"/>
      <w:bookmarkEnd w:id="31"/>
      <w:bookmarkEnd w:id="32"/>
    </w:p>
    <w:p w14:paraId="6BBA52AE">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自本公告发布之日起3个工作日。</w:t>
      </w:r>
    </w:p>
    <w:p w14:paraId="0D976351">
      <w:pPr>
        <w:spacing w:line="360" w:lineRule="auto"/>
        <w:rPr>
          <w:rFonts w:ascii="宋体" w:hAnsi="宋体" w:cs="宋体"/>
          <w:b/>
          <w:bCs/>
          <w:color w:val="auto"/>
          <w:szCs w:val="21"/>
        </w:rPr>
      </w:pPr>
      <w:bookmarkStart w:id="33" w:name="_Toc35393635"/>
      <w:bookmarkStart w:id="34" w:name="_Toc44229884"/>
      <w:bookmarkStart w:id="35" w:name="_Toc35393804"/>
      <w:r>
        <w:rPr>
          <w:rFonts w:hint="eastAsia" w:ascii="宋体" w:hAnsi="宋体" w:cs="宋体"/>
          <w:b/>
          <w:bCs/>
          <w:color w:val="auto"/>
          <w:szCs w:val="21"/>
        </w:rPr>
        <w:t>七、其他补充事宜</w:t>
      </w:r>
      <w:bookmarkEnd w:id="33"/>
      <w:bookmarkEnd w:id="34"/>
      <w:bookmarkEnd w:id="35"/>
    </w:p>
    <w:p w14:paraId="0E82FAF4">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1.谈判保证金：</w:t>
      </w:r>
    </w:p>
    <w:p w14:paraId="6CA9A960">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谈判保证金人民币</w:t>
      </w:r>
      <w:r>
        <w:rPr>
          <w:rFonts w:hint="eastAsia" w:ascii="宋体" w:hAnsi="宋体" w:cs="宋体"/>
          <w:color w:val="auto"/>
          <w:kern w:val="0"/>
          <w:szCs w:val="21"/>
          <w:u w:val="single"/>
        </w:rPr>
        <w:t>10000.00</w:t>
      </w:r>
      <w:r>
        <w:rPr>
          <w:rFonts w:hint="eastAsia" w:ascii="宋体" w:hAnsi="宋体" w:cs="宋体"/>
          <w:color w:val="auto"/>
          <w:kern w:val="0"/>
          <w:szCs w:val="21"/>
        </w:rPr>
        <w:t>元。</w:t>
      </w:r>
    </w:p>
    <w:p w14:paraId="35E8BA89">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谈判保证金的交纳方式：银行转账、支票、汇票、本票、保函等非现金形式缴纳或提交保证金，禁止采用现钞方式。采用银行转账方式的，在响应截止时间前交至采购代理机构指定账户并且到账（开户银行：</w:t>
      </w:r>
      <w:r>
        <w:rPr>
          <w:rFonts w:hint="eastAsia" w:ascii="宋体" w:hAnsi="宋体" w:cs="宋体"/>
          <w:color w:val="auto"/>
          <w:kern w:val="0"/>
          <w:szCs w:val="21"/>
          <w:u w:val="single"/>
        </w:rPr>
        <w:t>建行南宁市金湖广场支行</w:t>
      </w:r>
      <w:r>
        <w:rPr>
          <w:rFonts w:hint="eastAsia" w:ascii="宋体" w:hAnsi="宋体" w:cs="宋体"/>
          <w:color w:val="auto"/>
          <w:kern w:val="0"/>
          <w:szCs w:val="21"/>
        </w:rPr>
        <w:t>，开户名称：</w:t>
      </w:r>
      <w:r>
        <w:rPr>
          <w:rFonts w:hint="eastAsia" w:ascii="宋体" w:hAnsi="宋体" w:cs="宋体"/>
          <w:color w:val="auto"/>
          <w:kern w:val="0"/>
          <w:szCs w:val="21"/>
          <w:u w:val="single"/>
        </w:rPr>
        <w:t>广西中信恒泰工程顾问有限公司</w:t>
      </w:r>
      <w:r>
        <w:rPr>
          <w:rFonts w:hint="eastAsia" w:ascii="宋体" w:hAnsi="宋体" w:cs="宋体"/>
          <w:color w:val="auto"/>
          <w:kern w:val="0"/>
          <w:szCs w:val="21"/>
        </w:rPr>
        <w:t>，银行账号：</w:t>
      </w:r>
      <w:r>
        <w:rPr>
          <w:rFonts w:hint="eastAsia" w:ascii="宋体" w:hAnsi="宋体" w:cs="宋体"/>
          <w:color w:val="auto"/>
          <w:kern w:val="0"/>
          <w:szCs w:val="21"/>
          <w:u w:val="single"/>
        </w:rPr>
        <w:t>45001604266052502851</w:t>
      </w:r>
      <w:r>
        <w:rPr>
          <w:rFonts w:hint="eastAsia" w:ascii="宋体" w:hAnsi="宋体" w:cs="宋体"/>
          <w:color w:val="auto"/>
          <w:kern w:val="0"/>
          <w:szCs w:val="21"/>
        </w:rPr>
        <w:t>，开户行行号：</w:t>
      </w:r>
      <w:r>
        <w:rPr>
          <w:rFonts w:hint="eastAsia" w:ascii="宋体" w:hAnsi="宋体" w:cs="宋体"/>
          <w:color w:val="auto"/>
          <w:kern w:val="0"/>
          <w:szCs w:val="21"/>
          <w:u w:val="single"/>
        </w:rPr>
        <w:t>105611042538</w:t>
      </w:r>
      <w:r>
        <w:rPr>
          <w:rFonts w:hint="eastAsia" w:ascii="宋体" w:hAnsi="宋体" w:cs="宋体"/>
          <w:color w:val="auto"/>
          <w:kern w:val="0"/>
          <w:szCs w:val="21"/>
        </w:rPr>
        <w:t>）；采用支票、汇票、本票或者保函等方式的，在响应截止时间前，供应商必须递交单独密封的支票、汇票、本票或者保函原件（递交地址：广西南宁市青秀区云景路69号南宁轨道大厦B座15楼，联系人及联系方式：廖欣蕾、陈燕英、田甜，0771-5776251），否则视为无效谈判保证金。</w:t>
      </w:r>
    </w:p>
    <w:p w14:paraId="5CA1D87D">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2.采购意向公开链接：</w:t>
      </w:r>
    </w:p>
    <w:p w14:paraId="5C5D8936">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https://zfcg.gxzf.gov.cn/site/detail?parentId=66601&amp;articleId=Ba5ZX0tLP0x3J0krO6nRTw==</w:t>
      </w:r>
    </w:p>
    <w:p w14:paraId="73C4FA3E">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3.网上查询地址：</w:t>
      </w:r>
      <w:bookmarkStart w:id="36" w:name="_Hlk37429674"/>
      <w:r>
        <w:rPr>
          <w:rFonts w:hint="eastAsia" w:ascii="宋体" w:hAnsi="宋体" w:cs="宋体"/>
          <w:color w:val="auto"/>
          <w:kern w:val="0"/>
          <w:szCs w:val="21"/>
        </w:rPr>
        <w:t>http://www.ccgp.gov.cn（中国政府采购网），http://zfcg.gxzf.gov.cn（广西政府采购网）,http://www.gxzxht.com（广西中信恒泰工程顾问有限公司网）。</w:t>
      </w:r>
    </w:p>
    <w:p w14:paraId="14793026">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4</w:t>
      </w:r>
      <w:r>
        <w:rPr>
          <w:rFonts w:hint="eastAsia" w:ascii="宋体" w:hAnsi="宋体" w:cs="宋体"/>
          <w:color w:val="auto"/>
          <w:szCs w:val="21"/>
        </w:rPr>
        <w:t>.</w:t>
      </w:r>
      <w:r>
        <w:rPr>
          <w:rFonts w:hint="eastAsia" w:ascii="宋体" w:hAnsi="宋体" w:cs="宋体"/>
          <w:color w:val="auto"/>
          <w:kern w:val="0"/>
          <w:szCs w:val="21"/>
        </w:rPr>
        <w:t>本项目需要落实的政府采购政策</w:t>
      </w:r>
    </w:p>
    <w:bookmarkEnd w:id="36"/>
    <w:p w14:paraId="391C3515">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（1）政府采购促进中小企业发展。</w:t>
      </w:r>
    </w:p>
    <w:p w14:paraId="745630B4">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（2）政府采购支持采用本国产品的政策。</w:t>
      </w:r>
    </w:p>
    <w:p w14:paraId="48191B4C">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（3）强制采购节能产品；优先采购节能产品、环境标志产品。</w:t>
      </w:r>
    </w:p>
    <w:p w14:paraId="7CA046A7">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（4）政府采购促进残疾人就业政策。</w:t>
      </w:r>
    </w:p>
    <w:p w14:paraId="798B6423">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（5）政府采购支持监狱企业发展。</w:t>
      </w:r>
    </w:p>
    <w:p w14:paraId="3CEA41F9">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（6）扶持不发达地区和少数民族地区政策。</w:t>
      </w:r>
    </w:p>
    <w:p w14:paraId="29D452B4">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5</w:t>
      </w:r>
      <w:r>
        <w:rPr>
          <w:rFonts w:hint="eastAsia" w:ascii="宋体" w:hAnsi="宋体" w:cs="宋体"/>
          <w:color w:val="auto"/>
          <w:szCs w:val="21"/>
        </w:rPr>
        <w:t>.</w:t>
      </w:r>
      <w:r>
        <w:rPr>
          <w:rFonts w:hint="eastAsia" w:ascii="宋体" w:hAnsi="宋体" w:cs="宋体"/>
          <w:color w:val="auto"/>
          <w:kern w:val="0"/>
          <w:szCs w:val="21"/>
        </w:rPr>
        <w:t>供应商认为谈判文件使自己的权益受到损害的，可以自获取谈判文件之日或者谈判文件公告期限届满之日（公告期限届满后获取谈判文件的，以公告期限届满之日为准）起7个工作日内以书面形式一次性向采购人或采购代理机构提出同一环节的质疑。否则，逾期的质疑采购人及采购代理机构可不予接受。质疑供应商对采购人、采购代理机构的答复不满意或者采购人、采购代理机构未在规定的时间内作出答复的，可以在答复期满后十五个工作日内向同级政府采购监督管理部门投诉。</w:t>
      </w:r>
    </w:p>
    <w:p w14:paraId="70816A23">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6</w:t>
      </w:r>
      <w:r>
        <w:rPr>
          <w:rFonts w:hint="eastAsia" w:ascii="宋体" w:hAnsi="宋体" w:cs="宋体"/>
          <w:color w:val="auto"/>
          <w:szCs w:val="21"/>
        </w:rPr>
        <w:t>.</w:t>
      </w:r>
      <w:r>
        <w:rPr>
          <w:rFonts w:hint="eastAsia" w:ascii="宋体" w:hAnsi="宋体" w:cs="宋体"/>
          <w:color w:val="auto"/>
          <w:kern w:val="0"/>
          <w:szCs w:val="21"/>
        </w:rPr>
        <w:t>谈判注意事项：（1）响应文件提交方式：本项目为全流程电子化项目，通过广西政府采购云平台（https://www.gcy.zfcg.gxzf.gov.cn）实行在线电子响应，供应商应先安装广西政府采购云平台新版客户端</w:t>
      </w:r>
      <w:r>
        <w:rPr>
          <w:rFonts w:hint="eastAsia" w:ascii="宋体" w:hAnsi="宋体" w:cs="宋体"/>
          <w:color w:val="auto"/>
          <w:kern w:val="0"/>
          <w:szCs w:val="21"/>
          <w:lang w:eastAsia="zh-CN"/>
        </w:rPr>
        <w:t>，</w:t>
      </w:r>
      <w:r>
        <w:rPr>
          <w:rFonts w:hint="eastAsia" w:ascii="宋体" w:hAnsi="宋体" w:cs="宋体"/>
          <w:color w:val="auto"/>
          <w:kern w:val="0"/>
          <w:szCs w:val="21"/>
        </w:rPr>
        <w:t>新版客户端下载路径：广西政府采购网（访问地址http://zfcg.gxzf.gov.cn—办事服务—下载专区），并按照本项目谈判文件和广西政府采购云平台的要求编制、加密后在响应文件提交截止时间前通过网络上传至广西政府采购云平台，供应商在广西政府采购云平台提交电子版响应文件时，请填写参加远程开标活动经办人联系方式。</w:t>
      </w:r>
      <w:r>
        <w:rPr>
          <w:rFonts w:hint="eastAsia" w:ascii="宋体" w:hAnsi="宋体" w:cs="宋体"/>
          <w:color w:val="auto"/>
          <w:kern w:val="0"/>
          <w:szCs w:val="21"/>
        </w:rPr>
        <w:br w:type="textWrapping"/>
      </w:r>
      <w:r>
        <w:rPr>
          <w:rFonts w:hint="eastAsia" w:ascii="宋体" w:hAnsi="宋体" w:cs="宋体"/>
          <w:color w:val="auto"/>
          <w:kern w:val="0"/>
          <w:szCs w:val="21"/>
        </w:rPr>
        <w:t xml:space="preserve">    （2）供应商应及时熟悉掌握电子标系统操作指南；及时完成CA申领和绑定（见广西壮族自治区政府采购网—办事服务—下载专区－广西政府采购云平台CA证书办理操作指南）。</w:t>
      </w:r>
      <w:r>
        <w:rPr>
          <w:rFonts w:hint="eastAsia" w:ascii="宋体" w:hAnsi="宋体" w:cs="宋体"/>
          <w:color w:val="auto"/>
          <w:kern w:val="0"/>
          <w:szCs w:val="21"/>
        </w:rPr>
        <w:br w:type="textWrapping"/>
      </w:r>
      <w:r>
        <w:rPr>
          <w:rFonts w:hint="eastAsia" w:ascii="宋体" w:hAnsi="宋体" w:cs="宋体"/>
          <w:color w:val="auto"/>
          <w:kern w:val="0"/>
          <w:szCs w:val="21"/>
        </w:rPr>
        <w:t xml:space="preserve">    （3）未进行网上注册并办理数字证书（CA认证）的供应商将无法参与本项目政府采购活动，潜在供应商应当在首次响应文件提交截止时间前，完成电子交易平台上的CA数字证书办理及响应文件的提交。</w:t>
      </w:r>
      <w:r>
        <w:rPr>
          <w:rFonts w:hint="eastAsia" w:ascii="宋体" w:hAnsi="宋体" w:cs="宋体"/>
          <w:color w:val="auto"/>
          <w:kern w:val="0"/>
          <w:szCs w:val="21"/>
        </w:rPr>
        <w:br w:type="textWrapping"/>
      </w:r>
      <w:r>
        <w:rPr>
          <w:rFonts w:hint="eastAsia" w:ascii="宋体" w:hAnsi="宋体" w:cs="宋体"/>
          <w:color w:val="auto"/>
          <w:kern w:val="0"/>
          <w:szCs w:val="21"/>
        </w:rPr>
        <w:t xml:space="preserve">    （4）为确保网上操作合法、有效和安全，请供应商确保在电子竞标过程中能够对相关数据电文进行加密和使用电子签章，妥善保管CA数字证书并使用有效的CA数字证书参与整个采购活动。</w:t>
      </w:r>
      <w:r>
        <w:rPr>
          <w:rFonts w:hint="eastAsia" w:ascii="宋体" w:hAnsi="宋体" w:cs="宋体"/>
          <w:color w:val="auto"/>
          <w:kern w:val="0"/>
          <w:szCs w:val="21"/>
        </w:rPr>
        <w:br w:type="textWrapping"/>
      </w:r>
      <w:r>
        <w:rPr>
          <w:rFonts w:hint="eastAsia" w:ascii="宋体" w:hAnsi="宋体" w:cs="宋体"/>
          <w:color w:val="auto"/>
          <w:kern w:val="0"/>
          <w:szCs w:val="21"/>
        </w:rPr>
        <w:t>注：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广西政府采购云平台”将予以拒收。</w:t>
      </w:r>
      <w:r>
        <w:rPr>
          <w:rFonts w:hint="eastAsia" w:ascii="宋体" w:hAnsi="宋体" w:cs="宋体"/>
          <w:color w:val="auto"/>
          <w:kern w:val="0"/>
          <w:szCs w:val="21"/>
        </w:rPr>
        <w:br w:type="textWrapping"/>
      </w:r>
      <w:r>
        <w:rPr>
          <w:rFonts w:hint="eastAsia" w:ascii="宋体" w:hAnsi="宋体" w:cs="宋体"/>
          <w:color w:val="auto"/>
          <w:kern w:val="0"/>
          <w:szCs w:val="21"/>
        </w:rPr>
        <w:t xml:space="preserve">    7.CA证书在线解密：首次响应文件开启时，需要供应商携带制作响应文件时用来加密的有效数字证书（CA认证）登录“广西政府采购云平台”电子开标大厅现场按规定时间对加密的响应文件进行解密，否则后果自负。</w:t>
      </w:r>
      <w:r>
        <w:rPr>
          <w:rFonts w:hint="eastAsia" w:ascii="宋体" w:hAnsi="宋体" w:cs="宋体"/>
          <w:color w:val="auto"/>
          <w:kern w:val="0"/>
          <w:szCs w:val="21"/>
        </w:rPr>
        <w:br w:type="textWrapping"/>
      </w:r>
      <w:r>
        <w:rPr>
          <w:rFonts w:hint="eastAsia" w:ascii="宋体" w:hAnsi="宋体" w:cs="宋体"/>
          <w:color w:val="auto"/>
          <w:kern w:val="0"/>
          <w:szCs w:val="21"/>
        </w:rPr>
        <w:t xml:space="preserve">    8.供应商需要在具备摄像头及语音功能且互联网网络状况良好的电脑登录“广西政府采购云平台”远程开标大厅参与本次谈判，否则后果自负。</w:t>
      </w:r>
      <w:r>
        <w:rPr>
          <w:rFonts w:hint="eastAsia" w:ascii="宋体" w:hAnsi="宋体" w:cs="宋体"/>
          <w:color w:val="auto"/>
          <w:kern w:val="0"/>
          <w:szCs w:val="21"/>
        </w:rPr>
        <w:br w:type="textWrapping"/>
      </w:r>
      <w:r>
        <w:rPr>
          <w:rFonts w:hint="eastAsia" w:ascii="宋体" w:hAnsi="宋体" w:cs="宋体"/>
          <w:color w:val="auto"/>
          <w:kern w:val="0"/>
          <w:szCs w:val="21"/>
        </w:rPr>
        <w:t xml:space="preserve">    9.若对项目采购电子交易系统操作有疑问，可登录“广西政府采购云平台”（https://www.gcy.zfcg.gxzf.gov.cn），点击右侧咨询小采，获取采小蜜智能服务管家帮助，或拨打广西政府采购云平台服务热线95763获取热线服务帮助。</w:t>
      </w:r>
    </w:p>
    <w:p w14:paraId="44BFF25F">
      <w:pPr>
        <w:spacing w:line="360" w:lineRule="auto"/>
        <w:rPr>
          <w:rFonts w:ascii="宋体" w:hAnsi="宋体" w:cs="宋体"/>
          <w:b/>
          <w:bCs/>
          <w:color w:val="auto"/>
          <w:szCs w:val="21"/>
        </w:rPr>
      </w:pPr>
      <w:bookmarkStart w:id="37" w:name="_Toc44229885"/>
      <w:bookmarkStart w:id="38" w:name="_Toc35393636"/>
      <w:bookmarkStart w:id="39" w:name="_Toc28359018"/>
      <w:bookmarkStart w:id="40" w:name="_Toc28359095"/>
      <w:bookmarkStart w:id="41" w:name="_Toc35393805"/>
      <w:r>
        <w:rPr>
          <w:rFonts w:hint="eastAsia" w:ascii="宋体" w:hAnsi="宋体" w:cs="宋体"/>
          <w:b/>
          <w:bCs/>
          <w:color w:val="auto"/>
          <w:szCs w:val="21"/>
        </w:rPr>
        <w:t>八、凡对本次采购提出询问，请按以下方式联系。</w:t>
      </w:r>
      <w:bookmarkEnd w:id="37"/>
      <w:bookmarkEnd w:id="38"/>
      <w:bookmarkEnd w:id="39"/>
      <w:bookmarkEnd w:id="40"/>
      <w:bookmarkEnd w:id="41"/>
    </w:p>
    <w:p w14:paraId="2B858E42">
      <w:pPr>
        <w:spacing w:line="360" w:lineRule="auto"/>
        <w:jc w:val="left"/>
        <w:rPr>
          <w:rFonts w:ascii="宋体" w:hAnsi="宋体" w:cs="宋体"/>
          <w:color w:val="auto"/>
          <w:szCs w:val="21"/>
        </w:rPr>
      </w:pPr>
      <w:r>
        <w:rPr>
          <w:rFonts w:hint="eastAsia" w:ascii="宋体" w:hAnsi="宋体" w:cs="宋体"/>
          <w:color w:val="auto"/>
          <w:szCs w:val="21"/>
        </w:rPr>
        <w:t>1.采购人信息</w:t>
      </w:r>
    </w:p>
    <w:p w14:paraId="4B5E0099">
      <w:pPr>
        <w:spacing w:line="360" w:lineRule="auto"/>
        <w:ind w:firstLine="630" w:firstLineChars="300"/>
        <w:jc w:val="left"/>
        <w:rPr>
          <w:rFonts w:ascii="宋体" w:hAnsi="宋体" w:cs="宋体"/>
          <w:color w:val="auto"/>
          <w:szCs w:val="21"/>
        </w:rPr>
      </w:pPr>
      <w:r>
        <w:rPr>
          <w:rFonts w:hint="eastAsia" w:ascii="宋体" w:hAnsi="宋体" w:cs="宋体"/>
          <w:color w:val="auto"/>
          <w:szCs w:val="21"/>
        </w:rPr>
        <w:t>名称：</w:t>
      </w:r>
      <w:r>
        <w:rPr>
          <w:rFonts w:hint="eastAsia" w:ascii="宋体" w:hAnsi="宋体" w:cs="宋体"/>
          <w:color w:val="auto"/>
          <w:szCs w:val="21"/>
          <w:u w:val="single"/>
        </w:rPr>
        <w:t>广西职业师范学院</w:t>
      </w:r>
    </w:p>
    <w:p w14:paraId="6E92AF7A">
      <w:pPr>
        <w:spacing w:line="360" w:lineRule="auto"/>
        <w:ind w:firstLine="630" w:firstLineChars="300"/>
        <w:jc w:val="left"/>
        <w:rPr>
          <w:rFonts w:ascii="宋体" w:hAnsi="宋体" w:cs="宋体"/>
          <w:color w:val="auto"/>
          <w:szCs w:val="21"/>
        </w:rPr>
      </w:pPr>
      <w:r>
        <w:rPr>
          <w:rFonts w:hint="eastAsia" w:ascii="宋体" w:hAnsi="宋体" w:cs="宋体"/>
          <w:color w:val="auto"/>
          <w:szCs w:val="21"/>
        </w:rPr>
        <w:t>地址：</w:t>
      </w:r>
      <w:r>
        <w:rPr>
          <w:rFonts w:hint="eastAsia" w:ascii="宋体" w:hAnsi="宋体" w:cs="宋体"/>
          <w:color w:val="auto"/>
          <w:szCs w:val="21"/>
          <w:u w:val="single"/>
        </w:rPr>
        <w:t xml:space="preserve">南宁市西乡塘区大学东路105号 </w:t>
      </w:r>
    </w:p>
    <w:p w14:paraId="13EBAF2E">
      <w:pPr>
        <w:spacing w:line="360" w:lineRule="auto"/>
        <w:ind w:firstLine="630" w:firstLineChars="300"/>
        <w:jc w:val="left"/>
        <w:rPr>
          <w:rFonts w:ascii="宋体" w:hAnsi="宋体" w:cs="宋体"/>
          <w:color w:val="auto"/>
          <w:szCs w:val="21"/>
          <w:u w:val="single"/>
        </w:rPr>
      </w:pPr>
      <w:r>
        <w:rPr>
          <w:rFonts w:hint="eastAsia" w:ascii="宋体" w:hAnsi="宋体" w:cs="宋体"/>
          <w:color w:val="auto"/>
          <w:szCs w:val="21"/>
        </w:rPr>
        <w:t>联系人及联系方式：</w:t>
      </w:r>
      <w:r>
        <w:rPr>
          <w:rFonts w:hint="eastAsia" w:ascii="宋体" w:hAnsi="宋体" w:cs="宋体"/>
          <w:color w:val="auto"/>
          <w:szCs w:val="21"/>
          <w:u w:val="single"/>
        </w:rPr>
        <w:t>蒋老师，0771-3245617</w:t>
      </w:r>
      <w:bookmarkStart w:id="42" w:name="_Toc28359086"/>
      <w:bookmarkStart w:id="43" w:name="_Toc28359009"/>
    </w:p>
    <w:p w14:paraId="213D560D">
      <w:pPr>
        <w:spacing w:line="360" w:lineRule="auto"/>
        <w:jc w:val="left"/>
        <w:rPr>
          <w:rFonts w:ascii="宋体" w:hAnsi="宋体" w:cs="宋体"/>
          <w:color w:val="auto"/>
          <w:szCs w:val="21"/>
        </w:rPr>
      </w:pPr>
      <w:r>
        <w:rPr>
          <w:rFonts w:hint="eastAsia" w:ascii="宋体" w:hAnsi="宋体" w:cs="宋体"/>
          <w:color w:val="auto"/>
          <w:szCs w:val="21"/>
        </w:rPr>
        <w:t>2.采购代理机构信息</w:t>
      </w:r>
      <w:bookmarkEnd w:id="42"/>
      <w:bookmarkEnd w:id="43"/>
    </w:p>
    <w:p w14:paraId="4EE8434F">
      <w:pPr>
        <w:spacing w:line="360" w:lineRule="auto"/>
        <w:ind w:firstLine="630" w:firstLineChars="300"/>
        <w:rPr>
          <w:rFonts w:ascii="宋体" w:hAnsi="宋体" w:cs="宋体"/>
          <w:color w:val="auto"/>
          <w:szCs w:val="21"/>
        </w:rPr>
      </w:pPr>
      <w:r>
        <w:rPr>
          <w:rFonts w:hint="eastAsia" w:ascii="宋体" w:hAnsi="宋体" w:cs="宋体"/>
          <w:color w:val="auto"/>
          <w:szCs w:val="21"/>
        </w:rPr>
        <w:t>名称：</w:t>
      </w:r>
      <w:r>
        <w:rPr>
          <w:rFonts w:hint="eastAsia" w:ascii="宋体" w:hAnsi="宋体" w:cs="宋体"/>
          <w:color w:val="auto"/>
          <w:szCs w:val="21"/>
          <w:u w:val="single"/>
        </w:rPr>
        <w:t>广西中信恒泰工程顾问有限公司</w:t>
      </w:r>
    </w:p>
    <w:p w14:paraId="1547FA7C">
      <w:pPr>
        <w:spacing w:line="360" w:lineRule="auto"/>
        <w:ind w:firstLine="630" w:firstLineChars="300"/>
        <w:rPr>
          <w:rFonts w:ascii="宋体" w:hAnsi="宋体" w:cs="宋体"/>
          <w:color w:val="auto"/>
          <w:szCs w:val="21"/>
        </w:rPr>
      </w:pPr>
      <w:r>
        <w:rPr>
          <w:rFonts w:hint="eastAsia" w:ascii="宋体" w:hAnsi="宋体" w:cs="宋体"/>
          <w:color w:val="auto"/>
          <w:szCs w:val="21"/>
        </w:rPr>
        <w:t>地址：</w:t>
      </w:r>
      <w:r>
        <w:rPr>
          <w:rFonts w:hint="eastAsia" w:ascii="宋体" w:hAnsi="宋体" w:cs="宋体"/>
          <w:color w:val="auto"/>
          <w:szCs w:val="21"/>
          <w:u w:val="single"/>
        </w:rPr>
        <w:t>广西南宁市青秀区云景路69号南宁轨道大厦B座15楼</w:t>
      </w:r>
    </w:p>
    <w:p w14:paraId="010A5CA8">
      <w:pPr>
        <w:spacing w:line="360" w:lineRule="auto"/>
        <w:ind w:firstLine="630" w:firstLineChars="300"/>
        <w:rPr>
          <w:rFonts w:ascii="宋体" w:hAnsi="宋体" w:cs="宋体"/>
          <w:color w:val="auto"/>
          <w:szCs w:val="21"/>
        </w:rPr>
      </w:pPr>
      <w:r>
        <w:rPr>
          <w:rFonts w:hint="eastAsia" w:ascii="宋体" w:hAnsi="宋体" w:cs="宋体"/>
          <w:color w:val="auto"/>
          <w:szCs w:val="21"/>
        </w:rPr>
        <w:t>联系人及联系方式：</w:t>
      </w:r>
      <w:bookmarkStart w:id="44" w:name="_Toc28359010"/>
      <w:bookmarkStart w:id="45" w:name="_Toc28359087"/>
      <w:r>
        <w:rPr>
          <w:rFonts w:hint="eastAsia" w:hAnsi="宋体" w:cs="宋体"/>
          <w:color w:val="auto"/>
          <w:u w:val="single"/>
        </w:rPr>
        <w:t>廖欣蕾、陈燕英、田甜，</w:t>
      </w:r>
      <w:r>
        <w:rPr>
          <w:rFonts w:hint="eastAsia" w:ascii="宋体" w:hAnsi="宋体" w:cs="宋体"/>
          <w:color w:val="auto"/>
          <w:szCs w:val="21"/>
          <w:u w:val="single"/>
        </w:rPr>
        <w:t>0771-5776251</w:t>
      </w:r>
    </w:p>
    <w:bookmarkEnd w:id="44"/>
    <w:bookmarkEnd w:id="45"/>
    <w:p w14:paraId="63E7D4D0">
      <w:pPr>
        <w:spacing w:line="360" w:lineRule="auto"/>
        <w:rPr>
          <w:rFonts w:ascii="宋体" w:hAnsi="宋体" w:cs="宋体"/>
          <w:color w:val="auto"/>
          <w:szCs w:val="21"/>
        </w:rPr>
      </w:pPr>
      <w:r>
        <w:rPr>
          <w:rFonts w:hint="eastAsia" w:ascii="宋体" w:hAnsi="宋体" w:cs="宋体"/>
          <w:color w:val="auto"/>
          <w:szCs w:val="21"/>
        </w:rPr>
        <w:t>3.项目联系方式</w:t>
      </w:r>
    </w:p>
    <w:p w14:paraId="235576F2">
      <w:pPr>
        <w:pStyle w:val="14"/>
        <w:spacing w:line="360" w:lineRule="auto"/>
        <w:ind w:firstLine="840" w:firstLineChars="400"/>
        <w:rPr>
          <w:rFonts w:hAnsi="宋体" w:cs="宋体"/>
          <w:color w:val="auto"/>
          <w:sz w:val="21"/>
        </w:rPr>
      </w:pPr>
      <w:r>
        <w:rPr>
          <w:rFonts w:hint="eastAsia" w:hAnsi="宋体" w:cs="宋体"/>
          <w:color w:val="auto"/>
          <w:sz w:val="21"/>
        </w:rPr>
        <w:t>项目联系人：</w:t>
      </w:r>
      <w:r>
        <w:rPr>
          <w:rFonts w:hint="eastAsia" w:hAnsi="宋体" w:cs="宋体"/>
          <w:color w:val="auto"/>
          <w:sz w:val="21"/>
          <w:u w:val="single"/>
        </w:rPr>
        <w:t>廖欣蕾、陈燕英、田甜</w:t>
      </w:r>
    </w:p>
    <w:p w14:paraId="4841FADE">
      <w:pPr>
        <w:spacing w:line="360" w:lineRule="auto"/>
        <w:ind w:firstLine="840" w:firstLineChars="400"/>
        <w:rPr>
          <w:rFonts w:ascii="宋体" w:hAnsi="宋体" w:cs="宋体"/>
          <w:color w:val="auto"/>
          <w:szCs w:val="21"/>
        </w:rPr>
      </w:pPr>
      <w:r>
        <w:rPr>
          <w:rFonts w:hint="eastAsia" w:ascii="宋体" w:hAnsi="宋体" w:cs="宋体"/>
          <w:color w:val="auto"/>
          <w:szCs w:val="21"/>
        </w:rPr>
        <w:t>联系方式：</w:t>
      </w:r>
      <w:r>
        <w:rPr>
          <w:rFonts w:hint="eastAsia" w:ascii="宋体" w:hAnsi="宋体" w:cs="宋体"/>
          <w:color w:val="auto"/>
          <w:szCs w:val="21"/>
          <w:u w:val="single"/>
        </w:rPr>
        <w:t>0771-5776251</w:t>
      </w:r>
    </w:p>
    <w:p w14:paraId="0C7095AD">
      <w:pPr>
        <w:spacing w:line="360" w:lineRule="auto"/>
        <w:rPr>
          <w:rFonts w:ascii="宋体" w:hAnsi="宋体" w:cs="宋体"/>
          <w:color w:val="auto"/>
          <w:szCs w:val="21"/>
        </w:rPr>
      </w:pPr>
      <w:r>
        <w:rPr>
          <w:rFonts w:hint="eastAsia" w:ascii="宋体" w:hAnsi="宋体" w:cs="宋体"/>
          <w:color w:val="auto"/>
          <w:szCs w:val="21"/>
        </w:rPr>
        <w:t>4.监督部门</w:t>
      </w:r>
    </w:p>
    <w:p w14:paraId="0AEBEA5B">
      <w:pPr>
        <w:spacing w:line="360" w:lineRule="auto"/>
        <w:ind w:firstLine="840" w:firstLineChars="400"/>
        <w:rPr>
          <w:rFonts w:ascii="宋体" w:hAnsi="宋体" w:cs="宋体"/>
          <w:color w:val="auto"/>
          <w:szCs w:val="21"/>
        </w:rPr>
      </w:pPr>
      <w:r>
        <w:rPr>
          <w:rFonts w:hint="eastAsia" w:ascii="宋体" w:hAnsi="宋体" w:cs="宋体"/>
          <w:color w:val="auto"/>
          <w:szCs w:val="21"/>
        </w:rPr>
        <w:t>名称：</w:t>
      </w:r>
      <w:r>
        <w:rPr>
          <w:rFonts w:hint="eastAsia" w:ascii="宋体" w:hAnsi="宋体" w:cs="宋体"/>
          <w:color w:val="auto"/>
          <w:szCs w:val="21"/>
          <w:u w:val="single"/>
        </w:rPr>
        <w:t>广西壮族自治区财政厅政府采购监督管理处</w:t>
      </w:r>
    </w:p>
    <w:p w14:paraId="2ECBA587">
      <w:pPr>
        <w:spacing w:line="360" w:lineRule="auto"/>
        <w:ind w:firstLine="840" w:firstLineChars="400"/>
        <w:rPr>
          <w:rFonts w:ascii="宋体" w:hAnsi="宋体" w:cs="宋体"/>
          <w:color w:val="auto"/>
          <w:szCs w:val="21"/>
        </w:rPr>
      </w:pPr>
      <w:r>
        <w:rPr>
          <w:rFonts w:hint="eastAsia" w:ascii="宋体" w:hAnsi="宋体" w:cs="宋体"/>
          <w:color w:val="auto"/>
          <w:szCs w:val="21"/>
        </w:rPr>
        <w:t>联系方式：</w:t>
      </w:r>
      <w:r>
        <w:rPr>
          <w:rFonts w:hint="eastAsia" w:ascii="宋体" w:hAnsi="宋体" w:cs="宋体"/>
          <w:color w:val="auto"/>
          <w:szCs w:val="21"/>
          <w:u w:val="single"/>
        </w:rPr>
        <w:t>0771-5331544</w:t>
      </w:r>
    </w:p>
    <w:bookmarkEnd w:id="1"/>
    <w:p w14:paraId="7895AF7C">
      <w:pPr>
        <w:wordWrap w:val="0"/>
        <w:spacing w:line="360" w:lineRule="auto"/>
        <w:jc w:val="right"/>
        <w:rPr>
          <w:rFonts w:ascii="宋体" w:hAnsi="宋体" w:cs="宋体"/>
          <w:color w:val="auto"/>
          <w:szCs w:val="21"/>
        </w:rPr>
      </w:pPr>
      <w:r>
        <w:rPr>
          <w:rFonts w:hint="eastAsia" w:ascii="宋体" w:hAnsi="宋体" w:cs="宋体"/>
          <w:color w:val="auto"/>
          <w:szCs w:val="21"/>
        </w:rPr>
        <w:t>广西中信恒泰工程顾问有限公司</w:t>
      </w:r>
    </w:p>
    <w:p w14:paraId="6D0DB632">
      <w:pPr>
        <w:wordWrap w:val="0"/>
        <w:spacing w:line="360" w:lineRule="auto"/>
        <w:jc w:val="center"/>
        <w:rPr>
          <w:rFonts w:ascii="宋体" w:hAnsi="宋体" w:cs="宋体"/>
          <w:color w:val="auto"/>
          <w:kern w:val="0"/>
          <w:szCs w:val="21"/>
        </w:rPr>
      </w:pPr>
      <w:r>
        <w:rPr>
          <w:rFonts w:hint="eastAsia" w:ascii="宋体" w:hAnsi="宋体" w:cs="宋体"/>
          <w:color w:val="auto"/>
          <w:kern w:val="0"/>
          <w:szCs w:val="21"/>
        </w:rPr>
        <w:t xml:space="preserve">                                                                     2025年</w:t>
      </w:r>
      <w:r>
        <w:rPr>
          <w:rFonts w:hint="eastAsia" w:ascii="宋体" w:hAnsi="宋体" w:cs="宋体"/>
          <w:color w:val="auto"/>
          <w:kern w:val="0"/>
          <w:szCs w:val="21"/>
          <w:lang w:val="en-US" w:eastAsia="zh-CN"/>
        </w:rPr>
        <w:t>7</w:t>
      </w:r>
      <w:r>
        <w:rPr>
          <w:rFonts w:hint="eastAsia" w:ascii="宋体" w:hAnsi="宋体" w:cs="宋体"/>
          <w:color w:val="auto"/>
          <w:kern w:val="0"/>
          <w:szCs w:val="21"/>
        </w:rPr>
        <w:t>月</w:t>
      </w:r>
      <w:r>
        <w:rPr>
          <w:rFonts w:hint="eastAsia" w:ascii="宋体" w:hAnsi="宋体" w:cs="宋体"/>
          <w:color w:val="auto"/>
          <w:kern w:val="0"/>
          <w:szCs w:val="21"/>
          <w:lang w:val="en-US" w:eastAsia="zh-CN"/>
        </w:rPr>
        <w:t>14</w:t>
      </w:r>
      <w:r>
        <w:rPr>
          <w:rFonts w:hint="eastAsia" w:ascii="宋体" w:hAnsi="宋体" w:cs="宋体"/>
          <w:color w:val="auto"/>
          <w:szCs w:val="21"/>
        </w:rPr>
        <w:t>日</w:t>
      </w:r>
    </w:p>
    <w:p w14:paraId="275DAD72">
      <w:pPr>
        <w:rPr>
          <w:rFonts w:ascii="宋体" w:hAnsi="宋体" w:cs="宋体"/>
          <w:color w:val="auto"/>
        </w:rPr>
      </w:pPr>
    </w:p>
    <w:p w14:paraId="5E292CAF">
      <w:pPr>
        <w:rPr>
          <w:rFonts w:ascii="宋体" w:hAnsi="宋体" w:cs="宋体"/>
          <w:color w:val="auto"/>
        </w:rPr>
      </w:pPr>
    </w:p>
    <w:p w14:paraId="789CAA4D">
      <w:pPr>
        <w:rPr>
          <w:rFonts w:ascii="宋体" w:hAnsi="宋体" w:cs="宋体"/>
          <w:color w:val="auto"/>
        </w:rPr>
      </w:pPr>
      <w:r>
        <w:rPr>
          <w:rFonts w:hint="eastAsia" w:ascii="宋体" w:hAnsi="宋体" w:cs="宋体"/>
          <w:color w:val="auto"/>
        </w:rPr>
        <w:br w:type="page"/>
      </w:r>
    </w:p>
    <w:p w14:paraId="5D242C87">
      <w:pPr>
        <w:pStyle w:val="3"/>
        <w:jc w:val="center"/>
        <w:rPr>
          <w:rFonts w:ascii="宋体" w:hAnsi="宋体" w:cs="宋体"/>
          <w:color w:val="auto"/>
        </w:rPr>
      </w:pPr>
      <w:bookmarkStart w:id="46" w:name="_Toc20359"/>
      <w:r>
        <w:rPr>
          <w:rFonts w:hint="eastAsia" w:ascii="宋体" w:hAnsi="宋体" w:cs="宋体"/>
          <w:color w:val="auto"/>
        </w:rPr>
        <w:t>第二章  供应商须知</w:t>
      </w:r>
      <w:bookmarkEnd w:id="46"/>
    </w:p>
    <w:p w14:paraId="70343AB4">
      <w:pPr>
        <w:spacing w:line="400" w:lineRule="exact"/>
        <w:jc w:val="center"/>
        <w:rPr>
          <w:rFonts w:ascii="宋体" w:hAnsi="宋体" w:cs="宋体"/>
          <w:b/>
          <w:color w:val="auto"/>
          <w:sz w:val="32"/>
          <w:szCs w:val="32"/>
        </w:rPr>
      </w:pPr>
      <w:r>
        <w:rPr>
          <w:rFonts w:hint="eastAsia" w:ascii="宋体" w:hAnsi="宋体" w:cs="宋体"/>
          <w:b/>
          <w:color w:val="auto"/>
          <w:sz w:val="32"/>
          <w:szCs w:val="32"/>
        </w:rPr>
        <w:t>供应商须知前附表</w:t>
      </w:r>
    </w:p>
    <w:p w14:paraId="27B66F0F">
      <w:pPr>
        <w:spacing w:line="400" w:lineRule="exact"/>
        <w:jc w:val="center"/>
        <w:rPr>
          <w:rFonts w:ascii="宋体" w:hAnsi="宋体" w:cs="宋体"/>
          <w:b/>
          <w:color w:val="auto"/>
          <w:sz w:val="32"/>
          <w:szCs w:val="32"/>
        </w:rPr>
      </w:pP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3D892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5C1534DB">
            <w:pPr>
              <w:spacing w:line="500" w:lineRule="exact"/>
              <w:jc w:val="center"/>
              <w:rPr>
                <w:rFonts w:ascii="宋体" w:hAnsi="宋体" w:cs="宋体"/>
                <w:b/>
                <w:color w:val="auto"/>
                <w:szCs w:val="21"/>
              </w:rPr>
            </w:pPr>
            <w:r>
              <w:rPr>
                <w:rFonts w:hint="eastAsia" w:ascii="宋体" w:hAnsi="宋体" w:cs="宋体"/>
                <w:b/>
                <w:color w:val="auto"/>
                <w:szCs w:val="21"/>
              </w:rPr>
              <w:t>条款号</w:t>
            </w:r>
          </w:p>
        </w:tc>
        <w:tc>
          <w:tcPr>
            <w:tcW w:w="7912" w:type="dxa"/>
          </w:tcPr>
          <w:p w14:paraId="42D66176">
            <w:pPr>
              <w:spacing w:line="500" w:lineRule="exact"/>
              <w:jc w:val="center"/>
              <w:rPr>
                <w:rFonts w:ascii="宋体" w:hAnsi="宋体" w:cs="宋体"/>
                <w:b/>
                <w:color w:val="auto"/>
                <w:szCs w:val="21"/>
              </w:rPr>
            </w:pPr>
            <w:r>
              <w:rPr>
                <w:rFonts w:hint="eastAsia" w:ascii="宋体" w:hAnsi="宋体" w:cs="宋体"/>
                <w:b/>
                <w:color w:val="auto"/>
                <w:szCs w:val="21"/>
              </w:rPr>
              <w:t>内    容</w:t>
            </w:r>
          </w:p>
        </w:tc>
      </w:tr>
      <w:tr w14:paraId="0B505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7590573">
            <w:pPr>
              <w:spacing w:line="500" w:lineRule="exact"/>
              <w:jc w:val="center"/>
              <w:rPr>
                <w:rFonts w:ascii="宋体" w:hAnsi="宋体" w:cs="宋体"/>
                <w:color w:val="auto"/>
                <w:szCs w:val="21"/>
              </w:rPr>
            </w:pPr>
            <w:r>
              <w:rPr>
                <w:rFonts w:hint="eastAsia" w:ascii="宋体" w:hAnsi="宋体" w:cs="宋体"/>
                <w:color w:val="auto"/>
                <w:szCs w:val="21"/>
              </w:rPr>
              <w:t>3</w:t>
            </w:r>
          </w:p>
        </w:tc>
        <w:tc>
          <w:tcPr>
            <w:tcW w:w="7912" w:type="dxa"/>
            <w:vAlign w:val="center"/>
          </w:tcPr>
          <w:p w14:paraId="6D67284D">
            <w:pPr>
              <w:spacing w:line="500" w:lineRule="exact"/>
              <w:rPr>
                <w:rFonts w:ascii="宋体" w:hAnsi="宋体" w:cs="宋体"/>
                <w:color w:val="auto"/>
                <w:szCs w:val="21"/>
              </w:rPr>
            </w:pPr>
            <w:r>
              <w:rPr>
                <w:rFonts w:hint="eastAsia" w:ascii="宋体" w:hAnsi="宋体" w:cs="宋体"/>
                <w:bCs/>
                <w:color w:val="auto"/>
                <w:szCs w:val="21"/>
              </w:rPr>
              <w:t>供应商的资格条件</w:t>
            </w:r>
            <w:r>
              <w:rPr>
                <w:rFonts w:hint="eastAsia" w:ascii="宋体" w:hAnsi="宋体" w:cs="宋体"/>
                <w:color w:val="auto"/>
                <w:szCs w:val="21"/>
              </w:rPr>
              <w:t>：详见竞争性谈判公告</w:t>
            </w:r>
          </w:p>
        </w:tc>
      </w:tr>
      <w:tr w14:paraId="4A4AD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D41C013">
            <w:pPr>
              <w:spacing w:line="500" w:lineRule="exact"/>
              <w:jc w:val="center"/>
              <w:rPr>
                <w:rFonts w:ascii="宋体" w:hAnsi="宋体" w:cs="宋体"/>
                <w:color w:val="auto"/>
                <w:szCs w:val="21"/>
              </w:rPr>
            </w:pPr>
            <w:r>
              <w:rPr>
                <w:rFonts w:hint="eastAsia" w:ascii="宋体" w:hAnsi="宋体" w:cs="宋体"/>
                <w:color w:val="auto"/>
                <w:szCs w:val="21"/>
              </w:rPr>
              <w:t>5.1</w:t>
            </w:r>
          </w:p>
        </w:tc>
        <w:tc>
          <w:tcPr>
            <w:tcW w:w="7912" w:type="dxa"/>
            <w:vAlign w:val="center"/>
          </w:tcPr>
          <w:p w14:paraId="4C558F17">
            <w:pPr>
              <w:spacing w:line="500" w:lineRule="exact"/>
              <w:rPr>
                <w:rFonts w:ascii="宋体" w:hAnsi="宋体" w:cs="宋体"/>
                <w:color w:val="auto"/>
                <w:szCs w:val="21"/>
              </w:rPr>
            </w:pPr>
            <w:r>
              <w:rPr>
                <w:rFonts w:hint="eastAsia" w:ascii="宋体" w:hAnsi="宋体" w:cs="宋体"/>
                <w:color w:val="auto"/>
                <w:szCs w:val="21"/>
              </w:rPr>
              <w:t>是否接受联合体竞标：详见竞争性谈判公告</w:t>
            </w:r>
          </w:p>
        </w:tc>
      </w:tr>
      <w:tr w14:paraId="2A04B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6BA319E">
            <w:pPr>
              <w:spacing w:line="500" w:lineRule="exact"/>
              <w:jc w:val="center"/>
              <w:rPr>
                <w:rFonts w:ascii="宋体" w:hAnsi="宋体" w:cs="宋体"/>
                <w:color w:val="auto"/>
                <w:szCs w:val="21"/>
              </w:rPr>
            </w:pPr>
            <w:r>
              <w:rPr>
                <w:rFonts w:hint="eastAsia" w:ascii="宋体" w:hAnsi="宋体" w:cs="宋体"/>
                <w:color w:val="auto"/>
                <w:szCs w:val="21"/>
              </w:rPr>
              <w:t>5.2</w:t>
            </w:r>
          </w:p>
        </w:tc>
        <w:tc>
          <w:tcPr>
            <w:tcW w:w="7912" w:type="dxa"/>
            <w:vAlign w:val="center"/>
          </w:tcPr>
          <w:p w14:paraId="2FC69347">
            <w:pPr>
              <w:spacing w:line="500" w:lineRule="exact"/>
              <w:rPr>
                <w:rFonts w:ascii="宋体" w:hAnsi="宋体" w:cs="宋体"/>
                <w:color w:val="auto"/>
                <w:szCs w:val="21"/>
              </w:rPr>
            </w:pPr>
            <w:r>
              <w:rPr>
                <w:rFonts w:hint="eastAsia" w:ascii="宋体" w:hAnsi="宋体" w:cs="宋体"/>
                <w:color w:val="auto"/>
                <w:szCs w:val="21"/>
              </w:rPr>
              <w:t>如接受联合体竞标，联合体竞标要求如下：无</w:t>
            </w:r>
          </w:p>
        </w:tc>
      </w:tr>
      <w:tr w14:paraId="56E5F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F524954">
            <w:pPr>
              <w:spacing w:line="500" w:lineRule="exact"/>
              <w:jc w:val="center"/>
              <w:rPr>
                <w:rFonts w:ascii="宋体" w:hAnsi="宋体" w:cs="宋体"/>
                <w:color w:val="auto"/>
                <w:szCs w:val="21"/>
              </w:rPr>
            </w:pPr>
            <w:r>
              <w:rPr>
                <w:rFonts w:hint="eastAsia" w:ascii="宋体" w:hAnsi="宋体" w:cs="宋体"/>
                <w:color w:val="auto"/>
                <w:szCs w:val="21"/>
              </w:rPr>
              <w:t>6.2</w:t>
            </w:r>
          </w:p>
        </w:tc>
        <w:tc>
          <w:tcPr>
            <w:tcW w:w="7912" w:type="dxa"/>
            <w:vAlign w:val="center"/>
          </w:tcPr>
          <w:p w14:paraId="7B9FC68B">
            <w:pPr>
              <w:pStyle w:val="10"/>
              <w:spacing w:line="500" w:lineRule="exact"/>
              <w:rPr>
                <w:rFonts w:ascii="宋体" w:hAnsi="宋体" w:cs="宋体"/>
                <w:color w:val="auto"/>
                <w:szCs w:val="21"/>
              </w:rPr>
            </w:pPr>
            <w:r>
              <w:rPr>
                <w:rFonts w:hint="eastAsia" w:ascii="Segoe UI Emoji" w:hAnsi="Segoe UI Emoji" w:cs="Segoe UI Emoji"/>
                <w:color w:val="auto"/>
                <w:szCs w:val="21"/>
              </w:rPr>
              <w:t>☑</w:t>
            </w:r>
            <w:r>
              <w:rPr>
                <w:rFonts w:hint="eastAsia" w:ascii="宋体" w:hAnsi="宋体" w:cs="宋体"/>
                <w:color w:val="auto"/>
                <w:szCs w:val="21"/>
              </w:rPr>
              <w:t>不允许分包</w:t>
            </w:r>
          </w:p>
          <w:p w14:paraId="575F479A">
            <w:pPr>
              <w:pStyle w:val="10"/>
              <w:spacing w:line="500" w:lineRule="exact"/>
              <w:rPr>
                <w:rFonts w:ascii="宋体" w:hAnsi="宋体" w:cs="宋体"/>
                <w:color w:val="auto"/>
                <w:szCs w:val="21"/>
                <w:u w:val="single"/>
              </w:rPr>
            </w:pPr>
            <w:r>
              <w:rPr>
                <w:rFonts w:hint="eastAsia" w:ascii="宋体" w:hAnsi="宋体" w:cs="宋体"/>
                <w:color w:val="auto"/>
                <w:szCs w:val="21"/>
              </w:rPr>
              <w:t>分包内容：</w:t>
            </w:r>
            <w:r>
              <w:rPr>
                <w:rFonts w:hint="eastAsia" w:ascii="宋体" w:hAnsi="宋体" w:cs="宋体"/>
                <w:color w:val="auto"/>
                <w:szCs w:val="21"/>
                <w:u w:val="single"/>
              </w:rPr>
              <w:t xml:space="preserve"> / </w:t>
            </w:r>
          </w:p>
          <w:p w14:paraId="77F8CA4A">
            <w:pPr>
              <w:pStyle w:val="10"/>
              <w:spacing w:line="500" w:lineRule="exact"/>
              <w:rPr>
                <w:rFonts w:ascii="宋体" w:hAnsi="宋体" w:cs="宋体"/>
                <w:color w:val="auto"/>
                <w:szCs w:val="21"/>
              </w:rPr>
            </w:pPr>
            <w:r>
              <w:rPr>
                <w:rFonts w:hint="eastAsia" w:ascii="宋体" w:hAnsi="宋体" w:cs="宋体"/>
                <w:color w:val="auto"/>
                <w:szCs w:val="21"/>
              </w:rPr>
              <w:t>分包金额或者比例：</w:t>
            </w:r>
            <w:r>
              <w:rPr>
                <w:rFonts w:hint="eastAsia" w:ascii="宋体" w:hAnsi="宋体" w:cs="宋体"/>
                <w:color w:val="auto"/>
                <w:szCs w:val="21"/>
                <w:u w:val="single"/>
              </w:rPr>
              <w:t xml:space="preserve"> / </w:t>
            </w:r>
          </w:p>
        </w:tc>
      </w:tr>
      <w:tr w14:paraId="3AEE0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11605A4">
            <w:pPr>
              <w:spacing w:line="500" w:lineRule="exact"/>
              <w:jc w:val="center"/>
              <w:rPr>
                <w:rFonts w:ascii="宋体" w:hAnsi="宋体" w:cs="宋体"/>
                <w:color w:val="auto"/>
                <w:szCs w:val="21"/>
              </w:rPr>
            </w:pPr>
            <w:r>
              <w:rPr>
                <w:rFonts w:hint="eastAsia" w:ascii="宋体" w:hAnsi="宋体" w:cs="宋体"/>
                <w:color w:val="auto"/>
                <w:szCs w:val="21"/>
              </w:rPr>
              <w:t>12.1.1</w:t>
            </w:r>
          </w:p>
        </w:tc>
        <w:tc>
          <w:tcPr>
            <w:tcW w:w="7912" w:type="dxa"/>
            <w:vAlign w:val="center"/>
          </w:tcPr>
          <w:p w14:paraId="20DF17DA">
            <w:pPr>
              <w:snapToGrid w:val="0"/>
              <w:spacing w:line="500" w:lineRule="exact"/>
              <w:jc w:val="left"/>
              <w:rPr>
                <w:rFonts w:ascii="宋体" w:hAnsi="宋体" w:cs="宋体"/>
                <w:b/>
                <w:color w:val="auto"/>
                <w:szCs w:val="21"/>
              </w:rPr>
            </w:pPr>
            <w:r>
              <w:rPr>
                <w:rFonts w:hint="eastAsia" w:ascii="宋体" w:hAnsi="宋体" w:cs="宋体"/>
                <w:b/>
                <w:color w:val="auto"/>
                <w:szCs w:val="21"/>
              </w:rPr>
              <w:t>资格证明文件</w:t>
            </w:r>
          </w:p>
          <w:p w14:paraId="2E9BD326">
            <w:pPr>
              <w:pStyle w:val="10"/>
              <w:spacing w:line="500" w:lineRule="exact"/>
              <w:rPr>
                <w:rFonts w:ascii="宋体" w:hAnsi="宋体" w:cs="宋体"/>
                <w:color w:val="auto"/>
                <w:szCs w:val="21"/>
              </w:rPr>
            </w:pPr>
            <w:r>
              <w:rPr>
                <w:rFonts w:hint="eastAsia" w:ascii="宋体" w:hAnsi="宋体" w:cs="宋体"/>
                <w:color w:val="auto"/>
                <w:szCs w:val="21"/>
              </w:rPr>
              <w:t>1.供应商为法人或者其他组织的提供其营业执照等证明文件（如营业执照或者事业单位法人证书或者执业许可证等），供应商为自然人的提供其身份证复印件；（</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6E3EE770">
            <w:pPr>
              <w:pStyle w:val="10"/>
              <w:spacing w:line="500" w:lineRule="exact"/>
              <w:rPr>
                <w:rFonts w:ascii="宋体" w:hAnsi="宋体" w:cs="宋体"/>
                <w:color w:val="auto"/>
                <w:szCs w:val="21"/>
              </w:rPr>
            </w:pPr>
            <w:r>
              <w:rPr>
                <w:rFonts w:hint="eastAsia" w:ascii="宋体" w:hAnsi="宋体" w:cs="宋体"/>
                <w:color w:val="auto"/>
                <w:szCs w:val="21"/>
              </w:rPr>
              <w:t>2.供应商依法缴纳税收的相关材料[近半年内任意连续3个月的依法缴纳税收的凭据复印件；依法免税的供应商，必须提供相应文件证明其依法免税。从取得营业执照时间起到首次响应文件提交截止时间为止不足要求月数的，只需提供从取得营业执照起的依法缴纳税收相应证明文件]；（</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28549FF6">
            <w:pPr>
              <w:pStyle w:val="10"/>
              <w:spacing w:line="500" w:lineRule="exact"/>
              <w:rPr>
                <w:rFonts w:ascii="宋体" w:hAnsi="宋体" w:cs="宋体"/>
                <w:color w:val="auto"/>
                <w:szCs w:val="21"/>
              </w:rPr>
            </w:pPr>
            <w:r>
              <w:rPr>
                <w:rFonts w:hint="eastAsia" w:ascii="宋体" w:hAnsi="宋体" w:cs="宋体"/>
                <w:color w:val="auto"/>
                <w:szCs w:val="21"/>
              </w:rPr>
              <w:t>3.供应商依法缴纳社会保障资金的相关材料[近半年内任意连续3个月的依法缴纳社会保障资金的缴费凭证（专用收据或者社会保险缴纳清单）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68C966E5">
            <w:pPr>
              <w:pStyle w:val="10"/>
              <w:spacing w:line="500" w:lineRule="exact"/>
              <w:rPr>
                <w:rFonts w:ascii="宋体" w:hAnsi="宋体" w:cs="宋体"/>
                <w:color w:val="auto"/>
                <w:szCs w:val="21"/>
              </w:rPr>
            </w:pPr>
            <w:r>
              <w:rPr>
                <w:rFonts w:hint="eastAsia" w:ascii="宋体" w:hAnsi="宋体" w:cs="宋体"/>
                <w:color w:val="auto"/>
                <w:szCs w:val="21"/>
              </w:rPr>
              <w:t>4.供应商财务状况报告[供应商2023年或2024年的年度财务状况报告复印件（可以是财务报表或银行出具的资信证明或第三方审计报告等证明材料）；供应商属于成立时间在规定年度之后的法人或其他组织，需提供成立之日起至响应文件提交截止时间前的1个月报表或银行出具的资信证明；资信证明应在有效期内，未注明有效期的，银行出具时间至响应文件提交截止时间不得超过一年]；（</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34842CEC">
            <w:pPr>
              <w:pStyle w:val="10"/>
              <w:spacing w:line="500" w:lineRule="exact"/>
              <w:rPr>
                <w:rFonts w:ascii="宋体" w:hAnsi="宋体" w:cs="宋体"/>
                <w:color w:val="auto"/>
                <w:szCs w:val="21"/>
              </w:rPr>
            </w:pPr>
            <w:r>
              <w:rPr>
                <w:rFonts w:hint="eastAsia" w:ascii="宋体" w:hAnsi="宋体" w:cs="宋体"/>
                <w:color w:val="auto"/>
                <w:szCs w:val="21"/>
              </w:rPr>
              <w:t>5.供应商直接控股、管理关系信息表（格式后附）；（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7EB58D29">
            <w:pPr>
              <w:pStyle w:val="10"/>
              <w:spacing w:line="500" w:lineRule="exact"/>
              <w:rPr>
                <w:rFonts w:ascii="宋体" w:hAnsi="宋体" w:cs="宋体"/>
                <w:color w:val="auto"/>
                <w:szCs w:val="21"/>
              </w:rPr>
            </w:pPr>
            <w:r>
              <w:rPr>
                <w:rFonts w:hint="eastAsia" w:ascii="宋体" w:hAnsi="宋体" w:cs="宋体"/>
                <w:color w:val="auto"/>
                <w:szCs w:val="21"/>
              </w:rPr>
              <w:t>6.竞标声明（格式后附）；（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77CB758D">
            <w:pPr>
              <w:snapToGrid w:val="0"/>
              <w:spacing w:line="500" w:lineRule="exact"/>
              <w:jc w:val="left"/>
              <w:rPr>
                <w:rFonts w:ascii="宋体" w:hAnsi="宋体" w:cs="宋体"/>
                <w:color w:val="auto"/>
                <w:szCs w:val="21"/>
              </w:rPr>
            </w:pPr>
            <w:r>
              <w:rPr>
                <w:rFonts w:hint="eastAsia" w:ascii="宋体" w:hAnsi="宋体" w:cs="宋体"/>
                <w:color w:val="auto"/>
                <w:szCs w:val="21"/>
              </w:rPr>
              <w:t>7.联合体协议书（格式后附）；（</w:t>
            </w:r>
            <w:r>
              <w:rPr>
                <w:rFonts w:hint="eastAsia" w:ascii="宋体" w:hAnsi="宋体" w:cs="宋体"/>
                <w:b/>
                <w:color w:val="auto"/>
                <w:szCs w:val="21"/>
              </w:rPr>
              <w:t>联合体竞标时必须提供，否则响应文件按无效响应处理</w:t>
            </w:r>
            <w:r>
              <w:rPr>
                <w:rFonts w:hint="eastAsia" w:ascii="宋体" w:hAnsi="宋体" w:cs="宋体"/>
                <w:color w:val="auto"/>
                <w:szCs w:val="21"/>
              </w:rPr>
              <w:t>）</w:t>
            </w:r>
          </w:p>
          <w:p w14:paraId="6E6025EC">
            <w:pPr>
              <w:snapToGrid w:val="0"/>
              <w:spacing w:line="500" w:lineRule="exact"/>
              <w:jc w:val="left"/>
              <w:rPr>
                <w:rFonts w:ascii="宋体" w:hAnsi="宋体" w:cs="宋体"/>
                <w:color w:val="auto"/>
                <w:szCs w:val="21"/>
              </w:rPr>
            </w:pPr>
            <w:r>
              <w:rPr>
                <w:rFonts w:hint="eastAsia" w:ascii="宋体" w:hAnsi="宋体" w:cs="宋体"/>
                <w:color w:val="auto"/>
                <w:szCs w:val="21"/>
              </w:rPr>
              <w:t>8.除谈判文件规定必须提供以外，供应商认为需要提供的其他证明材料。（如有请提供）</w:t>
            </w:r>
          </w:p>
          <w:p w14:paraId="35935635">
            <w:pPr>
              <w:snapToGrid w:val="0"/>
              <w:spacing w:line="500" w:lineRule="exact"/>
              <w:jc w:val="left"/>
              <w:rPr>
                <w:rFonts w:ascii="宋体" w:hAnsi="宋体" w:cs="宋体"/>
                <w:b/>
                <w:color w:val="auto"/>
                <w:szCs w:val="21"/>
              </w:rPr>
            </w:pPr>
            <w:r>
              <w:rPr>
                <w:rFonts w:hint="eastAsia" w:ascii="宋体" w:hAnsi="宋体" w:cs="宋体"/>
                <w:b/>
                <w:color w:val="auto"/>
                <w:szCs w:val="21"/>
              </w:rPr>
              <w:t>注：</w:t>
            </w:r>
          </w:p>
          <w:p w14:paraId="5B5F1F90">
            <w:pPr>
              <w:pStyle w:val="10"/>
              <w:spacing w:line="500" w:lineRule="exact"/>
              <w:ind w:firstLine="422" w:firstLineChars="200"/>
              <w:rPr>
                <w:rFonts w:ascii="宋体" w:hAnsi="宋体" w:cs="宋体"/>
                <w:b/>
                <w:color w:val="auto"/>
                <w:szCs w:val="21"/>
              </w:rPr>
            </w:pPr>
            <w:r>
              <w:rPr>
                <w:rFonts w:hint="eastAsia" w:ascii="宋体" w:hAnsi="宋体" w:cs="宋体"/>
                <w:b/>
                <w:color w:val="auto"/>
                <w:szCs w:val="21"/>
              </w:rPr>
              <w:t>1.以上标明“必须提供”的材料属于复印件的扫描件的，必须加盖供应商电子公章，否则响应文件按无效响应处理。</w:t>
            </w:r>
          </w:p>
        </w:tc>
      </w:tr>
      <w:tr w14:paraId="3E33F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restart"/>
            <w:vAlign w:val="center"/>
          </w:tcPr>
          <w:p w14:paraId="59531996">
            <w:pPr>
              <w:spacing w:line="500" w:lineRule="exact"/>
              <w:jc w:val="center"/>
              <w:rPr>
                <w:rFonts w:ascii="宋体" w:hAnsi="宋体" w:cs="宋体"/>
                <w:color w:val="auto"/>
                <w:szCs w:val="21"/>
              </w:rPr>
            </w:pPr>
            <w:r>
              <w:rPr>
                <w:rFonts w:hint="eastAsia" w:ascii="宋体" w:hAnsi="宋体" w:cs="宋体"/>
                <w:color w:val="auto"/>
                <w:szCs w:val="21"/>
              </w:rPr>
              <w:t>12.1.2</w:t>
            </w:r>
          </w:p>
        </w:tc>
        <w:tc>
          <w:tcPr>
            <w:tcW w:w="7912" w:type="dxa"/>
            <w:vAlign w:val="center"/>
          </w:tcPr>
          <w:p w14:paraId="222AD928">
            <w:pPr>
              <w:snapToGrid w:val="0"/>
              <w:spacing w:line="500" w:lineRule="exact"/>
              <w:jc w:val="left"/>
              <w:rPr>
                <w:rFonts w:ascii="宋体" w:hAnsi="宋体" w:cs="宋体"/>
                <w:b/>
                <w:color w:val="auto"/>
                <w:szCs w:val="21"/>
              </w:rPr>
            </w:pPr>
            <w:r>
              <w:rPr>
                <w:rFonts w:hint="eastAsia" w:ascii="宋体" w:hAnsi="宋体" w:cs="宋体"/>
                <w:b/>
                <w:color w:val="auto"/>
                <w:szCs w:val="21"/>
              </w:rPr>
              <w:t>商务文件</w:t>
            </w:r>
          </w:p>
          <w:p w14:paraId="297E3000">
            <w:pPr>
              <w:spacing w:line="500" w:lineRule="exact"/>
              <w:rPr>
                <w:rFonts w:ascii="宋体" w:hAnsi="宋体" w:cs="宋体"/>
                <w:color w:val="auto"/>
                <w:szCs w:val="21"/>
              </w:rPr>
            </w:pPr>
            <w:r>
              <w:rPr>
                <w:rFonts w:hint="eastAsia" w:ascii="宋体" w:hAnsi="宋体" w:cs="宋体"/>
                <w:color w:val="auto"/>
                <w:szCs w:val="21"/>
              </w:rPr>
              <w:t>1.无串通竞标行为的承诺函；（</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6528200B">
            <w:pPr>
              <w:snapToGrid w:val="0"/>
              <w:spacing w:line="500" w:lineRule="exact"/>
              <w:jc w:val="left"/>
              <w:rPr>
                <w:rFonts w:ascii="宋体" w:hAnsi="宋体" w:cs="宋体"/>
                <w:color w:val="auto"/>
                <w:szCs w:val="21"/>
              </w:rPr>
            </w:pPr>
            <w:r>
              <w:rPr>
                <w:rFonts w:hint="eastAsia" w:ascii="宋体" w:hAnsi="宋体" w:cs="宋体"/>
                <w:color w:val="auto"/>
                <w:szCs w:val="21"/>
              </w:rPr>
              <w:t>2.法定代表人身份证明书及法定代表人有效身份证正反面复印件；（</w:t>
            </w:r>
            <w:r>
              <w:rPr>
                <w:rFonts w:hint="eastAsia" w:ascii="宋体" w:hAnsi="宋体" w:cs="宋体"/>
                <w:b/>
                <w:bCs/>
                <w:color w:val="auto"/>
                <w:szCs w:val="21"/>
              </w:rPr>
              <w:t>除自然人竞标外</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6E7645B3">
            <w:pPr>
              <w:spacing w:line="500" w:lineRule="exact"/>
              <w:rPr>
                <w:rFonts w:ascii="宋体" w:hAnsi="宋体" w:cs="宋体"/>
                <w:b/>
                <w:color w:val="auto"/>
                <w:szCs w:val="21"/>
              </w:rPr>
            </w:pPr>
            <w:r>
              <w:rPr>
                <w:rFonts w:hint="eastAsia" w:ascii="宋体" w:hAnsi="宋体" w:cs="宋体"/>
                <w:color w:val="auto"/>
                <w:szCs w:val="21"/>
              </w:rPr>
              <w:t>3.法定代表人授权委托书及委托代理人有效身份证正反面复印件；（</w:t>
            </w:r>
            <w:r>
              <w:rPr>
                <w:rFonts w:hint="eastAsia" w:ascii="宋体" w:hAnsi="宋体" w:cs="宋体"/>
                <w:b/>
                <w:color w:val="auto"/>
                <w:szCs w:val="21"/>
              </w:rPr>
              <w:t>委托时必须提供，否则响应文件按无效响应处理</w:t>
            </w:r>
            <w:r>
              <w:rPr>
                <w:rFonts w:hint="eastAsia" w:ascii="宋体" w:hAnsi="宋体" w:cs="宋体"/>
                <w:color w:val="auto"/>
                <w:szCs w:val="21"/>
              </w:rPr>
              <w:t>）</w:t>
            </w:r>
          </w:p>
          <w:p w14:paraId="20B0A48F">
            <w:pPr>
              <w:spacing w:line="500" w:lineRule="exact"/>
              <w:rPr>
                <w:rFonts w:ascii="宋体" w:hAnsi="宋体" w:cs="宋体"/>
                <w:color w:val="auto"/>
                <w:szCs w:val="21"/>
              </w:rPr>
            </w:pPr>
            <w:r>
              <w:rPr>
                <w:rFonts w:hint="eastAsia" w:ascii="宋体" w:hAnsi="宋体" w:cs="宋体"/>
                <w:color w:val="auto"/>
                <w:szCs w:val="21"/>
              </w:rPr>
              <w:t>4.商务条款偏离表；（</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2918099D">
            <w:pPr>
              <w:spacing w:line="500" w:lineRule="exact"/>
              <w:rPr>
                <w:rFonts w:ascii="宋体" w:hAnsi="宋体" w:cs="宋体"/>
                <w:color w:val="auto"/>
                <w:szCs w:val="21"/>
              </w:rPr>
            </w:pPr>
            <w:r>
              <w:rPr>
                <w:rFonts w:hint="eastAsia" w:ascii="宋体" w:hAnsi="宋体" w:cs="宋体"/>
                <w:color w:val="auto"/>
                <w:szCs w:val="21"/>
              </w:rPr>
              <w:t>5.谈判保证金提交凭证；（</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692912F8">
            <w:pPr>
              <w:spacing w:line="500" w:lineRule="exact"/>
              <w:rPr>
                <w:rFonts w:ascii="宋体" w:hAnsi="宋体" w:cs="宋体"/>
                <w:color w:val="auto"/>
                <w:szCs w:val="21"/>
              </w:rPr>
            </w:pPr>
            <w:r>
              <w:rPr>
                <w:rFonts w:hint="eastAsia" w:ascii="宋体" w:hAnsi="宋体" w:cs="宋体"/>
                <w:color w:val="auto"/>
                <w:szCs w:val="21"/>
              </w:rPr>
              <w:t>6.供应商认为需要提供的其他有关资料。（如有请提供）</w:t>
            </w:r>
          </w:p>
          <w:p w14:paraId="59A162F8">
            <w:pPr>
              <w:snapToGrid w:val="0"/>
              <w:spacing w:line="500" w:lineRule="exact"/>
              <w:jc w:val="left"/>
              <w:rPr>
                <w:rFonts w:ascii="宋体" w:hAnsi="宋体" w:cs="宋体"/>
                <w:b/>
                <w:color w:val="auto"/>
                <w:szCs w:val="21"/>
              </w:rPr>
            </w:pPr>
            <w:r>
              <w:rPr>
                <w:rFonts w:hint="eastAsia" w:ascii="宋体" w:hAnsi="宋体" w:cs="宋体"/>
                <w:b/>
                <w:color w:val="auto"/>
                <w:szCs w:val="21"/>
              </w:rPr>
              <w:t>注：</w:t>
            </w:r>
          </w:p>
          <w:p w14:paraId="6E0278CF">
            <w:pPr>
              <w:pStyle w:val="17"/>
              <w:spacing w:line="500" w:lineRule="exact"/>
              <w:rPr>
                <w:rFonts w:ascii="宋体" w:hAnsi="宋体" w:cs="宋体"/>
                <w:color w:val="auto"/>
                <w:sz w:val="21"/>
                <w:szCs w:val="21"/>
              </w:rPr>
            </w:pPr>
            <w:r>
              <w:rPr>
                <w:rFonts w:hint="eastAsia" w:ascii="宋体" w:hAnsi="宋体" w:cs="宋体"/>
                <w:b/>
                <w:color w:val="auto"/>
                <w:kern w:val="2"/>
                <w:sz w:val="21"/>
                <w:szCs w:val="21"/>
              </w:rPr>
              <w:t>1.以上标明“必须提供”的材料属于复印件的扫描件的，必须加盖供应商电子公章，否则响应文件按无效响应处理。</w:t>
            </w:r>
          </w:p>
        </w:tc>
      </w:tr>
      <w:tr w14:paraId="38A42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780EAAF7">
            <w:pPr>
              <w:spacing w:line="500" w:lineRule="exact"/>
              <w:jc w:val="center"/>
              <w:rPr>
                <w:rFonts w:ascii="宋体" w:hAnsi="宋体" w:cs="宋体"/>
                <w:color w:val="auto"/>
                <w:szCs w:val="21"/>
              </w:rPr>
            </w:pPr>
          </w:p>
        </w:tc>
        <w:tc>
          <w:tcPr>
            <w:tcW w:w="7912" w:type="dxa"/>
            <w:vAlign w:val="center"/>
          </w:tcPr>
          <w:p w14:paraId="4437AF88">
            <w:pPr>
              <w:snapToGrid w:val="0"/>
              <w:spacing w:line="500" w:lineRule="exact"/>
              <w:jc w:val="left"/>
              <w:rPr>
                <w:rFonts w:ascii="宋体" w:hAnsi="宋体" w:cs="宋体"/>
                <w:b/>
                <w:color w:val="auto"/>
                <w:szCs w:val="21"/>
              </w:rPr>
            </w:pPr>
            <w:r>
              <w:rPr>
                <w:rFonts w:hint="eastAsia" w:ascii="宋体" w:hAnsi="宋体" w:cs="宋体"/>
                <w:b/>
                <w:color w:val="auto"/>
                <w:szCs w:val="21"/>
              </w:rPr>
              <w:t>技术文件</w:t>
            </w:r>
          </w:p>
          <w:p w14:paraId="5D4926F7">
            <w:pPr>
              <w:spacing w:line="500" w:lineRule="exact"/>
              <w:rPr>
                <w:rFonts w:ascii="宋体" w:hAnsi="宋体" w:cs="宋体"/>
                <w:color w:val="auto"/>
                <w:szCs w:val="21"/>
              </w:rPr>
            </w:pPr>
            <w:r>
              <w:rPr>
                <w:rFonts w:hint="eastAsia" w:ascii="宋体" w:hAnsi="宋体" w:cs="宋体"/>
                <w:color w:val="auto"/>
                <w:szCs w:val="21"/>
              </w:rPr>
              <w:t>1.技术需求偏离表；（</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0B27EBB5">
            <w:pPr>
              <w:spacing w:line="500" w:lineRule="exact"/>
              <w:rPr>
                <w:rFonts w:ascii="宋体" w:hAnsi="宋体" w:cs="宋体"/>
                <w:color w:val="auto"/>
                <w:szCs w:val="21"/>
              </w:rPr>
            </w:pPr>
            <w:r>
              <w:rPr>
                <w:rFonts w:hint="eastAsia" w:ascii="宋体" w:hAnsi="宋体" w:cs="宋体"/>
                <w:color w:val="auto"/>
                <w:szCs w:val="21"/>
              </w:rPr>
              <w:t>2.配置清单（均不含报价）；（</w:t>
            </w:r>
            <w:r>
              <w:rPr>
                <w:rFonts w:hint="eastAsia" w:ascii="宋体" w:hAnsi="宋体" w:cs="宋体"/>
                <w:b/>
                <w:color w:val="auto"/>
                <w:szCs w:val="21"/>
              </w:rPr>
              <w:t>必须提供，否则响应文件作无效处理</w:t>
            </w:r>
            <w:r>
              <w:rPr>
                <w:rFonts w:hint="eastAsia" w:ascii="宋体" w:hAnsi="宋体" w:cs="宋体"/>
                <w:color w:val="auto"/>
                <w:szCs w:val="21"/>
              </w:rPr>
              <w:t>）</w:t>
            </w:r>
          </w:p>
          <w:p w14:paraId="3C8469E5">
            <w:pPr>
              <w:spacing w:line="500" w:lineRule="exact"/>
              <w:rPr>
                <w:rFonts w:ascii="宋体" w:hAnsi="宋体" w:cs="宋体"/>
                <w:color w:val="auto"/>
                <w:szCs w:val="21"/>
              </w:rPr>
            </w:pPr>
            <w:r>
              <w:rPr>
                <w:rFonts w:hint="eastAsia" w:ascii="宋体" w:hAnsi="宋体" w:cs="宋体"/>
                <w:color w:val="auto"/>
                <w:szCs w:val="21"/>
              </w:rPr>
              <w:t>3.售后服务方案；（</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2FFA9CED">
            <w:pPr>
              <w:spacing w:line="500" w:lineRule="exact"/>
              <w:rPr>
                <w:rFonts w:ascii="宋体" w:hAnsi="宋体" w:cs="宋体"/>
                <w:color w:val="auto"/>
                <w:szCs w:val="21"/>
              </w:rPr>
            </w:pPr>
            <w:r>
              <w:rPr>
                <w:rFonts w:hint="eastAsia" w:ascii="宋体" w:hAnsi="宋体" w:cs="宋体"/>
                <w:color w:val="auto"/>
                <w:szCs w:val="21"/>
              </w:rPr>
              <w:t>4.项目实施人员一览表；（如有请提供）</w:t>
            </w:r>
          </w:p>
          <w:p w14:paraId="0682634B">
            <w:pPr>
              <w:spacing w:line="500" w:lineRule="exact"/>
              <w:rPr>
                <w:rFonts w:ascii="宋体" w:hAnsi="宋体" w:cs="宋体"/>
                <w:color w:val="auto"/>
                <w:szCs w:val="21"/>
              </w:rPr>
            </w:pPr>
            <w:r>
              <w:rPr>
                <w:rFonts w:hint="eastAsia" w:ascii="宋体" w:hAnsi="宋体" w:cs="宋体"/>
                <w:color w:val="auto"/>
                <w:szCs w:val="21"/>
              </w:rPr>
              <w:t>5.对应采购需求的技术需求、商务条款提供的其他文件资料。（如有请提供）</w:t>
            </w:r>
          </w:p>
          <w:p w14:paraId="6EA5B4AA">
            <w:pPr>
              <w:spacing w:line="500" w:lineRule="exact"/>
              <w:rPr>
                <w:rFonts w:ascii="宋体" w:hAnsi="宋体" w:cs="宋体"/>
                <w:b/>
                <w:bCs/>
                <w:color w:val="auto"/>
                <w:szCs w:val="21"/>
              </w:rPr>
            </w:pPr>
            <w:r>
              <w:rPr>
                <w:rFonts w:hint="eastAsia" w:ascii="宋体" w:hAnsi="宋体" w:cs="宋体"/>
                <w:b/>
                <w:color w:val="auto"/>
                <w:szCs w:val="21"/>
              </w:rPr>
              <w:t>注：1.以上标明“必须提供”的材料属于复印件的扫描件的，必须加盖供应商电子公章，否则响应文件按无效响应处理。</w:t>
            </w:r>
          </w:p>
        </w:tc>
      </w:tr>
      <w:tr w14:paraId="27CD1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55A7B27">
            <w:pPr>
              <w:spacing w:line="500" w:lineRule="exact"/>
              <w:jc w:val="left"/>
              <w:rPr>
                <w:rFonts w:ascii="宋体" w:hAnsi="宋体" w:cs="宋体"/>
                <w:color w:val="auto"/>
                <w:szCs w:val="21"/>
              </w:rPr>
            </w:pPr>
            <w:r>
              <w:rPr>
                <w:rFonts w:hint="eastAsia" w:ascii="宋体" w:hAnsi="宋体" w:cs="宋体"/>
                <w:color w:val="auto"/>
                <w:szCs w:val="21"/>
              </w:rPr>
              <w:t>12.1.3</w:t>
            </w:r>
          </w:p>
        </w:tc>
        <w:tc>
          <w:tcPr>
            <w:tcW w:w="7912" w:type="dxa"/>
            <w:vAlign w:val="center"/>
          </w:tcPr>
          <w:p w14:paraId="7FC1D714">
            <w:pPr>
              <w:spacing w:line="500" w:lineRule="exact"/>
              <w:jc w:val="left"/>
              <w:rPr>
                <w:rFonts w:ascii="宋体" w:hAnsi="宋体" w:cs="宋体"/>
                <w:color w:val="auto"/>
                <w:szCs w:val="21"/>
              </w:rPr>
            </w:pPr>
            <w:r>
              <w:rPr>
                <w:rFonts w:hint="eastAsia" w:ascii="宋体" w:hAnsi="宋体" w:cs="宋体"/>
                <w:color w:val="auto"/>
                <w:szCs w:val="21"/>
              </w:rPr>
              <w:t>报价文件</w:t>
            </w:r>
          </w:p>
          <w:p w14:paraId="6C48D04D">
            <w:pPr>
              <w:spacing w:line="500" w:lineRule="exact"/>
              <w:jc w:val="left"/>
              <w:rPr>
                <w:rFonts w:ascii="宋体" w:hAnsi="宋体" w:cs="宋体"/>
                <w:color w:val="auto"/>
                <w:szCs w:val="21"/>
              </w:rPr>
            </w:pPr>
            <w:r>
              <w:rPr>
                <w:rFonts w:hint="eastAsia" w:ascii="宋体" w:hAnsi="宋体" w:cs="宋体"/>
                <w:color w:val="auto"/>
                <w:szCs w:val="21"/>
              </w:rPr>
              <w:t>1.响应函；</w:t>
            </w:r>
            <w:r>
              <w:rPr>
                <w:rFonts w:hint="eastAsia" w:ascii="宋体" w:hAnsi="宋体" w:cs="宋体"/>
                <w:b/>
                <w:bCs/>
                <w:color w:val="auto"/>
                <w:szCs w:val="21"/>
              </w:rPr>
              <w:t>（必须提供，否则作无效响应处理）</w:t>
            </w:r>
          </w:p>
          <w:p w14:paraId="44B3FD83">
            <w:pPr>
              <w:spacing w:line="500" w:lineRule="exact"/>
              <w:jc w:val="left"/>
              <w:rPr>
                <w:rFonts w:ascii="宋体" w:hAnsi="宋体" w:cs="宋体"/>
                <w:color w:val="auto"/>
                <w:szCs w:val="21"/>
              </w:rPr>
            </w:pPr>
            <w:r>
              <w:rPr>
                <w:rFonts w:hint="eastAsia" w:ascii="宋体" w:hAnsi="宋体" w:cs="宋体"/>
                <w:color w:val="auto"/>
                <w:szCs w:val="21"/>
              </w:rPr>
              <w:t>2.响应报价表。</w:t>
            </w:r>
            <w:r>
              <w:rPr>
                <w:rFonts w:hint="eastAsia" w:ascii="宋体" w:hAnsi="宋体" w:cs="宋体"/>
                <w:b/>
                <w:bCs/>
                <w:color w:val="auto"/>
                <w:szCs w:val="21"/>
              </w:rPr>
              <w:t>（必须提供，否则响应文件按无效响应处理）</w:t>
            </w:r>
          </w:p>
          <w:p w14:paraId="46BD484D">
            <w:pPr>
              <w:spacing w:line="500" w:lineRule="exact"/>
              <w:jc w:val="left"/>
              <w:rPr>
                <w:rFonts w:ascii="宋体" w:hAnsi="宋体" w:cs="宋体"/>
                <w:color w:val="auto"/>
                <w:szCs w:val="21"/>
              </w:rPr>
            </w:pPr>
            <w:r>
              <w:rPr>
                <w:rFonts w:hint="eastAsia" w:ascii="宋体" w:hAnsi="宋体" w:cs="宋体"/>
                <w:color w:val="auto"/>
                <w:szCs w:val="21"/>
              </w:rPr>
              <w:t>3.中小企业声明函或《残疾人福利性单位声明函》或属于监狱企业的证明文件。（如有请提供）</w:t>
            </w:r>
          </w:p>
          <w:p w14:paraId="34BE1C87">
            <w:pPr>
              <w:spacing w:line="500" w:lineRule="exact"/>
              <w:jc w:val="left"/>
              <w:rPr>
                <w:rFonts w:ascii="宋体" w:hAnsi="宋体" w:cs="宋体"/>
                <w:color w:val="auto"/>
                <w:szCs w:val="21"/>
              </w:rPr>
            </w:pPr>
            <w:r>
              <w:rPr>
                <w:rFonts w:hint="eastAsia" w:ascii="宋体" w:hAnsi="宋体" w:cs="宋体"/>
                <w:color w:val="auto"/>
                <w:szCs w:val="21"/>
              </w:rPr>
              <w:t>注：1.以上标明“必须提供”的材料属于复印件的扫描件的，必须加盖供应商电子公章，否则响应文件按无效响应处理。</w:t>
            </w:r>
          </w:p>
        </w:tc>
      </w:tr>
      <w:tr w14:paraId="159C7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D8B5AB4">
            <w:pPr>
              <w:spacing w:line="500" w:lineRule="exact"/>
              <w:jc w:val="center"/>
              <w:rPr>
                <w:rFonts w:ascii="宋体" w:hAnsi="宋体" w:cs="宋体"/>
                <w:color w:val="auto"/>
                <w:szCs w:val="21"/>
              </w:rPr>
            </w:pPr>
            <w:r>
              <w:rPr>
                <w:rFonts w:hint="eastAsia" w:ascii="宋体" w:hAnsi="宋体" w:cs="宋体"/>
                <w:color w:val="auto"/>
                <w:szCs w:val="21"/>
              </w:rPr>
              <w:t>12.2</w:t>
            </w:r>
          </w:p>
        </w:tc>
        <w:tc>
          <w:tcPr>
            <w:tcW w:w="7912" w:type="dxa"/>
            <w:vAlign w:val="center"/>
          </w:tcPr>
          <w:p w14:paraId="0EAE0A5B">
            <w:pPr>
              <w:snapToGrid w:val="0"/>
              <w:spacing w:line="500" w:lineRule="exact"/>
              <w:jc w:val="left"/>
              <w:rPr>
                <w:rFonts w:ascii="宋体" w:hAnsi="宋体" w:cs="宋体"/>
                <w:color w:val="auto"/>
                <w:szCs w:val="21"/>
              </w:rPr>
            </w:pPr>
            <w:r>
              <w:rPr>
                <w:rFonts w:hint="eastAsia" w:ascii="宋体" w:hAnsi="宋体" w:cs="宋体"/>
                <w:color w:val="auto"/>
                <w:szCs w:val="21"/>
              </w:rPr>
              <w:t>1.响应文件电子版要求：按照本谈判文件“第五章 响应文件格式”编写（第五章未附格式的，由供应商自行拟定），不可涂改并在规定加盖公章处加盖电子公章，</w:t>
            </w:r>
            <w:r>
              <w:rPr>
                <w:rFonts w:hint="eastAsia" w:ascii="宋体" w:hAnsi="宋体" w:cs="宋体"/>
                <w:b/>
                <w:color w:val="auto"/>
                <w:szCs w:val="21"/>
              </w:rPr>
              <w:t>否则响应文件按无效响应处理</w:t>
            </w:r>
            <w:r>
              <w:rPr>
                <w:rFonts w:hint="eastAsia" w:ascii="宋体" w:hAnsi="宋体" w:cs="宋体"/>
                <w:color w:val="auto"/>
                <w:szCs w:val="21"/>
              </w:rPr>
              <w:t>。</w:t>
            </w:r>
          </w:p>
          <w:p w14:paraId="219FE213">
            <w:pPr>
              <w:snapToGrid w:val="0"/>
              <w:spacing w:line="500" w:lineRule="exact"/>
              <w:jc w:val="left"/>
              <w:rPr>
                <w:rFonts w:ascii="宋体" w:hAnsi="宋体" w:cs="宋体"/>
                <w:color w:val="auto"/>
                <w:szCs w:val="21"/>
              </w:rPr>
            </w:pPr>
            <w:r>
              <w:rPr>
                <w:rFonts w:hint="eastAsia" w:ascii="宋体" w:hAnsi="宋体" w:cs="宋体"/>
                <w:color w:val="auto"/>
                <w:szCs w:val="21"/>
              </w:rPr>
              <w:t>2.响应文件电子版密封方式：电子响应文件通过平台有效CA加密后在“广西政府采购云平台”投送。（操作方式见公告附件“电子响应文件制作与投送教程” ）</w:t>
            </w:r>
          </w:p>
        </w:tc>
      </w:tr>
      <w:tr w14:paraId="2D9C9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3D4C5E6">
            <w:pPr>
              <w:snapToGrid w:val="0"/>
              <w:spacing w:line="500" w:lineRule="exact"/>
              <w:jc w:val="center"/>
              <w:rPr>
                <w:rFonts w:ascii="宋体" w:hAnsi="宋体" w:cs="宋体"/>
                <w:color w:val="auto"/>
                <w:szCs w:val="21"/>
              </w:rPr>
            </w:pPr>
            <w:r>
              <w:rPr>
                <w:rFonts w:hint="eastAsia" w:ascii="宋体" w:hAnsi="宋体" w:cs="宋体"/>
                <w:color w:val="auto"/>
                <w:szCs w:val="21"/>
              </w:rPr>
              <w:t>15.2</w:t>
            </w:r>
          </w:p>
        </w:tc>
        <w:tc>
          <w:tcPr>
            <w:tcW w:w="7912" w:type="dxa"/>
            <w:vAlign w:val="center"/>
          </w:tcPr>
          <w:p w14:paraId="6E50BA07">
            <w:pPr>
              <w:snapToGrid w:val="0"/>
              <w:spacing w:line="500" w:lineRule="exact"/>
              <w:jc w:val="left"/>
              <w:rPr>
                <w:rFonts w:ascii="宋体" w:hAnsi="宋体" w:cs="宋体"/>
                <w:color w:val="auto"/>
                <w:szCs w:val="21"/>
              </w:rPr>
            </w:pPr>
            <w:r>
              <w:rPr>
                <w:rFonts w:hint="eastAsia" w:ascii="宋体" w:hAnsi="宋体" w:cs="宋体"/>
                <w:color w:val="auto"/>
                <w:szCs w:val="21"/>
              </w:rPr>
              <w:t>竞标报价的价格构成为：包含满足本次竞标全部采购需求所应提供的货物，以及伴随的货物和工程（如有）的价格；包含竞标货物、工程的成本、运输（含保险）、安装（如有）、调试、检验、技术货物、培训、税费等所有费用。（采购需求另有约定的，从其约定）</w:t>
            </w:r>
          </w:p>
          <w:p w14:paraId="5FE2AC7A">
            <w:pPr>
              <w:snapToGrid w:val="0"/>
              <w:spacing w:line="500" w:lineRule="exact"/>
              <w:jc w:val="left"/>
              <w:rPr>
                <w:rFonts w:ascii="宋体" w:hAnsi="宋体" w:cs="宋体"/>
                <w:b/>
                <w:bCs/>
                <w:color w:val="auto"/>
                <w:szCs w:val="21"/>
              </w:rPr>
            </w:pPr>
            <w:r>
              <w:rPr>
                <w:rFonts w:hint="eastAsia" w:ascii="Segoe UI Emoji" w:hAnsi="Segoe UI Emoji" w:cs="Segoe UI Emoji"/>
                <w:b/>
                <w:bCs/>
                <w:color w:val="auto"/>
                <w:szCs w:val="21"/>
              </w:rPr>
              <w:t>☑</w:t>
            </w:r>
            <w:r>
              <w:rPr>
                <w:rFonts w:hint="eastAsia" w:ascii="宋体" w:hAnsi="宋体" w:cs="宋体"/>
                <w:b/>
                <w:bCs/>
                <w:color w:val="auto"/>
                <w:szCs w:val="21"/>
              </w:rPr>
              <w:t>竞标报价包含验收费用</w:t>
            </w:r>
          </w:p>
          <w:p w14:paraId="24193619">
            <w:pPr>
              <w:snapToGrid w:val="0"/>
              <w:spacing w:line="500" w:lineRule="exact"/>
              <w:jc w:val="left"/>
              <w:rPr>
                <w:rFonts w:ascii="宋体" w:hAnsi="宋体" w:cs="宋体"/>
                <w:color w:val="auto"/>
                <w:szCs w:val="21"/>
              </w:rPr>
            </w:pPr>
            <w:r>
              <w:rPr>
                <w:rFonts w:hint="eastAsia" w:ascii="宋体" w:hAnsi="宋体" w:cs="宋体"/>
                <w:b/>
                <w:bCs/>
                <w:color w:val="auto"/>
                <w:szCs w:val="21"/>
              </w:rPr>
              <w:t>□竞标报价不包含验收费用</w:t>
            </w:r>
          </w:p>
        </w:tc>
      </w:tr>
      <w:tr w14:paraId="23C10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9F691C5">
            <w:pPr>
              <w:spacing w:line="500" w:lineRule="exact"/>
              <w:jc w:val="center"/>
              <w:rPr>
                <w:rFonts w:ascii="宋体" w:hAnsi="宋体" w:cs="宋体"/>
                <w:color w:val="auto"/>
                <w:szCs w:val="21"/>
              </w:rPr>
            </w:pPr>
            <w:r>
              <w:rPr>
                <w:rFonts w:hint="eastAsia" w:ascii="宋体" w:hAnsi="宋体" w:cs="宋体"/>
                <w:color w:val="auto"/>
                <w:szCs w:val="21"/>
              </w:rPr>
              <w:t>16.2</w:t>
            </w:r>
          </w:p>
        </w:tc>
        <w:tc>
          <w:tcPr>
            <w:tcW w:w="7912" w:type="dxa"/>
            <w:vAlign w:val="center"/>
          </w:tcPr>
          <w:p w14:paraId="57476E54">
            <w:pPr>
              <w:pStyle w:val="8"/>
              <w:widowControl w:val="0"/>
              <w:tabs>
                <w:tab w:val="clear" w:pos="454"/>
              </w:tabs>
              <w:snapToGrid w:val="0"/>
              <w:spacing w:afterLines="0" w:line="500" w:lineRule="exact"/>
              <w:ind w:left="283" w:hanging="283" w:hangingChars="135"/>
              <w:rPr>
                <w:rFonts w:ascii="宋体" w:hAnsi="宋体" w:cs="宋体"/>
                <w:color w:val="auto"/>
                <w:kern w:val="2"/>
                <w:sz w:val="21"/>
                <w:szCs w:val="21"/>
              </w:rPr>
            </w:pPr>
            <w:r>
              <w:rPr>
                <w:rFonts w:hint="eastAsia" w:ascii="宋体" w:hAnsi="宋体" w:cs="宋体"/>
                <w:color w:val="auto"/>
                <w:kern w:val="2"/>
                <w:sz w:val="21"/>
                <w:szCs w:val="21"/>
              </w:rPr>
              <w:t>竞标有效期：自首次响应文件提交截止之日起</w:t>
            </w:r>
            <w:r>
              <w:rPr>
                <w:rFonts w:hint="eastAsia" w:ascii="宋体" w:hAnsi="宋体" w:cs="宋体"/>
                <w:color w:val="auto"/>
                <w:kern w:val="2"/>
                <w:sz w:val="21"/>
                <w:szCs w:val="21"/>
                <w:u w:val="single"/>
              </w:rPr>
              <w:t xml:space="preserve"> 60 </w:t>
            </w:r>
            <w:r>
              <w:rPr>
                <w:rFonts w:hint="eastAsia" w:ascii="宋体" w:hAnsi="宋体" w:cs="宋体"/>
                <w:color w:val="auto"/>
                <w:kern w:val="2"/>
                <w:sz w:val="21"/>
                <w:szCs w:val="21"/>
              </w:rPr>
              <w:t>日。</w:t>
            </w:r>
          </w:p>
        </w:tc>
      </w:tr>
      <w:tr w14:paraId="068E1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23DC611">
            <w:pPr>
              <w:spacing w:line="500" w:lineRule="exact"/>
              <w:jc w:val="center"/>
              <w:rPr>
                <w:rFonts w:ascii="宋体" w:hAnsi="宋体" w:cs="宋体"/>
                <w:color w:val="auto"/>
                <w:szCs w:val="21"/>
              </w:rPr>
            </w:pPr>
            <w:r>
              <w:rPr>
                <w:rFonts w:hint="eastAsia" w:ascii="宋体" w:hAnsi="宋体" w:cs="宋体"/>
                <w:color w:val="auto"/>
                <w:szCs w:val="21"/>
              </w:rPr>
              <w:t>17.1</w:t>
            </w:r>
          </w:p>
        </w:tc>
        <w:tc>
          <w:tcPr>
            <w:tcW w:w="7912" w:type="dxa"/>
            <w:vAlign w:val="center"/>
          </w:tcPr>
          <w:p w14:paraId="5AF1B441">
            <w:pPr>
              <w:snapToGrid w:val="0"/>
              <w:spacing w:line="500" w:lineRule="exact"/>
              <w:rPr>
                <w:rFonts w:ascii="宋体" w:hAnsi="宋体" w:cs="宋体"/>
                <w:color w:val="auto"/>
                <w:szCs w:val="21"/>
              </w:rPr>
            </w:pPr>
            <w:r>
              <w:rPr>
                <w:rFonts w:hint="eastAsia" w:ascii="宋体" w:hAnsi="宋体" w:cs="宋体"/>
                <w:color w:val="auto"/>
                <w:szCs w:val="21"/>
              </w:rPr>
              <w:t>谈判保证金的交纳方式：详见竞争性谈判公告。</w:t>
            </w:r>
          </w:p>
          <w:p w14:paraId="5B7D5C4A">
            <w:pPr>
              <w:snapToGrid w:val="0"/>
              <w:spacing w:line="500" w:lineRule="exact"/>
              <w:rPr>
                <w:rFonts w:ascii="宋体" w:hAnsi="宋体" w:cs="宋体"/>
                <w:color w:val="auto"/>
                <w:szCs w:val="21"/>
              </w:rPr>
            </w:pPr>
            <w:r>
              <w:rPr>
                <w:rFonts w:hint="eastAsia" w:ascii="宋体" w:hAnsi="宋体" w:cs="宋体"/>
                <w:color w:val="auto"/>
                <w:szCs w:val="21"/>
              </w:rPr>
              <w:t>谈判保证金的金额：详见竞争性谈判公告。</w:t>
            </w:r>
          </w:p>
          <w:p w14:paraId="0D537325">
            <w:pPr>
              <w:snapToGrid w:val="0"/>
              <w:spacing w:line="500" w:lineRule="exact"/>
              <w:rPr>
                <w:rFonts w:ascii="宋体" w:hAnsi="宋体" w:cs="宋体"/>
                <w:b/>
                <w:color w:val="auto"/>
                <w:szCs w:val="21"/>
              </w:rPr>
            </w:pPr>
            <w:r>
              <w:rPr>
                <w:rFonts w:hint="eastAsia" w:ascii="宋体" w:hAnsi="宋体" w:cs="宋体"/>
                <w:color w:val="auto"/>
                <w:szCs w:val="21"/>
              </w:rPr>
              <w:t>相关要求：</w:t>
            </w:r>
            <w:r>
              <w:rPr>
                <w:rFonts w:hint="eastAsia" w:ascii="宋体" w:hAnsi="宋体" w:cs="宋体"/>
                <w:color w:val="auto"/>
                <w:kern w:val="0"/>
              </w:rPr>
              <w:t>详见</w:t>
            </w:r>
            <w:r>
              <w:rPr>
                <w:rFonts w:hint="eastAsia" w:ascii="宋体" w:hAnsi="宋体" w:cs="宋体"/>
                <w:color w:val="auto"/>
              </w:rPr>
              <w:t>竞争性谈判公告</w:t>
            </w:r>
            <w:r>
              <w:rPr>
                <w:rFonts w:hint="eastAsia" w:ascii="宋体" w:hAnsi="宋体" w:cs="宋体"/>
                <w:color w:val="auto"/>
                <w:szCs w:val="21"/>
              </w:rPr>
              <w:t>。</w:t>
            </w:r>
          </w:p>
          <w:p w14:paraId="2601C10B">
            <w:pPr>
              <w:snapToGrid w:val="0"/>
              <w:spacing w:line="500" w:lineRule="exact"/>
              <w:rPr>
                <w:rFonts w:ascii="宋体" w:hAnsi="宋体" w:cs="宋体"/>
                <w:b/>
                <w:color w:val="auto"/>
                <w:szCs w:val="21"/>
              </w:rPr>
            </w:pPr>
            <w:r>
              <w:rPr>
                <w:rFonts w:hint="eastAsia" w:ascii="宋体" w:hAnsi="宋体" w:cs="宋体"/>
                <w:b/>
                <w:color w:val="auto"/>
                <w:szCs w:val="21"/>
              </w:rPr>
              <w:t>备注：</w:t>
            </w:r>
          </w:p>
          <w:p w14:paraId="174A5BEB">
            <w:pPr>
              <w:snapToGrid w:val="0"/>
              <w:spacing w:line="500" w:lineRule="exact"/>
              <w:rPr>
                <w:rFonts w:ascii="宋体" w:hAnsi="宋体" w:cs="宋体"/>
                <w:b/>
                <w:color w:val="auto"/>
                <w:szCs w:val="21"/>
              </w:rPr>
            </w:pPr>
            <w:r>
              <w:rPr>
                <w:rFonts w:hint="eastAsia" w:ascii="宋体" w:hAnsi="宋体" w:cs="宋体"/>
                <w:b/>
                <w:color w:val="auto"/>
                <w:szCs w:val="21"/>
              </w:rPr>
              <w:t>1.响应文件提交截止时间后提交的，或者未足额交纳的，或者保函额度不足的，视为无效谈判保证金。</w:t>
            </w:r>
          </w:p>
          <w:p w14:paraId="32E883F1">
            <w:pPr>
              <w:snapToGrid w:val="0"/>
              <w:spacing w:line="500" w:lineRule="exact"/>
              <w:rPr>
                <w:rFonts w:ascii="宋体" w:hAnsi="宋体" w:cs="宋体"/>
                <w:b/>
                <w:color w:val="auto"/>
                <w:szCs w:val="21"/>
              </w:rPr>
            </w:pPr>
            <w:r>
              <w:rPr>
                <w:rFonts w:hint="eastAsia" w:ascii="宋体" w:hAnsi="宋体" w:cs="宋体"/>
                <w:b/>
                <w:color w:val="auto"/>
                <w:szCs w:val="21"/>
              </w:rPr>
              <w:t>2.供应商采用现钞方式或者从个人账户（自然人竞标除外）转出的谈判保证金，视为无效谈判保证金。</w:t>
            </w:r>
          </w:p>
          <w:p w14:paraId="0AABDBB3">
            <w:pPr>
              <w:snapToGrid w:val="0"/>
              <w:spacing w:line="500" w:lineRule="exact"/>
              <w:rPr>
                <w:rFonts w:ascii="宋体" w:hAnsi="宋体" w:cs="宋体"/>
                <w:b/>
                <w:color w:val="auto"/>
                <w:szCs w:val="21"/>
              </w:rPr>
            </w:pPr>
            <w:r>
              <w:rPr>
                <w:rFonts w:hint="eastAsia" w:ascii="宋体" w:hAnsi="宋体" w:cs="宋体"/>
                <w:b/>
                <w:color w:val="auto"/>
                <w:szCs w:val="21"/>
              </w:rPr>
              <w:t>3.支票、汇票或者本票出现无效或者背书情形的，视为无效谈判保证金。</w:t>
            </w:r>
          </w:p>
          <w:p w14:paraId="3ECC3118">
            <w:pPr>
              <w:snapToGrid w:val="0"/>
              <w:spacing w:line="500" w:lineRule="exact"/>
              <w:rPr>
                <w:rFonts w:ascii="宋体" w:hAnsi="宋体" w:cs="宋体"/>
                <w:b/>
                <w:color w:val="auto"/>
                <w:szCs w:val="21"/>
              </w:rPr>
            </w:pPr>
            <w:r>
              <w:rPr>
                <w:rFonts w:hint="eastAsia" w:ascii="宋体" w:hAnsi="宋体" w:cs="宋体"/>
                <w:b/>
                <w:color w:val="auto"/>
                <w:szCs w:val="21"/>
              </w:rPr>
              <w:t>4.保函有效期低于竞标有效期的，视为无效谈判保证金。</w:t>
            </w:r>
          </w:p>
          <w:p w14:paraId="09592431">
            <w:pPr>
              <w:snapToGrid w:val="0"/>
              <w:spacing w:line="500" w:lineRule="exact"/>
              <w:rPr>
                <w:rFonts w:ascii="宋体" w:hAnsi="宋体" w:cs="宋体"/>
                <w:color w:val="auto"/>
                <w:szCs w:val="21"/>
              </w:rPr>
            </w:pPr>
            <w:r>
              <w:rPr>
                <w:rFonts w:hint="eastAsia" w:ascii="宋体" w:hAnsi="宋体" w:cs="宋体"/>
                <w:b/>
                <w:color w:val="auto"/>
                <w:szCs w:val="21"/>
              </w:rPr>
              <w:t>5.</w:t>
            </w:r>
            <w:r>
              <w:rPr>
                <w:rFonts w:hint="eastAsia" w:ascii="宋体" w:hAnsi="宋体" w:cs="宋体"/>
                <w:b/>
                <w:color w:val="auto"/>
                <w:szCs w:val="21"/>
                <w:lang w:val="en-US" w:eastAsia="zh-CN"/>
              </w:rPr>
              <w:t>谈判</w:t>
            </w:r>
            <w:r>
              <w:rPr>
                <w:rFonts w:hint="eastAsia" w:ascii="宋体" w:hAnsi="宋体" w:cs="宋体"/>
                <w:b/>
                <w:color w:val="auto"/>
                <w:szCs w:val="21"/>
              </w:rPr>
              <w:t>保证金采用金融、担保机构出具的保函为有条件保函的，视为无效谈判保证金。</w:t>
            </w:r>
          </w:p>
        </w:tc>
      </w:tr>
      <w:tr w14:paraId="7F10F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2EA945B">
            <w:pPr>
              <w:spacing w:line="500" w:lineRule="exact"/>
              <w:jc w:val="center"/>
              <w:rPr>
                <w:rFonts w:ascii="宋体" w:hAnsi="宋体" w:cs="宋体"/>
                <w:color w:val="auto"/>
                <w:szCs w:val="21"/>
              </w:rPr>
            </w:pPr>
            <w:r>
              <w:rPr>
                <w:rFonts w:hint="eastAsia" w:ascii="宋体" w:hAnsi="宋体" w:cs="宋体"/>
                <w:color w:val="auto"/>
                <w:szCs w:val="21"/>
              </w:rPr>
              <w:t>20.1</w:t>
            </w:r>
          </w:p>
        </w:tc>
        <w:tc>
          <w:tcPr>
            <w:tcW w:w="7912" w:type="dxa"/>
            <w:vAlign w:val="center"/>
          </w:tcPr>
          <w:p w14:paraId="4876B8C9">
            <w:pPr>
              <w:snapToGrid w:val="0"/>
              <w:spacing w:line="500" w:lineRule="exact"/>
              <w:jc w:val="left"/>
              <w:rPr>
                <w:rFonts w:ascii="宋体" w:hAnsi="宋体" w:cs="宋体"/>
                <w:color w:val="auto"/>
                <w:szCs w:val="21"/>
                <w:u w:val="single"/>
              </w:rPr>
            </w:pPr>
            <w:r>
              <w:rPr>
                <w:rFonts w:hint="eastAsia" w:ascii="宋体" w:hAnsi="宋体" w:cs="宋体"/>
                <w:color w:val="auto"/>
                <w:szCs w:val="21"/>
              </w:rPr>
              <w:t>首次响应文件提交截止时间：详见竞争性谈判公告。</w:t>
            </w:r>
          </w:p>
          <w:p w14:paraId="234B774A">
            <w:pPr>
              <w:snapToGrid w:val="0"/>
              <w:spacing w:line="500" w:lineRule="exact"/>
              <w:jc w:val="left"/>
              <w:rPr>
                <w:rFonts w:ascii="宋体" w:hAnsi="宋体" w:cs="宋体"/>
                <w:color w:val="auto"/>
                <w:szCs w:val="21"/>
              </w:rPr>
            </w:pPr>
            <w:r>
              <w:rPr>
                <w:rFonts w:hint="eastAsia" w:ascii="宋体" w:hAnsi="宋体" w:cs="宋体"/>
                <w:color w:val="auto"/>
                <w:szCs w:val="21"/>
              </w:rPr>
              <w:t>首次响应文件提交地点：详见竞争性谈判公告。</w:t>
            </w:r>
          </w:p>
        </w:tc>
      </w:tr>
      <w:tr w14:paraId="6C6BC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2337F69">
            <w:pPr>
              <w:spacing w:line="500" w:lineRule="exact"/>
              <w:jc w:val="center"/>
              <w:rPr>
                <w:rFonts w:ascii="宋体" w:hAnsi="宋体" w:cs="宋体"/>
                <w:color w:val="auto"/>
                <w:szCs w:val="21"/>
              </w:rPr>
            </w:pPr>
            <w:r>
              <w:rPr>
                <w:rFonts w:hint="eastAsia" w:ascii="宋体" w:hAnsi="宋体" w:cs="宋体"/>
                <w:color w:val="auto"/>
                <w:szCs w:val="21"/>
              </w:rPr>
              <w:t>24.1</w:t>
            </w:r>
          </w:p>
        </w:tc>
        <w:tc>
          <w:tcPr>
            <w:tcW w:w="7912" w:type="dxa"/>
            <w:vAlign w:val="center"/>
          </w:tcPr>
          <w:p w14:paraId="56714069">
            <w:pPr>
              <w:snapToGrid w:val="0"/>
              <w:spacing w:line="500" w:lineRule="exact"/>
              <w:jc w:val="left"/>
              <w:rPr>
                <w:rFonts w:ascii="宋体" w:hAnsi="宋体" w:cs="宋体"/>
                <w:color w:val="auto"/>
                <w:szCs w:val="21"/>
                <w:u w:val="single"/>
              </w:rPr>
            </w:pPr>
            <w:r>
              <w:rPr>
                <w:rFonts w:hint="eastAsia" w:ascii="宋体" w:hAnsi="宋体" w:cs="宋体"/>
                <w:color w:val="auto"/>
                <w:szCs w:val="21"/>
              </w:rPr>
              <w:t>谈判小组的人数：</w:t>
            </w:r>
            <w:r>
              <w:rPr>
                <w:rFonts w:hint="eastAsia" w:ascii="宋体" w:hAnsi="宋体" w:cs="宋体"/>
                <w:color w:val="auto"/>
                <w:szCs w:val="21"/>
                <w:u w:val="single"/>
              </w:rPr>
              <w:t>3</w:t>
            </w:r>
            <w:r>
              <w:rPr>
                <w:rFonts w:hint="eastAsia" w:ascii="宋体" w:hAnsi="宋体" w:cs="宋体"/>
                <w:color w:val="auto"/>
                <w:szCs w:val="21"/>
              </w:rPr>
              <w:t>人。</w:t>
            </w:r>
          </w:p>
        </w:tc>
      </w:tr>
      <w:tr w14:paraId="1E44D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14:paraId="7BE1947F">
            <w:pPr>
              <w:spacing w:line="500" w:lineRule="exact"/>
              <w:jc w:val="center"/>
              <w:rPr>
                <w:rFonts w:ascii="宋体" w:hAnsi="宋体" w:cs="宋体"/>
                <w:color w:val="auto"/>
                <w:szCs w:val="21"/>
              </w:rPr>
            </w:pPr>
            <w:r>
              <w:rPr>
                <w:rFonts w:hint="eastAsia" w:ascii="宋体" w:hAnsi="宋体" w:cs="宋体"/>
                <w:color w:val="auto"/>
                <w:szCs w:val="21"/>
              </w:rPr>
              <w:t>26.2</w:t>
            </w:r>
          </w:p>
        </w:tc>
        <w:tc>
          <w:tcPr>
            <w:tcW w:w="7912" w:type="dxa"/>
            <w:vAlign w:val="center"/>
          </w:tcPr>
          <w:p w14:paraId="3045E4D4">
            <w:pPr>
              <w:snapToGrid w:val="0"/>
              <w:spacing w:line="500" w:lineRule="exact"/>
              <w:rPr>
                <w:rFonts w:ascii="宋体" w:hAnsi="宋体" w:cs="宋体"/>
                <w:color w:val="auto"/>
                <w:szCs w:val="21"/>
              </w:rPr>
            </w:pPr>
            <w:r>
              <w:rPr>
                <w:rFonts w:hint="eastAsia" w:ascii="宋体" w:hAnsi="宋体" w:cs="宋体"/>
                <w:color w:val="auto"/>
                <w:szCs w:val="21"/>
              </w:rPr>
              <w:t>商务条款评审中允许负偏离的条款为</w:t>
            </w:r>
            <w:r>
              <w:rPr>
                <w:rFonts w:hint="eastAsia"/>
                <w:color w:val="auto"/>
                <w:u w:val="single"/>
                <w:lang w:val="en-US" w:eastAsia="zh-CN"/>
              </w:rPr>
              <w:t>0</w:t>
            </w:r>
            <w:r>
              <w:rPr>
                <w:rFonts w:hint="eastAsia" w:ascii="宋体" w:hAnsi="宋体" w:cs="宋体"/>
                <w:color w:val="auto"/>
                <w:szCs w:val="21"/>
              </w:rPr>
              <w:t>项。</w:t>
            </w:r>
          </w:p>
          <w:p w14:paraId="3D1F7C25">
            <w:pPr>
              <w:snapToGrid w:val="0"/>
              <w:spacing w:line="500" w:lineRule="exact"/>
              <w:rPr>
                <w:rFonts w:ascii="宋体" w:hAnsi="宋体" w:cs="宋体"/>
                <w:color w:val="auto"/>
                <w:szCs w:val="21"/>
              </w:rPr>
            </w:pPr>
            <w:r>
              <w:rPr>
                <w:rFonts w:hint="eastAsia" w:ascii="宋体" w:hAnsi="宋体" w:cs="宋体"/>
                <w:color w:val="auto"/>
                <w:szCs w:val="21"/>
              </w:rPr>
              <w:t>技术需求评审中允许负偏离的条款</w:t>
            </w:r>
            <w:r>
              <w:rPr>
                <w:rFonts w:hint="eastAsia" w:ascii="宋体" w:hAnsi="宋体" w:cs="宋体"/>
                <w:color w:val="auto"/>
                <w:szCs w:val="21"/>
                <w:u w:val="single"/>
              </w:rPr>
              <w:t>为</w:t>
            </w:r>
            <w:r>
              <w:rPr>
                <w:rFonts w:hint="eastAsia" w:ascii="宋体" w:hAnsi="宋体" w:cs="宋体"/>
                <w:color w:val="auto"/>
                <w:szCs w:val="21"/>
                <w:u w:val="single"/>
                <w:lang w:val="en-US" w:eastAsia="zh-CN"/>
              </w:rPr>
              <w:t>0</w:t>
            </w:r>
            <w:r>
              <w:rPr>
                <w:rFonts w:hint="eastAsia" w:ascii="宋体" w:hAnsi="宋体" w:cs="宋体"/>
                <w:color w:val="auto"/>
                <w:szCs w:val="21"/>
                <w:u w:val="single"/>
              </w:rPr>
              <w:t>项</w:t>
            </w:r>
            <w:r>
              <w:rPr>
                <w:rFonts w:hint="eastAsia" w:ascii="宋体" w:hAnsi="宋体" w:cs="宋体"/>
                <w:color w:val="auto"/>
                <w:szCs w:val="21"/>
              </w:rPr>
              <w:t>。</w:t>
            </w:r>
          </w:p>
        </w:tc>
      </w:tr>
      <w:tr w14:paraId="45FE4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676E2820">
            <w:pPr>
              <w:spacing w:line="500" w:lineRule="exact"/>
              <w:jc w:val="center"/>
              <w:rPr>
                <w:rFonts w:ascii="宋体" w:hAnsi="宋体" w:cs="宋体"/>
                <w:color w:val="auto"/>
                <w:szCs w:val="21"/>
              </w:rPr>
            </w:pPr>
          </w:p>
        </w:tc>
        <w:tc>
          <w:tcPr>
            <w:tcW w:w="7912" w:type="dxa"/>
            <w:vAlign w:val="center"/>
          </w:tcPr>
          <w:p w14:paraId="07C8DEF8">
            <w:pPr>
              <w:snapToGrid w:val="0"/>
              <w:spacing w:line="500" w:lineRule="exact"/>
              <w:rPr>
                <w:rFonts w:ascii="宋体" w:hAnsi="宋体" w:cs="宋体"/>
                <w:color w:val="auto"/>
                <w:szCs w:val="21"/>
              </w:rPr>
            </w:pPr>
            <w:r>
              <w:rPr>
                <w:rFonts w:hint="eastAsia" w:ascii="宋体" w:hAnsi="宋体" w:cs="宋体"/>
                <w:color w:val="auto"/>
                <w:szCs w:val="21"/>
              </w:rPr>
              <w:t>谈判的顺序：</w:t>
            </w:r>
          </w:p>
          <w:p w14:paraId="18D17AE1">
            <w:pPr>
              <w:pStyle w:val="10"/>
              <w:spacing w:line="500" w:lineRule="exact"/>
              <w:rPr>
                <w:rFonts w:ascii="宋体" w:hAnsi="宋体" w:cs="宋体"/>
                <w:color w:val="auto"/>
                <w:szCs w:val="21"/>
              </w:rPr>
            </w:pPr>
            <w:r>
              <w:rPr>
                <w:rFonts w:hint="eastAsia" w:ascii="宋体" w:hAnsi="宋体" w:cs="宋体"/>
                <w:color w:val="auto"/>
                <w:szCs w:val="21"/>
              </w:rPr>
              <w:t>□按照提交首次响应文件的顺序，通知谈判时，若某供应商不在通知现场时（该供应商排序到最后谈判），按照签到的顺序由其下一位供应商先参与谈判。</w:t>
            </w:r>
          </w:p>
          <w:p w14:paraId="03639E72">
            <w:pPr>
              <w:snapToGrid w:val="0"/>
              <w:spacing w:line="500" w:lineRule="exact"/>
              <w:rPr>
                <w:rFonts w:ascii="宋体" w:hAnsi="宋体" w:cs="宋体"/>
                <w:color w:val="auto"/>
                <w:szCs w:val="21"/>
              </w:rPr>
            </w:pPr>
            <w:r>
              <w:rPr>
                <w:rFonts w:hint="eastAsia" w:ascii="Segoe UI Emoji" w:hAnsi="Segoe UI Emoji" w:cs="Segoe UI Emoji"/>
                <w:color w:val="auto"/>
                <w:szCs w:val="21"/>
              </w:rPr>
              <w:t>☑</w:t>
            </w:r>
            <w:r>
              <w:rPr>
                <w:rFonts w:hint="eastAsia" w:ascii="宋体" w:hAnsi="宋体" w:cs="宋体"/>
                <w:color w:val="auto"/>
                <w:szCs w:val="21"/>
              </w:rPr>
              <w:t>随机排序。</w:t>
            </w:r>
          </w:p>
          <w:p w14:paraId="73552FAB">
            <w:pPr>
              <w:pStyle w:val="10"/>
              <w:spacing w:line="500" w:lineRule="exact"/>
              <w:rPr>
                <w:rFonts w:ascii="宋体" w:hAnsi="宋体" w:cs="宋体"/>
                <w:b/>
                <w:color w:val="auto"/>
                <w:szCs w:val="21"/>
              </w:rPr>
            </w:pPr>
            <w:r>
              <w:rPr>
                <w:rFonts w:hint="eastAsia" w:ascii="宋体" w:hAnsi="宋体" w:cs="宋体"/>
                <w:b/>
                <w:color w:val="auto"/>
                <w:szCs w:val="21"/>
              </w:rPr>
              <w:t>参与谈判前，供应商法定代表人或者委托代理人必须通过电脑摄像头向谈判小组出示本人有效证件原件[有效证件可以是身份证（含临时身份证明）、机动车驾驶证、社会保障卡或者护照的其中一项]，若参与谈判的委托代理人不是响应文件中授权的委托代理人时，必须同时出示有效的法定代表人授权委托书原件。如无法核实谈判对象有效身份证明的，谈判小组将拒绝其谈判。</w:t>
            </w:r>
          </w:p>
        </w:tc>
      </w:tr>
      <w:tr w14:paraId="4B83B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61B03F4">
            <w:pPr>
              <w:spacing w:line="500" w:lineRule="exact"/>
              <w:jc w:val="center"/>
              <w:rPr>
                <w:rFonts w:ascii="宋体" w:hAnsi="宋体" w:cs="宋体"/>
                <w:color w:val="auto"/>
                <w:szCs w:val="21"/>
              </w:rPr>
            </w:pPr>
            <w:r>
              <w:rPr>
                <w:rFonts w:hint="eastAsia" w:ascii="宋体" w:hAnsi="宋体" w:cs="宋体"/>
                <w:color w:val="auto"/>
                <w:szCs w:val="21"/>
              </w:rPr>
              <w:t>28.1</w:t>
            </w:r>
          </w:p>
        </w:tc>
        <w:tc>
          <w:tcPr>
            <w:tcW w:w="7912" w:type="dxa"/>
            <w:vAlign w:val="center"/>
          </w:tcPr>
          <w:p w14:paraId="7362BC4E">
            <w:pPr>
              <w:snapToGrid w:val="0"/>
              <w:spacing w:line="500" w:lineRule="exact"/>
              <w:rPr>
                <w:rFonts w:ascii="宋体" w:hAnsi="宋体" w:cs="宋体"/>
                <w:color w:val="auto"/>
                <w:szCs w:val="21"/>
              </w:rPr>
            </w:pPr>
            <w:r>
              <w:rPr>
                <w:rFonts w:hint="eastAsia" w:ascii="宋体" w:hAnsi="宋体" w:cs="宋体"/>
                <w:color w:val="auto"/>
              </w:rPr>
              <w:t>□</w:t>
            </w:r>
            <w:r>
              <w:rPr>
                <w:rFonts w:hint="eastAsia" w:ascii="宋体" w:hAnsi="宋体" w:cs="宋体"/>
                <w:color w:val="auto"/>
                <w:szCs w:val="21"/>
              </w:rPr>
              <w:t>本项目不收取履约保证金。</w:t>
            </w:r>
          </w:p>
          <w:p w14:paraId="67FC1005">
            <w:pPr>
              <w:autoSpaceDE w:val="0"/>
              <w:autoSpaceDN w:val="0"/>
              <w:snapToGrid w:val="0"/>
              <w:spacing w:line="500" w:lineRule="exact"/>
              <w:textAlignment w:val="bottom"/>
              <w:rPr>
                <w:rFonts w:ascii="宋体" w:hAnsi="宋体" w:cs="宋体"/>
                <w:color w:val="auto"/>
                <w:szCs w:val="21"/>
              </w:rPr>
            </w:pPr>
            <w:r>
              <w:rPr>
                <w:rFonts w:hint="eastAsia" w:ascii="Segoe UI Emoji" w:hAnsi="Segoe UI Emoji" w:cs="Segoe UI Emoji"/>
                <w:color w:val="auto"/>
                <w:szCs w:val="21"/>
              </w:rPr>
              <w:t>☑</w:t>
            </w:r>
            <w:r>
              <w:rPr>
                <w:rFonts w:hint="eastAsia" w:ascii="宋体" w:hAnsi="宋体" w:cs="宋体"/>
                <w:color w:val="auto"/>
                <w:szCs w:val="21"/>
              </w:rPr>
              <w:t>本项目收取履约保证金，具体规定如下：</w:t>
            </w:r>
          </w:p>
          <w:p w14:paraId="21535B51">
            <w:pPr>
              <w:snapToGrid w:val="0"/>
              <w:spacing w:line="500" w:lineRule="exact"/>
              <w:rPr>
                <w:rFonts w:ascii="宋体" w:hAnsi="宋体" w:cs="宋体"/>
                <w:color w:val="auto"/>
                <w:szCs w:val="21"/>
              </w:rPr>
            </w:pPr>
            <w:r>
              <w:rPr>
                <w:rFonts w:hint="eastAsia" w:ascii="宋体" w:hAnsi="宋体" w:cs="宋体"/>
                <w:color w:val="auto"/>
                <w:szCs w:val="21"/>
              </w:rPr>
              <w:t>履约保证金金额：按成交金额的</w:t>
            </w:r>
            <w:r>
              <w:rPr>
                <w:rFonts w:hint="eastAsia" w:ascii="宋体" w:hAnsi="宋体" w:cs="宋体"/>
                <w:color w:val="auto"/>
                <w:szCs w:val="21"/>
                <w:u w:val="single"/>
              </w:rPr>
              <w:t xml:space="preserve"> 5 </w:t>
            </w:r>
            <w:r>
              <w:rPr>
                <w:rFonts w:hint="eastAsia" w:ascii="宋体" w:hAnsi="宋体" w:cs="宋体"/>
                <w:color w:val="auto"/>
                <w:szCs w:val="21"/>
              </w:rPr>
              <w:t>%（中小企业缴纳数额为成交金额的2%）。</w:t>
            </w:r>
          </w:p>
          <w:p w14:paraId="443FC74E">
            <w:pPr>
              <w:snapToGrid w:val="0"/>
              <w:spacing w:line="500" w:lineRule="exact"/>
              <w:rPr>
                <w:rFonts w:ascii="宋体" w:hAnsi="宋体" w:cs="宋体"/>
                <w:color w:val="auto"/>
                <w:szCs w:val="21"/>
              </w:rPr>
            </w:pPr>
            <w:r>
              <w:rPr>
                <w:rFonts w:hint="eastAsia" w:ascii="宋体" w:hAnsi="宋体" w:cs="宋体"/>
                <w:color w:val="auto"/>
                <w:szCs w:val="21"/>
              </w:rPr>
              <w:t>履约保证金提交方式：银行转账、支票、汇票、本票、保函等非现金形式缴纳（参照谈判保证金）。</w:t>
            </w:r>
          </w:p>
          <w:p w14:paraId="23245C09">
            <w:pPr>
              <w:pStyle w:val="2"/>
              <w:spacing w:after="0" w:line="500" w:lineRule="exact"/>
              <w:rPr>
                <w:rFonts w:ascii="宋体" w:hAnsi="宋体" w:cs="宋体"/>
                <w:color w:val="auto"/>
              </w:rPr>
            </w:pPr>
            <w:r>
              <w:rPr>
                <w:rFonts w:hint="eastAsia" w:ascii="宋体" w:hAnsi="宋体" w:cs="宋体"/>
                <w:color w:val="auto"/>
                <w:szCs w:val="21"/>
              </w:rPr>
              <w:t>履约保证金提交时间：在签订合同前，自成交公告发出之日起5日内，成交供应商须足额缴纳履约保证金到采购人账户。</w:t>
            </w:r>
          </w:p>
          <w:p w14:paraId="02E2F677">
            <w:pPr>
              <w:snapToGrid w:val="0"/>
              <w:spacing w:line="500" w:lineRule="exact"/>
              <w:rPr>
                <w:rFonts w:ascii="宋体" w:hAnsi="宋体" w:cs="宋体"/>
                <w:color w:val="auto"/>
                <w:szCs w:val="21"/>
                <w:u w:val="single"/>
              </w:rPr>
            </w:pPr>
            <w:r>
              <w:rPr>
                <w:rFonts w:hint="eastAsia" w:ascii="宋体" w:hAnsi="宋体" w:cs="宋体"/>
                <w:color w:val="auto"/>
                <w:szCs w:val="21"/>
              </w:rPr>
              <w:t>履约保证金退付方式、时间及条件：</w:t>
            </w:r>
            <w:r>
              <w:rPr>
                <w:rFonts w:hint="eastAsia" w:ascii="宋体" w:hAnsi="宋体" w:cs="宋体"/>
                <w:color w:val="auto"/>
                <w:szCs w:val="21"/>
                <w:u w:val="single"/>
              </w:rPr>
              <w:t>验收合格，成交供应商按合同约定，履行完毕合同所有义务之日起，且成交供应商无任何违约责任，由成交供应商向采购人提供《政府采购项目履约保证金退付意见书》，提出书面退款申请，采购人在收到合格材料后5个工作日内办理退还手续（不计利息）。</w:t>
            </w:r>
          </w:p>
          <w:p w14:paraId="51CA3971">
            <w:pPr>
              <w:snapToGrid w:val="0"/>
              <w:spacing w:line="500" w:lineRule="exact"/>
              <w:rPr>
                <w:rFonts w:ascii="宋体" w:hAnsi="宋体" w:cs="宋体"/>
                <w:color w:val="auto"/>
                <w:szCs w:val="21"/>
                <w:u w:val="single"/>
              </w:rPr>
            </w:pPr>
            <w:r>
              <w:rPr>
                <w:rFonts w:hint="eastAsia" w:ascii="宋体" w:hAnsi="宋体" w:cs="宋体"/>
                <w:color w:val="auto"/>
                <w:szCs w:val="21"/>
                <w:u w:val="single"/>
              </w:rPr>
              <w:t>如成交供应商没有履行本合同约定的责任和义务所需承担的违约金、赔偿金及其他费用，采购人有权直接从履约保证金中扣除，履约保证金中不足以扣除的，采购人有权从货款中抵扣。履约保证金不足的，成交供应商应及时补足。</w:t>
            </w:r>
          </w:p>
          <w:p w14:paraId="443DDD7D">
            <w:pPr>
              <w:snapToGrid w:val="0"/>
              <w:spacing w:line="500" w:lineRule="exact"/>
              <w:rPr>
                <w:rFonts w:ascii="宋体" w:hAnsi="宋体" w:cs="宋体"/>
                <w:color w:val="auto"/>
                <w:szCs w:val="21"/>
              </w:rPr>
            </w:pPr>
            <w:r>
              <w:rPr>
                <w:rFonts w:hint="eastAsia" w:ascii="宋体" w:hAnsi="宋体" w:cs="宋体"/>
                <w:color w:val="auto"/>
                <w:szCs w:val="21"/>
              </w:rPr>
              <w:t>履约保证金指定账户：</w:t>
            </w:r>
          </w:p>
          <w:p w14:paraId="56FB13D9">
            <w:pPr>
              <w:snapToGrid w:val="0"/>
              <w:spacing w:line="500" w:lineRule="exact"/>
              <w:rPr>
                <w:rFonts w:ascii="宋体" w:hAnsi="宋体" w:cs="宋体"/>
                <w:color w:val="auto"/>
                <w:szCs w:val="21"/>
                <w:u w:val="single"/>
              </w:rPr>
            </w:pPr>
            <w:r>
              <w:rPr>
                <w:rFonts w:hint="eastAsia" w:ascii="宋体" w:hAnsi="宋体" w:cs="宋体"/>
                <w:color w:val="auto"/>
                <w:szCs w:val="21"/>
                <w:u w:val="single"/>
              </w:rPr>
              <w:t>采购人收款账户：广西职业师范学院</w:t>
            </w:r>
          </w:p>
          <w:p w14:paraId="738D8432">
            <w:pPr>
              <w:snapToGrid w:val="0"/>
              <w:spacing w:line="500" w:lineRule="exact"/>
              <w:rPr>
                <w:rFonts w:ascii="宋体" w:hAnsi="宋体" w:cs="宋体"/>
                <w:color w:val="auto"/>
                <w:szCs w:val="21"/>
                <w:u w:val="single"/>
              </w:rPr>
            </w:pPr>
            <w:r>
              <w:rPr>
                <w:rFonts w:hint="eastAsia" w:ascii="宋体" w:hAnsi="宋体" w:cs="宋体"/>
                <w:color w:val="auto"/>
                <w:szCs w:val="21"/>
                <w:u w:val="single"/>
              </w:rPr>
              <w:t>采购人收款账号：2102111309264000331</w:t>
            </w:r>
          </w:p>
          <w:p w14:paraId="7C92B772">
            <w:pPr>
              <w:snapToGrid w:val="0"/>
              <w:spacing w:line="500" w:lineRule="exact"/>
              <w:rPr>
                <w:rFonts w:ascii="宋体" w:hAnsi="宋体" w:cs="宋体"/>
                <w:color w:val="auto"/>
                <w:szCs w:val="21"/>
                <w:u w:val="single"/>
              </w:rPr>
            </w:pPr>
            <w:r>
              <w:rPr>
                <w:rFonts w:hint="eastAsia" w:ascii="宋体" w:hAnsi="宋体" w:cs="宋体"/>
                <w:color w:val="auto"/>
                <w:szCs w:val="21"/>
                <w:u w:val="single"/>
              </w:rPr>
              <w:t>采购人开户银行：工行南宁市西乡塘支行</w:t>
            </w:r>
          </w:p>
          <w:p w14:paraId="6928EC93">
            <w:pPr>
              <w:snapToGrid w:val="0"/>
              <w:spacing w:line="500" w:lineRule="exact"/>
              <w:rPr>
                <w:rFonts w:ascii="宋体" w:hAnsi="宋体" w:cs="宋体"/>
                <w:color w:val="auto"/>
                <w:szCs w:val="21"/>
                <w:u w:val="single"/>
              </w:rPr>
            </w:pPr>
            <w:r>
              <w:rPr>
                <w:rFonts w:hint="eastAsia" w:ascii="宋体" w:hAnsi="宋体" w:cs="宋体"/>
                <w:color w:val="auto"/>
                <w:szCs w:val="21"/>
                <w:u w:val="single"/>
              </w:rPr>
              <w:t>纳税人识别号：124500004985047071</w:t>
            </w:r>
          </w:p>
          <w:p w14:paraId="6319C93D">
            <w:pPr>
              <w:snapToGrid w:val="0"/>
              <w:spacing w:line="500" w:lineRule="exact"/>
              <w:rPr>
                <w:rFonts w:ascii="宋体" w:hAnsi="宋体" w:cs="宋体"/>
                <w:b/>
                <w:color w:val="auto"/>
                <w:szCs w:val="21"/>
              </w:rPr>
            </w:pPr>
            <w:r>
              <w:rPr>
                <w:rFonts w:hint="eastAsia" w:ascii="宋体" w:hAnsi="宋体" w:cs="宋体"/>
                <w:color w:val="auto"/>
                <w:szCs w:val="21"/>
              </w:rPr>
              <w:t>备注：</w:t>
            </w:r>
            <w:r>
              <w:rPr>
                <w:rFonts w:hint="eastAsia" w:ascii="宋体" w:hAnsi="宋体" w:cs="宋体"/>
                <w:color w:val="auto"/>
                <w:szCs w:val="21"/>
              </w:rPr>
              <w:br w:type="textWrapping"/>
            </w:r>
            <w:r>
              <w:rPr>
                <w:rFonts w:hint="eastAsia" w:ascii="宋体" w:hAnsi="宋体" w:cs="宋体"/>
                <w:b/>
                <w:color w:val="auto"/>
                <w:szCs w:val="21"/>
              </w:rPr>
              <w:t>1.履约保证金不足额缴纳的（包含保函额度不足的），或者不按规定提交方式提交的，或者保函有效期低于合同履行期限的（即合同中规定的当事人履行自己的义务，如交付标的物、价款或者报酬，履行劳务、完成工作的时间界限）的，视为未按规定提交履约保证金。</w:t>
            </w:r>
            <w:r>
              <w:rPr>
                <w:rFonts w:hint="eastAsia" w:ascii="宋体" w:hAnsi="宋体" w:cs="宋体"/>
                <w:b/>
                <w:color w:val="auto"/>
                <w:szCs w:val="21"/>
              </w:rPr>
              <w:br w:type="textWrapping"/>
            </w:r>
            <w:r>
              <w:rPr>
                <w:rFonts w:hint="eastAsia" w:ascii="宋体" w:hAnsi="宋体" w:cs="宋体"/>
                <w:b/>
                <w:color w:val="auto"/>
                <w:szCs w:val="21"/>
              </w:rPr>
              <w:t>2.采用金融、担保机构出具保函的，必须为无条件保函，否则视为未按规定提交履约保证金。</w:t>
            </w:r>
          </w:p>
          <w:p w14:paraId="6176227C">
            <w:pPr>
              <w:snapToGrid w:val="0"/>
              <w:spacing w:line="500" w:lineRule="exact"/>
              <w:rPr>
                <w:rFonts w:ascii="宋体" w:hAnsi="宋体" w:cs="宋体"/>
                <w:color w:val="auto"/>
                <w:szCs w:val="21"/>
              </w:rPr>
            </w:pPr>
            <w:r>
              <w:rPr>
                <w:rFonts w:hint="eastAsia" w:ascii="宋体" w:hAnsi="宋体" w:cs="宋体"/>
                <w:b/>
                <w:color w:val="auto"/>
                <w:szCs w:val="21"/>
              </w:rPr>
              <w:t>3.供应商为联合体的，可由联合体任意一方或者联合体各方共同提交的履约保证金，视为有效履约保证金</w:t>
            </w:r>
            <w:r>
              <w:rPr>
                <w:rFonts w:hint="eastAsia" w:ascii="宋体" w:hAnsi="宋体" w:cs="宋体"/>
                <w:color w:val="auto"/>
                <w:szCs w:val="21"/>
              </w:rPr>
              <w:t>。</w:t>
            </w:r>
          </w:p>
        </w:tc>
      </w:tr>
      <w:tr w14:paraId="2B045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095D8D5">
            <w:pPr>
              <w:spacing w:line="500" w:lineRule="exact"/>
              <w:jc w:val="center"/>
              <w:rPr>
                <w:rFonts w:ascii="宋体" w:hAnsi="宋体" w:cs="宋体"/>
                <w:color w:val="auto"/>
                <w:szCs w:val="21"/>
              </w:rPr>
            </w:pPr>
            <w:r>
              <w:rPr>
                <w:rFonts w:hint="eastAsia" w:ascii="宋体" w:hAnsi="宋体" w:cs="宋体"/>
                <w:color w:val="auto"/>
                <w:szCs w:val="21"/>
              </w:rPr>
              <w:t>29.1</w:t>
            </w:r>
          </w:p>
        </w:tc>
        <w:tc>
          <w:tcPr>
            <w:tcW w:w="7912" w:type="dxa"/>
            <w:vAlign w:val="center"/>
          </w:tcPr>
          <w:p w14:paraId="2824A6C8">
            <w:pPr>
              <w:autoSpaceDE w:val="0"/>
              <w:autoSpaceDN w:val="0"/>
              <w:snapToGrid w:val="0"/>
              <w:spacing w:line="500" w:lineRule="exact"/>
              <w:textAlignment w:val="bottom"/>
              <w:rPr>
                <w:rFonts w:ascii="宋体" w:hAnsi="宋体" w:cs="宋体"/>
                <w:color w:val="auto"/>
                <w:szCs w:val="21"/>
              </w:rPr>
            </w:pPr>
            <w:r>
              <w:rPr>
                <w:rFonts w:hint="eastAsia" w:ascii="宋体" w:hAnsi="宋体" w:cs="宋体"/>
                <w:color w:val="auto"/>
                <w:szCs w:val="21"/>
              </w:rPr>
              <w:t>签订合同携带的证明材料：</w:t>
            </w:r>
          </w:p>
          <w:p w14:paraId="5182F438">
            <w:pPr>
              <w:autoSpaceDE w:val="0"/>
              <w:autoSpaceDN w:val="0"/>
              <w:snapToGrid w:val="0"/>
              <w:spacing w:line="500" w:lineRule="exact"/>
              <w:textAlignment w:val="bottom"/>
              <w:rPr>
                <w:rFonts w:ascii="宋体" w:hAnsi="宋体" w:cs="宋体"/>
                <w:color w:val="auto"/>
                <w:szCs w:val="21"/>
              </w:rPr>
            </w:pPr>
            <w:r>
              <w:rPr>
                <w:rFonts w:hint="eastAsia" w:ascii="宋体" w:hAnsi="宋体" w:cs="宋体"/>
                <w:color w:val="auto"/>
                <w:szCs w:val="21"/>
              </w:rPr>
              <w:t>委托代理人负责签订合同的，须携带授权委托书及委托代理人身份证原件等其他资格证件。</w:t>
            </w:r>
          </w:p>
          <w:p w14:paraId="05983960">
            <w:pPr>
              <w:snapToGrid w:val="0"/>
              <w:spacing w:line="500" w:lineRule="exact"/>
              <w:rPr>
                <w:rFonts w:ascii="宋体" w:hAnsi="宋体" w:cs="宋体"/>
                <w:color w:val="auto"/>
                <w:szCs w:val="21"/>
              </w:rPr>
            </w:pPr>
            <w:r>
              <w:rPr>
                <w:rFonts w:hint="eastAsia" w:ascii="宋体" w:hAnsi="宋体" w:cs="宋体"/>
                <w:color w:val="auto"/>
                <w:szCs w:val="21"/>
              </w:rPr>
              <w:t>法定代表人负责签订合同的，须携带法定代表人身份证明原件及身份证原件等其他证明材料。</w:t>
            </w:r>
          </w:p>
        </w:tc>
      </w:tr>
      <w:tr w14:paraId="356C2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B8D0424">
            <w:pPr>
              <w:spacing w:line="500" w:lineRule="exact"/>
              <w:jc w:val="center"/>
              <w:rPr>
                <w:rFonts w:ascii="宋体" w:hAnsi="宋体" w:cs="宋体"/>
                <w:color w:val="auto"/>
                <w:szCs w:val="21"/>
              </w:rPr>
            </w:pPr>
            <w:r>
              <w:rPr>
                <w:rFonts w:hint="eastAsia" w:ascii="宋体" w:hAnsi="宋体" w:cs="宋体"/>
                <w:color w:val="auto"/>
                <w:szCs w:val="21"/>
              </w:rPr>
              <w:t>31.2</w:t>
            </w:r>
          </w:p>
        </w:tc>
        <w:tc>
          <w:tcPr>
            <w:tcW w:w="7912" w:type="dxa"/>
            <w:vAlign w:val="center"/>
          </w:tcPr>
          <w:p w14:paraId="5B3F637B">
            <w:pPr>
              <w:snapToGrid w:val="0"/>
              <w:spacing w:line="500" w:lineRule="exact"/>
              <w:rPr>
                <w:rFonts w:ascii="宋体" w:hAnsi="宋体" w:cs="宋体"/>
                <w:color w:val="auto"/>
                <w:szCs w:val="21"/>
              </w:rPr>
            </w:pPr>
            <w:r>
              <w:rPr>
                <w:rFonts w:hint="eastAsia" w:ascii="宋体" w:hAnsi="宋体" w:cs="宋体"/>
                <w:color w:val="auto"/>
                <w:szCs w:val="21"/>
              </w:rPr>
              <w:t>接收质疑函方式：以书面形式。</w:t>
            </w:r>
          </w:p>
          <w:p w14:paraId="27F27DBE">
            <w:pPr>
              <w:pStyle w:val="14"/>
              <w:snapToGrid w:val="0"/>
              <w:spacing w:line="500" w:lineRule="exact"/>
              <w:rPr>
                <w:rFonts w:hAnsi="宋体" w:cs="宋体"/>
                <w:color w:val="auto"/>
                <w:kern w:val="2"/>
                <w:sz w:val="21"/>
              </w:rPr>
            </w:pPr>
            <w:r>
              <w:rPr>
                <w:rFonts w:hint="eastAsia" w:hAnsi="宋体" w:cs="宋体"/>
                <w:color w:val="auto"/>
                <w:kern w:val="2"/>
                <w:sz w:val="21"/>
              </w:rPr>
              <w:t>质疑联系部门及联系方式：</w:t>
            </w:r>
            <w:r>
              <w:rPr>
                <w:rFonts w:hint="eastAsia" w:hAnsi="宋体" w:cs="宋体"/>
                <w:color w:val="auto"/>
                <w:kern w:val="2"/>
                <w:sz w:val="21"/>
                <w:u w:val="single"/>
              </w:rPr>
              <w:t>广西中信恒泰工程顾问有限公司</w:t>
            </w:r>
            <w:r>
              <w:rPr>
                <w:rFonts w:hint="eastAsia" w:hAnsi="宋体" w:cs="宋体"/>
                <w:color w:val="auto"/>
                <w:kern w:val="2"/>
                <w:sz w:val="21"/>
              </w:rPr>
              <w:t>，联系电话：</w:t>
            </w:r>
            <w:r>
              <w:rPr>
                <w:rFonts w:hint="eastAsia" w:hAnsi="宋体" w:cs="宋体"/>
                <w:color w:val="auto"/>
                <w:kern w:val="2"/>
                <w:sz w:val="21"/>
                <w:u w:val="single"/>
              </w:rPr>
              <w:t>0771-5776251</w:t>
            </w:r>
            <w:r>
              <w:rPr>
                <w:rFonts w:hint="eastAsia" w:hAnsi="宋体" w:cs="宋体"/>
                <w:color w:val="auto"/>
                <w:kern w:val="2"/>
                <w:sz w:val="21"/>
              </w:rPr>
              <w:t>，通讯地址：</w:t>
            </w:r>
            <w:r>
              <w:rPr>
                <w:rFonts w:hint="eastAsia" w:hAnsi="宋体" w:cs="宋体"/>
                <w:color w:val="auto"/>
                <w:kern w:val="2"/>
                <w:sz w:val="21"/>
                <w:u w:val="single"/>
              </w:rPr>
              <w:t>南宁市青秀区云景路69号南宁轨道大厦B座15楼。</w:t>
            </w:r>
          </w:p>
          <w:p w14:paraId="15543A6C">
            <w:pPr>
              <w:autoSpaceDE w:val="0"/>
              <w:autoSpaceDN w:val="0"/>
              <w:snapToGrid w:val="0"/>
              <w:spacing w:line="500" w:lineRule="exact"/>
              <w:textAlignment w:val="bottom"/>
              <w:rPr>
                <w:rFonts w:ascii="宋体" w:hAnsi="宋体" w:cs="宋体"/>
                <w:color w:val="auto"/>
                <w:szCs w:val="21"/>
              </w:rPr>
            </w:pPr>
            <w:r>
              <w:rPr>
                <w:rFonts w:hint="eastAsia" w:ascii="宋体" w:hAnsi="宋体" w:cs="宋体"/>
                <w:color w:val="auto"/>
              </w:rPr>
              <w:t>业务时间：上午8时30分到12时00分，下午2时30分到5时30分，业务时间以外、双休日和法定节假日不办理业务。</w:t>
            </w:r>
          </w:p>
        </w:tc>
      </w:tr>
      <w:tr w14:paraId="1C4F0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3FC549F">
            <w:pPr>
              <w:spacing w:line="500" w:lineRule="exact"/>
              <w:jc w:val="center"/>
              <w:rPr>
                <w:rFonts w:ascii="宋体" w:hAnsi="宋体" w:cs="宋体"/>
                <w:color w:val="auto"/>
                <w:szCs w:val="21"/>
              </w:rPr>
            </w:pPr>
            <w:r>
              <w:rPr>
                <w:rFonts w:hint="eastAsia" w:ascii="宋体" w:hAnsi="宋体" w:cs="宋体"/>
                <w:color w:val="auto"/>
                <w:szCs w:val="21"/>
              </w:rPr>
              <w:t>32.1</w:t>
            </w:r>
          </w:p>
        </w:tc>
        <w:tc>
          <w:tcPr>
            <w:tcW w:w="7912" w:type="dxa"/>
            <w:vAlign w:val="center"/>
          </w:tcPr>
          <w:p w14:paraId="162859E2">
            <w:pPr>
              <w:pStyle w:val="14"/>
              <w:numPr>
                <w:ilvl w:val="0"/>
                <w:numId w:val="1"/>
              </w:numPr>
              <w:snapToGrid w:val="0"/>
              <w:spacing w:line="500" w:lineRule="exact"/>
              <w:rPr>
                <w:rFonts w:hAnsi="宋体" w:cs="宋体"/>
                <w:color w:val="auto"/>
                <w:sz w:val="21"/>
              </w:rPr>
            </w:pPr>
            <w:r>
              <w:rPr>
                <w:rFonts w:hint="eastAsia" w:hAnsi="宋体" w:cs="宋体"/>
                <w:color w:val="auto"/>
                <w:sz w:val="21"/>
              </w:rPr>
              <w:t>根据有关收费规定，采购代理服务费以成交金额为基准，参照《招标代理服务收费管理暂行办法》（计价格〔2002〕1980号）及国家发展改革委办公厅《关于招标代理服务收费有关问题的通知》（发改办价格〔2003〕857号）规定的〔货物类〕收费标准的70%计取。</w:t>
            </w:r>
          </w:p>
          <w:p w14:paraId="7E3E9439">
            <w:pPr>
              <w:pStyle w:val="14"/>
              <w:snapToGrid w:val="0"/>
              <w:spacing w:line="500" w:lineRule="exact"/>
              <w:rPr>
                <w:rFonts w:hAnsi="宋体" w:cs="宋体"/>
                <w:color w:val="auto"/>
                <w:sz w:val="21"/>
              </w:rPr>
            </w:pPr>
            <w:r>
              <w:rPr>
                <w:rFonts w:hint="eastAsia" w:hAnsi="宋体" w:cs="宋体"/>
                <w:color w:val="auto"/>
                <w:sz w:val="21"/>
              </w:rPr>
              <w:t>2、由成交供应商在领取成交通知书前一次性向采购代理机构付清。</w:t>
            </w:r>
          </w:p>
          <w:p w14:paraId="1326106C">
            <w:pPr>
              <w:pStyle w:val="14"/>
              <w:snapToGrid w:val="0"/>
              <w:spacing w:line="500" w:lineRule="exact"/>
              <w:rPr>
                <w:rFonts w:hAnsi="宋体" w:cs="宋体"/>
                <w:color w:val="auto"/>
                <w:sz w:val="21"/>
              </w:rPr>
            </w:pPr>
            <w:r>
              <w:rPr>
                <w:rFonts w:hint="eastAsia" w:hAnsi="宋体" w:cs="宋体"/>
                <w:color w:val="auto"/>
                <w:sz w:val="21"/>
              </w:rPr>
              <w:t>开户名称：广西中信恒泰工程顾问有限公司</w:t>
            </w:r>
          </w:p>
          <w:p w14:paraId="293A9B94">
            <w:pPr>
              <w:pStyle w:val="14"/>
              <w:snapToGrid w:val="0"/>
              <w:spacing w:line="500" w:lineRule="exact"/>
              <w:rPr>
                <w:rFonts w:hAnsi="宋体" w:cs="宋体"/>
                <w:color w:val="auto"/>
                <w:sz w:val="21"/>
              </w:rPr>
            </w:pPr>
            <w:r>
              <w:rPr>
                <w:rFonts w:hint="eastAsia" w:hAnsi="宋体" w:cs="宋体"/>
                <w:color w:val="auto"/>
                <w:sz w:val="21"/>
              </w:rPr>
              <w:t>账号：4500 1604 2660 5250 2851</w:t>
            </w:r>
          </w:p>
          <w:p w14:paraId="7D2D65AC">
            <w:pPr>
              <w:pStyle w:val="14"/>
              <w:snapToGrid w:val="0"/>
              <w:spacing w:line="500" w:lineRule="exact"/>
              <w:rPr>
                <w:rFonts w:hAnsi="宋体" w:cs="宋体"/>
                <w:color w:val="auto"/>
                <w:sz w:val="21"/>
              </w:rPr>
            </w:pPr>
            <w:r>
              <w:rPr>
                <w:rFonts w:hint="eastAsia" w:hAnsi="宋体" w:cs="宋体"/>
                <w:color w:val="auto"/>
                <w:sz w:val="21"/>
              </w:rPr>
              <w:t>开户行名称：建行南宁金湖广场支行</w:t>
            </w:r>
          </w:p>
        </w:tc>
      </w:tr>
      <w:tr w14:paraId="2618D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2B359E7">
            <w:pPr>
              <w:spacing w:line="500" w:lineRule="exact"/>
              <w:jc w:val="center"/>
              <w:rPr>
                <w:rFonts w:ascii="宋体" w:hAnsi="宋体" w:cs="宋体"/>
                <w:color w:val="auto"/>
                <w:szCs w:val="21"/>
              </w:rPr>
            </w:pPr>
            <w:r>
              <w:rPr>
                <w:rFonts w:hint="eastAsia" w:ascii="宋体" w:hAnsi="宋体" w:cs="宋体"/>
                <w:color w:val="auto"/>
                <w:szCs w:val="21"/>
              </w:rPr>
              <w:t>33.1</w:t>
            </w:r>
          </w:p>
        </w:tc>
        <w:tc>
          <w:tcPr>
            <w:tcW w:w="7912" w:type="dxa"/>
            <w:vAlign w:val="center"/>
          </w:tcPr>
          <w:p w14:paraId="02E97745">
            <w:pPr>
              <w:pStyle w:val="14"/>
              <w:snapToGrid w:val="0"/>
              <w:spacing w:line="500" w:lineRule="exact"/>
              <w:rPr>
                <w:rFonts w:hAnsi="宋体" w:cs="宋体"/>
                <w:color w:val="auto"/>
                <w:kern w:val="2"/>
                <w:sz w:val="21"/>
              </w:rPr>
            </w:pPr>
            <w:r>
              <w:rPr>
                <w:rFonts w:hint="eastAsia" w:hAnsi="宋体" w:cs="宋体"/>
                <w:color w:val="auto"/>
                <w:sz w:val="21"/>
              </w:rPr>
              <w:t>解释：构成本竞争性谈判文件的各个组成文件应互为解释，互为说明；除竞争性谈判文件中有特别规定外，仅适用于竞标阶段的规定，按更正公告（澄清公告）、竞争性谈判公告、供应商须知、采购需求、评审程序、评审方法和评审标准、响应文件格式、合同文本的先后顺序解释；同一组成文件中就同一事项的规定或约定不一致的，以编排顺序在后者为准；同一组成文件不同版本之间有不一致的，以形成时间在后者为准；更正公告（澄清公告）与同步更新的竞争性谈判文件不一致时以更正公告（澄清公告）为准。按本款前述规定仍不能形成结论的，由采购人或者采购代理机构负责解释。</w:t>
            </w:r>
          </w:p>
        </w:tc>
      </w:tr>
      <w:tr w14:paraId="0E2F9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2BE73E6">
            <w:pPr>
              <w:spacing w:line="500" w:lineRule="exact"/>
              <w:jc w:val="center"/>
              <w:rPr>
                <w:rFonts w:ascii="宋体" w:hAnsi="宋体" w:cs="宋体"/>
                <w:color w:val="auto"/>
                <w:szCs w:val="21"/>
              </w:rPr>
            </w:pPr>
            <w:r>
              <w:rPr>
                <w:rFonts w:hint="eastAsia" w:ascii="宋体" w:hAnsi="宋体" w:cs="宋体"/>
                <w:color w:val="auto"/>
                <w:szCs w:val="21"/>
              </w:rPr>
              <w:t>33.2</w:t>
            </w:r>
          </w:p>
        </w:tc>
        <w:tc>
          <w:tcPr>
            <w:tcW w:w="7912" w:type="dxa"/>
            <w:vAlign w:val="center"/>
          </w:tcPr>
          <w:p w14:paraId="10CB6E3F">
            <w:pPr>
              <w:pStyle w:val="14"/>
              <w:snapToGrid w:val="0"/>
              <w:spacing w:line="500" w:lineRule="exact"/>
              <w:rPr>
                <w:rFonts w:hAnsi="宋体" w:cs="宋体"/>
                <w:color w:val="auto"/>
                <w:sz w:val="21"/>
              </w:rPr>
            </w:pPr>
            <w:r>
              <w:rPr>
                <w:rFonts w:hint="eastAsia" w:hAnsi="宋体" w:cs="宋体"/>
                <w:color w:val="auto"/>
                <w:sz w:val="21"/>
              </w:rPr>
              <w:t>1.本谈判文件中描述供应商的“公章”是指供应商通过指定电子化政府采购平台办理数字证书（CA认证）获得的以法定主体行为名称制作的电子印章。</w:t>
            </w:r>
          </w:p>
          <w:p w14:paraId="69C907F2">
            <w:pPr>
              <w:pStyle w:val="14"/>
              <w:snapToGrid w:val="0"/>
              <w:spacing w:line="500" w:lineRule="exact"/>
              <w:rPr>
                <w:rFonts w:hAnsi="宋体" w:cs="宋体"/>
                <w:color w:val="auto"/>
                <w:sz w:val="21"/>
              </w:rPr>
            </w:pPr>
            <w:r>
              <w:rPr>
                <w:rFonts w:hint="eastAsia" w:hAnsi="宋体" w:cs="宋体"/>
                <w:color w:val="auto"/>
                <w:sz w:val="21"/>
              </w:rPr>
              <w:t>2.本谈判文件中描述供应商的“签字”是指供应商通过指定电子化政府采购平台办理数字证书（CA认证）获得的以供应商法定代表人或者委托代理人姓名制作的电子印章或手写签字。</w:t>
            </w:r>
          </w:p>
          <w:p w14:paraId="193CE500">
            <w:pPr>
              <w:pStyle w:val="14"/>
              <w:snapToGrid w:val="0"/>
              <w:spacing w:line="500" w:lineRule="exact"/>
              <w:rPr>
                <w:rFonts w:hAnsi="宋体" w:cs="宋体"/>
                <w:color w:val="auto"/>
                <w:sz w:val="21"/>
              </w:rPr>
            </w:pPr>
            <w:r>
              <w:rPr>
                <w:rFonts w:hint="eastAsia" w:hAnsi="宋体" w:cs="宋体"/>
                <w:color w:val="auto"/>
                <w:sz w:val="21"/>
              </w:rPr>
              <w:t>3.供应商为其他组织或者自然人时，本谈判文件规定的法定代表人指负责人或者自然人。本谈判文件所称负责人是指参加竞标的其他组织营业执照上的负责人，本谈判文件所称自然人指参与竞标的自然人本人。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0464860A">
            <w:pPr>
              <w:pStyle w:val="14"/>
              <w:snapToGrid w:val="0"/>
              <w:spacing w:line="500" w:lineRule="exact"/>
              <w:rPr>
                <w:rFonts w:hAnsi="宋体" w:cs="宋体"/>
                <w:color w:val="auto"/>
                <w:sz w:val="21"/>
              </w:rPr>
            </w:pPr>
            <w:r>
              <w:rPr>
                <w:rFonts w:hint="eastAsia" w:hAnsi="宋体" w:cs="宋体"/>
                <w:color w:val="auto"/>
                <w:sz w:val="21"/>
              </w:rPr>
              <w:t>4.自然人竞标的，谈判文件规定盖公章处由自然人摁手指指印。</w:t>
            </w:r>
          </w:p>
          <w:p w14:paraId="36D39B01">
            <w:pPr>
              <w:pStyle w:val="14"/>
              <w:snapToGrid w:val="0"/>
              <w:spacing w:line="500" w:lineRule="exact"/>
              <w:rPr>
                <w:rFonts w:hAnsi="宋体" w:cs="宋体"/>
                <w:color w:val="auto"/>
                <w:sz w:val="21"/>
              </w:rPr>
            </w:pPr>
            <w:r>
              <w:rPr>
                <w:rFonts w:hint="eastAsia" w:hAnsi="宋体" w:cs="宋体"/>
                <w:color w:val="auto"/>
                <w:sz w:val="21"/>
              </w:rPr>
              <w:t>5.本谈判文件所称的“以上”“以下”“以内”“届满”，包括本数；所称的“不满”“超过”“以外”，不包括本数。</w:t>
            </w:r>
          </w:p>
        </w:tc>
      </w:tr>
    </w:tbl>
    <w:p w14:paraId="08129E76">
      <w:pPr>
        <w:spacing w:line="500" w:lineRule="exact"/>
        <w:jc w:val="center"/>
        <w:rPr>
          <w:rFonts w:ascii="宋体" w:hAnsi="宋体" w:cs="宋体"/>
          <w:b/>
          <w:color w:val="auto"/>
          <w:sz w:val="32"/>
          <w:szCs w:val="32"/>
        </w:rPr>
      </w:pPr>
      <w:r>
        <w:rPr>
          <w:rFonts w:hint="eastAsia" w:ascii="宋体" w:hAnsi="宋体" w:cs="宋体"/>
          <w:b/>
          <w:color w:val="auto"/>
          <w:sz w:val="32"/>
          <w:szCs w:val="32"/>
        </w:rPr>
        <w:br w:type="page"/>
      </w:r>
      <w:r>
        <w:rPr>
          <w:rFonts w:hint="eastAsia" w:ascii="宋体" w:hAnsi="宋体" w:cs="宋体"/>
          <w:b/>
          <w:color w:val="auto"/>
          <w:sz w:val="32"/>
          <w:szCs w:val="32"/>
        </w:rPr>
        <w:t>供应商须知正文</w:t>
      </w:r>
    </w:p>
    <w:p w14:paraId="251F6747">
      <w:pPr>
        <w:spacing w:line="400" w:lineRule="exact"/>
        <w:jc w:val="center"/>
        <w:rPr>
          <w:rFonts w:ascii="宋体" w:hAnsi="宋体" w:cs="宋体"/>
          <w:b/>
          <w:color w:val="auto"/>
          <w:sz w:val="32"/>
          <w:szCs w:val="32"/>
        </w:rPr>
      </w:pPr>
    </w:p>
    <w:p w14:paraId="4A630097">
      <w:pPr>
        <w:spacing w:line="400" w:lineRule="exact"/>
        <w:jc w:val="center"/>
        <w:rPr>
          <w:rFonts w:ascii="宋体" w:hAnsi="宋体" w:cs="宋体"/>
          <w:b/>
          <w:color w:val="auto"/>
          <w:sz w:val="32"/>
          <w:szCs w:val="32"/>
        </w:rPr>
      </w:pPr>
      <w:r>
        <w:rPr>
          <w:rFonts w:hint="eastAsia" w:ascii="宋体" w:hAnsi="宋体" w:cs="宋体"/>
          <w:b/>
          <w:color w:val="auto"/>
          <w:sz w:val="32"/>
          <w:szCs w:val="32"/>
        </w:rPr>
        <w:t>一、总则</w:t>
      </w:r>
    </w:p>
    <w:p w14:paraId="5E20382F">
      <w:pPr>
        <w:spacing w:line="400" w:lineRule="exact"/>
        <w:rPr>
          <w:rFonts w:ascii="宋体" w:hAnsi="宋体" w:cs="宋体"/>
          <w:color w:val="auto"/>
          <w:szCs w:val="21"/>
        </w:rPr>
      </w:pPr>
    </w:p>
    <w:p w14:paraId="4C106B03">
      <w:pPr>
        <w:spacing w:line="360" w:lineRule="auto"/>
        <w:ind w:firstLine="482" w:firstLineChars="200"/>
        <w:rPr>
          <w:rFonts w:ascii="宋体" w:hAnsi="宋体" w:cs="宋体"/>
          <w:b/>
          <w:bCs/>
          <w:color w:val="auto"/>
          <w:sz w:val="24"/>
        </w:rPr>
      </w:pPr>
      <w:r>
        <w:rPr>
          <w:rFonts w:hint="eastAsia" w:ascii="宋体" w:hAnsi="宋体" w:cs="宋体"/>
          <w:b/>
          <w:bCs/>
          <w:color w:val="auto"/>
          <w:sz w:val="24"/>
        </w:rPr>
        <w:t>1.适用范围</w:t>
      </w:r>
    </w:p>
    <w:p w14:paraId="08C230F8">
      <w:pPr>
        <w:spacing w:line="360" w:lineRule="auto"/>
        <w:ind w:firstLine="396" w:firstLineChars="200"/>
        <w:rPr>
          <w:rFonts w:ascii="宋体" w:hAnsi="宋体" w:cs="宋体"/>
          <w:color w:val="auto"/>
          <w:spacing w:val="-6"/>
          <w:szCs w:val="21"/>
        </w:rPr>
      </w:pPr>
      <w:r>
        <w:rPr>
          <w:rFonts w:hint="eastAsia" w:ascii="宋体" w:hAnsi="宋体" w:cs="宋体"/>
          <w:color w:val="auto"/>
          <w:spacing w:val="-6"/>
          <w:szCs w:val="21"/>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45750875">
      <w:pPr>
        <w:spacing w:line="360" w:lineRule="auto"/>
        <w:ind w:firstLine="396" w:firstLineChars="200"/>
        <w:rPr>
          <w:rFonts w:ascii="宋体" w:hAnsi="宋体" w:cs="宋体"/>
          <w:color w:val="auto"/>
          <w:szCs w:val="21"/>
        </w:rPr>
      </w:pPr>
      <w:r>
        <w:rPr>
          <w:rFonts w:hint="eastAsia" w:ascii="宋体" w:hAnsi="宋体" w:cs="宋体"/>
          <w:color w:val="auto"/>
          <w:spacing w:val="-6"/>
          <w:szCs w:val="21"/>
        </w:rPr>
        <w:t>1.2本竞争性谈判文件（以下简称谈判文件）适用于本项目的所有采购程序和环节（法律法规另有规定的，从其规定）。</w:t>
      </w:r>
    </w:p>
    <w:p w14:paraId="05455A2D">
      <w:pPr>
        <w:spacing w:line="360" w:lineRule="auto"/>
        <w:ind w:firstLine="482" w:firstLineChars="200"/>
        <w:rPr>
          <w:rFonts w:ascii="宋体" w:hAnsi="宋体" w:cs="宋体"/>
          <w:b/>
          <w:bCs/>
          <w:color w:val="auto"/>
          <w:sz w:val="24"/>
        </w:rPr>
      </w:pPr>
      <w:r>
        <w:rPr>
          <w:rFonts w:hint="eastAsia" w:ascii="宋体" w:hAnsi="宋体" w:cs="宋体"/>
          <w:b/>
          <w:bCs/>
          <w:color w:val="auto"/>
          <w:sz w:val="24"/>
        </w:rPr>
        <w:t>2.定义</w:t>
      </w:r>
    </w:p>
    <w:p w14:paraId="651D390E">
      <w:pPr>
        <w:spacing w:line="360" w:lineRule="auto"/>
        <w:ind w:firstLine="420" w:firstLineChars="200"/>
        <w:rPr>
          <w:rFonts w:ascii="宋体" w:hAnsi="宋体" w:cs="宋体"/>
          <w:color w:val="auto"/>
          <w:szCs w:val="21"/>
        </w:rPr>
      </w:pPr>
      <w:r>
        <w:rPr>
          <w:rFonts w:hint="eastAsia" w:ascii="宋体" w:hAnsi="宋体" w:cs="宋体"/>
          <w:color w:val="auto"/>
          <w:szCs w:val="21"/>
        </w:rPr>
        <w:t>2.1“采购人”是指依法进行政府采购的国家机关、事业单位、团体组织。</w:t>
      </w:r>
    </w:p>
    <w:p w14:paraId="6B551087">
      <w:pPr>
        <w:spacing w:line="360" w:lineRule="auto"/>
        <w:ind w:firstLine="420" w:firstLineChars="200"/>
        <w:rPr>
          <w:rFonts w:ascii="宋体" w:hAnsi="宋体" w:cs="宋体"/>
          <w:color w:val="auto"/>
          <w:szCs w:val="21"/>
        </w:rPr>
      </w:pPr>
      <w:r>
        <w:rPr>
          <w:rFonts w:hint="eastAsia" w:ascii="宋体" w:hAnsi="宋体" w:cs="宋体"/>
          <w:color w:val="auto"/>
          <w:szCs w:val="21"/>
        </w:rPr>
        <w:t>2.2“采购代理机构”是指政府采购集中采购机构和集中采购机构以外的采购代理机构。</w:t>
      </w:r>
    </w:p>
    <w:p w14:paraId="3B7885FC">
      <w:pPr>
        <w:spacing w:line="360" w:lineRule="auto"/>
        <w:ind w:firstLine="420" w:firstLineChars="200"/>
        <w:rPr>
          <w:rFonts w:ascii="宋体" w:hAnsi="宋体" w:cs="宋体"/>
          <w:color w:val="auto"/>
          <w:szCs w:val="21"/>
        </w:rPr>
      </w:pPr>
      <w:r>
        <w:rPr>
          <w:rFonts w:hint="eastAsia" w:ascii="宋体" w:hAnsi="宋体" w:cs="宋体"/>
          <w:color w:val="auto"/>
          <w:szCs w:val="21"/>
        </w:rPr>
        <w:t>2.3“供应商”是指向采购人提供货物、工程或者服务的法人、其他组织或者自然人。</w:t>
      </w:r>
    </w:p>
    <w:p w14:paraId="7E525247">
      <w:pPr>
        <w:spacing w:line="360" w:lineRule="auto"/>
        <w:ind w:firstLine="420" w:firstLineChars="200"/>
        <w:rPr>
          <w:rFonts w:ascii="宋体" w:hAnsi="宋体" w:cs="宋体"/>
          <w:color w:val="auto"/>
          <w:szCs w:val="21"/>
        </w:rPr>
      </w:pPr>
      <w:r>
        <w:rPr>
          <w:rFonts w:hint="eastAsia" w:ascii="宋体" w:hAnsi="宋体" w:cs="宋体"/>
          <w:color w:val="auto"/>
          <w:szCs w:val="21"/>
        </w:rPr>
        <w:t>2.4“货物”是指各种形态和种类的物品，包括原材料、燃料、设备、产品等。</w:t>
      </w:r>
    </w:p>
    <w:p w14:paraId="2FD5A2B1">
      <w:pPr>
        <w:spacing w:line="360" w:lineRule="auto"/>
        <w:ind w:firstLine="420" w:firstLineChars="200"/>
        <w:rPr>
          <w:rFonts w:ascii="宋体" w:hAnsi="宋体" w:cs="宋体"/>
          <w:color w:val="auto"/>
          <w:szCs w:val="21"/>
        </w:rPr>
      </w:pPr>
      <w:r>
        <w:rPr>
          <w:rFonts w:hint="eastAsia" w:ascii="宋体" w:hAnsi="宋体" w:cs="宋体"/>
          <w:color w:val="auto"/>
          <w:szCs w:val="21"/>
        </w:rPr>
        <w:t>2.5“竞标”是指供应商按照本项目竞争性谈判公告或者邀请函规定的方式获取谈判文件、提交响应文件并希望获得标的的行为。</w:t>
      </w:r>
    </w:p>
    <w:p w14:paraId="24199357">
      <w:pPr>
        <w:spacing w:line="360" w:lineRule="auto"/>
        <w:ind w:firstLine="420" w:firstLineChars="200"/>
        <w:rPr>
          <w:rFonts w:ascii="宋体" w:hAnsi="宋体" w:cs="宋体"/>
          <w:color w:val="auto"/>
          <w:szCs w:val="21"/>
        </w:rPr>
      </w:pPr>
      <w:r>
        <w:rPr>
          <w:rFonts w:hint="eastAsia" w:ascii="宋体" w:hAnsi="宋体" w:cs="宋体"/>
          <w:color w:val="auto"/>
          <w:szCs w:val="21"/>
        </w:rPr>
        <w:t>2.6“售后服务”是指包含但不限于供应商须承担的备品备件、包装、运输、装卸、保险、货到就位以及安装、调试、培训、保修和其他类似的义务。</w:t>
      </w:r>
    </w:p>
    <w:p w14:paraId="50606B85">
      <w:pPr>
        <w:spacing w:line="360" w:lineRule="auto"/>
        <w:ind w:firstLine="420" w:firstLineChars="200"/>
        <w:rPr>
          <w:rFonts w:ascii="宋体" w:hAnsi="宋体" w:cs="宋体"/>
          <w:color w:val="auto"/>
          <w:szCs w:val="21"/>
        </w:rPr>
      </w:pPr>
      <w:r>
        <w:rPr>
          <w:rFonts w:hint="eastAsia" w:ascii="宋体" w:hAnsi="宋体" w:cs="宋体"/>
          <w:color w:val="auto"/>
          <w:szCs w:val="21"/>
        </w:rPr>
        <w:t>2.7“书面形式”是指合同书、信件和数据电文（包括电报、电传、传真、电子数据交换和电子邮件）等可以有形地表现所载内容的形式。</w:t>
      </w:r>
    </w:p>
    <w:p w14:paraId="37765D24">
      <w:pPr>
        <w:spacing w:line="360" w:lineRule="auto"/>
        <w:ind w:firstLine="420" w:firstLineChars="200"/>
        <w:rPr>
          <w:rFonts w:ascii="宋体" w:hAnsi="宋体" w:cs="宋体"/>
          <w:color w:val="auto"/>
          <w:szCs w:val="21"/>
        </w:rPr>
      </w:pPr>
      <w:r>
        <w:rPr>
          <w:rFonts w:hint="eastAsia" w:ascii="宋体" w:hAnsi="宋体" w:cs="宋体"/>
          <w:color w:val="auto"/>
          <w:szCs w:val="21"/>
        </w:rPr>
        <w:t>2.8“响应文件”是指：供应商根据本谈判文件要求，编制包含资格证明、报价商务技术等所有内容的文件。</w:t>
      </w:r>
    </w:p>
    <w:p w14:paraId="5B7E68CB">
      <w:pPr>
        <w:spacing w:line="360" w:lineRule="auto"/>
        <w:ind w:firstLine="420" w:firstLineChars="200"/>
        <w:rPr>
          <w:rFonts w:ascii="宋体" w:hAnsi="宋体" w:cs="宋体"/>
          <w:color w:val="auto"/>
          <w:szCs w:val="21"/>
        </w:rPr>
      </w:pPr>
      <w:r>
        <w:rPr>
          <w:rFonts w:hint="eastAsia" w:ascii="宋体" w:hAnsi="宋体" w:cs="宋体"/>
          <w:color w:val="auto"/>
          <w:szCs w:val="21"/>
        </w:rPr>
        <w:t>2.9“实质性要求”是指谈判文件中已经指明不满足则响应文件按无效响应处理的条款，或者不能负偏离的条款，或者采购需求中带“▲”的条款。</w:t>
      </w:r>
    </w:p>
    <w:p w14:paraId="43C4EC8F">
      <w:pPr>
        <w:spacing w:line="360" w:lineRule="auto"/>
        <w:ind w:firstLine="420" w:firstLineChars="200"/>
        <w:rPr>
          <w:rFonts w:ascii="宋体" w:hAnsi="宋体" w:cs="宋体"/>
          <w:color w:val="auto"/>
          <w:szCs w:val="21"/>
        </w:rPr>
      </w:pPr>
      <w:r>
        <w:rPr>
          <w:rFonts w:hint="eastAsia" w:ascii="宋体" w:hAnsi="宋体" w:cs="宋体"/>
          <w:color w:val="auto"/>
          <w:szCs w:val="21"/>
        </w:rPr>
        <w:t>2.10“正偏离”，是指响应文件对谈判文件“采购需求”中有关条款作出的响应优于条款要求并有利于采购人的情形。</w:t>
      </w:r>
    </w:p>
    <w:p w14:paraId="4F5B59F9">
      <w:pPr>
        <w:spacing w:line="360" w:lineRule="auto"/>
        <w:ind w:firstLine="420" w:firstLineChars="200"/>
        <w:rPr>
          <w:rFonts w:ascii="宋体" w:hAnsi="宋体" w:cs="宋体"/>
          <w:color w:val="auto"/>
          <w:szCs w:val="21"/>
        </w:rPr>
      </w:pPr>
      <w:r>
        <w:rPr>
          <w:rFonts w:hint="eastAsia" w:ascii="宋体" w:hAnsi="宋体" w:cs="宋体"/>
          <w:color w:val="auto"/>
          <w:szCs w:val="21"/>
        </w:rPr>
        <w:t>2.11“负偏离”，是指响应文件对谈判文件“采购需求”中有关条款作出的响应不满足条款要求，导致采购人要求不能得到满足的情形。</w:t>
      </w:r>
    </w:p>
    <w:p w14:paraId="65DD5239">
      <w:pPr>
        <w:spacing w:line="360" w:lineRule="auto"/>
        <w:ind w:firstLine="420" w:firstLineChars="200"/>
        <w:rPr>
          <w:rFonts w:ascii="宋体" w:hAnsi="宋体" w:cs="宋体"/>
          <w:color w:val="auto"/>
          <w:szCs w:val="21"/>
        </w:rPr>
      </w:pPr>
      <w:r>
        <w:rPr>
          <w:rFonts w:hint="eastAsia" w:ascii="宋体" w:hAnsi="宋体" w:cs="宋体"/>
          <w:color w:val="auto"/>
          <w:szCs w:val="21"/>
        </w:rPr>
        <w:t>2.12“允许负偏离的条款”是指采购需求中的不属于“实质性要求”的条款。</w:t>
      </w:r>
    </w:p>
    <w:p w14:paraId="0DD4295E">
      <w:pPr>
        <w:spacing w:line="360" w:lineRule="auto"/>
        <w:ind w:firstLine="420" w:firstLineChars="200"/>
        <w:rPr>
          <w:rFonts w:ascii="宋体" w:hAnsi="宋体" w:cs="宋体"/>
          <w:color w:val="auto"/>
          <w:szCs w:val="21"/>
        </w:rPr>
      </w:pPr>
      <w:r>
        <w:rPr>
          <w:rFonts w:hint="eastAsia" w:ascii="宋体" w:hAnsi="宋体" w:cs="宋体"/>
          <w:color w:val="auto"/>
          <w:szCs w:val="21"/>
        </w:rPr>
        <w:t>2.13“首次报价”是指供应商提交的首次响应文件中的报价。</w:t>
      </w:r>
    </w:p>
    <w:p w14:paraId="22E30E28">
      <w:pPr>
        <w:spacing w:line="360" w:lineRule="auto"/>
        <w:ind w:firstLine="420" w:firstLineChars="200"/>
        <w:rPr>
          <w:rFonts w:ascii="宋体" w:hAnsi="宋体" w:cs="宋体"/>
          <w:color w:val="auto"/>
          <w:szCs w:val="21"/>
        </w:rPr>
      </w:pPr>
      <w:r>
        <w:rPr>
          <w:rFonts w:hint="eastAsia" w:ascii="宋体" w:hAnsi="宋体" w:cs="宋体"/>
          <w:color w:val="auto"/>
          <w:szCs w:val="21"/>
        </w:rPr>
        <w:t>2.14“评审报价”是指供应商提交的最后报价并经修正（如有）和政策功能价格扣除（如有）后的价格。</w:t>
      </w:r>
    </w:p>
    <w:p w14:paraId="266D38B5">
      <w:pPr>
        <w:spacing w:line="360" w:lineRule="auto"/>
        <w:ind w:firstLine="482" w:firstLineChars="200"/>
        <w:rPr>
          <w:rFonts w:ascii="宋体" w:hAnsi="宋体" w:cs="宋体"/>
          <w:b/>
          <w:bCs/>
          <w:color w:val="auto"/>
          <w:sz w:val="24"/>
        </w:rPr>
      </w:pPr>
      <w:r>
        <w:rPr>
          <w:rFonts w:hint="eastAsia" w:ascii="宋体" w:hAnsi="宋体" w:cs="宋体"/>
          <w:b/>
          <w:bCs/>
          <w:color w:val="auto"/>
          <w:sz w:val="24"/>
        </w:rPr>
        <w:t>3.供应商的资格条件</w:t>
      </w:r>
    </w:p>
    <w:p w14:paraId="2528EFA7">
      <w:pPr>
        <w:spacing w:line="360" w:lineRule="auto"/>
        <w:ind w:firstLine="420" w:firstLineChars="200"/>
        <w:rPr>
          <w:rFonts w:ascii="宋体" w:hAnsi="宋体" w:cs="宋体"/>
          <w:color w:val="auto"/>
          <w:szCs w:val="21"/>
        </w:rPr>
      </w:pPr>
      <w:r>
        <w:rPr>
          <w:rFonts w:hint="eastAsia" w:ascii="宋体" w:hAnsi="宋体" w:cs="宋体"/>
          <w:color w:val="auto"/>
          <w:szCs w:val="21"/>
        </w:rPr>
        <w:t>供应商的资格条件详见“供应商须知前附表”。</w:t>
      </w:r>
    </w:p>
    <w:p w14:paraId="14E91B87">
      <w:pPr>
        <w:spacing w:line="360" w:lineRule="auto"/>
        <w:ind w:firstLine="482" w:firstLineChars="200"/>
        <w:rPr>
          <w:rFonts w:ascii="宋体" w:hAnsi="宋体" w:cs="宋体"/>
          <w:b/>
          <w:bCs/>
          <w:color w:val="auto"/>
          <w:sz w:val="24"/>
        </w:rPr>
      </w:pPr>
      <w:r>
        <w:rPr>
          <w:rFonts w:hint="eastAsia" w:ascii="宋体" w:hAnsi="宋体" w:cs="宋体"/>
          <w:b/>
          <w:bCs/>
          <w:color w:val="auto"/>
          <w:sz w:val="24"/>
        </w:rPr>
        <w:t>4.竞标费用</w:t>
      </w:r>
    </w:p>
    <w:p w14:paraId="57384B50">
      <w:pPr>
        <w:spacing w:line="360" w:lineRule="auto"/>
        <w:ind w:firstLine="420" w:firstLineChars="200"/>
        <w:rPr>
          <w:rFonts w:ascii="宋体" w:hAnsi="宋体" w:cs="宋体"/>
          <w:color w:val="auto"/>
          <w:szCs w:val="21"/>
        </w:rPr>
      </w:pPr>
      <w:r>
        <w:rPr>
          <w:rFonts w:hint="eastAsia" w:ascii="宋体" w:hAnsi="宋体" w:cs="宋体"/>
          <w:color w:val="auto"/>
          <w:szCs w:val="21"/>
        </w:rPr>
        <w:t>供应商应承担参与本次采购活动有关的所有费用，包括但不限于、勘查现场、编制和提交响应文件、参加谈判与应答、签订合同等，不论竞标结果如何，均应自行承担。</w:t>
      </w:r>
    </w:p>
    <w:p w14:paraId="3E75BFD2">
      <w:pPr>
        <w:spacing w:line="360" w:lineRule="auto"/>
        <w:ind w:firstLine="482" w:firstLineChars="200"/>
        <w:rPr>
          <w:rFonts w:ascii="宋体" w:hAnsi="宋体" w:cs="宋体"/>
          <w:b/>
          <w:bCs/>
          <w:color w:val="auto"/>
          <w:sz w:val="24"/>
        </w:rPr>
      </w:pPr>
      <w:r>
        <w:rPr>
          <w:rFonts w:hint="eastAsia" w:ascii="宋体" w:hAnsi="宋体" w:cs="宋体"/>
          <w:b/>
          <w:bCs/>
          <w:color w:val="auto"/>
          <w:sz w:val="24"/>
        </w:rPr>
        <w:t>5.联合体竞标</w:t>
      </w:r>
    </w:p>
    <w:p w14:paraId="58BE9B09">
      <w:pPr>
        <w:spacing w:line="360" w:lineRule="auto"/>
        <w:ind w:firstLine="420" w:firstLineChars="200"/>
        <w:rPr>
          <w:rFonts w:ascii="宋体" w:hAnsi="宋体" w:cs="宋体"/>
          <w:color w:val="auto"/>
          <w:szCs w:val="21"/>
        </w:rPr>
      </w:pPr>
      <w:r>
        <w:rPr>
          <w:rFonts w:hint="eastAsia" w:ascii="宋体" w:hAnsi="宋体" w:cs="宋体"/>
          <w:color w:val="auto"/>
          <w:szCs w:val="21"/>
        </w:rPr>
        <w:t>5.1本项目是否接受联合体竞标，详见“供应商须知前附表”。</w:t>
      </w:r>
    </w:p>
    <w:p w14:paraId="6B60BF40">
      <w:pPr>
        <w:spacing w:line="360" w:lineRule="auto"/>
        <w:ind w:firstLine="420" w:firstLineChars="200"/>
        <w:rPr>
          <w:rFonts w:ascii="宋体" w:hAnsi="宋体" w:cs="宋体"/>
          <w:color w:val="auto"/>
          <w:szCs w:val="21"/>
        </w:rPr>
      </w:pPr>
      <w:r>
        <w:rPr>
          <w:rFonts w:hint="eastAsia" w:ascii="宋体" w:hAnsi="宋体" w:cs="宋体"/>
          <w:color w:val="auto"/>
          <w:szCs w:val="21"/>
        </w:rPr>
        <w:t>5.2</w:t>
      </w:r>
      <w:r>
        <w:rPr>
          <w:rFonts w:hint="eastAsia" w:ascii="宋体" w:hAnsi="宋体" w:cs="宋体"/>
          <w:color w:val="auto"/>
        </w:rPr>
        <w:t>如接受联合体竞标，</w:t>
      </w:r>
      <w:r>
        <w:rPr>
          <w:rFonts w:hint="eastAsia" w:ascii="宋体" w:hAnsi="宋体" w:cs="宋体"/>
          <w:color w:val="auto"/>
          <w:szCs w:val="21"/>
        </w:rPr>
        <w:t>联合体竞标要求详见“供应商须知前附表”。</w:t>
      </w:r>
    </w:p>
    <w:p w14:paraId="2B67B061">
      <w:pPr>
        <w:spacing w:line="360" w:lineRule="auto"/>
        <w:ind w:firstLine="482" w:firstLineChars="200"/>
        <w:rPr>
          <w:rFonts w:ascii="宋体" w:hAnsi="宋体" w:cs="宋体"/>
          <w:b/>
          <w:bCs/>
          <w:color w:val="auto"/>
          <w:sz w:val="24"/>
        </w:rPr>
      </w:pPr>
      <w:r>
        <w:rPr>
          <w:rFonts w:hint="eastAsia" w:ascii="宋体" w:hAnsi="宋体" w:cs="宋体"/>
          <w:b/>
          <w:bCs/>
          <w:color w:val="auto"/>
          <w:sz w:val="24"/>
        </w:rPr>
        <w:t xml:space="preserve">6.转包与分包             </w:t>
      </w:r>
    </w:p>
    <w:p w14:paraId="680CDD01">
      <w:pPr>
        <w:spacing w:line="360" w:lineRule="auto"/>
        <w:ind w:firstLine="420" w:firstLineChars="200"/>
        <w:rPr>
          <w:rFonts w:ascii="宋体" w:hAnsi="宋体" w:cs="宋体"/>
          <w:color w:val="auto"/>
          <w:szCs w:val="21"/>
        </w:rPr>
      </w:pPr>
      <w:r>
        <w:rPr>
          <w:rFonts w:hint="eastAsia" w:ascii="宋体" w:hAnsi="宋体" w:cs="宋体"/>
          <w:color w:val="auto"/>
          <w:szCs w:val="21"/>
        </w:rPr>
        <w:t>6.1本项目不允许转包。</w:t>
      </w:r>
    </w:p>
    <w:p w14:paraId="58998EC0">
      <w:pPr>
        <w:spacing w:line="360" w:lineRule="auto"/>
        <w:ind w:firstLine="420" w:firstLineChars="200"/>
        <w:rPr>
          <w:rFonts w:ascii="宋体" w:hAnsi="宋体" w:cs="宋体"/>
          <w:color w:val="auto"/>
          <w:szCs w:val="21"/>
        </w:rPr>
      </w:pPr>
      <w:r>
        <w:rPr>
          <w:rFonts w:hint="eastAsia" w:ascii="宋体" w:hAnsi="宋体" w:cs="宋体"/>
          <w:color w:val="auto"/>
          <w:szCs w:val="21"/>
        </w:rPr>
        <w:t>6.2本项目是否允许分包详见“供应商须知前附表”，本项目不允许违法分包。</w:t>
      </w:r>
    </w:p>
    <w:p w14:paraId="7D87D950">
      <w:pPr>
        <w:spacing w:line="360" w:lineRule="auto"/>
        <w:ind w:firstLine="482" w:firstLineChars="200"/>
        <w:rPr>
          <w:rFonts w:ascii="宋体" w:hAnsi="宋体" w:cs="宋体"/>
          <w:b/>
          <w:bCs/>
          <w:color w:val="auto"/>
          <w:sz w:val="24"/>
        </w:rPr>
      </w:pPr>
      <w:bookmarkStart w:id="47" w:name="_Toc254970532"/>
      <w:bookmarkStart w:id="48" w:name="_Toc254970673"/>
      <w:r>
        <w:rPr>
          <w:rFonts w:hint="eastAsia" w:ascii="宋体" w:hAnsi="宋体" w:cs="宋体"/>
          <w:b/>
          <w:bCs/>
          <w:color w:val="auto"/>
          <w:sz w:val="24"/>
        </w:rPr>
        <w:t>7.特别说明</w:t>
      </w:r>
      <w:bookmarkEnd w:id="47"/>
      <w:bookmarkEnd w:id="48"/>
    </w:p>
    <w:p w14:paraId="5946E38F">
      <w:pPr>
        <w:spacing w:line="360" w:lineRule="auto"/>
        <w:ind w:firstLine="420" w:firstLineChars="200"/>
        <w:rPr>
          <w:rFonts w:ascii="宋体" w:hAnsi="宋体" w:cs="宋体"/>
          <w:color w:val="auto"/>
          <w:szCs w:val="21"/>
        </w:rPr>
      </w:pPr>
      <w:bookmarkStart w:id="49" w:name="_8.1提供相同品牌产品且通过资格审查、符合性审查的不同投标人参加同一合"/>
      <w:bookmarkEnd w:id="49"/>
      <w:r>
        <w:rPr>
          <w:rFonts w:hint="eastAsia" w:ascii="宋体" w:hAnsi="宋体" w:cs="宋体"/>
          <w:color w:val="auto"/>
          <w:szCs w:val="21"/>
        </w:rPr>
        <w:fldChar w:fldCharType="begin"/>
      </w:r>
      <w:r>
        <w:rPr>
          <w:rFonts w:hint="eastAsia" w:ascii="宋体" w:hAnsi="宋体" w:cs="宋体"/>
          <w:color w:val="auto"/>
          <w:szCs w:val="21"/>
        </w:rPr>
        <w:instrText xml:space="preserve"> HYPERLINK  \l "_8.1" </w:instrText>
      </w:r>
      <w:r>
        <w:rPr>
          <w:rFonts w:hint="eastAsia" w:ascii="宋体" w:hAnsi="宋体" w:cs="宋体"/>
          <w:color w:val="auto"/>
          <w:szCs w:val="21"/>
        </w:rPr>
        <w:fldChar w:fldCharType="separate"/>
      </w:r>
      <w:r>
        <w:rPr>
          <w:rFonts w:hint="eastAsia" w:ascii="宋体" w:hAnsi="宋体" w:cs="宋体"/>
          <w:color w:val="auto"/>
          <w:szCs w:val="21"/>
        </w:rPr>
        <w:t>7.1</w:t>
      </w:r>
      <w:r>
        <w:rPr>
          <w:rFonts w:hint="eastAsia" w:ascii="宋体" w:hAnsi="宋体" w:cs="宋体"/>
          <w:color w:val="auto"/>
          <w:szCs w:val="21"/>
        </w:rPr>
        <w:fldChar w:fldCharType="end"/>
      </w:r>
      <w:r>
        <w:rPr>
          <w:rFonts w:hint="eastAsia" w:ascii="宋体" w:hAnsi="宋体" w:cs="宋体"/>
          <w:color w:val="auto"/>
          <w:szCs w:val="21"/>
        </w:rPr>
        <w:t>提供相同品牌产品的不同供应商参加同一合同项下竞标的，以其中通过资格审查、符合性审查、谈判且最后报价最低的参加报价评审；最后报价相同的，由采购人或者采购人委托谈判小组按照“供应商须知前附表”规定的方式确定一个供应商获得成交人推荐资格，其他响应文件按无效处理。</w:t>
      </w:r>
    </w:p>
    <w:p w14:paraId="1B9385DF">
      <w:pPr>
        <w:spacing w:line="360" w:lineRule="auto"/>
        <w:ind w:firstLine="420" w:firstLineChars="200"/>
        <w:rPr>
          <w:rFonts w:ascii="宋体" w:hAnsi="宋体" w:cs="宋体"/>
          <w:color w:val="auto"/>
          <w:szCs w:val="21"/>
        </w:rPr>
      </w:pPr>
      <w:r>
        <w:rPr>
          <w:rFonts w:hint="eastAsia" w:ascii="宋体" w:hAnsi="宋体" w:cs="宋体"/>
          <w:color w:val="auto"/>
          <w:szCs w:val="21"/>
        </w:rPr>
        <w:t>非单一产品采购项目，多家供应商提供的核心产品品牌相同的，按前款规定处理。</w:t>
      </w:r>
    </w:p>
    <w:p w14:paraId="5BA232E8">
      <w:pPr>
        <w:spacing w:line="360" w:lineRule="auto"/>
        <w:ind w:firstLine="420" w:firstLineChars="200"/>
        <w:rPr>
          <w:rFonts w:ascii="宋体" w:hAnsi="宋体" w:cs="宋体"/>
          <w:color w:val="auto"/>
          <w:szCs w:val="21"/>
        </w:rPr>
      </w:pPr>
      <w:r>
        <w:rPr>
          <w:rFonts w:hint="eastAsia" w:ascii="宋体" w:hAnsi="宋体" w:cs="宋体"/>
          <w:color w:val="auto"/>
          <w:szCs w:val="21"/>
        </w:rPr>
        <w:t>7.2如果本谈判文件要求供应商提供资格、信誉、荣誉、业绩与企业认证等材料的，则供应商所提供的以上材料必须为供应商所拥有。</w:t>
      </w:r>
    </w:p>
    <w:p w14:paraId="78E3A7DC">
      <w:pPr>
        <w:spacing w:line="360" w:lineRule="auto"/>
        <w:ind w:firstLine="420" w:firstLineChars="200"/>
        <w:rPr>
          <w:rFonts w:ascii="宋体" w:hAnsi="宋体" w:cs="宋体"/>
          <w:color w:val="auto"/>
          <w:szCs w:val="21"/>
        </w:rPr>
      </w:pPr>
      <w:r>
        <w:rPr>
          <w:rFonts w:hint="eastAsia" w:ascii="宋体" w:hAnsi="宋体" w:cs="宋体"/>
          <w:color w:val="auto"/>
          <w:szCs w:val="21"/>
        </w:rPr>
        <w:t>7.3供应商应仔细阅读谈判文件的所有内容，按照谈判文件的要求提交响应文件，并对所提供的全部资料的真实性承担法律责任。</w:t>
      </w:r>
    </w:p>
    <w:p w14:paraId="4933A188">
      <w:pPr>
        <w:spacing w:line="360" w:lineRule="auto"/>
        <w:ind w:firstLine="420" w:firstLineChars="200"/>
        <w:rPr>
          <w:rFonts w:ascii="宋体" w:hAnsi="宋体" w:cs="宋体"/>
          <w:color w:val="auto"/>
          <w:szCs w:val="21"/>
        </w:rPr>
      </w:pPr>
      <w:r>
        <w:rPr>
          <w:rFonts w:hint="eastAsia" w:ascii="宋体" w:hAnsi="宋体" w:cs="宋体"/>
          <w:color w:val="auto"/>
          <w:szCs w:val="21"/>
        </w:rPr>
        <w:t>7.4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0DA6F685">
      <w:pPr>
        <w:spacing w:line="360" w:lineRule="auto"/>
        <w:ind w:firstLine="420" w:firstLineChars="200"/>
        <w:rPr>
          <w:rFonts w:ascii="宋体" w:hAnsi="宋体" w:cs="宋体"/>
          <w:color w:val="auto"/>
          <w:szCs w:val="21"/>
        </w:rPr>
      </w:pPr>
      <w:r>
        <w:rPr>
          <w:rFonts w:hint="eastAsia" w:ascii="宋体" w:hAnsi="宋体" w:cs="宋体"/>
          <w:color w:val="auto"/>
          <w:szCs w:val="21"/>
        </w:rPr>
        <w:t>7.5在项目采购活动中，采购人员及相关人员与供应商有下列利害关系之一的，应当回避：</w:t>
      </w:r>
    </w:p>
    <w:p w14:paraId="555299EE">
      <w:pPr>
        <w:spacing w:line="360" w:lineRule="auto"/>
        <w:ind w:firstLine="420" w:firstLineChars="200"/>
        <w:rPr>
          <w:rFonts w:ascii="宋体" w:hAnsi="宋体" w:cs="宋体"/>
          <w:color w:val="auto"/>
          <w:szCs w:val="21"/>
        </w:rPr>
      </w:pPr>
      <w:r>
        <w:rPr>
          <w:rFonts w:hint="eastAsia" w:ascii="宋体" w:hAnsi="宋体" w:cs="宋体"/>
          <w:color w:val="auto"/>
          <w:szCs w:val="21"/>
        </w:rPr>
        <w:t>（1）参加采购活动前3年内与供应商存在劳动关系；</w:t>
      </w:r>
    </w:p>
    <w:p w14:paraId="7564EA65">
      <w:pPr>
        <w:spacing w:line="360" w:lineRule="auto"/>
        <w:ind w:firstLine="420" w:firstLineChars="200"/>
        <w:rPr>
          <w:rFonts w:ascii="宋体" w:hAnsi="宋体" w:cs="宋体"/>
          <w:color w:val="auto"/>
          <w:szCs w:val="21"/>
        </w:rPr>
      </w:pPr>
      <w:r>
        <w:rPr>
          <w:rFonts w:hint="eastAsia" w:ascii="宋体" w:hAnsi="宋体" w:cs="宋体"/>
          <w:color w:val="auto"/>
          <w:szCs w:val="21"/>
        </w:rPr>
        <w:t>（2）参加采购活动前3年内担任供应商的董事、监事；</w:t>
      </w:r>
    </w:p>
    <w:p w14:paraId="422C2506">
      <w:pPr>
        <w:spacing w:line="360" w:lineRule="auto"/>
        <w:ind w:firstLine="420" w:firstLineChars="200"/>
        <w:rPr>
          <w:rFonts w:ascii="宋体" w:hAnsi="宋体" w:cs="宋体"/>
          <w:color w:val="auto"/>
          <w:szCs w:val="21"/>
        </w:rPr>
      </w:pPr>
      <w:r>
        <w:rPr>
          <w:rFonts w:hint="eastAsia" w:ascii="宋体" w:hAnsi="宋体" w:cs="宋体"/>
          <w:color w:val="auto"/>
          <w:szCs w:val="21"/>
        </w:rPr>
        <w:t>（3）参加采购活动前3年内是供应商的控股股东或者实际控制人；</w:t>
      </w:r>
    </w:p>
    <w:p w14:paraId="6B91D8BF">
      <w:pPr>
        <w:spacing w:line="360" w:lineRule="auto"/>
        <w:ind w:firstLine="420" w:firstLineChars="200"/>
        <w:rPr>
          <w:rFonts w:ascii="宋体" w:hAnsi="宋体" w:cs="宋体"/>
          <w:color w:val="auto"/>
          <w:szCs w:val="21"/>
        </w:rPr>
      </w:pPr>
      <w:r>
        <w:rPr>
          <w:rFonts w:hint="eastAsia" w:ascii="宋体" w:hAnsi="宋体" w:cs="宋体"/>
          <w:color w:val="auto"/>
          <w:szCs w:val="21"/>
        </w:rPr>
        <w:t>（4）与供应商的法定代表人或者负责人有夫妻、直系血亲、三代以内旁系血亲或者近姻亲关系；</w:t>
      </w:r>
    </w:p>
    <w:p w14:paraId="4B68385E">
      <w:pPr>
        <w:spacing w:line="360" w:lineRule="auto"/>
        <w:ind w:firstLine="420" w:firstLineChars="200"/>
        <w:rPr>
          <w:rFonts w:ascii="宋体" w:hAnsi="宋体" w:cs="宋体"/>
          <w:color w:val="auto"/>
          <w:szCs w:val="21"/>
        </w:rPr>
      </w:pPr>
      <w:r>
        <w:rPr>
          <w:rFonts w:hint="eastAsia" w:ascii="宋体" w:hAnsi="宋体" w:cs="宋体"/>
          <w:color w:val="auto"/>
          <w:szCs w:val="21"/>
        </w:rPr>
        <w:t>（5）与供应商有其他可能影响项目采购活动公平、公正进行的关系。</w:t>
      </w:r>
    </w:p>
    <w:p w14:paraId="72501AF9">
      <w:pPr>
        <w:spacing w:line="360" w:lineRule="auto"/>
        <w:ind w:firstLine="420" w:firstLineChars="200"/>
        <w:rPr>
          <w:rFonts w:ascii="宋体" w:hAnsi="宋体" w:cs="宋体"/>
          <w:color w:val="auto"/>
          <w:szCs w:val="21"/>
        </w:rPr>
      </w:pPr>
      <w:r>
        <w:rPr>
          <w:rFonts w:hint="eastAsia" w:ascii="宋体" w:hAnsi="宋体" w:cs="宋体"/>
          <w:color w:val="auto"/>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41931B0">
      <w:pPr>
        <w:spacing w:line="360" w:lineRule="auto"/>
        <w:ind w:firstLine="420" w:firstLineChars="200"/>
        <w:rPr>
          <w:rFonts w:ascii="宋体" w:hAnsi="宋体" w:cs="宋体"/>
          <w:color w:val="auto"/>
          <w:szCs w:val="21"/>
        </w:rPr>
      </w:pPr>
      <w:r>
        <w:rPr>
          <w:rFonts w:hint="eastAsia" w:ascii="宋体" w:hAnsi="宋体" w:cs="宋体"/>
          <w:color w:val="auto"/>
          <w:szCs w:val="21"/>
        </w:rPr>
        <w:t>7.6有下列情形之一的视为供应商相互串通竞标，响应文件将被视为无效：</w:t>
      </w:r>
    </w:p>
    <w:p w14:paraId="57152A6C">
      <w:pPr>
        <w:spacing w:line="360" w:lineRule="auto"/>
        <w:ind w:firstLine="420" w:firstLineChars="200"/>
        <w:rPr>
          <w:rFonts w:ascii="宋体" w:hAnsi="宋体" w:cs="宋体"/>
          <w:color w:val="auto"/>
          <w:szCs w:val="21"/>
        </w:rPr>
      </w:pPr>
      <w:r>
        <w:rPr>
          <w:rFonts w:hint="eastAsia" w:ascii="宋体" w:hAnsi="宋体" w:cs="宋体"/>
          <w:color w:val="auto"/>
          <w:szCs w:val="21"/>
        </w:rPr>
        <w:t>（1）不同供应商的响应文件由同一单位或者个人编制；或者不同供应商报名的IP地址一致的；</w:t>
      </w:r>
    </w:p>
    <w:p w14:paraId="77AABEA0">
      <w:pPr>
        <w:spacing w:line="360" w:lineRule="auto"/>
        <w:ind w:firstLine="420" w:firstLineChars="200"/>
        <w:rPr>
          <w:rFonts w:ascii="宋体" w:hAnsi="宋体" w:cs="宋体"/>
          <w:color w:val="auto"/>
          <w:szCs w:val="21"/>
        </w:rPr>
      </w:pPr>
      <w:r>
        <w:rPr>
          <w:rFonts w:hint="eastAsia" w:ascii="宋体" w:hAnsi="宋体" w:cs="宋体"/>
          <w:color w:val="auto"/>
          <w:szCs w:val="21"/>
        </w:rPr>
        <w:t>（2）不同供应商委托同一单位或者个人办理竞标事宜；</w:t>
      </w:r>
    </w:p>
    <w:p w14:paraId="37DA3018">
      <w:pPr>
        <w:spacing w:line="360" w:lineRule="auto"/>
        <w:ind w:firstLine="420" w:firstLineChars="200"/>
        <w:rPr>
          <w:rFonts w:ascii="宋体" w:hAnsi="宋体" w:cs="宋体"/>
          <w:color w:val="auto"/>
          <w:szCs w:val="21"/>
        </w:rPr>
      </w:pPr>
      <w:r>
        <w:rPr>
          <w:rFonts w:hint="eastAsia" w:ascii="宋体" w:hAnsi="宋体" w:cs="宋体"/>
          <w:color w:val="auto"/>
          <w:szCs w:val="21"/>
        </w:rPr>
        <w:t>（3）不同的供应商的响应文件载明的项目管理员为同一个人；</w:t>
      </w:r>
    </w:p>
    <w:p w14:paraId="04C404D0">
      <w:pPr>
        <w:spacing w:line="360" w:lineRule="auto"/>
        <w:ind w:firstLine="420" w:firstLineChars="200"/>
        <w:rPr>
          <w:rFonts w:ascii="宋体" w:hAnsi="宋体" w:cs="宋体"/>
          <w:color w:val="auto"/>
          <w:szCs w:val="21"/>
        </w:rPr>
      </w:pPr>
      <w:r>
        <w:rPr>
          <w:rFonts w:hint="eastAsia" w:ascii="宋体" w:hAnsi="宋体" w:cs="宋体"/>
          <w:color w:val="auto"/>
          <w:szCs w:val="21"/>
        </w:rPr>
        <w:t>（4）不同供应商的响应文件异常一致或者报价呈规律性差异；</w:t>
      </w:r>
    </w:p>
    <w:p w14:paraId="23DEF466">
      <w:pPr>
        <w:spacing w:line="360" w:lineRule="auto"/>
        <w:ind w:firstLine="420" w:firstLineChars="200"/>
        <w:rPr>
          <w:rFonts w:ascii="宋体" w:hAnsi="宋体" w:cs="宋体"/>
          <w:color w:val="auto"/>
          <w:szCs w:val="21"/>
        </w:rPr>
      </w:pPr>
      <w:r>
        <w:rPr>
          <w:rFonts w:hint="eastAsia" w:ascii="宋体" w:hAnsi="宋体" w:cs="宋体"/>
          <w:color w:val="auto"/>
          <w:szCs w:val="21"/>
        </w:rPr>
        <w:t>（5）不同供应商的响应文件相互混装；</w:t>
      </w:r>
    </w:p>
    <w:p w14:paraId="49B79C93">
      <w:pPr>
        <w:tabs>
          <w:tab w:val="left" w:pos="6931"/>
        </w:tabs>
        <w:spacing w:line="360" w:lineRule="auto"/>
        <w:ind w:firstLine="420" w:firstLineChars="200"/>
        <w:rPr>
          <w:rFonts w:ascii="宋体" w:hAnsi="宋体" w:cs="宋体"/>
          <w:color w:val="auto"/>
          <w:szCs w:val="21"/>
        </w:rPr>
      </w:pPr>
      <w:r>
        <w:rPr>
          <w:rFonts w:hint="eastAsia" w:ascii="宋体" w:hAnsi="宋体" w:cs="宋体"/>
          <w:color w:val="auto"/>
          <w:szCs w:val="21"/>
        </w:rPr>
        <w:t>（6）不同供应商的谈判保证金从同一单位或者个人账户转出。</w:t>
      </w:r>
      <w:r>
        <w:rPr>
          <w:rFonts w:hint="eastAsia" w:ascii="宋体" w:hAnsi="宋体" w:cs="宋体"/>
          <w:color w:val="auto"/>
          <w:szCs w:val="21"/>
        </w:rPr>
        <w:tab/>
      </w:r>
    </w:p>
    <w:p w14:paraId="4BD361AD">
      <w:pPr>
        <w:spacing w:line="360" w:lineRule="auto"/>
        <w:ind w:firstLine="420" w:firstLineChars="200"/>
        <w:rPr>
          <w:rFonts w:ascii="宋体" w:hAnsi="宋体" w:cs="宋体"/>
          <w:color w:val="auto"/>
          <w:szCs w:val="21"/>
        </w:rPr>
      </w:pPr>
      <w:r>
        <w:rPr>
          <w:rFonts w:hint="eastAsia" w:ascii="宋体" w:hAnsi="宋体" w:cs="宋体"/>
          <w:color w:val="auto"/>
          <w:szCs w:val="21"/>
        </w:rPr>
        <w:t>7.7供应商有下列情形之一的，属于恶意串通行为，将报同级监督管理部门：</w:t>
      </w:r>
    </w:p>
    <w:p w14:paraId="38D2199A">
      <w:pPr>
        <w:spacing w:line="360" w:lineRule="auto"/>
        <w:ind w:firstLine="420" w:firstLineChars="200"/>
        <w:rPr>
          <w:rFonts w:ascii="宋体" w:hAnsi="宋体" w:cs="宋体"/>
          <w:color w:val="auto"/>
          <w:szCs w:val="21"/>
        </w:rPr>
      </w:pPr>
      <w:r>
        <w:rPr>
          <w:rFonts w:hint="eastAsia" w:ascii="宋体" w:hAnsi="宋体" w:cs="宋体"/>
          <w:color w:val="auto"/>
          <w:szCs w:val="21"/>
        </w:rPr>
        <w:t>（1）供应商直接或者间接从采购人或者采购代理机构处获得其他供应商的相关信息并修改其响应文件；</w:t>
      </w:r>
    </w:p>
    <w:p w14:paraId="663C17FE">
      <w:pPr>
        <w:spacing w:line="360" w:lineRule="auto"/>
        <w:ind w:firstLine="420" w:firstLineChars="200"/>
        <w:rPr>
          <w:rFonts w:ascii="宋体" w:hAnsi="宋体" w:cs="宋体"/>
          <w:color w:val="auto"/>
          <w:szCs w:val="21"/>
        </w:rPr>
      </w:pPr>
      <w:r>
        <w:rPr>
          <w:rFonts w:hint="eastAsia" w:ascii="宋体" w:hAnsi="宋体" w:cs="宋体"/>
          <w:color w:val="auto"/>
          <w:szCs w:val="21"/>
        </w:rPr>
        <w:t>（2）供应商按照采购人或者采购代理机构的授意撤换、修改响应文件；</w:t>
      </w:r>
    </w:p>
    <w:p w14:paraId="6759F1E2">
      <w:pPr>
        <w:spacing w:line="360" w:lineRule="auto"/>
        <w:ind w:firstLine="420" w:firstLineChars="200"/>
        <w:rPr>
          <w:rFonts w:ascii="宋体" w:hAnsi="宋体" w:cs="宋体"/>
          <w:color w:val="auto"/>
          <w:szCs w:val="21"/>
        </w:rPr>
      </w:pPr>
      <w:r>
        <w:rPr>
          <w:rFonts w:hint="eastAsia" w:ascii="宋体" w:hAnsi="宋体" w:cs="宋体"/>
          <w:color w:val="auto"/>
          <w:szCs w:val="21"/>
        </w:rPr>
        <w:t>（3）供应商之间协商报价、技术方案等响应文件或者响应文件的实质性内容；</w:t>
      </w:r>
    </w:p>
    <w:p w14:paraId="1A20D8BC">
      <w:pPr>
        <w:spacing w:line="360" w:lineRule="auto"/>
        <w:ind w:firstLine="420" w:firstLineChars="200"/>
        <w:rPr>
          <w:rFonts w:ascii="宋体" w:hAnsi="宋体" w:cs="宋体"/>
          <w:color w:val="auto"/>
          <w:szCs w:val="21"/>
        </w:rPr>
      </w:pPr>
      <w:r>
        <w:rPr>
          <w:rFonts w:hint="eastAsia" w:ascii="宋体" w:hAnsi="宋体" w:cs="宋体"/>
          <w:color w:val="auto"/>
          <w:szCs w:val="21"/>
        </w:rPr>
        <w:t>（4）属于同一集团、协会、商会等组织成员的供应商按照该组织要求协同参加项目采购活动；</w:t>
      </w:r>
    </w:p>
    <w:p w14:paraId="7C72B1E3">
      <w:pPr>
        <w:spacing w:line="360" w:lineRule="auto"/>
        <w:ind w:firstLine="420" w:firstLineChars="200"/>
        <w:rPr>
          <w:rFonts w:ascii="宋体" w:hAnsi="宋体" w:cs="宋体"/>
          <w:color w:val="auto"/>
          <w:szCs w:val="21"/>
        </w:rPr>
      </w:pPr>
      <w:r>
        <w:rPr>
          <w:rFonts w:hint="eastAsia" w:ascii="宋体" w:hAnsi="宋体" w:cs="宋体"/>
          <w:color w:val="auto"/>
          <w:szCs w:val="21"/>
        </w:rPr>
        <w:t>（5）供应商之间事先约定一致抬高或者压低报价，或者在项目采购活动中事先约定轮流以高价位或者低价位成交，或者事先约定由某一特定供应商成交，然后再参加竞标；</w:t>
      </w:r>
    </w:p>
    <w:p w14:paraId="5792264F">
      <w:pPr>
        <w:spacing w:line="360" w:lineRule="auto"/>
        <w:ind w:firstLine="420" w:firstLineChars="200"/>
        <w:rPr>
          <w:rFonts w:ascii="宋体" w:hAnsi="宋体" w:cs="宋体"/>
          <w:color w:val="auto"/>
          <w:szCs w:val="21"/>
        </w:rPr>
      </w:pPr>
      <w:r>
        <w:rPr>
          <w:rFonts w:hint="eastAsia" w:ascii="宋体" w:hAnsi="宋体" w:cs="宋体"/>
          <w:color w:val="auto"/>
          <w:szCs w:val="21"/>
        </w:rPr>
        <w:t>（6）供应商之间商定部分供应商放弃参加项目采购活动或者放弃成交；</w:t>
      </w:r>
    </w:p>
    <w:p w14:paraId="0A881584">
      <w:pPr>
        <w:spacing w:line="360" w:lineRule="auto"/>
        <w:ind w:firstLine="420" w:firstLineChars="200"/>
        <w:rPr>
          <w:rFonts w:ascii="宋体" w:hAnsi="宋体" w:cs="宋体"/>
          <w:color w:val="auto"/>
          <w:szCs w:val="21"/>
        </w:rPr>
      </w:pPr>
      <w:r>
        <w:rPr>
          <w:rFonts w:hint="eastAsia" w:ascii="宋体" w:hAnsi="宋体" w:cs="宋体"/>
          <w:color w:val="auto"/>
          <w:szCs w:val="21"/>
        </w:rPr>
        <w:t>（7）供应商与采购人或者采购代理机构之间、供应商相互之间，为谋求特定供应商成交或者排斥其他供应商的其他串通行为。</w:t>
      </w:r>
    </w:p>
    <w:p w14:paraId="17FE5AF2">
      <w:pPr>
        <w:spacing w:line="360" w:lineRule="auto"/>
        <w:ind w:firstLine="420" w:firstLineChars="200"/>
        <w:rPr>
          <w:rFonts w:ascii="宋体" w:hAnsi="宋体" w:cs="宋体"/>
          <w:color w:val="auto"/>
          <w:szCs w:val="21"/>
        </w:rPr>
      </w:pPr>
    </w:p>
    <w:p w14:paraId="4028D278">
      <w:pPr>
        <w:spacing w:line="360" w:lineRule="auto"/>
        <w:jc w:val="center"/>
        <w:rPr>
          <w:rFonts w:ascii="宋体" w:hAnsi="宋体" w:cs="宋体"/>
          <w:b/>
          <w:bCs/>
          <w:color w:val="auto"/>
          <w:sz w:val="32"/>
          <w:szCs w:val="32"/>
        </w:rPr>
      </w:pPr>
      <w:bookmarkStart w:id="50" w:name="_Toc254970675"/>
      <w:bookmarkStart w:id="51" w:name="_Toc254970534"/>
      <w:r>
        <w:rPr>
          <w:rFonts w:hint="eastAsia" w:ascii="宋体" w:hAnsi="宋体" w:cs="宋体"/>
          <w:b/>
          <w:bCs/>
          <w:color w:val="auto"/>
          <w:sz w:val="32"/>
          <w:szCs w:val="32"/>
        </w:rPr>
        <w:t>二、谈判文件</w:t>
      </w:r>
      <w:bookmarkEnd w:id="50"/>
      <w:bookmarkEnd w:id="51"/>
    </w:p>
    <w:p w14:paraId="3397FABE">
      <w:pPr>
        <w:spacing w:line="360" w:lineRule="auto"/>
        <w:jc w:val="center"/>
        <w:rPr>
          <w:rFonts w:ascii="宋体" w:hAnsi="宋体" w:cs="宋体"/>
          <w:color w:val="auto"/>
          <w:szCs w:val="21"/>
        </w:rPr>
      </w:pPr>
    </w:p>
    <w:p w14:paraId="2AC4A44B">
      <w:pPr>
        <w:spacing w:line="360" w:lineRule="auto"/>
        <w:ind w:firstLine="482" w:firstLineChars="200"/>
        <w:rPr>
          <w:rFonts w:ascii="宋体" w:hAnsi="宋体" w:cs="宋体"/>
          <w:b/>
          <w:bCs/>
          <w:color w:val="auto"/>
          <w:sz w:val="24"/>
        </w:rPr>
      </w:pPr>
      <w:r>
        <w:rPr>
          <w:rFonts w:hint="eastAsia" w:ascii="宋体" w:hAnsi="宋体" w:cs="宋体"/>
          <w:b/>
          <w:bCs/>
          <w:color w:val="auto"/>
          <w:sz w:val="24"/>
        </w:rPr>
        <w:t>8.谈判文件的构成</w:t>
      </w:r>
    </w:p>
    <w:p w14:paraId="3F8A0C48">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（1）竞争性谈判公告；</w:t>
      </w:r>
    </w:p>
    <w:p w14:paraId="2F0623D2">
      <w:pPr>
        <w:spacing w:line="360" w:lineRule="auto"/>
        <w:ind w:firstLine="420" w:firstLineChars="200"/>
        <w:jc w:val="left"/>
        <w:rPr>
          <w:rFonts w:ascii="宋体" w:hAnsi="宋体" w:cs="宋体"/>
          <w:color w:val="auto"/>
          <w:szCs w:val="21"/>
        </w:rPr>
      </w:pPr>
      <w:r>
        <w:rPr>
          <w:rFonts w:hint="eastAsia" w:ascii="宋体" w:hAnsi="宋体" w:cs="宋体"/>
          <w:color w:val="auto"/>
          <w:szCs w:val="21"/>
        </w:rPr>
        <w:t xml:space="preserve">（2）供应商须知； </w:t>
      </w:r>
    </w:p>
    <w:p w14:paraId="033C3B77">
      <w:pPr>
        <w:spacing w:line="360" w:lineRule="auto"/>
        <w:ind w:firstLine="420" w:firstLineChars="200"/>
        <w:jc w:val="left"/>
        <w:rPr>
          <w:rFonts w:ascii="宋体" w:hAnsi="宋体" w:cs="宋体"/>
          <w:color w:val="auto"/>
          <w:szCs w:val="21"/>
        </w:rPr>
      </w:pPr>
      <w:r>
        <w:rPr>
          <w:rFonts w:hint="eastAsia" w:ascii="宋体" w:hAnsi="宋体" w:cs="宋体"/>
          <w:color w:val="auto"/>
          <w:szCs w:val="21"/>
        </w:rPr>
        <w:t>（3）采购需求；</w:t>
      </w:r>
    </w:p>
    <w:p w14:paraId="1AC9115A">
      <w:pPr>
        <w:spacing w:line="360" w:lineRule="auto"/>
        <w:ind w:firstLine="420" w:firstLineChars="200"/>
        <w:jc w:val="left"/>
        <w:rPr>
          <w:rFonts w:ascii="宋体" w:hAnsi="宋体" w:cs="宋体"/>
          <w:color w:val="auto"/>
          <w:szCs w:val="21"/>
        </w:rPr>
      </w:pPr>
      <w:r>
        <w:rPr>
          <w:rFonts w:hint="eastAsia" w:ascii="宋体" w:hAnsi="宋体" w:cs="宋体"/>
          <w:color w:val="auto"/>
          <w:szCs w:val="21"/>
        </w:rPr>
        <w:t>（4）评审程序、评审方法和评审标准；</w:t>
      </w:r>
    </w:p>
    <w:p w14:paraId="00488B7F">
      <w:pPr>
        <w:spacing w:line="360" w:lineRule="auto"/>
        <w:ind w:firstLine="420" w:firstLineChars="200"/>
        <w:jc w:val="left"/>
        <w:rPr>
          <w:rFonts w:ascii="宋体" w:hAnsi="宋体" w:cs="宋体"/>
          <w:color w:val="auto"/>
          <w:szCs w:val="21"/>
        </w:rPr>
      </w:pPr>
      <w:r>
        <w:rPr>
          <w:rFonts w:hint="eastAsia" w:ascii="宋体" w:hAnsi="宋体" w:cs="宋体"/>
          <w:color w:val="auto"/>
          <w:szCs w:val="21"/>
        </w:rPr>
        <w:t>（5）响应文件格式；</w:t>
      </w:r>
    </w:p>
    <w:p w14:paraId="0D89C50E">
      <w:pPr>
        <w:spacing w:line="360" w:lineRule="auto"/>
        <w:ind w:firstLine="420" w:firstLineChars="200"/>
        <w:jc w:val="left"/>
        <w:rPr>
          <w:rFonts w:ascii="宋体" w:hAnsi="宋体" w:cs="宋体"/>
          <w:color w:val="auto"/>
          <w:szCs w:val="21"/>
        </w:rPr>
      </w:pPr>
      <w:r>
        <w:rPr>
          <w:rFonts w:hint="eastAsia" w:ascii="宋体" w:hAnsi="宋体" w:cs="宋体"/>
          <w:color w:val="auto"/>
          <w:szCs w:val="21"/>
        </w:rPr>
        <w:t>（6）合同文本。</w:t>
      </w:r>
    </w:p>
    <w:p w14:paraId="70D8EAB5">
      <w:pPr>
        <w:spacing w:line="360" w:lineRule="auto"/>
        <w:ind w:firstLine="482" w:firstLineChars="200"/>
        <w:rPr>
          <w:rFonts w:ascii="宋体" w:hAnsi="宋体" w:cs="宋体"/>
          <w:b/>
          <w:bCs/>
          <w:color w:val="auto"/>
          <w:sz w:val="24"/>
        </w:rPr>
      </w:pPr>
      <w:r>
        <w:rPr>
          <w:rFonts w:hint="eastAsia" w:ascii="宋体" w:hAnsi="宋体" w:cs="宋体"/>
          <w:b/>
          <w:bCs/>
          <w:color w:val="auto"/>
          <w:sz w:val="24"/>
        </w:rPr>
        <w:t>9.供应商的询问</w:t>
      </w:r>
    </w:p>
    <w:p w14:paraId="79C58103">
      <w:pPr>
        <w:spacing w:line="360" w:lineRule="auto"/>
        <w:ind w:firstLine="420" w:firstLineChars="200"/>
        <w:rPr>
          <w:rFonts w:ascii="宋体" w:hAnsi="宋体" w:cs="宋体"/>
          <w:color w:val="auto"/>
          <w:szCs w:val="21"/>
        </w:rPr>
      </w:pPr>
      <w:r>
        <w:rPr>
          <w:rFonts w:hint="eastAsia" w:ascii="宋体" w:hAnsi="宋体" w:cs="宋体"/>
          <w:color w:val="auto"/>
          <w:szCs w:val="21"/>
        </w:rPr>
        <w:t>供应商应认真阅读谈判文件的采购需求，如供应商对谈判文件有疑问的，如要求采购人作出澄清或者修改的，供应商尽可能在提交首次响应文件截止之日前，以书面形式向采购人、采购代理机构提出。</w:t>
      </w:r>
    </w:p>
    <w:p w14:paraId="587E3DBD">
      <w:pPr>
        <w:spacing w:line="360" w:lineRule="auto"/>
        <w:ind w:firstLine="482" w:firstLineChars="200"/>
        <w:rPr>
          <w:rFonts w:ascii="宋体" w:hAnsi="宋体" w:cs="宋体"/>
          <w:b/>
          <w:bCs/>
          <w:color w:val="auto"/>
          <w:sz w:val="24"/>
        </w:rPr>
      </w:pPr>
      <w:r>
        <w:rPr>
          <w:rFonts w:hint="eastAsia" w:ascii="宋体" w:hAnsi="宋体" w:cs="宋体"/>
          <w:b/>
          <w:bCs/>
          <w:color w:val="auto"/>
          <w:sz w:val="24"/>
        </w:rPr>
        <w:t>10.谈判文件的澄清和修改</w:t>
      </w:r>
    </w:p>
    <w:p w14:paraId="47197A01">
      <w:pPr>
        <w:spacing w:line="360" w:lineRule="auto"/>
        <w:ind w:firstLine="420" w:firstLineChars="200"/>
        <w:rPr>
          <w:rFonts w:ascii="宋体" w:hAnsi="宋体" w:cs="宋体"/>
          <w:color w:val="auto"/>
          <w:szCs w:val="21"/>
        </w:rPr>
      </w:pPr>
      <w:r>
        <w:rPr>
          <w:rFonts w:hint="eastAsia" w:ascii="宋体" w:hAnsi="宋体" w:cs="宋体"/>
          <w:color w:val="auto"/>
          <w:szCs w:val="21"/>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在提交首次响应文件截止之日3个工作日前，以书面形式通知所有获取谈判文件的供应商，不足3个工作日的，应当顺延提交首次响应文件截止之日。</w:t>
      </w:r>
    </w:p>
    <w:p w14:paraId="060B16A0">
      <w:pPr>
        <w:spacing w:line="360" w:lineRule="auto"/>
        <w:rPr>
          <w:rFonts w:ascii="宋体" w:hAnsi="宋体" w:cs="宋体"/>
          <w:color w:val="auto"/>
          <w:szCs w:val="21"/>
        </w:rPr>
      </w:pPr>
    </w:p>
    <w:p w14:paraId="156ED704">
      <w:pPr>
        <w:spacing w:line="360" w:lineRule="auto"/>
        <w:jc w:val="center"/>
        <w:rPr>
          <w:rFonts w:ascii="宋体" w:hAnsi="宋体" w:cs="宋体"/>
          <w:b/>
          <w:bCs/>
          <w:color w:val="auto"/>
          <w:szCs w:val="21"/>
        </w:rPr>
      </w:pPr>
      <w:r>
        <w:rPr>
          <w:rFonts w:hint="eastAsia" w:ascii="宋体" w:hAnsi="宋体" w:cs="宋体"/>
          <w:b/>
          <w:bCs/>
          <w:color w:val="auto"/>
          <w:sz w:val="32"/>
          <w:szCs w:val="32"/>
        </w:rPr>
        <w:t>三、响应文件的编制</w:t>
      </w:r>
    </w:p>
    <w:p w14:paraId="4320A1FD">
      <w:pPr>
        <w:spacing w:line="360" w:lineRule="auto"/>
        <w:rPr>
          <w:rFonts w:ascii="宋体" w:hAnsi="宋体" w:cs="宋体"/>
          <w:color w:val="auto"/>
          <w:szCs w:val="21"/>
        </w:rPr>
      </w:pPr>
    </w:p>
    <w:p w14:paraId="4C17985C">
      <w:pPr>
        <w:spacing w:line="360" w:lineRule="auto"/>
        <w:ind w:firstLine="482" w:firstLineChars="200"/>
        <w:rPr>
          <w:rFonts w:ascii="宋体" w:hAnsi="宋体" w:cs="宋体"/>
          <w:b/>
          <w:bCs/>
          <w:color w:val="auto"/>
          <w:sz w:val="24"/>
        </w:rPr>
      </w:pPr>
      <w:r>
        <w:rPr>
          <w:rFonts w:hint="eastAsia" w:ascii="宋体" w:hAnsi="宋体" w:cs="宋体"/>
          <w:b/>
          <w:bCs/>
          <w:color w:val="auto"/>
          <w:sz w:val="24"/>
        </w:rPr>
        <w:t>11.响应文件的编制原则</w:t>
      </w:r>
    </w:p>
    <w:p w14:paraId="613B5F30">
      <w:pPr>
        <w:spacing w:line="360" w:lineRule="auto"/>
        <w:ind w:firstLine="420" w:firstLineChars="200"/>
        <w:rPr>
          <w:rFonts w:ascii="宋体" w:hAnsi="宋体" w:cs="宋体"/>
          <w:color w:val="auto"/>
          <w:szCs w:val="21"/>
        </w:rPr>
      </w:pPr>
      <w:r>
        <w:rPr>
          <w:rFonts w:hint="eastAsia" w:ascii="宋体" w:hAnsi="宋体" w:cs="宋体"/>
          <w:color w:val="auto"/>
          <w:szCs w:val="21"/>
        </w:rPr>
        <w:t>供应商必须按照谈判文件的要求编制响应文件，并对其提交的响应文件的真实性、合法性承担法律责任。响应文件必须对谈判文件作出实质性响应。</w:t>
      </w:r>
    </w:p>
    <w:p w14:paraId="28045B1E">
      <w:pPr>
        <w:spacing w:line="360" w:lineRule="auto"/>
        <w:ind w:firstLine="482" w:firstLineChars="200"/>
        <w:rPr>
          <w:rFonts w:ascii="宋体" w:hAnsi="宋体" w:cs="宋体"/>
          <w:b/>
          <w:bCs/>
          <w:color w:val="auto"/>
          <w:sz w:val="24"/>
        </w:rPr>
      </w:pPr>
      <w:r>
        <w:rPr>
          <w:rFonts w:hint="eastAsia" w:ascii="宋体" w:hAnsi="宋体" w:cs="宋体"/>
          <w:b/>
          <w:bCs/>
          <w:color w:val="auto"/>
          <w:sz w:val="24"/>
        </w:rPr>
        <w:t>12.响应文件的组成</w:t>
      </w:r>
    </w:p>
    <w:p w14:paraId="35AE6E44">
      <w:pPr>
        <w:spacing w:line="360" w:lineRule="auto"/>
        <w:ind w:firstLine="420" w:firstLineChars="200"/>
        <w:rPr>
          <w:rFonts w:ascii="宋体" w:hAnsi="宋体" w:cs="宋体"/>
          <w:color w:val="auto"/>
          <w:szCs w:val="21"/>
        </w:rPr>
      </w:pPr>
      <w:r>
        <w:rPr>
          <w:rFonts w:hint="eastAsia" w:ascii="宋体" w:hAnsi="宋体" w:cs="宋体"/>
          <w:color w:val="auto"/>
          <w:szCs w:val="21"/>
        </w:rPr>
        <w:t>12.1响应文件由资格证明文件、商务技术文件、报价文件三部分组成。</w:t>
      </w:r>
    </w:p>
    <w:p w14:paraId="06D1BE72">
      <w:pPr>
        <w:spacing w:line="360" w:lineRule="auto"/>
        <w:ind w:left="840" w:leftChars="200" w:hanging="420" w:hangingChars="200"/>
        <w:rPr>
          <w:rFonts w:ascii="宋体" w:hAnsi="宋体" w:cs="宋体"/>
          <w:color w:val="auto"/>
          <w:szCs w:val="21"/>
        </w:rPr>
      </w:pPr>
      <w:r>
        <w:rPr>
          <w:rFonts w:hint="eastAsia" w:ascii="宋体" w:hAnsi="宋体" w:cs="宋体"/>
          <w:color w:val="auto"/>
          <w:szCs w:val="21"/>
        </w:rPr>
        <w:t>12.1.1资格证明文件：详见须知前附表</w:t>
      </w:r>
    </w:p>
    <w:p w14:paraId="0B20AA09">
      <w:pPr>
        <w:spacing w:line="360" w:lineRule="auto"/>
        <w:ind w:left="840" w:leftChars="200" w:hanging="420" w:hangingChars="200"/>
        <w:rPr>
          <w:rFonts w:ascii="宋体" w:hAnsi="宋体" w:cs="宋体"/>
          <w:color w:val="auto"/>
          <w:szCs w:val="21"/>
        </w:rPr>
      </w:pPr>
      <w:r>
        <w:rPr>
          <w:rFonts w:hint="eastAsia" w:ascii="宋体" w:hAnsi="宋体" w:cs="宋体"/>
          <w:color w:val="auto"/>
          <w:szCs w:val="21"/>
        </w:rPr>
        <w:t>12.1.2商务技术文件：详见须知前附表</w:t>
      </w:r>
    </w:p>
    <w:p w14:paraId="164B2BF2">
      <w:pPr>
        <w:spacing w:line="360" w:lineRule="auto"/>
        <w:ind w:left="840" w:leftChars="200" w:hanging="420" w:hangingChars="200"/>
        <w:rPr>
          <w:rFonts w:ascii="宋体" w:hAnsi="宋体" w:cs="宋体"/>
          <w:color w:val="auto"/>
          <w:szCs w:val="21"/>
        </w:rPr>
      </w:pPr>
      <w:r>
        <w:rPr>
          <w:rFonts w:hint="eastAsia" w:ascii="宋体" w:hAnsi="宋体" w:cs="宋体"/>
          <w:color w:val="auto"/>
          <w:szCs w:val="21"/>
        </w:rPr>
        <w:t>12.1.3报价文件：详见须知前附表</w:t>
      </w:r>
    </w:p>
    <w:p w14:paraId="118251C2">
      <w:pPr>
        <w:spacing w:line="360" w:lineRule="auto"/>
        <w:ind w:left="840" w:leftChars="200" w:hanging="420" w:hangingChars="200"/>
        <w:rPr>
          <w:rFonts w:ascii="宋体" w:hAnsi="宋体" w:cs="宋体"/>
          <w:color w:val="auto"/>
          <w:szCs w:val="21"/>
        </w:rPr>
      </w:pPr>
      <w:r>
        <w:rPr>
          <w:rFonts w:hint="eastAsia" w:ascii="宋体" w:hAnsi="宋体" w:cs="宋体"/>
          <w:color w:val="auto"/>
          <w:szCs w:val="21"/>
        </w:rPr>
        <w:t>12.2响应文件电子版：详见须知前附表</w:t>
      </w:r>
    </w:p>
    <w:p w14:paraId="4494AF8F">
      <w:pPr>
        <w:spacing w:line="360" w:lineRule="auto"/>
        <w:ind w:firstLine="482" w:firstLineChars="200"/>
        <w:rPr>
          <w:rFonts w:ascii="宋体" w:hAnsi="宋体" w:cs="宋体"/>
          <w:b/>
          <w:bCs/>
          <w:color w:val="auto"/>
          <w:sz w:val="24"/>
        </w:rPr>
      </w:pPr>
      <w:r>
        <w:rPr>
          <w:rFonts w:hint="eastAsia" w:ascii="宋体" w:hAnsi="宋体" w:cs="宋体"/>
          <w:b/>
          <w:bCs/>
          <w:color w:val="auto"/>
          <w:sz w:val="24"/>
        </w:rPr>
        <w:t>13.计量单位</w:t>
      </w:r>
    </w:p>
    <w:p w14:paraId="31B8D5D7">
      <w:pPr>
        <w:spacing w:line="360" w:lineRule="auto"/>
        <w:ind w:firstLine="420" w:firstLineChars="200"/>
        <w:rPr>
          <w:rFonts w:ascii="宋体" w:hAnsi="宋体" w:cs="宋体"/>
          <w:color w:val="auto"/>
          <w:szCs w:val="21"/>
        </w:rPr>
      </w:pPr>
      <w:r>
        <w:rPr>
          <w:rFonts w:hint="eastAsia" w:ascii="宋体" w:hAnsi="宋体" w:cs="宋体"/>
          <w:color w:val="auto"/>
          <w:szCs w:val="21"/>
        </w:rPr>
        <w:t>谈判文件已有明确规定的，使用谈判文件规定的计量单位；谈判文件没有规定的，应采用中华人民共和国法定计量单位，货币种类为人民币，否则视同未响应。</w:t>
      </w:r>
    </w:p>
    <w:p w14:paraId="6DFAE9E5">
      <w:pPr>
        <w:spacing w:line="360" w:lineRule="auto"/>
        <w:ind w:firstLine="482" w:firstLineChars="200"/>
        <w:rPr>
          <w:rFonts w:ascii="宋体" w:hAnsi="宋体" w:cs="宋体"/>
          <w:b/>
          <w:bCs/>
          <w:color w:val="auto"/>
          <w:sz w:val="24"/>
        </w:rPr>
      </w:pPr>
      <w:r>
        <w:rPr>
          <w:rFonts w:hint="eastAsia" w:ascii="宋体" w:hAnsi="宋体" w:cs="宋体"/>
          <w:b/>
          <w:bCs/>
          <w:color w:val="auto"/>
          <w:sz w:val="24"/>
        </w:rPr>
        <w:t>14.竞标的风险</w:t>
      </w:r>
    </w:p>
    <w:p w14:paraId="25AC56C0">
      <w:pPr>
        <w:spacing w:line="360" w:lineRule="auto"/>
        <w:ind w:firstLine="420" w:firstLineChars="200"/>
        <w:rPr>
          <w:rFonts w:ascii="宋体" w:hAnsi="宋体" w:cs="宋体"/>
          <w:color w:val="auto"/>
          <w:szCs w:val="21"/>
        </w:rPr>
      </w:pPr>
      <w:r>
        <w:rPr>
          <w:rFonts w:hint="eastAsia" w:ascii="宋体" w:hAnsi="宋体" w:cs="宋体"/>
          <w:color w:val="auto"/>
          <w:szCs w:val="21"/>
        </w:rPr>
        <w:t>供应商没有按照谈判文件要求提供全部资料，或者供应商没有对谈判文件在各方面作出实质性响应可能导致其响应无效，是供应商应当考虑的风险。</w:t>
      </w:r>
    </w:p>
    <w:p w14:paraId="7C873D49">
      <w:pPr>
        <w:spacing w:line="360" w:lineRule="auto"/>
        <w:ind w:firstLine="482" w:firstLineChars="200"/>
        <w:rPr>
          <w:rFonts w:ascii="宋体" w:hAnsi="宋体" w:cs="宋体"/>
          <w:b/>
          <w:bCs/>
          <w:color w:val="auto"/>
          <w:sz w:val="24"/>
        </w:rPr>
      </w:pPr>
      <w:r>
        <w:rPr>
          <w:rFonts w:hint="eastAsia" w:ascii="宋体" w:hAnsi="宋体" w:cs="宋体"/>
          <w:b/>
          <w:bCs/>
          <w:color w:val="auto"/>
          <w:sz w:val="24"/>
        </w:rPr>
        <w:t>15.竞标报价要求和构成</w:t>
      </w:r>
    </w:p>
    <w:p w14:paraId="0623F2AF">
      <w:pPr>
        <w:tabs>
          <w:tab w:val="left" w:pos="2492"/>
        </w:tabs>
        <w:spacing w:line="360" w:lineRule="auto"/>
        <w:ind w:firstLine="420" w:firstLineChars="200"/>
        <w:rPr>
          <w:rFonts w:ascii="宋体" w:hAnsi="宋体" w:cs="宋体"/>
          <w:color w:val="auto"/>
          <w:szCs w:val="21"/>
        </w:rPr>
      </w:pPr>
      <w:r>
        <w:rPr>
          <w:rFonts w:hint="eastAsia" w:ascii="宋体" w:hAnsi="宋体" w:cs="宋体"/>
          <w:color w:val="auto"/>
          <w:szCs w:val="21"/>
        </w:rPr>
        <w:t>15.1竞标报价应按谈判文件中“响应报价表”格式填写。</w:t>
      </w:r>
    </w:p>
    <w:p w14:paraId="504B8A7F">
      <w:pPr>
        <w:tabs>
          <w:tab w:val="left" w:pos="2492"/>
        </w:tabs>
        <w:spacing w:line="360" w:lineRule="auto"/>
        <w:ind w:firstLine="420" w:firstLineChars="200"/>
        <w:rPr>
          <w:rFonts w:ascii="宋体" w:hAnsi="宋体" w:cs="宋体"/>
          <w:color w:val="auto"/>
          <w:szCs w:val="21"/>
        </w:rPr>
      </w:pPr>
      <w:r>
        <w:rPr>
          <w:rFonts w:hint="eastAsia" w:ascii="宋体" w:hAnsi="宋体" w:cs="宋体"/>
          <w:color w:val="auto"/>
          <w:szCs w:val="21"/>
        </w:rPr>
        <w:t>15.2竞标报价的价格构成见“供应商须知前附表”。</w:t>
      </w:r>
    </w:p>
    <w:p w14:paraId="72258514">
      <w:pPr>
        <w:spacing w:line="360" w:lineRule="auto"/>
        <w:ind w:left="426" w:leftChars="203"/>
        <w:rPr>
          <w:rFonts w:ascii="宋体" w:hAnsi="宋体" w:cs="宋体"/>
          <w:color w:val="auto"/>
          <w:szCs w:val="21"/>
        </w:rPr>
      </w:pPr>
      <w:r>
        <w:rPr>
          <w:rFonts w:hint="eastAsia" w:ascii="宋体" w:hAnsi="宋体" w:cs="宋体"/>
          <w:color w:val="auto"/>
          <w:szCs w:val="21"/>
        </w:rPr>
        <w:t>15.3竞标报价要求</w:t>
      </w:r>
    </w:p>
    <w:p w14:paraId="5F558E65">
      <w:pPr>
        <w:spacing w:line="360" w:lineRule="auto"/>
        <w:ind w:firstLine="420" w:firstLineChars="200"/>
        <w:rPr>
          <w:rFonts w:ascii="宋体" w:hAnsi="宋体" w:cs="宋体"/>
          <w:color w:val="auto"/>
          <w:szCs w:val="21"/>
        </w:rPr>
      </w:pPr>
      <w:r>
        <w:rPr>
          <w:rFonts w:hint="eastAsia" w:ascii="宋体" w:hAnsi="宋体" w:cs="宋体"/>
          <w:color w:val="auto"/>
          <w:szCs w:val="21"/>
        </w:rPr>
        <w:t>15.3.1供应商的竞标报价应符合以下要求，否则响应文件按无效响应处理：</w:t>
      </w:r>
    </w:p>
    <w:p w14:paraId="3AD8E650">
      <w:pPr>
        <w:spacing w:line="360" w:lineRule="auto"/>
        <w:ind w:left="420" w:leftChars="200"/>
        <w:rPr>
          <w:rFonts w:ascii="宋体" w:hAnsi="宋体" w:cs="宋体"/>
          <w:color w:val="auto"/>
          <w:szCs w:val="21"/>
        </w:rPr>
      </w:pPr>
      <w:r>
        <w:rPr>
          <w:rFonts w:hint="eastAsia" w:ascii="宋体" w:hAnsi="宋体" w:cs="宋体"/>
          <w:color w:val="auto"/>
          <w:szCs w:val="21"/>
        </w:rPr>
        <w:t>（1）供应商必须就“采购需求”中所竞标的每个分标的全部内容分别作完整唯一总价报价，</w:t>
      </w:r>
    </w:p>
    <w:p w14:paraId="77EE802E">
      <w:pPr>
        <w:spacing w:line="360" w:lineRule="auto"/>
        <w:rPr>
          <w:rFonts w:ascii="宋体" w:hAnsi="宋体" w:cs="宋体"/>
          <w:color w:val="auto"/>
          <w:szCs w:val="21"/>
        </w:rPr>
      </w:pPr>
      <w:r>
        <w:rPr>
          <w:rFonts w:hint="eastAsia" w:ascii="宋体" w:hAnsi="宋体" w:cs="宋体"/>
          <w:color w:val="auto"/>
          <w:szCs w:val="21"/>
        </w:rPr>
        <w:t>不得存在漏项报价；</w:t>
      </w:r>
    </w:p>
    <w:p w14:paraId="7D3EC3B2">
      <w:pPr>
        <w:spacing w:line="360" w:lineRule="auto"/>
        <w:ind w:firstLine="420" w:firstLineChars="200"/>
        <w:rPr>
          <w:rFonts w:ascii="宋体" w:hAnsi="宋体" w:cs="宋体"/>
          <w:color w:val="auto"/>
          <w:szCs w:val="21"/>
        </w:rPr>
      </w:pPr>
      <w:r>
        <w:rPr>
          <w:rFonts w:hint="eastAsia" w:ascii="宋体" w:hAnsi="宋体" w:cs="宋体"/>
          <w:color w:val="auto"/>
          <w:szCs w:val="21"/>
        </w:rPr>
        <w:t>（2）供应商必须就所竞标的分标的单项内容作唯一报价。</w:t>
      </w:r>
    </w:p>
    <w:p w14:paraId="1A6EBA18">
      <w:pPr>
        <w:spacing w:line="360" w:lineRule="auto"/>
        <w:ind w:firstLine="420" w:firstLineChars="200"/>
        <w:rPr>
          <w:rFonts w:ascii="宋体" w:hAnsi="宋体" w:cs="宋体"/>
          <w:color w:val="auto"/>
          <w:szCs w:val="21"/>
        </w:rPr>
      </w:pPr>
      <w:r>
        <w:rPr>
          <w:rFonts w:hint="eastAsia" w:ascii="宋体" w:hAnsi="宋体" w:cs="宋体"/>
          <w:color w:val="auto"/>
          <w:szCs w:val="21"/>
        </w:rPr>
        <w:t>15.3.2竞标报价（包含首次报价、最后报价）超过所竞标分标规定的采购预算金额或者最高限价的，其响应文件将按无效处理。</w:t>
      </w:r>
    </w:p>
    <w:p w14:paraId="09636E7B">
      <w:pPr>
        <w:spacing w:line="360" w:lineRule="auto"/>
        <w:ind w:firstLine="420" w:firstLineChars="200"/>
        <w:rPr>
          <w:rFonts w:ascii="宋体" w:hAnsi="宋体" w:cs="宋体"/>
          <w:color w:val="auto"/>
          <w:szCs w:val="21"/>
        </w:rPr>
      </w:pPr>
      <w:r>
        <w:rPr>
          <w:rFonts w:hint="eastAsia" w:ascii="宋体" w:hAnsi="宋体" w:cs="宋体"/>
          <w:color w:val="auto"/>
          <w:szCs w:val="21"/>
        </w:rPr>
        <w:t>15.3.3</w:t>
      </w:r>
      <w:bookmarkStart w:id="52" w:name="_Hlk42592874"/>
      <w:r>
        <w:rPr>
          <w:rFonts w:hint="eastAsia" w:ascii="宋体" w:hAnsi="宋体" w:cs="宋体"/>
          <w:color w:val="auto"/>
          <w:szCs w:val="21"/>
        </w:rPr>
        <w:t>竞标报价（包含首次报价、最后报价）超过分项采购预算金额或者最高限价的，其响应文件将按无效处理。</w:t>
      </w:r>
    </w:p>
    <w:bookmarkEnd w:id="52"/>
    <w:p w14:paraId="626F9770">
      <w:pPr>
        <w:spacing w:line="360" w:lineRule="auto"/>
        <w:ind w:firstLine="482" w:firstLineChars="200"/>
        <w:rPr>
          <w:rFonts w:ascii="宋体" w:hAnsi="宋体" w:cs="宋体"/>
          <w:b/>
          <w:bCs/>
          <w:color w:val="auto"/>
          <w:sz w:val="24"/>
        </w:rPr>
      </w:pPr>
      <w:r>
        <w:rPr>
          <w:rFonts w:hint="eastAsia" w:ascii="宋体" w:hAnsi="宋体" w:cs="宋体"/>
          <w:b/>
          <w:bCs/>
          <w:color w:val="auto"/>
          <w:sz w:val="24"/>
        </w:rPr>
        <w:t>16.竞标有效期</w:t>
      </w:r>
    </w:p>
    <w:p w14:paraId="444F9699">
      <w:pPr>
        <w:spacing w:line="360" w:lineRule="auto"/>
        <w:ind w:firstLine="420" w:firstLineChars="200"/>
        <w:rPr>
          <w:rFonts w:ascii="宋体" w:hAnsi="宋体" w:cs="宋体"/>
          <w:color w:val="auto"/>
          <w:szCs w:val="21"/>
        </w:rPr>
      </w:pPr>
      <w:r>
        <w:rPr>
          <w:rFonts w:hint="eastAsia" w:ascii="宋体" w:hAnsi="宋体" w:cs="宋体"/>
          <w:color w:val="auto"/>
          <w:szCs w:val="21"/>
        </w:rPr>
        <w:t>16.1竞标有效期是指为保证采购人有足够的时间在提交响应文件后完成评审、确定成交供应商、合同签订等工作而要求供应商提交的响应文件在一定时间内保持有效的期限。</w:t>
      </w:r>
    </w:p>
    <w:p w14:paraId="6DBE9800">
      <w:pPr>
        <w:spacing w:line="360" w:lineRule="auto"/>
        <w:ind w:firstLine="420" w:firstLineChars="200"/>
        <w:rPr>
          <w:rFonts w:ascii="宋体" w:hAnsi="宋体" w:cs="宋体"/>
          <w:color w:val="auto"/>
          <w:szCs w:val="21"/>
        </w:rPr>
      </w:pPr>
      <w:r>
        <w:rPr>
          <w:rFonts w:hint="eastAsia" w:ascii="宋体" w:hAnsi="宋体" w:cs="宋体"/>
          <w:color w:val="auto"/>
          <w:szCs w:val="21"/>
        </w:rPr>
        <w:t>16.2竞标有效期应由供应商按“供应商须知前附表”规定的期限作出响应。</w:t>
      </w:r>
    </w:p>
    <w:p w14:paraId="396209E3">
      <w:pPr>
        <w:spacing w:line="360" w:lineRule="auto"/>
        <w:ind w:firstLine="420" w:firstLineChars="200"/>
        <w:rPr>
          <w:rFonts w:ascii="宋体" w:hAnsi="宋体" w:cs="宋体"/>
          <w:color w:val="auto"/>
          <w:szCs w:val="21"/>
        </w:rPr>
      </w:pPr>
      <w:r>
        <w:rPr>
          <w:rFonts w:hint="eastAsia" w:ascii="宋体" w:hAnsi="宋体" w:cs="宋体"/>
          <w:color w:val="auto"/>
          <w:szCs w:val="21"/>
        </w:rPr>
        <w:t>16.3供应商的响应文件在竞标有效期内均保持有效。</w:t>
      </w:r>
    </w:p>
    <w:p w14:paraId="63938C41">
      <w:pPr>
        <w:spacing w:line="360" w:lineRule="auto"/>
        <w:ind w:firstLine="482" w:firstLineChars="200"/>
        <w:rPr>
          <w:rFonts w:ascii="宋体" w:hAnsi="宋体" w:cs="宋体"/>
          <w:b/>
          <w:bCs/>
          <w:color w:val="auto"/>
          <w:sz w:val="24"/>
        </w:rPr>
      </w:pPr>
      <w:r>
        <w:rPr>
          <w:rFonts w:hint="eastAsia" w:ascii="宋体" w:hAnsi="宋体" w:cs="宋体"/>
          <w:b/>
          <w:bCs/>
          <w:color w:val="auto"/>
          <w:sz w:val="24"/>
        </w:rPr>
        <w:t>17.谈判保证金</w:t>
      </w:r>
    </w:p>
    <w:p w14:paraId="3C52C54F">
      <w:pPr>
        <w:spacing w:line="360" w:lineRule="auto"/>
        <w:ind w:left="420" w:leftChars="200"/>
        <w:rPr>
          <w:rFonts w:ascii="宋体" w:hAnsi="宋体" w:cs="宋体"/>
          <w:color w:val="auto"/>
          <w:szCs w:val="21"/>
        </w:rPr>
      </w:pPr>
      <w:r>
        <w:rPr>
          <w:rFonts w:hint="eastAsia" w:ascii="宋体" w:hAnsi="宋体" w:cs="宋体"/>
          <w:color w:val="auto"/>
          <w:szCs w:val="21"/>
        </w:rPr>
        <w:t>17.1供应商须按“供应商须知前附表”的规定提交谈判保证金。</w:t>
      </w:r>
    </w:p>
    <w:p w14:paraId="681F3260">
      <w:pPr>
        <w:spacing w:line="360" w:lineRule="auto"/>
        <w:ind w:left="420" w:leftChars="200"/>
        <w:rPr>
          <w:rFonts w:ascii="宋体" w:hAnsi="宋体" w:cs="宋体"/>
          <w:color w:val="auto"/>
          <w:szCs w:val="21"/>
        </w:rPr>
      </w:pPr>
      <w:r>
        <w:rPr>
          <w:rFonts w:hint="eastAsia" w:ascii="宋体" w:hAnsi="宋体" w:cs="宋体"/>
          <w:color w:val="auto"/>
          <w:szCs w:val="21"/>
        </w:rPr>
        <w:t>17.2谈判保证金的退还</w:t>
      </w:r>
    </w:p>
    <w:p w14:paraId="7A428665">
      <w:pPr>
        <w:pStyle w:val="7"/>
        <w:spacing w:line="360" w:lineRule="auto"/>
        <w:ind w:firstLine="315" w:firstLineChars="150"/>
        <w:rPr>
          <w:rFonts w:ascii="宋体" w:hAnsi="宋体" w:cs="宋体"/>
          <w:color w:val="auto"/>
          <w:szCs w:val="21"/>
        </w:rPr>
      </w:pPr>
      <w:r>
        <w:rPr>
          <w:rFonts w:hint="eastAsia" w:ascii="宋体" w:hAnsi="宋体" w:cs="宋体"/>
          <w:color w:val="auto"/>
          <w:szCs w:val="21"/>
        </w:rPr>
        <w:t>17.2.1未</w:t>
      </w:r>
      <w:r>
        <w:rPr>
          <w:rFonts w:hint="eastAsia" w:ascii="宋体" w:hAnsi="宋体" w:cs="宋体"/>
          <w:color w:val="auto"/>
          <w:spacing w:val="-6"/>
          <w:szCs w:val="21"/>
        </w:rPr>
        <w:t>成交供应商的谈判保证金自成交通知书发出之日起5个工作日内退还，退还方式如下：</w:t>
      </w:r>
      <w:r>
        <w:rPr>
          <w:rFonts w:hint="eastAsia" w:ascii="宋体" w:hAnsi="宋体" w:cs="宋体"/>
          <w:color w:val="auto"/>
          <w:szCs w:val="21"/>
        </w:rPr>
        <w:t>以转账方式退回到供应商银行账户。</w:t>
      </w:r>
    </w:p>
    <w:p w14:paraId="5E19CC4E">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17.2.2成交供应商的谈判保证金自签订合同之日起5个工作日内退还，退还方式同未成交供应商的谈判保证金的退还方式。 </w:t>
      </w:r>
    </w:p>
    <w:p w14:paraId="0FBD037C">
      <w:pPr>
        <w:spacing w:line="360" w:lineRule="auto"/>
        <w:ind w:left="420" w:leftChars="200"/>
        <w:rPr>
          <w:rFonts w:ascii="宋体" w:hAnsi="宋体" w:cs="宋体"/>
          <w:color w:val="auto"/>
          <w:szCs w:val="21"/>
        </w:rPr>
      </w:pPr>
      <w:r>
        <w:rPr>
          <w:rFonts w:hint="eastAsia" w:ascii="宋体" w:hAnsi="宋体" w:cs="宋体"/>
          <w:color w:val="auto"/>
          <w:szCs w:val="21"/>
        </w:rPr>
        <w:t>17.3谈判保证金按法规执行。</w:t>
      </w:r>
    </w:p>
    <w:p w14:paraId="719256E8">
      <w:pPr>
        <w:spacing w:line="360" w:lineRule="auto"/>
        <w:ind w:left="420" w:leftChars="200"/>
        <w:rPr>
          <w:rFonts w:ascii="宋体" w:hAnsi="宋体" w:cs="宋体"/>
          <w:color w:val="auto"/>
          <w:szCs w:val="21"/>
        </w:rPr>
      </w:pPr>
      <w:r>
        <w:rPr>
          <w:rFonts w:hint="eastAsia" w:ascii="宋体" w:hAnsi="宋体" w:cs="宋体"/>
          <w:color w:val="auto"/>
          <w:szCs w:val="21"/>
        </w:rPr>
        <w:t xml:space="preserve">17.4供应商有下列情形之一的，谈判保证金将不予退还： </w:t>
      </w:r>
    </w:p>
    <w:p w14:paraId="663D2F80">
      <w:pPr>
        <w:spacing w:line="360" w:lineRule="auto"/>
        <w:ind w:left="420" w:leftChars="200"/>
        <w:rPr>
          <w:rFonts w:ascii="宋体" w:hAnsi="宋体" w:cs="宋体"/>
          <w:color w:val="auto"/>
          <w:szCs w:val="21"/>
        </w:rPr>
      </w:pPr>
      <w:r>
        <w:rPr>
          <w:rFonts w:hint="eastAsia" w:ascii="宋体" w:hAnsi="宋体" w:cs="宋体"/>
          <w:color w:val="auto"/>
          <w:szCs w:val="21"/>
        </w:rPr>
        <w:t>（1）供应商在提交响应文件截止时间后撤回响应文件的；</w:t>
      </w:r>
    </w:p>
    <w:p w14:paraId="0C903924">
      <w:pPr>
        <w:spacing w:line="360" w:lineRule="auto"/>
        <w:ind w:left="420" w:leftChars="200"/>
        <w:rPr>
          <w:rFonts w:ascii="宋体" w:hAnsi="宋体" w:cs="宋体"/>
          <w:color w:val="auto"/>
          <w:szCs w:val="21"/>
        </w:rPr>
      </w:pPr>
      <w:r>
        <w:rPr>
          <w:rFonts w:hint="eastAsia" w:ascii="宋体" w:hAnsi="宋体" w:cs="宋体"/>
          <w:color w:val="auto"/>
          <w:szCs w:val="21"/>
        </w:rPr>
        <w:t>（2）供应商在响应文件中提供虚假材料的；</w:t>
      </w:r>
    </w:p>
    <w:p w14:paraId="78A7C2A0">
      <w:pPr>
        <w:spacing w:line="360" w:lineRule="auto"/>
        <w:ind w:firstLine="420" w:firstLineChars="200"/>
        <w:rPr>
          <w:rFonts w:ascii="宋体" w:hAnsi="宋体" w:cs="宋体"/>
          <w:color w:val="auto"/>
          <w:szCs w:val="21"/>
        </w:rPr>
      </w:pPr>
      <w:r>
        <w:rPr>
          <w:rFonts w:hint="eastAsia" w:ascii="宋体" w:hAnsi="宋体" w:cs="宋体"/>
          <w:color w:val="auto"/>
          <w:szCs w:val="21"/>
        </w:rPr>
        <w:t>（3）除因不可抗力或者谈判文件认可的情形以外，成交供应商不与采购人签订合同的；</w:t>
      </w:r>
    </w:p>
    <w:p w14:paraId="6581B1C5">
      <w:pPr>
        <w:spacing w:line="360" w:lineRule="auto"/>
        <w:ind w:left="420" w:leftChars="200"/>
        <w:rPr>
          <w:rFonts w:ascii="宋体" w:hAnsi="宋体" w:cs="宋体"/>
          <w:color w:val="auto"/>
          <w:szCs w:val="21"/>
        </w:rPr>
      </w:pPr>
      <w:r>
        <w:rPr>
          <w:rFonts w:hint="eastAsia" w:ascii="宋体" w:hAnsi="宋体" w:cs="宋体"/>
          <w:color w:val="auto"/>
          <w:szCs w:val="21"/>
        </w:rPr>
        <w:t>（4）供应商与采购人、其他供应商或者采购代理机构恶意串通的；</w:t>
      </w:r>
    </w:p>
    <w:p w14:paraId="44220B8D">
      <w:pPr>
        <w:spacing w:line="360" w:lineRule="auto"/>
        <w:ind w:left="420" w:leftChars="200"/>
        <w:rPr>
          <w:rFonts w:ascii="宋体" w:hAnsi="宋体" w:cs="宋体"/>
          <w:color w:val="auto"/>
          <w:szCs w:val="21"/>
        </w:rPr>
      </w:pPr>
      <w:r>
        <w:rPr>
          <w:rFonts w:hint="eastAsia" w:ascii="宋体" w:hAnsi="宋体" w:cs="宋体"/>
          <w:color w:val="auto"/>
          <w:szCs w:val="21"/>
        </w:rPr>
        <w:t>（5）谈判文件规定的其他情形。</w:t>
      </w:r>
    </w:p>
    <w:p w14:paraId="27423D6A">
      <w:pPr>
        <w:spacing w:line="360" w:lineRule="auto"/>
        <w:ind w:firstLine="482" w:firstLineChars="200"/>
        <w:rPr>
          <w:rFonts w:ascii="宋体" w:hAnsi="宋体" w:cs="宋体"/>
          <w:b/>
          <w:bCs/>
          <w:color w:val="auto"/>
          <w:sz w:val="24"/>
        </w:rPr>
      </w:pPr>
      <w:r>
        <w:rPr>
          <w:rFonts w:hint="eastAsia" w:ascii="宋体" w:hAnsi="宋体" w:cs="宋体"/>
          <w:b/>
          <w:bCs/>
          <w:color w:val="auto"/>
          <w:sz w:val="24"/>
        </w:rPr>
        <w:t>18.响应文件编制的要求</w:t>
      </w:r>
    </w:p>
    <w:p w14:paraId="65076F02">
      <w:pPr>
        <w:spacing w:line="360" w:lineRule="auto"/>
        <w:ind w:firstLine="420" w:firstLineChars="200"/>
        <w:rPr>
          <w:rFonts w:ascii="宋体" w:hAnsi="宋体" w:cs="宋体"/>
          <w:color w:val="auto"/>
          <w:szCs w:val="21"/>
        </w:rPr>
      </w:pPr>
      <w:r>
        <w:rPr>
          <w:rFonts w:hint="eastAsia" w:ascii="宋体" w:hAnsi="宋体" w:cs="宋体"/>
          <w:color w:val="auto"/>
          <w:szCs w:val="21"/>
        </w:rPr>
        <w:t>18.1供应商应按本谈判文件规定的格式和顺序编制、装订响应文件并标注页码，响应文件内容</w:t>
      </w:r>
      <w:r>
        <w:rPr>
          <w:rFonts w:hint="eastAsia" w:ascii="宋体" w:hAnsi="宋体" w:cs="宋体"/>
          <w:color w:val="auto"/>
          <w:spacing w:val="-6"/>
          <w:szCs w:val="21"/>
        </w:rPr>
        <w:t>不完整、编排混乱导致响应文件被误读、漏读或者查找不到相关内容的，</w:t>
      </w:r>
      <w:r>
        <w:rPr>
          <w:rFonts w:hint="eastAsia" w:ascii="宋体" w:hAnsi="宋体" w:cs="宋体"/>
          <w:color w:val="auto"/>
        </w:rPr>
        <w:t>由此引发的</w:t>
      </w:r>
      <w:r>
        <w:rPr>
          <w:rFonts w:hint="eastAsia" w:ascii="宋体" w:hAnsi="宋体" w:cs="宋体"/>
          <w:color w:val="auto"/>
          <w:spacing w:val="-6"/>
          <w:szCs w:val="21"/>
        </w:rPr>
        <w:t>后果由供应商承担。</w:t>
      </w:r>
    </w:p>
    <w:p w14:paraId="2AE7417E">
      <w:pPr>
        <w:spacing w:line="360" w:lineRule="auto"/>
        <w:ind w:firstLine="420" w:firstLineChars="200"/>
        <w:rPr>
          <w:rFonts w:ascii="宋体" w:hAnsi="宋体" w:cs="宋体"/>
          <w:color w:val="auto"/>
        </w:rPr>
      </w:pPr>
      <w:r>
        <w:rPr>
          <w:rFonts w:hint="eastAsia" w:ascii="宋体" w:hAnsi="宋体" w:cs="宋体"/>
          <w:color w:val="auto"/>
          <w:szCs w:val="21"/>
        </w:rPr>
        <w:t>18.2</w:t>
      </w:r>
      <w:r>
        <w:rPr>
          <w:rFonts w:hint="eastAsia" w:ascii="宋体" w:hAnsi="宋体" w:cs="宋体"/>
          <w:color w:val="auto"/>
        </w:rPr>
        <w:t>响应文件应按资格证明文件、报价文件分别编制，商务技术文件合并编制，本项目只接收电子版响应文件，要求见本章“12.2响应文件电子版要求”。</w:t>
      </w:r>
    </w:p>
    <w:p w14:paraId="38135B84">
      <w:pPr>
        <w:spacing w:line="360" w:lineRule="auto"/>
        <w:ind w:firstLine="420" w:firstLineChars="200"/>
        <w:rPr>
          <w:rFonts w:ascii="宋体" w:hAnsi="宋体" w:cs="宋体"/>
          <w:color w:val="auto"/>
        </w:rPr>
      </w:pPr>
      <w:r>
        <w:rPr>
          <w:rFonts w:hint="eastAsia" w:ascii="宋体" w:hAnsi="宋体" w:cs="宋体"/>
          <w:color w:val="auto"/>
        </w:rPr>
        <w:t>18.</w:t>
      </w:r>
      <w:bookmarkStart w:id="53" w:name="_Hlk65832699"/>
      <w:r>
        <w:rPr>
          <w:rFonts w:hint="eastAsia" w:ascii="宋体" w:hAnsi="宋体" w:cs="宋体"/>
          <w:color w:val="auto"/>
        </w:rPr>
        <w:t>3响应文件须由供应商在</w:t>
      </w:r>
      <w:bookmarkEnd w:id="53"/>
      <w:r>
        <w:rPr>
          <w:rFonts w:hint="eastAsia" w:ascii="宋体" w:hAnsi="宋体" w:cs="宋体"/>
          <w:color w:val="auto"/>
          <w:kern w:val="0"/>
        </w:rPr>
        <w:t>“</w:t>
      </w:r>
      <w:r>
        <w:rPr>
          <w:rFonts w:hint="eastAsia" w:ascii="宋体" w:hAnsi="宋体" w:cs="宋体"/>
          <w:color w:val="auto"/>
        </w:rPr>
        <w:t>第五章 响应文件格式</w:t>
      </w:r>
      <w:r>
        <w:rPr>
          <w:rFonts w:hint="eastAsia" w:ascii="宋体" w:hAnsi="宋体" w:cs="宋体"/>
          <w:color w:val="auto"/>
          <w:kern w:val="0"/>
        </w:rPr>
        <w:t>”</w:t>
      </w:r>
      <w:r>
        <w:rPr>
          <w:rFonts w:hint="eastAsia" w:ascii="宋体" w:hAnsi="宋体" w:cs="宋体"/>
          <w:color w:val="auto"/>
        </w:rPr>
        <w:t>规定位置进行签署、盖章，否则其响应文件按无效响应处理。骑缝盖公章不视为在规定位置盖章。</w:t>
      </w:r>
    </w:p>
    <w:p w14:paraId="4A3C60E6">
      <w:pPr>
        <w:spacing w:line="360" w:lineRule="auto"/>
        <w:ind w:firstLine="420" w:firstLineChars="200"/>
        <w:rPr>
          <w:rFonts w:ascii="宋体" w:hAnsi="宋体" w:cs="宋体"/>
          <w:color w:val="auto"/>
        </w:rPr>
      </w:pPr>
      <w:r>
        <w:rPr>
          <w:rFonts w:hint="eastAsia" w:ascii="宋体" w:hAnsi="宋体" w:cs="宋体"/>
          <w:color w:val="auto"/>
        </w:rPr>
        <w:t>18.4响应文件中标注的供应商名称应与营业执照（事业单位法人证书、执业许可证、自然人身份证）及电子公章一致，否则其响应文件按无效响应处理。</w:t>
      </w:r>
    </w:p>
    <w:p w14:paraId="2C047237">
      <w:pPr>
        <w:spacing w:line="360" w:lineRule="auto"/>
        <w:ind w:firstLine="420" w:firstLineChars="200"/>
        <w:rPr>
          <w:rFonts w:ascii="宋体" w:hAnsi="宋体" w:cs="宋体"/>
          <w:color w:val="auto"/>
          <w:szCs w:val="21"/>
        </w:rPr>
      </w:pPr>
      <w:r>
        <w:rPr>
          <w:rFonts w:hint="eastAsia" w:ascii="宋体" w:hAnsi="宋体" w:cs="宋体"/>
          <w:color w:val="auto"/>
        </w:rPr>
        <w:t>18.5响应文件应避免涂改、行间插字或者删除，否则其响应文件按无效响应处理</w:t>
      </w:r>
      <w:r>
        <w:rPr>
          <w:rFonts w:hint="eastAsia" w:ascii="宋体" w:hAnsi="宋体" w:cs="宋体"/>
          <w:color w:val="auto"/>
          <w:szCs w:val="21"/>
        </w:rPr>
        <w:t>。</w:t>
      </w:r>
    </w:p>
    <w:p w14:paraId="1C55139A">
      <w:pPr>
        <w:spacing w:line="360" w:lineRule="auto"/>
        <w:ind w:firstLine="482" w:firstLineChars="200"/>
        <w:rPr>
          <w:rFonts w:ascii="宋体" w:hAnsi="宋体" w:cs="宋体"/>
          <w:b/>
          <w:bCs/>
          <w:color w:val="auto"/>
          <w:sz w:val="24"/>
        </w:rPr>
      </w:pPr>
      <w:r>
        <w:rPr>
          <w:rFonts w:hint="eastAsia" w:ascii="宋体" w:hAnsi="宋体" w:cs="宋体"/>
          <w:b/>
          <w:bCs/>
          <w:color w:val="auto"/>
          <w:sz w:val="24"/>
        </w:rPr>
        <w:t>19.响应文件的密封和标记</w:t>
      </w:r>
    </w:p>
    <w:p w14:paraId="546CCAD8">
      <w:pPr>
        <w:spacing w:line="360" w:lineRule="auto"/>
        <w:ind w:firstLine="420" w:firstLineChars="200"/>
        <w:rPr>
          <w:rFonts w:ascii="宋体" w:hAnsi="宋体" w:cs="宋体"/>
          <w:color w:val="auto"/>
          <w:szCs w:val="21"/>
        </w:rPr>
      </w:pPr>
      <w:r>
        <w:rPr>
          <w:rFonts w:hint="eastAsia" w:ascii="宋体" w:hAnsi="宋体" w:cs="宋体"/>
          <w:color w:val="auto"/>
          <w:szCs w:val="21"/>
        </w:rPr>
        <w:t>19.1供应商进行电子交易应安装客户端软件—“广西政府采购云平台电子交易客户端”，并按照谈判文件和电子交易平台的要求编制并加密响应文件。供应商未按规定加密的响应文件，电子交易平台将拒收并提示。</w:t>
      </w:r>
    </w:p>
    <w:p w14:paraId="4C20F110">
      <w:pPr>
        <w:spacing w:line="360" w:lineRule="auto"/>
        <w:ind w:firstLine="420" w:firstLineChars="200"/>
        <w:rPr>
          <w:rFonts w:ascii="宋体" w:hAnsi="宋体" w:cs="宋体"/>
          <w:color w:val="auto"/>
          <w:szCs w:val="21"/>
        </w:rPr>
      </w:pPr>
      <w:r>
        <w:rPr>
          <w:rFonts w:hint="eastAsia" w:ascii="宋体" w:hAnsi="宋体" w:cs="宋体"/>
          <w:color w:val="auto"/>
          <w:szCs w:val="21"/>
        </w:rPr>
        <w:t>19.2使用“广西政府采购云平台电子交易客户端”需要提前申领CA数字证书，申领流程见该项目采购公告附件。</w:t>
      </w:r>
    </w:p>
    <w:p w14:paraId="5D724F0F">
      <w:pPr>
        <w:spacing w:line="360" w:lineRule="auto"/>
        <w:ind w:firstLine="420" w:firstLineChars="200"/>
        <w:rPr>
          <w:rFonts w:ascii="宋体" w:hAnsi="宋体" w:cs="宋体"/>
          <w:color w:val="auto"/>
          <w:szCs w:val="21"/>
        </w:rPr>
      </w:pPr>
      <w:r>
        <w:rPr>
          <w:rFonts w:hint="eastAsia" w:ascii="宋体" w:hAnsi="宋体" w:cs="宋体"/>
          <w:color w:val="auto"/>
          <w:szCs w:val="21"/>
        </w:rPr>
        <w:t>19.3为确保网上操作合法、有效和安全，供应商应当在响应文件提交截止时间前完成在“政府采购云平台”的身份认证，确保在电子交易过程中能够对相关数据电文进行加密和使用电子签名。</w:t>
      </w:r>
    </w:p>
    <w:p w14:paraId="407BF5BA">
      <w:pPr>
        <w:spacing w:line="360" w:lineRule="auto"/>
        <w:ind w:firstLine="482" w:firstLineChars="200"/>
        <w:rPr>
          <w:rFonts w:ascii="宋体" w:hAnsi="宋体" w:cs="宋体"/>
          <w:b/>
          <w:bCs/>
          <w:color w:val="auto"/>
          <w:sz w:val="24"/>
        </w:rPr>
      </w:pPr>
      <w:r>
        <w:rPr>
          <w:rFonts w:hint="eastAsia" w:ascii="宋体" w:hAnsi="宋体" w:cs="宋体"/>
          <w:b/>
          <w:bCs/>
          <w:color w:val="auto"/>
          <w:sz w:val="24"/>
        </w:rPr>
        <w:t>20.响应文件的提交</w:t>
      </w:r>
    </w:p>
    <w:p w14:paraId="4E05B9F4">
      <w:pPr>
        <w:spacing w:line="360" w:lineRule="auto"/>
        <w:ind w:firstLine="420" w:firstLineChars="200"/>
        <w:rPr>
          <w:rFonts w:ascii="宋体" w:hAnsi="宋体" w:cs="宋体"/>
          <w:color w:val="auto"/>
          <w:szCs w:val="21"/>
        </w:rPr>
      </w:pPr>
      <w:r>
        <w:rPr>
          <w:rFonts w:hint="eastAsia" w:ascii="宋体" w:hAnsi="宋体" w:cs="宋体"/>
          <w:color w:val="auto"/>
          <w:szCs w:val="21"/>
        </w:rPr>
        <w:t>20.1供应商必须在“供应商须知前附表”规定的时间和地点提交响应文件。</w:t>
      </w:r>
    </w:p>
    <w:p w14:paraId="314E4F8F">
      <w:pPr>
        <w:spacing w:line="360" w:lineRule="auto"/>
        <w:ind w:firstLine="420" w:firstLineChars="200"/>
        <w:rPr>
          <w:rFonts w:ascii="宋体" w:hAnsi="宋体" w:cs="宋体"/>
          <w:color w:val="auto"/>
          <w:szCs w:val="21"/>
        </w:rPr>
      </w:pPr>
      <w:r>
        <w:rPr>
          <w:rFonts w:hint="eastAsia" w:ascii="宋体" w:hAnsi="宋体" w:cs="宋体"/>
          <w:color w:val="auto"/>
          <w:szCs w:val="21"/>
        </w:rPr>
        <w:t>20.2在响应文件提交截止时间以后，不能补充、修改响应文件。</w:t>
      </w:r>
    </w:p>
    <w:p w14:paraId="5970ADA9">
      <w:pPr>
        <w:spacing w:line="360" w:lineRule="auto"/>
        <w:ind w:firstLine="420" w:firstLineChars="200"/>
        <w:rPr>
          <w:rFonts w:ascii="宋体" w:hAnsi="宋体" w:cs="宋体"/>
          <w:color w:val="auto"/>
          <w:szCs w:val="21"/>
        </w:rPr>
      </w:pPr>
      <w:r>
        <w:rPr>
          <w:rFonts w:hint="eastAsia" w:ascii="宋体" w:hAnsi="宋体" w:cs="宋体"/>
          <w:color w:val="auto"/>
          <w:szCs w:val="21"/>
        </w:rPr>
        <w:t>20.3在提交“最后报价”后，供应商不能退出谈判。</w:t>
      </w:r>
    </w:p>
    <w:p w14:paraId="3EBBA784">
      <w:pPr>
        <w:spacing w:line="360" w:lineRule="auto"/>
        <w:ind w:firstLine="420" w:firstLineChars="200"/>
        <w:rPr>
          <w:rFonts w:ascii="宋体" w:hAnsi="宋体" w:cs="宋体"/>
          <w:color w:val="auto"/>
          <w:szCs w:val="21"/>
        </w:rPr>
      </w:pPr>
      <w:r>
        <w:rPr>
          <w:rFonts w:hint="eastAsia" w:ascii="宋体" w:hAnsi="宋体" w:cs="宋体"/>
          <w:color w:val="auto"/>
          <w:szCs w:val="21"/>
        </w:rPr>
        <w:t>20.4电子交易平台收到响应文件，将妥善保存并即时向供应商发出确认回执通知。在响应文件提交截止时间前，除供应商补充、修改或者撤回响应文件外，任何单位和个人不得解密或提取响应文件。</w:t>
      </w:r>
    </w:p>
    <w:p w14:paraId="2045500C">
      <w:pPr>
        <w:spacing w:line="360" w:lineRule="auto"/>
        <w:ind w:firstLine="420" w:firstLineChars="200"/>
        <w:rPr>
          <w:rFonts w:ascii="宋体" w:hAnsi="宋体" w:cs="宋体"/>
          <w:color w:val="auto"/>
          <w:szCs w:val="21"/>
        </w:rPr>
      </w:pPr>
      <w:r>
        <w:rPr>
          <w:rFonts w:hint="eastAsia" w:ascii="宋体" w:hAnsi="宋体" w:cs="宋体"/>
          <w:color w:val="auto"/>
          <w:szCs w:val="21"/>
        </w:rPr>
        <w:t>20.5采购机构不可视情况延长提交响应文件的截止时间。</w:t>
      </w:r>
    </w:p>
    <w:p w14:paraId="44C490FC">
      <w:pPr>
        <w:spacing w:line="360" w:lineRule="auto"/>
        <w:ind w:firstLine="420" w:firstLineChars="200"/>
        <w:rPr>
          <w:rFonts w:ascii="宋体" w:hAnsi="宋体" w:cs="宋体"/>
          <w:color w:val="auto"/>
          <w:szCs w:val="21"/>
        </w:rPr>
      </w:pPr>
      <w:r>
        <w:rPr>
          <w:rFonts w:hint="eastAsia" w:ascii="宋体" w:hAnsi="宋体" w:cs="宋体"/>
          <w:color w:val="auto"/>
          <w:szCs w:val="21"/>
        </w:rPr>
        <w:t>20.6备份响应文件。详见“供应商须知前附表”。</w:t>
      </w:r>
    </w:p>
    <w:p w14:paraId="2764734B">
      <w:pPr>
        <w:spacing w:line="360" w:lineRule="auto"/>
        <w:ind w:firstLine="482" w:firstLineChars="200"/>
        <w:rPr>
          <w:rFonts w:ascii="宋体" w:hAnsi="宋体" w:cs="宋体"/>
          <w:b/>
          <w:bCs/>
          <w:color w:val="auto"/>
          <w:sz w:val="24"/>
        </w:rPr>
      </w:pPr>
      <w:r>
        <w:rPr>
          <w:rFonts w:hint="eastAsia" w:ascii="宋体" w:hAnsi="宋体" w:cs="宋体"/>
          <w:b/>
          <w:bCs/>
          <w:color w:val="auto"/>
          <w:sz w:val="24"/>
        </w:rPr>
        <w:t>21.首次响应文件的补充、修改与撤回</w:t>
      </w:r>
    </w:p>
    <w:p w14:paraId="1D4B1736">
      <w:pPr>
        <w:spacing w:line="360" w:lineRule="auto"/>
        <w:ind w:firstLine="420" w:firstLineChars="200"/>
        <w:rPr>
          <w:rFonts w:ascii="宋体" w:hAnsi="宋体" w:cs="宋体"/>
          <w:color w:val="auto"/>
          <w:szCs w:val="21"/>
        </w:rPr>
      </w:pPr>
      <w:r>
        <w:rPr>
          <w:rFonts w:hint="eastAsia" w:ascii="宋体" w:hAnsi="宋体" w:cs="宋体"/>
          <w:color w:val="auto"/>
          <w:szCs w:val="21"/>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14:paraId="4B04A173">
      <w:pPr>
        <w:spacing w:line="360" w:lineRule="auto"/>
        <w:ind w:firstLine="482" w:firstLineChars="200"/>
        <w:rPr>
          <w:rFonts w:ascii="宋体" w:hAnsi="宋体" w:cs="宋体"/>
          <w:b/>
          <w:bCs/>
          <w:color w:val="auto"/>
          <w:sz w:val="24"/>
        </w:rPr>
      </w:pPr>
      <w:bookmarkStart w:id="54" w:name="_Hlk45702405"/>
      <w:r>
        <w:rPr>
          <w:rFonts w:hint="eastAsia" w:ascii="宋体" w:hAnsi="宋体" w:cs="宋体"/>
          <w:b/>
          <w:bCs/>
          <w:color w:val="auto"/>
          <w:sz w:val="24"/>
        </w:rPr>
        <w:t>22.首次响应文件的退回</w:t>
      </w:r>
    </w:p>
    <w:p w14:paraId="658F31E1">
      <w:pPr>
        <w:spacing w:line="360" w:lineRule="auto"/>
        <w:ind w:firstLine="420" w:firstLineChars="200"/>
        <w:rPr>
          <w:rFonts w:ascii="宋体" w:hAnsi="宋体" w:cs="宋体"/>
          <w:color w:val="auto"/>
          <w:szCs w:val="21"/>
        </w:rPr>
      </w:pPr>
      <w:r>
        <w:rPr>
          <w:rFonts w:hint="eastAsia" w:ascii="宋体" w:hAnsi="宋体" w:cs="宋体"/>
          <w:color w:val="auto"/>
        </w:rPr>
        <w:t>详见“竞争性谈判公告”</w:t>
      </w:r>
      <w:r>
        <w:rPr>
          <w:rFonts w:hint="eastAsia" w:ascii="宋体" w:hAnsi="宋体" w:cs="宋体"/>
          <w:color w:val="auto"/>
          <w:szCs w:val="21"/>
        </w:rPr>
        <w:t>。</w:t>
      </w:r>
    </w:p>
    <w:p w14:paraId="105D447E">
      <w:pPr>
        <w:spacing w:line="360" w:lineRule="auto"/>
        <w:ind w:firstLine="482" w:firstLineChars="200"/>
        <w:rPr>
          <w:rFonts w:ascii="宋体" w:hAnsi="宋体" w:cs="宋体"/>
          <w:b/>
          <w:bCs/>
          <w:color w:val="auto"/>
          <w:sz w:val="24"/>
        </w:rPr>
      </w:pPr>
      <w:r>
        <w:rPr>
          <w:rFonts w:hint="eastAsia" w:ascii="宋体" w:hAnsi="宋体" w:cs="宋体"/>
          <w:b/>
          <w:bCs/>
          <w:color w:val="auto"/>
          <w:sz w:val="24"/>
        </w:rPr>
        <w:t>23.截止时间后的撤回</w:t>
      </w:r>
    </w:p>
    <w:p w14:paraId="60B4911F">
      <w:pPr>
        <w:spacing w:line="360" w:lineRule="auto"/>
        <w:ind w:firstLine="420" w:firstLineChars="200"/>
        <w:rPr>
          <w:rFonts w:ascii="宋体" w:hAnsi="宋体" w:cs="宋体"/>
          <w:color w:val="auto"/>
          <w:szCs w:val="21"/>
        </w:rPr>
      </w:pPr>
      <w:r>
        <w:rPr>
          <w:rFonts w:hint="eastAsia" w:ascii="宋体" w:hAnsi="宋体" w:cs="宋体"/>
          <w:color w:val="auto"/>
          <w:szCs w:val="21"/>
        </w:rPr>
        <w:t>供应商在首次响应文件提交截止时间后向采购人、采购代理机构书面申请撤回响应文件的，将根据本须知正文17.4的规定不予退还其谈判保证金。</w:t>
      </w:r>
    </w:p>
    <w:bookmarkEnd w:id="54"/>
    <w:p w14:paraId="0BF5EC4A">
      <w:pPr>
        <w:spacing w:line="360" w:lineRule="auto"/>
        <w:rPr>
          <w:rFonts w:ascii="宋体" w:hAnsi="宋体" w:cs="宋体"/>
          <w:color w:val="auto"/>
          <w:szCs w:val="21"/>
        </w:rPr>
      </w:pPr>
    </w:p>
    <w:p w14:paraId="20713183">
      <w:pPr>
        <w:spacing w:line="360" w:lineRule="auto"/>
        <w:ind w:left="420" w:firstLine="420"/>
        <w:jc w:val="center"/>
        <w:rPr>
          <w:rFonts w:ascii="宋体" w:hAnsi="宋体" w:cs="宋体"/>
          <w:b/>
          <w:bCs/>
          <w:color w:val="auto"/>
          <w:sz w:val="32"/>
          <w:szCs w:val="32"/>
        </w:rPr>
      </w:pPr>
      <w:r>
        <w:rPr>
          <w:rFonts w:hint="eastAsia" w:ascii="宋体" w:hAnsi="宋体" w:cs="宋体"/>
          <w:b/>
          <w:bCs/>
          <w:color w:val="auto"/>
          <w:sz w:val="32"/>
          <w:szCs w:val="32"/>
        </w:rPr>
        <w:t>四、评审及谈判</w:t>
      </w:r>
    </w:p>
    <w:p w14:paraId="573CD1BF">
      <w:pPr>
        <w:spacing w:line="360" w:lineRule="auto"/>
        <w:ind w:left="420" w:firstLine="420"/>
        <w:rPr>
          <w:rFonts w:ascii="宋体" w:hAnsi="宋体" w:cs="宋体"/>
          <w:color w:val="auto"/>
          <w:szCs w:val="21"/>
        </w:rPr>
      </w:pPr>
    </w:p>
    <w:p w14:paraId="6314ECAF">
      <w:pPr>
        <w:spacing w:line="360" w:lineRule="auto"/>
        <w:ind w:firstLine="482" w:firstLineChars="200"/>
        <w:rPr>
          <w:rFonts w:ascii="宋体" w:hAnsi="宋体" w:cs="宋体"/>
          <w:b/>
          <w:bCs/>
          <w:color w:val="auto"/>
          <w:sz w:val="24"/>
        </w:rPr>
      </w:pPr>
      <w:r>
        <w:rPr>
          <w:rFonts w:hint="eastAsia" w:ascii="宋体" w:hAnsi="宋体" w:cs="宋体"/>
          <w:b/>
          <w:bCs/>
          <w:color w:val="auto"/>
          <w:sz w:val="24"/>
        </w:rPr>
        <w:t>24.谈判小组成立</w:t>
      </w:r>
    </w:p>
    <w:p w14:paraId="29EDE437">
      <w:pPr>
        <w:spacing w:line="360" w:lineRule="auto"/>
        <w:ind w:firstLine="420" w:firstLineChars="200"/>
        <w:rPr>
          <w:rFonts w:ascii="宋体" w:hAnsi="宋体" w:cs="宋体"/>
          <w:color w:val="auto"/>
          <w:szCs w:val="21"/>
        </w:rPr>
      </w:pPr>
      <w:r>
        <w:rPr>
          <w:rFonts w:hint="eastAsia" w:ascii="宋体" w:hAnsi="宋体" w:cs="宋体"/>
          <w:color w:val="auto"/>
          <w:szCs w:val="21"/>
        </w:rPr>
        <w:t>24.1谈判小组由采购人代表和评审专家共3人以上单数组成，具体人数见“供应商须知前附表”，其中评审专家人数不得少于谈判小组成员总数的2/3。采购人代表不得以评审专家身份参加本部门或者本单位采购项目的评审。采购代理机构人员不得参加本机构代理的采购项目的评审。达到公开招标数额标准的货物或者货物采购项目，或者达到公开招标规模标准的政府采购工程，经批准采用竞争性谈判方式采购的，谈判小组由5人以上单数组成。</w:t>
      </w:r>
    </w:p>
    <w:p w14:paraId="4FC8C688">
      <w:pPr>
        <w:spacing w:line="360" w:lineRule="auto"/>
        <w:ind w:firstLine="420" w:firstLineChars="200"/>
        <w:rPr>
          <w:rFonts w:ascii="宋体" w:hAnsi="宋体" w:cs="宋体"/>
          <w:color w:val="auto"/>
          <w:szCs w:val="21"/>
        </w:rPr>
      </w:pPr>
      <w:r>
        <w:rPr>
          <w:rFonts w:hint="eastAsia" w:ascii="宋体" w:hAnsi="宋体" w:cs="宋体"/>
          <w:color w:val="auto"/>
          <w:szCs w:val="21"/>
        </w:rPr>
        <w:t>24.2评审专家从政采云平台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598CD5E7">
      <w:pPr>
        <w:spacing w:line="360" w:lineRule="auto"/>
        <w:ind w:firstLine="482" w:firstLineChars="200"/>
        <w:rPr>
          <w:rFonts w:ascii="宋体" w:hAnsi="宋体" w:cs="宋体"/>
          <w:b/>
          <w:bCs/>
          <w:color w:val="auto"/>
          <w:sz w:val="24"/>
        </w:rPr>
      </w:pPr>
      <w:r>
        <w:rPr>
          <w:rFonts w:hint="eastAsia" w:ascii="宋体" w:hAnsi="宋体" w:cs="宋体"/>
          <w:b/>
          <w:bCs/>
          <w:color w:val="auto"/>
          <w:sz w:val="24"/>
        </w:rPr>
        <w:t>25.首次响应文件的开启</w:t>
      </w:r>
    </w:p>
    <w:p w14:paraId="6B6E205C">
      <w:pPr>
        <w:spacing w:line="360" w:lineRule="auto"/>
        <w:ind w:firstLine="420" w:firstLineChars="200"/>
        <w:rPr>
          <w:rFonts w:ascii="宋体" w:hAnsi="宋体" w:cs="宋体"/>
          <w:color w:val="auto"/>
          <w:szCs w:val="21"/>
        </w:rPr>
      </w:pPr>
      <w:r>
        <w:rPr>
          <w:rFonts w:hint="eastAsia" w:ascii="宋体" w:hAnsi="宋体" w:cs="宋体"/>
          <w:color w:val="auto"/>
          <w:szCs w:val="21"/>
        </w:rPr>
        <w:t>25.1首次响应文件由谈判小组或者采购代理机构在“供应商须知前附表”规定的时间开启。</w:t>
      </w:r>
    </w:p>
    <w:p w14:paraId="5834C744">
      <w:pPr>
        <w:spacing w:line="360" w:lineRule="auto"/>
        <w:ind w:firstLine="420" w:firstLineChars="200"/>
        <w:rPr>
          <w:rFonts w:ascii="宋体" w:hAnsi="宋体" w:cs="宋体"/>
          <w:color w:val="auto"/>
          <w:szCs w:val="21"/>
        </w:rPr>
      </w:pPr>
      <w:r>
        <w:rPr>
          <w:rFonts w:hint="eastAsia" w:ascii="宋体" w:hAnsi="宋体" w:cs="宋体"/>
          <w:color w:val="auto"/>
          <w:szCs w:val="21"/>
        </w:rPr>
        <w:t>25.2响应文件解密</w:t>
      </w:r>
    </w:p>
    <w:p w14:paraId="6397ABE0">
      <w:pPr>
        <w:spacing w:line="360" w:lineRule="auto"/>
        <w:ind w:firstLine="420" w:firstLineChars="200"/>
        <w:rPr>
          <w:rFonts w:ascii="宋体" w:hAnsi="宋体" w:cs="宋体"/>
          <w:color w:val="auto"/>
          <w:szCs w:val="21"/>
        </w:rPr>
      </w:pPr>
      <w:r>
        <w:rPr>
          <w:rFonts w:hint="eastAsia" w:ascii="宋体" w:hAnsi="宋体" w:cs="宋体"/>
          <w:color w:val="auto"/>
          <w:szCs w:val="21"/>
        </w:rPr>
        <w:t>采购代理机构将在“供应商须知前附表”规定的时间通过电子交易平台组织响应文件开启，采购机构依托电子交易平台发起开始解密指令，供应商的法定代表人或其委托代理人须携带加密时所用的CA锁按平台提示和谈判文件的规定登录到“广西政府采购云平台”平台电子开标大厅签到并在发起解密指令之时起30分钟内完成对电子响应文件在线解密。发起解密指令之时起5分钟内供应商还未进行解密的，代理机构要通知供应商，供应商没预留联系方式或预留联系方式无效，导致代理机构无法联系到供应商进行解密的，视为响应文件无效。（解密异常情况处理：详见本章26.3电子交易活动的中止）</w:t>
      </w:r>
    </w:p>
    <w:p w14:paraId="17FF326E">
      <w:pPr>
        <w:spacing w:line="360" w:lineRule="auto"/>
        <w:ind w:firstLine="420" w:firstLineChars="200"/>
        <w:rPr>
          <w:rFonts w:ascii="宋体" w:hAnsi="宋体" w:cs="宋体"/>
          <w:color w:val="auto"/>
          <w:szCs w:val="21"/>
        </w:rPr>
      </w:pPr>
      <w:r>
        <w:rPr>
          <w:rFonts w:hint="eastAsia" w:ascii="宋体" w:hAnsi="宋体" w:cs="宋体"/>
          <w:color w:val="auto"/>
          <w:szCs w:val="21"/>
        </w:rPr>
        <w:t>如供应商成功解密响应文件，但未在“广西政府采购云平台”电子开标大厅参加谈判的，视同认可谈判过程和结果，由此产生的后果由供应商自行负责。参与谈判的供应商不足3家的，不得谈判。</w:t>
      </w:r>
    </w:p>
    <w:p w14:paraId="561AB37E">
      <w:pPr>
        <w:spacing w:line="360" w:lineRule="auto"/>
        <w:ind w:firstLine="482" w:firstLineChars="200"/>
        <w:rPr>
          <w:rFonts w:ascii="宋体" w:hAnsi="宋体" w:cs="宋体"/>
          <w:b/>
          <w:bCs/>
          <w:color w:val="auto"/>
          <w:sz w:val="24"/>
        </w:rPr>
      </w:pPr>
      <w:r>
        <w:rPr>
          <w:rFonts w:hint="eastAsia" w:ascii="宋体" w:hAnsi="宋体" w:cs="宋体"/>
          <w:b/>
          <w:bCs/>
          <w:color w:val="auto"/>
          <w:sz w:val="24"/>
        </w:rPr>
        <w:t>26.评审程序、评审方法和评审标准</w:t>
      </w:r>
    </w:p>
    <w:p w14:paraId="2306CC5A">
      <w:pPr>
        <w:spacing w:line="360" w:lineRule="auto"/>
        <w:ind w:firstLine="420" w:firstLineChars="200"/>
        <w:rPr>
          <w:rFonts w:ascii="宋体" w:hAnsi="宋体" w:cs="宋体"/>
          <w:color w:val="auto"/>
          <w:szCs w:val="21"/>
        </w:rPr>
      </w:pPr>
      <w:r>
        <w:rPr>
          <w:rFonts w:hint="eastAsia" w:ascii="宋体" w:hAnsi="宋体" w:cs="宋体"/>
          <w:color w:val="auto"/>
          <w:szCs w:val="21"/>
        </w:rPr>
        <w:t>26.1谈判小组按照“第四章 评审程序、评审方法和评审标准”规定的方法、评审因素、标准和程序对响应文件进行评审。</w:t>
      </w:r>
    </w:p>
    <w:p w14:paraId="0D54D675">
      <w:pPr>
        <w:spacing w:line="360" w:lineRule="auto"/>
        <w:ind w:firstLine="420" w:firstLineChars="200"/>
        <w:rPr>
          <w:rFonts w:ascii="宋体" w:hAnsi="宋体" w:cs="宋体"/>
          <w:color w:val="auto"/>
          <w:szCs w:val="21"/>
        </w:rPr>
      </w:pPr>
      <w:r>
        <w:rPr>
          <w:rFonts w:hint="eastAsia" w:ascii="宋体" w:hAnsi="宋体" w:cs="宋体"/>
          <w:color w:val="auto"/>
          <w:szCs w:val="21"/>
        </w:rPr>
        <w:t>26.2采购需求负偏离要求及谈判顺序详见“供应商须知前附表”。</w:t>
      </w:r>
    </w:p>
    <w:p w14:paraId="10B1BBEA">
      <w:pPr>
        <w:spacing w:line="360" w:lineRule="auto"/>
        <w:ind w:firstLine="420" w:firstLineChars="200"/>
        <w:rPr>
          <w:rFonts w:ascii="宋体" w:hAnsi="宋体" w:cs="宋体"/>
          <w:color w:val="auto"/>
          <w:szCs w:val="21"/>
        </w:rPr>
      </w:pPr>
      <w:r>
        <w:rPr>
          <w:rFonts w:hint="eastAsia" w:ascii="宋体" w:hAnsi="宋体" w:cs="宋体"/>
          <w:color w:val="auto"/>
          <w:szCs w:val="21"/>
        </w:rPr>
        <w:t>26.3电子交易活动的中止。采购过程中出现以下情形，导致电子交易平台无法正常运行，或者无法保证电子交易的公平、公正和安全时，采购机构可中止电子交易活动：</w:t>
      </w:r>
    </w:p>
    <w:p w14:paraId="0FE4AFBF">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（1）电子交易平台发生故障而无法登录访问的； </w:t>
      </w:r>
    </w:p>
    <w:p w14:paraId="65F2F9BE">
      <w:pPr>
        <w:spacing w:line="360" w:lineRule="auto"/>
        <w:ind w:firstLine="420" w:firstLineChars="200"/>
        <w:rPr>
          <w:rFonts w:ascii="宋体" w:hAnsi="宋体" w:cs="宋体"/>
          <w:color w:val="auto"/>
          <w:szCs w:val="21"/>
        </w:rPr>
      </w:pPr>
      <w:r>
        <w:rPr>
          <w:rFonts w:hint="eastAsia" w:ascii="宋体" w:hAnsi="宋体" w:cs="宋体"/>
          <w:color w:val="auto"/>
          <w:szCs w:val="21"/>
        </w:rPr>
        <w:t>（2）电子交易平台应用或数据库出现错误，不能进行正常操作的；</w:t>
      </w:r>
    </w:p>
    <w:p w14:paraId="44D9F22B">
      <w:pPr>
        <w:spacing w:line="360" w:lineRule="auto"/>
        <w:ind w:firstLine="420" w:firstLineChars="200"/>
        <w:rPr>
          <w:rFonts w:ascii="宋体" w:hAnsi="宋体" w:cs="宋体"/>
          <w:color w:val="auto"/>
          <w:szCs w:val="21"/>
        </w:rPr>
      </w:pPr>
      <w:r>
        <w:rPr>
          <w:rFonts w:hint="eastAsia" w:ascii="宋体" w:hAnsi="宋体" w:cs="宋体"/>
          <w:color w:val="auto"/>
          <w:szCs w:val="21"/>
        </w:rPr>
        <w:t>（3）电子交易平台发现严重安全漏洞，有潜在泄密危险的；</w:t>
      </w:r>
    </w:p>
    <w:p w14:paraId="7244DEA9">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（4）病毒发作导致不能进行正常操作的； </w:t>
      </w:r>
    </w:p>
    <w:p w14:paraId="5F78DB18">
      <w:pPr>
        <w:spacing w:line="360" w:lineRule="auto"/>
        <w:ind w:firstLine="420" w:firstLineChars="200"/>
        <w:rPr>
          <w:rFonts w:ascii="宋体" w:hAnsi="宋体" w:cs="宋体"/>
          <w:color w:val="auto"/>
          <w:szCs w:val="21"/>
        </w:rPr>
      </w:pPr>
      <w:r>
        <w:rPr>
          <w:rFonts w:hint="eastAsia" w:ascii="宋体" w:hAnsi="宋体" w:cs="宋体"/>
          <w:color w:val="auto"/>
          <w:szCs w:val="21"/>
        </w:rPr>
        <w:t>（5）其他无法保证电子交易的公平、公正和安全的情况。</w:t>
      </w:r>
    </w:p>
    <w:p w14:paraId="7C895D92">
      <w:pPr>
        <w:spacing w:line="360" w:lineRule="auto"/>
        <w:ind w:firstLine="420" w:firstLineChars="200"/>
        <w:rPr>
          <w:rFonts w:ascii="宋体" w:hAnsi="宋体" w:cs="宋体"/>
          <w:color w:val="auto"/>
          <w:szCs w:val="21"/>
        </w:rPr>
      </w:pPr>
      <w:r>
        <w:rPr>
          <w:rFonts w:hint="eastAsia" w:ascii="宋体" w:hAnsi="宋体" w:cs="宋体"/>
          <w:color w:val="auto"/>
          <w:szCs w:val="21"/>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做出妥善保密处理，并报财政部门备案。</w:t>
      </w:r>
    </w:p>
    <w:p w14:paraId="5AC7BC17">
      <w:pPr>
        <w:spacing w:line="360" w:lineRule="auto"/>
        <w:ind w:left="420" w:firstLine="420"/>
        <w:jc w:val="center"/>
        <w:rPr>
          <w:rFonts w:ascii="宋体" w:hAnsi="宋体" w:cs="宋体"/>
          <w:b/>
          <w:bCs/>
          <w:color w:val="auto"/>
          <w:sz w:val="32"/>
          <w:szCs w:val="32"/>
        </w:rPr>
      </w:pPr>
      <w:r>
        <w:rPr>
          <w:rFonts w:hint="eastAsia" w:ascii="宋体" w:hAnsi="宋体" w:cs="宋体"/>
          <w:b/>
          <w:bCs/>
          <w:color w:val="auto"/>
          <w:sz w:val="32"/>
          <w:szCs w:val="32"/>
        </w:rPr>
        <w:t>五、成交及合同</w:t>
      </w:r>
    </w:p>
    <w:p w14:paraId="454C8E0B">
      <w:pPr>
        <w:spacing w:line="360" w:lineRule="auto"/>
        <w:ind w:firstLine="482" w:firstLineChars="200"/>
        <w:rPr>
          <w:rFonts w:ascii="宋体" w:hAnsi="宋体" w:cs="宋体"/>
          <w:b/>
          <w:bCs/>
          <w:color w:val="auto"/>
          <w:sz w:val="24"/>
        </w:rPr>
      </w:pPr>
      <w:r>
        <w:rPr>
          <w:rFonts w:hint="eastAsia" w:ascii="宋体" w:hAnsi="宋体" w:cs="宋体"/>
          <w:b/>
          <w:bCs/>
          <w:color w:val="auto"/>
          <w:sz w:val="24"/>
        </w:rPr>
        <w:t>27.确定成交供应商及结果公告</w:t>
      </w:r>
    </w:p>
    <w:p w14:paraId="44A4761F">
      <w:pPr>
        <w:spacing w:line="360" w:lineRule="auto"/>
        <w:ind w:firstLine="420" w:firstLineChars="200"/>
        <w:rPr>
          <w:rFonts w:ascii="宋体" w:hAnsi="宋体" w:cs="宋体"/>
          <w:color w:val="auto"/>
          <w:szCs w:val="21"/>
        </w:rPr>
      </w:pPr>
      <w:r>
        <w:rPr>
          <w:rFonts w:hint="eastAsia" w:ascii="宋体" w:hAnsi="宋体" w:cs="宋体"/>
          <w:color w:val="auto"/>
          <w:szCs w:val="21"/>
        </w:rPr>
        <w:t>27.1采购代理机构应当在评审结束后2个工作日内将评审报告送采购人确认。采购人应当在收到评审报告后5个工作日内，从评审报告提出的成交候选人中，按照排序由高到低的原则确定成交供应商，也可以书面授权谈判小组直接确定成交供应商。采购人逾期未确定成交供应商且不提出异议的，视为确定评审报告提出的排序第一的供应商为成交供应商。</w:t>
      </w:r>
    </w:p>
    <w:p w14:paraId="435D36CD">
      <w:pPr>
        <w:spacing w:line="360" w:lineRule="auto"/>
        <w:ind w:firstLine="420" w:firstLineChars="200"/>
        <w:rPr>
          <w:rFonts w:ascii="宋体" w:hAnsi="宋体" w:cs="宋体"/>
          <w:color w:val="auto"/>
          <w:szCs w:val="21"/>
        </w:rPr>
      </w:pPr>
      <w:r>
        <w:rPr>
          <w:rFonts w:hint="eastAsia" w:ascii="宋体" w:hAnsi="宋体" w:cs="宋体"/>
          <w:color w:val="auto"/>
          <w:szCs w:val="21"/>
        </w:rPr>
        <w:t>27.2采购代理机构应当在</w:t>
      </w:r>
      <w:r>
        <w:rPr>
          <w:rFonts w:hint="eastAsia" w:ascii="宋体" w:hAnsi="宋体" w:cs="宋体"/>
          <w:color w:val="auto"/>
          <w:kern w:val="0"/>
          <w:szCs w:val="21"/>
        </w:rPr>
        <w:t>成交</w:t>
      </w:r>
      <w:r>
        <w:rPr>
          <w:rFonts w:hint="eastAsia" w:ascii="宋体" w:hAnsi="宋体" w:cs="宋体"/>
          <w:color w:val="auto"/>
          <w:szCs w:val="21"/>
        </w:rPr>
        <w:t>供应商确定后2个工作日内，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谈判文件一并保存。</w:t>
      </w:r>
      <w:bookmarkStart w:id="55" w:name="_Hlk66782294"/>
      <w:r>
        <w:rPr>
          <w:rFonts w:hint="eastAsia" w:ascii="宋体" w:hAnsi="宋体" w:cs="Courier New"/>
          <w:color w:val="auto"/>
          <w:szCs w:val="21"/>
        </w:rPr>
        <w:t>成交供应商享受</w:t>
      </w:r>
      <w:r>
        <w:rPr>
          <w:rFonts w:hint="eastAsia" w:ascii="宋体" w:hAnsi="宋体"/>
          <w:color w:val="auto"/>
          <w:szCs w:val="21"/>
        </w:rPr>
        <w:t>《政府采购促进中小企业发展管理办法》（财库〔2020〕46号）规定的中小企业扶持</w:t>
      </w:r>
      <w:r>
        <w:rPr>
          <w:rFonts w:hint="eastAsia" w:ascii="宋体" w:hAnsi="宋体" w:cs="Courier New"/>
          <w:color w:val="auto"/>
          <w:szCs w:val="21"/>
        </w:rPr>
        <w:t>政策的，采购人、采购代理机构应当随成交结果公开成交供应商的《中小企业声明函》。</w:t>
      </w:r>
      <w:bookmarkEnd w:id="55"/>
    </w:p>
    <w:p w14:paraId="6E820FAD">
      <w:pPr>
        <w:spacing w:line="360" w:lineRule="auto"/>
        <w:ind w:firstLine="420" w:firstLineChars="200"/>
        <w:rPr>
          <w:rFonts w:ascii="宋体" w:hAnsi="宋体" w:cs="宋体"/>
          <w:color w:val="auto"/>
          <w:szCs w:val="21"/>
        </w:rPr>
      </w:pPr>
      <w:r>
        <w:rPr>
          <w:rFonts w:hint="eastAsia" w:ascii="宋体" w:hAnsi="宋体" w:cs="宋体"/>
          <w:color w:val="auto"/>
          <w:szCs w:val="21"/>
        </w:rPr>
        <w:t>27.3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036706E9">
      <w:pPr>
        <w:spacing w:line="360" w:lineRule="auto"/>
        <w:ind w:firstLine="420" w:firstLineChars="200"/>
        <w:rPr>
          <w:rFonts w:ascii="宋体" w:hAnsi="宋体" w:cs="宋体"/>
          <w:color w:val="auto"/>
          <w:szCs w:val="21"/>
        </w:rPr>
      </w:pPr>
      <w:r>
        <w:rPr>
          <w:rFonts w:hint="eastAsia" w:ascii="宋体" w:hAnsi="宋体" w:cs="宋体"/>
          <w:bCs/>
          <w:color w:val="auto"/>
          <w:szCs w:val="21"/>
        </w:rPr>
        <w:t>27.4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26DE067A">
      <w:pPr>
        <w:spacing w:line="360" w:lineRule="auto"/>
        <w:ind w:firstLine="482" w:firstLineChars="200"/>
        <w:rPr>
          <w:rFonts w:ascii="宋体" w:hAnsi="宋体" w:cs="宋体"/>
          <w:b/>
          <w:bCs/>
          <w:color w:val="auto"/>
          <w:sz w:val="24"/>
        </w:rPr>
      </w:pPr>
      <w:r>
        <w:rPr>
          <w:rFonts w:hint="eastAsia" w:ascii="宋体" w:hAnsi="宋体" w:cs="宋体"/>
          <w:b/>
          <w:bCs/>
          <w:color w:val="auto"/>
          <w:sz w:val="24"/>
        </w:rPr>
        <w:t>28.履约保证金</w:t>
      </w:r>
    </w:p>
    <w:p w14:paraId="567CB65B">
      <w:pPr>
        <w:spacing w:line="360" w:lineRule="auto"/>
        <w:ind w:firstLine="424" w:firstLineChars="202"/>
        <w:rPr>
          <w:rFonts w:ascii="宋体" w:hAnsi="宋体" w:cs="宋体"/>
          <w:color w:val="auto"/>
          <w:szCs w:val="21"/>
        </w:rPr>
      </w:pPr>
      <w:r>
        <w:rPr>
          <w:rFonts w:hint="eastAsia" w:ascii="宋体" w:hAnsi="宋体" w:cs="宋体"/>
          <w:color w:val="auto"/>
          <w:szCs w:val="21"/>
        </w:rPr>
        <w:t>28.1履约保证金的金额、提交方式、退付的时间和条件详见“供应商须知前附表”。成交供应商未按规定提交履约保证金的，视为拒绝</w:t>
      </w:r>
      <w:r>
        <w:rPr>
          <w:rFonts w:hint="eastAsia" w:ascii="宋体" w:hAnsi="宋体" w:cs="宋体"/>
          <w:color w:val="auto"/>
        </w:rPr>
        <w:t>与采购人</w:t>
      </w:r>
      <w:r>
        <w:rPr>
          <w:rFonts w:hint="eastAsia" w:ascii="宋体" w:hAnsi="宋体" w:cs="宋体"/>
          <w:color w:val="auto"/>
          <w:szCs w:val="21"/>
        </w:rPr>
        <w:t>签订合同，采购人可以按照评审报告推荐的成交候选人名单排序，确定下一候选人为成交供应商，也可以重新开展采购活动。</w:t>
      </w:r>
    </w:p>
    <w:p w14:paraId="0FB6621E">
      <w:pPr>
        <w:spacing w:line="360" w:lineRule="auto"/>
        <w:ind w:firstLine="424" w:firstLineChars="202"/>
        <w:rPr>
          <w:rFonts w:ascii="宋体" w:hAnsi="宋体" w:cs="宋体"/>
          <w:color w:val="auto"/>
          <w:szCs w:val="21"/>
        </w:rPr>
      </w:pPr>
      <w:r>
        <w:rPr>
          <w:rFonts w:hint="eastAsia" w:ascii="宋体" w:hAnsi="宋体" w:cs="宋体"/>
          <w:color w:val="auto"/>
          <w:szCs w:val="21"/>
        </w:rPr>
        <w:t>28.2签订合同后，如成交供应商不按双方签订的合同规定履约，则没收其全部履约保证金，履约保证金不足以赔偿损失的，按实际损失赔偿。</w:t>
      </w:r>
    </w:p>
    <w:p w14:paraId="77CAEB61">
      <w:pPr>
        <w:spacing w:line="360" w:lineRule="auto"/>
        <w:ind w:firstLine="424" w:firstLineChars="202"/>
        <w:rPr>
          <w:rFonts w:ascii="宋体" w:hAnsi="宋体" w:cs="宋体"/>
          <w:color w:val="auto"/>
          <w:szCs w:val="21"/>
        </w:rPr>
      </w:pPr>
      <w:r>
        <w:rPr>
          <w:rFonts w:hint="eastAsia" w:ascii="宋体" w:hAnsi="宋体" w:cs="宋体"/>
          <w:color w:val="auto"/>
          <w:szCs w:val="21"/>
        </w:rPr>
        <w:t>28.3在履约保证金退还日期前，若成交供应商的开户名称、开户银行、账号有变动的，请以书面形式通知履约保证金收取单位，否则由此产生的后果由成交供应商自行承担。</w:t>
      </w:r>
    </w:p>
    <w:p w14:paraId="15724431">
      <w:pPr>
        <w:spacing w:line="360" w:lineRule="auto"/>
        <w:ind w:firstLine="482" w:firstLineChars="200"/>
        <w:rPr>
          <w:rFonts w:ascii="宋体" w:hAnsi="宋体" w:cs="宋体"/>
          <w:b/>
          <w:bCs/>
          <w:color w:val="auto"/>
          <w:sz w:val="24"/>
        </w:rPr>
      </w:pPr>
      <w:r>
        <w:rPr>
          <w:rFonts w:hint="eastAsia" w:ascii="宋体" w:hAnsi="宋体" w:cs="宋体"/>
          <w:b/>
          <w:bCs/>
          <w:color w:val="auto"/>
          <w:sz w:val="24"/>
        </w:rPr>
        <w:t>29.签订合同</w:t>
      </w:r>
    </w:p>
    <w:p w14:paraId="2E5FE0BD">
      <w:pPr>
        <w:spacing w:line="360" w:lineRule="auto"/>
        <w:ind w:firstLine="424" w:firstLineChars="202"/>
        <w:rPr>
          <w:rFonts w:ascii="宋体" w:hAnsi="宋体" w:cs="宋体"/>
          <w:color w:val="auto"/>
          <w:szCs w:val="21"/>
        </w:rPr>
      </w:pPr>
      <w:r>
        <w:rPr>
          <w:rFonts w:hint="eastAsia" w:ascii="宋体" w:hAnsi="宋体" w:cs="宋体"/>
          <w:color w:val="auto"/>
          <w:szCs w:val="21"/>
        </w:rPr>
        <w:t>29.1成交供应商在收到成交通知书后，应当在签订合同时向采购人出示相关证明材料，具体内容详见“供应商须知前附表”，经采购人核验合格后方可签订合同。</w:t>
      </w:r>
    </w:p>
    <w:p w14:paraId="38CBBFD1">
      <w:pPr>
        <w:spacing w:line="360" w:lineRule="auto"/>
        <w:ind w:firstLine="424" w:firstLineChars="202"/>
        <w:rPr>
          <w:rFonts w:ascii="宋体" w:hAnsi="宋体" w:cs="宋体"/>
          <w:color w:val="auto"/>
          <w:szCs w:val="21"/>
        </w:rPr>
      </w:pPr>
      <w:r>
        <w:rPr>
          <w:rFonts w:hint="eastAsia" w:ascii="宋体" w:hAnsi="宋体" w:cs="宋体"/>
          <w:color w:val="auto"/>
          <w:szCs w:val="21"/>
        </w:rPr>
        <w:t>29.2签订合同时间：按成交通知书规定的时间与采购人签订采购合同。</w:t>
      </w:r>
    </w:p>
    <w:p w14:paraId="485209FF">
      <w:pPr>
        <w:spacing w:line="360" w:lineRule="auto"/>
        <w:ind w:firstLine="420" w:firstLineChars="200"/>
        <w:rPr>
          <w:rFonts w:ascii="宋体" w:hAnsi="宋体"/>
          <w:color w:val="auto"/>
          <w:szCs w:val="21"/>
        </w:rPr>
      </w:pPr>
      <w:r>
        <w:rPr>
          <w:rFonts w:hint="eastAsia" w:ascii="宋体" w:hAnsi="宋体"/>
          <w:color w:val="auto"/>
          <w:szCs w:val="21"/>
        </w:rPr>
        <w:t>29.3采购人不得向成交供应商提出超出谈判文件以外的任何要求作为签订合同的条件，不得与成交供应商订立背离谈判文件确定的合同文本以及采购标的、货物技术、采购金额、采购数量、技术和货物要求等实质性内容的协议。</w:t>
      </w:r>
    </w:p>
    <w:p w14:paraId="4C13A082">
      <w:pPr>
        <w:spacing w:line="360" w:lineRule="auto"/>
        <w:ind w:firstLine="424" w:firstLineChars="202"/>
        <w:rPr>
          <w:rFonts w:ascii="宋体" w:hAnsi="宋体" w:cs="宋体"/>
          <w:color w:val="auto"/>
          <w:szCs w:val="21"/>
        </w:rPr>
      </w:pPr>
      <w:r>
        <w:rPr>
          <w:rFonts w:hint="eastAsia" w:ascii="宋体" w:hAnsi="宋体" w:cs="宋体"/>
          <w:color w:val="auto"/>
          <w:szCs w:val="21"/>
        </w:rPr>
        <w:t>29.4成交供应商拒绝与采购人签订合同的，采购人可以按照评审报告推荐的成交候选人名单排序，确定下一候选人为成交供应商，也可以重新开展项目采购活动。拒绝签订采购合同的成交供应商不得参加对该合同项重新开展的采购活动。</w:t>
      </w:r>
    </w:p>
    <w:p w14:paraId="690966FA">
      <w:pPr>
        <w:spacing w:line="360" w:lineRule="auto"/>
        <w:ind w:firstLine="482" w:firstLineChars="200"/>
        <w:rPr>
          <w:rFonts w:ascii="宋体" w:hAnsi="宋体" w:cs="宋体"/>
          <w:b/>
          <w:bCs/>
          <w:color w:val="auto"/>
          <w:sz w:val="24"/>
        </w:rPr>
      </w:pPr>
      <w:r>
        <w:rPr>
          <w:rFonts w:hint="eastAsia" w:ascii="宋体" w:hAnsi="宋体" w:cs="宋体"/>
          <w:b/>
          <w:bCs/>
          <w:color w:val="auto"/>
          <w:sz w:val="24"/>
        </w:rPr>
        <w:t>30.采购合同公告：</w:t>
      </w:r>
    </w:p>
    <w:p w14:paraId="00714052">
      <w:pPr>
        <w:spacing w:line="360" w:lineRule="auto"/>
        <w:ind w:firstLine="420" w:firstLineChars="200"/>
        <w:rPr>
          <w:rFonts w:ascii="宋体" w:hAnsi="宋体" w:cs="宋体"/>
          <w:b/>
          <w:bCs/>
          <w:color w:val="auto"/>
          <w:sz w:val="24"/>
        </w:rPr>
      </w:pPr>
      <w:r>
        <w:rPr>
          <w:rFonts w:hint="eastAsia" w:ascii="宋体" w:hAnsi="宋体" w:cs="宋体"/>
          <w:color w:val="auto"/>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5E312BF6">
      <w:pPr>
        <w:spacing w:line="360" w:lineRule="auto"/>
        <w:ind w:firstLine="482" w:firstLineChars="200"/>
        <w:rPr>
          <w:rFonts w:ascii="宋体" w:hAnsi="宋体" w:cs="宋体"/>
          <w:b/>
          <w:bCs/>
          <w:color w:val="auto"/>
          <w:sz w:val="24"/>
        </w:rPr>
      </w:pPr>
      <w:r>
        <w:rPr>
          <w:rFonts w:hint="eastAsia" w:ascii="宋体" w:hAnsi="宋体" w:cs="宋体"/>
          <w:b/>
          <w:bCs/>
          <w:color w:val="auto"/>
          <w:sz w:val="24"/>
        </w:rPr>
        <w:t>31.询问、质疑和投诉</w:t>
      </w:r>
    </w:p>
    <w:p w14:paraId="6D188FA0">
      <w:pPr>
        <w:spacing w:line="360" w:lineRule="auto"/>
        <w:ind w:firstLine="420" w:firstLineChars="200"/>
        <w:rPr>
          <w:rFonts w:ascii="宋体" w:hAnsi="宋体" w:cs="宋体"/>
          <w:color w:val="auto"/>
        </w:rPr>
      </w:pPr>
      <w:r>
        <w:rPr>
          <w:rFonts w:hint="eastAsia" w:ascii="宋体" w:hAnsi="宋体" w:cs="宋体"/>
          <w:color w:val="auto"/>
        </w:rPr>
        <w:t>31.1供应商对项目采购活动事项有疑问的，可以向采购人、采购代理机构提出询问，采购人或者采购代理机构应当在3个工作日内对供应商依法提出的询问作出答复。</w:t>
      </w:r>
    </w:p>
    <w:p w14:paraId="26A503E5">
      <w:pPr>
        <w:spacing w:line="360" w:lineRule="auto"/>
        <w:ind w:firstLine="420" w:firstLineChars="200"/>
        <w:rPr>
          <w:rFonts w:ascii="宋体" w:hAnsi="宋体" w:cs="宋体"/>
          <w:color w:val="auto"/>
        </w:rPr>
      </w:pPr>
      <w:r>
        <w:rPr>
          <w:rFonts w:hint="eastAsia" w:ascii="宋体" w:hAnsi="宋体" w:cs="宋体"/>
          <w:color w:val="auto"/>
        </w:rPr>
        <w:t>31.2供应商认为谈判文件、采购过程或者成交结果使自己的合法权益受到损害的，应当在知道或者应知其权益受到损害之日起7个工作日内，以书面形式向采购人、采购代理机构提出质疑，接收质疑函的方式、联系部门、联系电话和通讯地址等信息详见“供应商须</w:t>
      </w:r>
      <w:r>
        <w:rPr>
          <w:rFonts w:hint="eastAsia" w:ascii="宋体" w:hAnsi="宋体" w:cs="宋体"/>
          <w:color w:val="auto"/>
          <w:szCs w:val="21"/>
        </w:rPr>
        <w:t>知前附表”</w:t>
      </w:r>
      <w:r>
        <w:rPr>
          <w:rFonts w:hint="eastAsia" w:ascii="宋体" w:hAnsi="宋体" w:cs="宋体"/>
          <w:color w:val="auto"/>
        </w:rPr>
        <w:t>。具体质疑起算时间如下：</w:t>
      </w:r>
    </w:p>
    <w:p w14:paraId="6C0F06BE">
      <w:pPr>
        <w:spacing w:line="360" w:lineRule="auto"/>
        <w:ind w:firstLine="420" w:firstLineChars="200"/>
        <w:rPr>
          <w:rFonts w:ascii="宋体" w:hAnsi="宋体" w:cs="宋体"/>
          <w:color w:val="auto"/>
        </w:rPr>
      </w:pPr>
      <w:r>
        <w:rPr>
          <w:rFonts w:hint="eastAsia" w:ascii="宋体" w:hAnsi="宋体" w:cs="宋体"/>
          <w:color w:val="auto"/>
        </w:rPr>
        <w:t>（1）对可以质疑的谈判文件提出质疑的，为收到谈判文件之日或者竞争性谈判公告期限届满之日；</w:t>
      </w:r>
    </w:p>
    <w:p w14:paraId="5657A612">
      <w:pPr>
        <w:spacing w:line="360" w:lineRule="auto"/>
        <w:ind w:firstLine="420" w:firstLineChars="200"/>
        <w:rPr>
          <w:rFonts w:ascii="宋体" w:hAnsi="宋体" w:cs="宋体"/>
          <w:color w:val="auto"/>
        </w:rPr>
      </w:pPr>
      <w:r>
        <w:rPr>
          <w:rFonts w:hint="eastAsia" w:ascii="宋体" w:hAnsi="宋体" w:cs="宋体"/>
          <w:color w:val="auto"/>
        </w:rPr>
        <w:t>（2）对采购过程提出质疑的，为各采购程序环节结束之日；</w:t>
      </w:r>
    </w:p>
    <w:p w14:paraId="43E17839">
      <w:pPr>
        <w:spacing w:line="360" w:lineRule="auto"/>
        <w:ind w:firstLine="420" w:firstLineChars="200"/>
        <w:rPr>
          <w:rFonts w:ascii="宋体" w:hAnsi="宋体" w:cs="宋体"/>
          <w:color w:val="auto"/>
        </w:rPr>
      </w:pPr>
      <w:r>
        <w:rPr>
          <w:rFonts w:hint="eastAsia" w:ascii="宋体" w:hAnsi="宋体" w:cs="宋体"/>
          <w:color w:val="auto"/>
        </w:rPr>
        <w:t>（3）对成交结果提出质疑的，为成交结果公告期限届满之日。</w:t>
      </w:r>
    </w:p>
    <w:p w14:paraId="1BBA1B1F">
      <w:pPr>
        <w:spacing w:line="360" w:lineRule="auto"/>
        <w:ind w:firstLine="420" w:firstLineChars="200"/>
        <w:rPr>
          <w:rFonts w:ascii="宋体" w:hAnsi="宋体" w:cs="宋体"/>
          <w:color w:val="auto"/>
        </w:rPr>
      </w:pPr>
      <w:r>
        <w:rPr>
          <w:rFonts w:hint="eastAsia" w:ascii="宋体" w:hAnsi="宋体" w:cs="宋体"/>
          <w:color w:val="auto"/>
        </w:rPr>
        <w:t>31.3供应商提出的询问或者质疑超出采购人对采购代理机构委托授权范围的，采购代理机构应当告知供应商向采购人提出。项目采购评审专家应当配合采购人或者采购代理机构答复供应商的询问和质疑。</w:t>
      </w:r>
    </w:p>
    <w:p w14:paraId="15356799">
      <w:pPr>
        <w:spacing w:line="360" w:lineRule="auto"/>
        <w:ind w:firstLine="420" w:firstLineChars="200"/>
        <w:rPr>
          <w:rFonts w:ascii="宋体" w:hAnsi="宋体" w:cs="宋体"/>
          <w:color w:val="auto"/>
        </w:rPr>
      </w:pPr>
      <w:r>
        <w:rPr>
          <w:rFonts w:hint="eastAsia" w:ascii="宋体" w:hAnsi="宋体" w:cs="宋体"/>
          <w:color w:val="auto"/>
        </w:rPr>
        <w:t>31.4供应商提出质疑应当提交质疑函和必要的证明材料，针对同一采购程序环节的质疑必须在法定质疑期内一次性提出。质疑函应当包括下列内容</w:t>
      </w:r>
      <w:r>
        <w:rPr>
          <w:rFonts w:hint="eastAsia" w:ascii="宋体" w:hAnsi="宋体" w:cs="宋体"/>
          <w:bCs/>
          <w:color w:val="auto"/>
        </w:rPr>
        <w:t>（质疑函格式后附）</w:t>
      </w:r>
      <w:r>
        <w:rPr>
          <w:rFonts w:hint="eastAsia" w:ascii="宋体" w:hAnsi="宋体" w:cs="宋体"/>
          <w:color w:val="auto"/>
        </w:rPr>
        <w:t>：</w:t>
      </w:r>
    </w:p>
    <w:p w14:paraId="21D463C4">
      <w:pPr>
        <w:spacing w:line="360" w:lineRule="auto"/>
        <w:ind w:firstLine="420" w:firstLineChars="200"/>
        <w:rPr>
          <w:rFonts w:ascii="宋体" w:hAnsi="宋体" w:cs="宋体"/>
          <w:color w:val="auto"/>
        </w:rPr>
      </w:pPr>
      <w:r>
        <w:rPr>
          <w:rFonts w:hint="eastAsia" w:ascii="宋体" w:hAnsi="宋体" w:cs="宋体"/>
          <w:color w:val="auto"/>
        </w:rPr>
        <w:t>（1）供应商的姓名或者名称、地址、邮编、联系人及联系电话；</w:t>
      </w:r>
    </w:p>
    <w:p w14:paraId="61595786">
      <w:pPr>
        <w:spacing w:line="360" w:lineRule="auto"/>
        <w:ind w:firstLine="420" w:firstLineChars="200"/>
        <w:rPr>
          <w:rFonts w:ascii="宋体" w:hAnsi="宋体" w:cs="宋体"/>
          <w:color w:val="auto"/>
        </w:rPr>
      </w:pPr>
      <w:r>
        <w:rPr>
          <w:rFonts w:hint="eastAsia" w:ascii="宋体" w:hAnsi="宋体" w:cs="宋体"/>
          <w:color w:val="auto"/>
        </w:rPr>
        <w:t>（2）质疑项目的名称、编号；</w:t>
      </w:r>
    </w:p>
    <w:p w14:paraId="0FDD8633">
      <w:pPr>
        <w:spacing w:line="360" w:lineRule="auto"/>
        <w:ind w:firstLine="420" w:firstLineChars="200"/>
        <w:rPr>
          <w:rFonts w:ascii="宋体" w:hAnsi="宋体" w:cs="宋体"/>
          <w:color w:val="auto"/>
        </w:rPr>
      </w:pPr>
      <w:r>
        <w:rPr>
          <w:rFonts w:hint="eastAsia" w:ascii="宋体" w:hAnsi="宋体" w:cs="宋体"/>
          <w:color w:val="auto"/>
        </w:rPr>
        <w:t>（3）具体、明确的质疑事项和与质疑事项相关的请求；</w:t>
      </w:r>
    </w:p>
    <w:p w14:paraId="29A12533">
      <w:pPr>
        <w:spacing w:line="360" w:lineRule="auto"/>
        <w:ind w:firstLine="420" w:firstLineChars="200"/>
        <w:rPr>
          <w:rFonts w:ascii="宋体" w:hAnsi="宋体" w:cs="宋体"/>
          <w:color w:val="auto"/>
        </w:rPr>
      </w:pPr>
      <w:r>
        <w:rPr>
          <w:rFonts w:hint="eastAsia" w:ascii="宋体" w:hAnsi="宋体" w:cs="宋体"/>
          <w:color w:val="auto"/>
        </w:rPr>
        <w:t>（4）事实依据；</w:t>
      </w:r>
    </w:p>
    <w:p w14:paraId="6BDD4AAE">
      <w:pPr>
        <w:spacing w:line="360" w:lineRule="auto"/>
        <w:ind w:firstLine="420" w:firstLineChars="200"/>
        <w:rPr>
          <w:rFonts w:ascii="宋体" w:hAnsi="宋体" w:cs="宋体"/>
          <w:color w:val="auto"/>
        </w:rPr>
      </w:pPr>
      <w:r>
        <w:rPr>
          <w:rFonts w:hint="eastAsia" w:ascii="宋体" w:hAnsi="宋体" w:cs="宋体"/>
          <w:color w:val="auto"/>
        </w:rPr>
        <w:t>（5）必要的法律依据；</w:t>
      </w:r>
    </w:p>
    <w:p w14:paraId="7DC752C8">
      <w:pPr>
        <w:spacing w:line="360" w:lineRule="auto"/>
        <w:ind w:firstLine="420" w:firstLineChars="200"/>
        <w:rPr>
          <w:rFonts w:ascii="宋体" w:hAnsi="宋体" w:cs="宋体"/>
          <w:color w:val="auto"/>
        </w:rPr>
      </w:pPr>
      <w:r>
        <w:rPr>
          <w:rFonts w:hint="eastAsia" w:ascii="宋体" w:hAnsi="宋体" w:cs="宋体"/>
          <w:color w:val="auto"/>
        </w:rPr>
        <w:t>（6）提出质疑的日期。</w:t>
      </w:r>
    </w:p>
    <w:p w14:paraId="37C74086">
      <w:pPr>
        <w:spacing w:line="360" w:lineRule="auto"/>
        <w:ind w:firstLine="420" w:firstLineChars="200"/>
        <w:rPr>
          <w:rFonts w:ascii="宋体" w:hAnsi="宋体" w:cs="宋体"/>
          <w:color w:val="auto"/>
        </w:rPr>
      </w:pPr>
      <w:r>
        <w:rPr>
          <w:rFonts w:hint="eastAsia" w:ascii="宋体" w:hAnsi="宋体" w:cs="宋体"/>
          <w:color w:val="auto"/>
        </w:rPr>
        <w:t>供应商为自然人的，应当由本人签字；供应商为法人或者其他组织的，应当由法定代表人、主要负责人，或者其委托代理人签字或者盖章，并加盖公章。</w:t>
      </w:r>
    </w:p>
    <w:p w14:paraId="48223E9E">
      <w:pPr>
        <w:spacing w:line="360" w:lineRule="auto"/>
        <w:ind w:firstLine="420" w:firstLineChars="200"/>
        <w:rPr>
          <w:rFonts w:ascii="宋体" w:hAnsi="宋体" w:cs="宋体"/>
          <w:color w:val="auto"/>
        </w:rPr>
      </w:pPr>
      <w:r>
        <w:rPr>
          <w:rFonts w:hint="eastAsia" w:ascii="宋体" w:hAnsi="宋体" w:cs="宋体"/>
          <w:color w:val="auto"/>
        </w:rPr>
        <w:t>31.5采购人、采购代理机构认为供应商质疑不成立，或者成立但未对成交结果构成影响的，继续开展采购活动；认为供应商质疑成立且影响或者可能影响成交结果的，按照下列情况处理：</w:t>
      </w:r>
    </w:p>
    <w:p w14:paraId="44F8E779">
      <w:pPr>
        <w:spacing w:line="360" w:lineRule="auto"/>
        <w:ind w:firstLine="420" w:firstLineChars="200"/>
        <w:rPr>
          <w:rFonts w:ascii="宋体" w:hAnsi="宋体" w:cs="宋体"/>
          <w:color w:val="auto"/>
        </w:rPr>
      </w:pPr>
      <w:r>
        <w:rPr>
          <w:rFonts w:hint="eastAsia" w:ascii="宋体" w:hAnsi="宋体" w:cs="宋体"/>
          <w:color w:val="auto"/>
        </w:rPr>
        <w:t>（一）对谈判文件提出的质疑，依法通过澄清或者修改可以继续开展采购活动的，澄清或者修改谈判文件后继续开展采购活动；否则应当修改谈判文件后重新开展采购活动。</w:t>
      </w:r>
    </w:p>
    <w:p w14:paraId="04553EA2">
      <w:pPr>
        <w:spacing w:line="360" w:lineRule="auto"/>
        <w:ind w:firstLine="420" w:firstLineChars="200"/>
        <w:rPr>
          <w:rFonts w:ascii="宋体" w:hAnsi="宋体" w:cs="宋体"/>
          <w:color w:val="auto"/>
        </w:rPr>
      </w:pPr>
      <w:r>
        <w:rPr>
          <w:rFonts w:hint="eastAsia" w:ascii="宋体" w:hAnsi="宋体" w:cs="宋体"/>
          <w:color w:val="auto"/>
        </w:rPr>
        <w:t>（二）对采购过程或者成交结果提出的质疑，合格供应商符合法定数量时，可以从合格的成交候选人中另行确定成交供应商的，应当依法另行确定成交供应商；否则应当重新开展采购活动。</w:t>
      </w:r>
    </w:p>
    <w:p w14:paraId="4E22A0AF">
      <w:pPr>
        <w:spacing w:line="360" w:lineRule="auto"/>
        <w:ind w:firstLine="420" w:firstLineChars="200"/>
        <w:rPr>
          <w:rFonts w:ascii="宋体" w:hAnsi="宋体" w:cs="宋体"/>
          <w:color w:val="auto"/>
        </w:rPr>
      </w:pPr>
      <w:r>
        <w:rPr>
          <w:rFonts w:hint="eastAsia" w:ascii="宋体" w:hAnsi="宋体" w:cs="宋体"/>
          <w:color w:val="auto"/>
        </w:rPr>
        <w:t>质疑答复导致成交结果改变的，采购人或者采购代理机构应当将有关情况书面报告采购人监督管理部门。</w:t>
      </w:r>
    </w:p>
    <w:p w14:paraId="0FEB3B0C">
      <w:pPr>
        <w:spacing w:line="360" w:lineRule="auto"/>
        <w:ind w:firstLine="420" w:firstLineChars="200"/>
        <w:rPr>
          <w:rFonts w:ascii="宋体" w:hAnsi="宋体" w:cs="宋体"/>
          <w:color w:val="auto"/>
          <w:szCs w:val="21"/>
        </w:rPr>
      </w:pPr>
      <w:r>
        <w:rPr>
          <w:rFonts w:hint="eastAsia" w:ascii="宋体" w:hAnsi="宋体" w:cs="宋体"/>
          <w:color w:val="auto"/>
        </w:rPr>
        <w:t>31.6投诉的权利。质疑供应商对采购人、采购代理机构的答复不满意，或者采购人、采购代理机构未在规定时间内作出答复的，可以在答复期满后15个工作日内向采购人监督管理部门提起投诉。</w:t>
      </w:r>
    </w:p>
    <w:p w14:paraId="091BD4E6">
      <w:pPr>
        <w:spacing w:line="360" w:lineRule="auto"/>
        <w:ind w:firstLine="482" w:firstLineChars="200"/>
        <w:rPr>
          <w:rFonts w:ascii="宋体" w:hAnsi="宋体" w:cs="宋体"/>
          <w:b/>
          <w:bCs/>
          <w:color w:val="auto"/>
          <w:sz w:val="24"/>
        </w:rPr>
      </w:pPr>
      <w:r>
        <w:rPr>
          <w:rFonts w:hint="eastAsia" w:ascii="宋体" w:hAnsi="宋体" w:cs="宋体"/>
          <w:b/>
          <w:bCs/>
          <w:color w:val="auto"/>
          <w:sz w:val="24"/>
        </w:rPr>
        <w:t>32.其他内容</w:t>
      </w:r>
    </w:p>
    <w:p w14:paraId="1F6A4F06">
      <w:pPr>
        <w:tabs>
          <w:tab w:val="left" w:pos="2835"/>
        </w:tabs>
        <w:spacing w:line="360" w:lineRule="auto"/>
        <w:ind w:firstLine="420" w:firstLineChars="200"/>
        <w:rPr>
          <w:rFonts w:ascii="宋体" w:hAnsi="宋体" w:cs="宋体"/>
          <w:color w:val="auto"/>
          <w:szCs w:val="21"/>
        </w:rPr>
      </w:pPr>
      <w:r>
        <w:rPr>
          <w:rFonts w:hint="eastAsia" w:ascii="宋体" w:hAnsi="宋体" w:cs="宋体"/>
          <w:color w:val="auto"/>
          <w:szCs w:val="21"/>
        </w:rPr>
        <w:t>32.1代理服务收费标准及缴费账户详见“供应商须知前附表”，供应商为联合体的，可以由联合体中的一方或者多方共同交纳代理服务费。</w:t>
      </w:r>
    </w:p>
    <w:p w14:paraId="3332011B">
      <w:pPr>
        <w:spacing w:line="360" w:lineRule="auto"/>
        <w:ind w:firstLine="482" w:firstLineChars="200"/>
        <w:rPr>
          <w:rFonts w:ascii="宋体" w:hAnsi="宋体" w:cs="宋体"/>
          <w:b/>
          <w:bCs/>
          <w:color w:val="auto"/>
          <w:sz w:val="24"/>
        </w:rPr>
      </w:pPr>
      <w:r>
        <w:rPr>
          <w:rFonts w:hint="eastAsia" w:ascii="宋体" w:hAnsi="宋体" w:cs="宋体"/>
          <w:b/>
          <w:bCs/>
          <w:color w:val="auto"/>
          <w:sz w:val="24"/>
        </w:rPr>
        <w:t>33.需要补充的其他内容</w:t>
      </w:r>
    </w:p>
    <w:p w14:paraId="55B1CA1D">
      <w:pPr>
        <w:spacing w:line="360" w:lineRule="auto"/>
        <w:ind w:firstLine="420" w:firstLineChars="200"/>
        <w:rPr>
          <w:rFonts w:ascii="宋体" w:hAnsi="宋体" w:cs="宋体"/>
          <w:color w:val="auto"/>
        </w:rPr>
      </w:pPr>
      <w:r>
        <w:rPr>
          <w:rFonts w:hint="eastAsia" w:ascii="宋体" w:hAnsi="宋体" w:cs="宋体"/>
          <w:color w:val="auto"/>
        </w:rPr>
        <w:t>33.1本谈判文件解释规则详见“供应商须知前附表”。</w:t>
      </w:r>
    </w:p>
    <w:p w14:paraId="328F3D14">
      <w:pPr>
        <w:spacing w:line="360" w:lineRule="auto"/>
        <w:ind w:firstLine="420" w:firstLineChars="200"/>
        <w:rPr>
          <w:rFonts w:ascii="宋体" w:hAnsi="宋体" w:cs="宋体"/>
          <w:color w:val="auto"/>
        </w:rPr>
      </w:pPr>
      <w:r>
        <w:rPr>
          <w:rFonts w:hint="eastAsia" w:ascii="宋体" w:hAnsi="宋体" w:cs="宋体"/>
          <w:color w:val="auto"/>
        </w:rPr>
        <w:t>33.2其他事项详见“供应商须知前附表”。</w:t>
      </w:r>
    </w:p>
    <w:p w14:paraId="338E8423">
      <w:pPr>
        <w:spacing w:line="360" w:lineRule="auto"/>
        <w:ind w:firstLine="420" w:firstLineChars="200"/>
        <w:rPr>
          <w:rFonts w:ascii="宋体" w:hAnsi="宋体" w:cs="宋体"/>
          <w:color w:val="auto"/>
        </w:rPr>
      </w:pPr>
      <w:r>
        <w:rPr>
          <w:rFonts w:hint="eastAsia" w:ascii="宋体" w:hAnsi="宋体" w:cs="宋体"/>
          <w:color w:val="auto"/>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货物符合下列情形的，享受本文件规定的中小企业扶持政策：</w:t>
      </w:r>
    </w:p>
    <w:p w14:paraId="0AE76E8C">
      <w:pPr>
        <w:spacing w:line="360" w:lineRule="auto"/>
        <w:ind w:firstLine="420" w:firstLineChars="200"/>
        <w:rPr>
          <w:rFonts w:ascii="宋体" w:hAnsi="宋体" w:cs="宋体"/>
          <w:color w:val="auto"/>
        </w:rPr>
      </w:pPr>
      <w:r>
        <w:rPr>
          <w:rFonts w:hint="eastAsia" w:ascii="宋体" w:hAnsi="宋体" w:cs="宋体"/>
          <w:color w:val="auto"/>
        </w:rPr>
        <w:t>在货物采购项目中，货物由中小企业制造，即货物由中小企业生产且使用该中小企业商号或者注册商标，不对其中涉及的工程承建商和货物的承接商作出要求；</w:t>
      </w:r>
    </w:p>
    <w:p w14:paraId="66770E58">
      <w:pPr>
        <w:spacing w:line="360" w:lineRule="auto"/>
        <w:ind w:firstLine="420" w:firstLineChars="200"/>
        <w:rPr>
          <w:rFonts w:ascii="宋体" w:hAnsi="宋体" w:cs="宋体"/>
          <w:color w:val="auto"/>
        </w:rPr>
      </w:pPr>
      <w:r>
        <w:rPr>
          <w:rFonts w:hint="eastAsia" w:ascii="宋体" w:hAnsi="宋体" w:cs="宋体"/>
          <w:color w:val="auto"/>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345678C5">
      <w:pPr>
        <w:spacing w:line="360" w:lineRule="auto"/>
        <w:ind w:firstLine="420" w:firstLineChars="200"/>
        <w:rPr>
          <w:rFonts w:ascii="宋体" w:hAnsi="宋体" w:cs="宋体"/>
          <w:color w:val="auto"/>
        </w:rPr>
      </w:pPr>
      <w:r>
        <w:rPr>
          <w:rFonts w:hint="eastAsia" w:ascii="宋体" w:hAnsi="宋体" w:cs="宋体"/>
          <w:color w:val="auto"/>
        </w:rPr>
        <w:t>依据本文件规定享受扶持政策获得政府采购合同的，小微企业不得将合同分包给大中型企业，中型企业不得将合同分包给大型企业。</w:t>
      </w:r>
    </w:p>
    <w:p w14:paraId="2F35A7E1">
      <w:pPr>
        <w:pStyle w:val="17"/>
        <w:rPr>
          <w:rFonts w:ascii="宋体" w:hAnsi="宋体" w:cs="宋体"/>
          <w:color w:val="auto"/>
        </w:rPr>
      </w:pPr>
    </w:p>
    <w:p w14:paraId="12151826">
      <w:pPr>
        <w:spacing w:line="360" w:lineRule="auto"/>
        <w:rPr>
          <w:rFonts w:ascii="宋体" w:hAnsi="宋体" w:cs="宋体"/>
          <w:color w:val="auto"/>
        </w:rPr>
      </w:pPr>
    </w:p>
    <w:p w14:paraId="0DC74993">
      <w:pPr>
        <w:rPr>
          <w:rFonts w:ascii="宋体" w:hAnsi="宋体" w:cs="宋体"/>
          <w:color w:val="auto"/>
        </w:rPr>
      </w:pPr>
      <w:r>
        <w:rPr>
          <w:rFonts w:hint="eastAsia" w:ascii="宋体" w:hAnsi="宋体" w:cs="宋体"/>
          <w:color w:val="auto"/>
        </w:rPr>
        <w:br w:type="page"/>
      </w:r>
    </w:p>
    <w:p w14:paraId="6BBC72DA">
      <w:pPr>
        <w:pStyle w:val="3"/>
        <w:jc w:val="center"/>
        <w:rPr>
          <w:rFonts w:ascii="宋体" w:hAnsi="宋体" w:cs="宋体"/>
          <w:color w:val="auto"/>
        </w:rPr>
      </w:pPr>
      <w:bookmarkStart w:id="56" w:name="_Toc18286"/>
      <w:r>
        <w:rPr>
          <w:rFonts w:hint="eastAsia" w:ascii="宋体" w:hAnsi="宋体" w:cs="宋体"/>
          <w:color w:val="auto"/>
        </w:rPr>
        <w:t>第三章  采购需求</w:t>
      </w:r>
      <w:bookmarkEnd w:id="56"/>
    </w:p>
    <w:p w14:paraId="1EE012B6">
      <w:pPr>
        <w:tabs>
          <w:tab w:val="left" w:pos="180"/>
          <w:tab w:val="left" w:pos="1620"/>
        </w:tabs>
        <w:spacing w:line="440" w:lineRule="exact"/>
        <w:rPr>
          <w:rFonts w:ascii="宋体" w:hAnsi="宋体" w:cs="宋体"/>
          <w:color w:val="auto"/>
          <w:szCs w:val="21"/>
        </w:rPr>
      </w:pPr>
      <w:r>
        <w:rPr>
          <w:rFonts w:hint="eastAsia" w:ascii="宋体" w:hAnsi="宋体" w:cs="宋体"/>
          <w:color w:val="auto"/>
          <w:szCs w:val="21"/>
        </w:rPr>
        <w:t>说明：</w:t>
      </w:r>
    </w:p>
    <w:p w14:paraId="30D5D559">
      <w:pPr>
        <w:spacing w:line="440" w:lineRule="exact"/>
        <w:ind w:firstLine="424" w:firstLineChars="202"/>
        <w:jc w:val="left"/>
        <w:rPr>
          <w:rFonts w:ascii="宋体" w:hAnsi="宋体" w:cs="宋体"/>
          <w:color w:val="auto"/>
          <w:szCs w:val="21"/>
        </w:rPr>
      </w:pPr>
      <w:r>
        <w:rPr>
          <w:rFonts w:hint="eastAsia" w:ascii="宋体" w:hAnsi="宋体" w:cs="宋体"/>
          <w:color w:val="auto"/>
          <w:szCs w:val="21"/>
        </w:rPr>
        <w:t>1、本项目需求表中的品牌型号仅起参考作用，竞标人可选用其他品牌型号替代，但这些替代的品牌型号要实质上相当于或优于参考品牌型号及其技术参数性能（配置）要求。</w:t>
      </w:r>
    </w:p>
    <w:p w14:paraId="38201127">
      <w:pPr>
        <w:spacing w:line="440" w:lineRule="exact"/>
        <w:ind w:firstLine="424" w:firstLineChars="202"/>
        <w:jc w:val="left"/>
        <w:rPr>
          <w:rFonts w:ascii="宋体" w:hAnsi="宋体" w:cs="宋体"/>
          <w:color w:val="auto"/>
          <w:szCs w:val="21"/>
        </w:rPr>
      </w:pPr>
      <w:r>
        <w:rPr>
          <w:rFonts w:hint="eastAsia" w:ascii="宋体" w:hAnsi="宋体" w:cs="宋体"/>
          <w:color w:val="auto"/>
          <w:szCs w:val="21"/>
        </w:rPr>
        <w:t>2、本项目需求表中带有“▲”的技术参数或要求为实质性要求，必须满足，竞标响应不得低于该技术指标或要求。</w:t>
      </w:r>
    </w:p>
    <w:p w14:paraId="61D3635D">
      <w:pPr>
        <w:spacing w:line="440" w:lineRule="exact"/>
        <w:ind w:firstLine="424" w:firstLineChars="202"/>
        <w:jc w:val="left"/>
        <w:rPr>
          <w:rFonts w:ascii="宋体" w:hAnsi="宋体" w:cs="宋体"/>
          <w:color w:val="auto"/>
          <w:szCs w:val="21"/>
        </w:rPr>
      </w:pPr>
      <w:r>
        <w:rPr>
          <w:rFonts w:hint="eastAsia" w:ascii="宋体" w:hAnsi="宋体" w:cs="宋体"/>
          <w:color w:val="auto"/>
          <w:szCs w:val="21"/>
        </w:rPr>
        <w:t>3、本竞争性谈判文件所称中小企业必须符合《政府采购促进中小企业发展管理办法》（财库〔2020〕46号）的规定。</w:t>
      </w:r>
    </w:p>
    <w:p w14:paraId="0503DCC7">
      <w:pPr>
        <w:spacing w:line="440" w:lineRule="exact"/>
        <w:ind w:firstLine="424" w:firstLineChars="202"/>
        <w:jc w:val="left"/>
        <w:rPr>
          <w:rFonts w:ascii="宋体" w:hAnsi="宋体" w:cs="宋体"/>
          <w:color w:val="auto"/>
          <w:szCs w:val="21"/>
        </w:rPr>
      </w:pPr>
      <w:r>
        <w:rPr>
          <w:rFonts w:hint="eastAsia" w:ascii="宋体" w:hAnsi="宋体" w:cs="宋体"/>
          <w:color w:val="auto"/>
          <w:szCs w:val="21"/>
        </w:rPr>
        <w:t>4、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w:t>
      </w:r>
      <w:r>
        <w:rPr>
          <w:rFonts w:hint="eastAsia" w:ascii="宋体" w:hAnsi="宋体" w:cs="宋体"/>
          <w:color w:val="auto"/>
          <w:szCs w:val="21"/>
          <w:lang w:val="en-US" w:eastAsia="zh-CN"/>
        </w:rPr>
        <w:t>形</w:t>
      </w:r>
      <w:r>
        <w:rPr>
          <w:rFonts w:hint="eastAsia" w:ascii="宋体" w:hAnsi="宋体" w:cs="宋体"/>
          <w:color w:val="auto"/>
          <w:szCs w:val="21"/>
        </w:rPr>
        <w:t>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竞标人的竞标货物必须使用政府强制采购的节能产品，竞标人必须在响应文件中提供由国家确定的认证机构出具的处于有效期之内的节能产品认证证书复印件（加盖供应商公章），否则相应竞标无效。</w:t>
      </w:r>
    </w:p>
    <w:p w14:paraId="4495339A">
      <w:pPr>
        <w:spacing w:line="440" w:lineRule="exact"/>
        <w:ind w:firstLine="424" w:firstLineChars="202"/>
        <w:jc w:val="left"/>
        <w:rPr>
          <w:rFonts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、供应商必须自行为其竞标产品侵犯他人的知识产权或者专利成果的行为承担相应法律责任。</w:t>
      </w:r>
    </w:p>
    <w:p w14:paraId="2A1C01C3">
      <w:pPr>
        <w:spacing w:line="440" w:lineRule="exact"/>
        <w:ind w:firstLine="424" w:firstLineChars="202"/>
        <w:jc w:val="left"/>
        <w:rPr>
          <w:rFonts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、供应商所竞标货物或服务如有国家相关标准、行业标准、地方标准或者其他标准、规范要求的按相关规定执行，若执行标准有修改或更新按最新版本执行。</w:t>
      </w:r>
    </w:p>
    <w:p w14:paraId="73442246">
      <w:pPr>
        <w:spacing w:line="440" w:lineRule="exact"/>
        <w:ind w:firstLine="424" w:firstLineChars="202"/>
        <w:jc w:val="left"/>
        <w:rPr>
          <w:rFonts w:ascii="宋体" w:hAnsi="宋体" w:cs="宋体"/>
          <w:b/>
          <w:bCs/>
          <w:color w:val="auto"/>
          <w:szCs w:val="21"/>
        </w:rPr>
      </w:pPr>
      <w:r>
        <w:rPr>
          <w:rFonts w:hint="eastAsia" w:ascii="宋体" w:hAnsi="宋体" w:cs="宋体"/>
          <w:color w:val="auto"/>
          <w:szCs w:val="21"/>
          <w:lang w:val="en-US" w:eastAsia="zh-CN"/>
        </w:rPr>
        <w:t>7</w:t>
      </w:r>
      <w:r>
        <w:rPr>
          <w:rFonts w:hint="eastAsia" w:ascii="宋体" w:hAnsi="宋体" w:cs="宋体"/>
          <w:color w:val="auto"/>
          <w:szCs w:val="21"/>
        </w:rPr>
        <w:t>、采购标的对应的中小企业划分标准所属行业：根据《关于印发中小企业划型标准规定的通知》（工信部联企业〔2011〕300号），本次采购标的属于：</w:t>
      </w:r>
      <w:r>
        <w:rPr>
          <w:rFonts w:hint="eastAsia" w:ascii="宋体" w:hAnsi="宋体" w:cs="宋体"/>
          <w:b/>
          <w:bCs/>
          <w:color w:val="auto"/>
          <w:szCs w:val="21"/>
        </w:rPr>
        <w:t>工业。</w:t>
      </w:r>
    </w:p>
    <w:p w14:paraId="44D16B89">
      <w:pPr>
        <w:spacing w:line="440" w:lineRule="exact"/>
        <w:ind w:firstLine="426" w:firstLineChars="202"/>
        <w:jc w:val="left"/>
        <w:rPr>
          <w:rFonts w:hint="eastAsia" w:ascii="宋体" w:hAnsi="宋体" w:cs="宋体"/>
          <w:b/>
          <w:bCs/>
          <w:color w:val="auto"/>
          <w:szCs w:val="21"/>
        </w:rPr>
      </w:pPr>
      <w:r>
        <w:rPr>
          <w:rFonts w:hint="eastAsia" w:ascii="宋体" w:hAnsi="宋体" w:cs="宋体"/>
          <w:b/>
          <w:bCs/>
          <w:color w:val="auto"/>
          <w:szCs w:val="21"/>
          <w:lang w:val="en-US" w:eastAsia="zh-CN"/>
        </w:rPr>
        <w:t>8</w:t>
      </w:r>
      <w:r>
        <w:rPr>
          <w:rFonts w:hint="eastAsia" w:ascii="宋体" w:hAnsi="宋体" w:cs="宋体"/>
          <w:b/>
          <w:bCs/>
          <w:color w:val="auto"/>
          <w:szCs w:val="21"/>
        </w:rPr>
        <w:t>、本项目核心产品为序号1：认证平台；多家有效供应商提供相同品牌产品，以核心产品为准；多个核心产品的，若有一种产品品牌相同，即视为提供相同品牌产品，则按一家供应商计算；非核心产品多家供应商提供相同品牌产品，则按多家供应商计算。</w:t>
      </w:r>
    </w:p>
    <w:p w14:paraId="1250A724">
      <w:pPr>
        <w:spacing w:line="440" w:lineRule="exact"/>
        <w:ind w:firstLine="426" w:firstLineChars="202"/>
        <w:jc w:val="left"/>
        <w:rPr>
          <w:rFonts w:hint="eastAsia" w:ascii="宋体" w:hAnsi="宋体" w:cs="宋体"/>
          <w:b/>
          <w:bCs/>
          <w:color w:val="auto"/>
          <w:szCs w:val="21"/>
        </w:rPr>
      </w:pPr>
    </w:p>
    <w:p w14:paraId="00F823C6">
      <w:pPr>
        <w:spacing w:line="440" w:lineRule="exact"/>
        <w:ind w:firstLine="426" w:firstLineChars="202"/>
        <w:jc w:val="left"/>
        <w:rPr>
          <w:rFonts w:hint="eastAsia" w:ascii="宋体" w:hAnsi="宋体" w:cs="宋体"/>
          <w:b/>
          <w:bCs/>
          <w:color w:val="auto"/>
          <w:szCs w:val="21"/>
        </w:rPr>
      </w:pPr>
    </w:p>
    <w:p w14:paraId="38B85EE4">
      <w:pPr>
        <w:spacing w:line="440" w:lineRule="exact"/>
        <w:ind w:firstLine="426" w:firstLineChars="202"/>
        <w:jc w:val="left"/>
        <w:rPr>
          <w:rFonts w:ascii="宋体" w:hAnsi="宋体" w:cs="宋体"/>
          <w:b/>
          <w:bCs/>
          <w:color w:val="auto"/>
          <w:szCs w:val="21"/>
        </w:rPr>
      </w:pPr>
    </w:p>
    <w:tbl>
      <w:tblPr>
        <w:tblStyle w:val="25"/>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1623"/>
        <w:gridCol w:w="780"/>
        <w:gridCol w:w="4981"/>
        <w:gridCol w:w="767"/>
        <w:gridCol w:w="764"/>
      </w:tblGrid>
      <w:tr w14:paraId="12209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3" w:type="dxa"/>
            <w:noWrap/>
            <w:vAlign w:val="center"/>
          </w:tcPr>
          <w:p w14:paraId="35B20DB2">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序号</w:t>
            </w:r>
          </w:p>
        </w:tc>
        <w:tc>
          <w:tcPr>
            <w:tcW w:w="1623" w:type="dxa"/>
            <w:vAlign w:val="center"/>
          </w:tcPr>
          <w:p w14:paraId="5A388DB0">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szCs w:val="21"/>
              </w:rPr>
              <w:t>标的名称</w:t>
            </w:r>
          </w:p>
        </w:tc>
        <w:tc>
          <w:tcPr>
            <w:tcW w:w="5761" w:type="dxa"/>
            <w:gridSpan w:val="2"/>
            <w:noWrap/>
            <w:vAlign w:val="center"/>
          </w:tcPr>
          <w:p w14:paraId="63378232">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技术参数及性能（配置）要求</w:t>
            </w:r>
          </w:p>
        </w:tc>
        <w:tc>
          <w:tcPr>
            <w:tcW w:w="767" w:type="dxa"/>
            <w:noWrap/>
            <w:vAlign w:val="center"/>
          </w:tcPr>
          <w:p w14:paraId="637CDB48">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数量</w:t>
            </w:r>
          </w:p>
        </w:tc>
        <w:tc>
          <w:tcPr>
            <w:tcW w:w="764" w:type="dxa"/>
            <w:noWrap/>
            <w:vAlign w:val="center"/>
          </w:tcPr>
          <w:p w14:paraId="0C14C7A4">
            <w:pPr>
              <w:widowControl/>
              <w:adjustRightInd w:val="0"/>
              <w:snapToGrid w:val="0"/>
              <w:spacing w:line="500" w:lineRule="exact"/>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rPr>
              <w:t>单位</w:t>
            </w:r>
          </w:p>
        </w:tc>
      </w:tr>
      <w:tr w14:paraId="156D0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458" w:type="dxa"/>
            <w:gridSpan w:val="6"/>
            <w:noWrap/>
            <w:vAlign w:val="center"/>
          </w:tcPr>
          <w:p w14:paraId="06807791">
            <w:pPr>
              <w:widowControl/>
              <w:adjustRightInd w:val="0"/>
              <w:snapToGrid w:val="0"/>
              <w:spacing w:line="500" w:lineRule="exact"/>
              <w:jc w:val="left"/>
              <w:rPr>
                <w:rFonts w:ascii="宋体" w:hAnsi="宋体" w:cs="宋体"/>
                <w:color w:val="auto"/>
                <w:kern w:val="0"/>
                <w:szCs w:val="21"/>
              </w:rPr>
            </w:pPr>
            <w:r>
              <w:rPr>
                <w:rFonts w:hint="eastAsia" w:ascii="宋体" w:hAnsi="宋体" w:cs="宋体"/>
                <w:color w:val="auto"/>
                <w:kern w:val="0"/>
                <w:szCs w:val="21"/>
              </w:rPr>
              <w:t>一、认证支付底层数据服务</w:t>
            </w:r>
          </w:p>
        </w:tc>
      </w:tr>
      <w:tr w14:paraId="4151A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3" w:type="dxa"/>
            <w:noWrap/>
            <w:vAlign w:val="center"/>
          </w:tcPr>
          <w:p w14:paraId="57FB1AD8">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1</w:t>
            </w:r>
          </w:p>
        </w:tc>
        <w:tc>
          <w:tcPr>
            <w:tcW w:w="1623" w:type="dxa"/>
            <w:vAlign w:val="center"/>
          </w:tcPr>
          <w:p w14:paraId="5AF734B7">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认证平台</w:t>
            </w:r>
          </w:p>
        </w:tc>
        <w:tc>
          <w:tcPr>
            <w:tcW w:w="5761" w:type="dxa"/>
            <w:gridSpan w:val="2"/>
            <w:vAlign w:val="center"/>
          </w:tcPr>
          <w:p w14:paraId="50B0EEB4">
            <w:pPr>
              <w:widowControl/>
              <w:adjustRightInd w:val="0"/>
              <w:snapToGrid w:val="0"/>
              <w:spacing w:line="500" w:lineRule="exact"/>
              <w:ind w:firstLine="420" w:firstLineChars="200"/>
              <w:rPr>
                <w:rFonts w:ascii="宋体" w:hAnsi="宋体" w:cs="宋体"/>
                <w:color w:val="auto"/>
                <w:kern w:val="0"/>
                <w:szCs w:val="21"/>
              </w:rPr>
            </w:pPr>
            <w:r>
              <w:rPr>
                <w:rFonts w:hint="eastAsia" w:ascii="宋体" w:hAnsi="宋体" w:cs="宋体"/>
                <w:color w:val="auto"/>
                <w:kern w:val="0"/>
                <w:szCs w:val="21"/>
              </w:rPr>
              <w:t>一、用户管理系统</w:t>
            </w:r>
          </w:p>
          <w:p w14:paraId="6AF51D8F">
            <w:pPr>
              <w:widowControl/>
              <w:adjustRightInd w:val="0"/>
              <w:snapToGrid w:val="0"/>
              <w:spacing w:line="500" w:lineRule="exact"/>
              <w:ind w:firstLine="420" w:firstLineChars="200"/>
              <w:rPr>
                <w:rFonts w:ascii="宋体" w:hAnsi="宋体" w:cs="宋体"/>
                <w:color w:val="auto"/>
                <w:kern w:val="0"/>
                <w:szCs w:val="21"/>
              </w:rPr>
            </w:pPr>
            <w:r>
              <w:rPr>
                <w:rFonts w:hint="eastAsia" w:ascii="宋体" w:hAnsi="宋体" w:cs="宋体"/>
                <w:color w:val="auto"/>
                <w:kern w:val="0"/>
                <w:szCs w:val="21"/>
              </w:rPr>
              <w:t>提供用户数据管理，包括数据和照片的批量导入导出功能；支持人员分为教工、学生和校外人员等大类；维护院系部门、身份类型、用户状态、民族、国籍等人员信息字典。具体功能需求如下：</w:t>
            </w:r>
          </w:p>
          <w:p w14:paraId="355322BD">
            <w:pPr>
              <w:widowControl/>
              <w:adjustRightInd w:val="0"/>
              <w:snapToGrid w:val="0"/>
              <w:spacing w:line="500" w:lineRule="exact"/>
              <w:ind w:firstLine="420" w:firstLineChars="200"/>
              <w:rPr>
                <w:rFonts w:ascii="宋体" w:hAnsi="宋体" w:cs="宋体"/>
                <w:color w:val="auto"/>
                <w:kern w:val="0"/>
                <w:szCs w:val="21"/>
              </w:rPr>
            </w:pPr>
            <w:r>
              <w:rPr>
                <w:rFonts w:hint="eastAsia" w:ascii="宋体" w:hAnsi="宋体" w:cs="宋体"/>
                <w:color w:val="auto"/>
                <w:kern w:val="0"/>
                <w:szCs w:val="21"/>
              </w:rPr>
              <w:t>1.具备对用户重置支付密码、修改支付密码、逐个编辑用户信息、批量编辑用户信息、查看用户信息明细，能以Excel表形式导出所有、选中、当前页用户的信息，能以Excel表形式导出所有、选中、当前页用户的企业微信信息。</w:t>
            </w:r>
          </w:p>
          <w:p w14:paraId="108301CA">
            <w:pPr>
              <w:widowControl/>
              <w:adjustRightInd w:val="0"/>
              <w:snapToGrid w:val="0"/>
              <w:spacing w:line="500" w:lineRule="exact"/>
              <w:ind w:firstLine="420" w:firstLineChars="200"/>
              <w:rPr>
                <w:rFonts w:ascii="宋体" w:hAnsi="宋体" w:cs="宋体"/>
                <w:color w:val="auto"/>
                <w:kern w:val="0"/>
                <w:szCs w:val="21"/>
              </w:rPr>
            </w:pPr>
            <w:r>
              <w:rPr>
                <w:rFonts w:hint="eastAsia" w:ascii="宋体" w:hAnsi="宋体" w:cs="宋体"/>
                <w:color w:val="auto"/>
                <w:kern w:val="0"/>
                <w:szCs w:val="21"/>
              </w:rPr>
              <w:t>2.用户同步管理：建立统一的数据接口，能将持卡人身份数据、照片实时同步至第三方应用系统，具备全量更新、重试、终止及查询某个时间段内的同步状态（包含失败已重试、成功、失败、待同步、失败已终止等）及同步结果（包含图片质量过低、图片尺寸过大、新增失败、同步成功等）功能。</w:t>
            </w:r>
          </w:p>
          <w:p w14:paraId="2CBDED60">
            <w:pPr>
              <w:widowControl/>
              <w:adjustRightInd w:val="0"/>
              <w:snapToGrid w:val="0"/>
              <w:spacing w:line="500" w:lineRule="exact"/>
              <w:ind w:firstLine="420" w:firstLineChars="200"/>
              <w:rPr>
                <w:rFonts w:ascii="宋体" w:hAnsi="宋体" w:cs="宋体"/>
                <w:color w:val="auto"/>
                <w:kern w:val="0"/>
                <w:szCs w:val="21"/>
              </w:rPr>
            </w:pPr>
            <w:r>
              <w:rPr>
                <w:rFonts w:hint="eastAsia" w:ascii="宋体" w:hAnsi="宋体" w:cs="宋体"/>
                <w:color w:val="auto"/>
                <w:kern w:val="0"/>
                <w:szCs w:val="21"/>
              </w:rPr>
              <w:t>3.可以设置用户信息在系统中的全局变量，包括校外人员编号规则和低风险人群，可以查询、批量导入和批量取消用户黑名单数据。</w:t>
            </w:r>
          </w:p>
          <w:p w14:paraId="2C09857E">
            <w:pPr>
              <w:widowControl/>
              <w:adjustRightInd w:val="0"/>
              <w:snapToGrid w:val="0"/>
              <w:spacing w:line="500" w:lineRule="exact"/>
              <w:ind w:firstLine="420" w:firstLineChars="200"/>
              <w:rPr>
                <w:rFonts w:ascii="宋体" w:hAnsi="宋体" w:cs="宋体"/>
                <w:color w:val="auto"/>
                <w:kern w:val="0"/>
                <w:szCs w:val="21"/>
              </w:rPr>
            </w:pPr>
            <w:r>
              <w:rPr>
                <w:rFonts w:hint="eastAsia" w:ascii="宋体" w:hAnsi="宋体" w:cs="宋体"/>
                <w:color w:val="auto"/>
                <w:kern w:val="0"/>
                <w:szCs w:val="21"/>
              </w:rPr>
              <w:t>4.</w:t>
            </w:r>
            <w:r>
              <w:rPr>
                <w:rFonts w:hint="eastAsia" w:ascii="宋体" w:hAnsi="宋体" w:cs="宋体"/>
                <w:color w:val="auto"/>
                <w:kern w:val="0"/>
                <w:szCs w:val="21"/>
                <w:lang w:val="en-US" w:eastAsia="zh-CN"/>
              </w:rPr>
              <w:t>校园</w:t>
            </w:r>
            <w:r>
              <w:rPr>
                <w:rFonts w:hint="eastAsia" w:ascii="宋体" w:hAnsi="宋体" w:cs="宋体"/>
                <w:color w:val="auto"/>
                <w:kern w:val="0"/>
                <w:szCs w:val="21"/>
              </w:rPr>
              <w:t>卡申请管理：支持以申请状态、申请人、</w:t>
            </w:r>
            <w:r>
              <w:rPr>
                <w:rFonts w:hint="eastAsia" w:ascii="宋体" w:hAnsi="宋体" w:cs="宋体"/>
                <w:color w:val="auto"/>
                <w:kern w:val="0"/>
                <w:szCs w:val="21"/>
                <w:lang w:val="en-US" w:eastAsia="zh-CN"/>
              </w:rPr>
              <w:t>使用人</w:t>
            </w:r>
            <w:r>
              <w:rPr>
                <w:rFonts w:hint="eastAsia" w:ascii="宋体" w:hAnsi="宋体" w:cs="宋体"/>
                <w:color w:val="auto"/>
                <w:kern w:val="0"/>
                <w:szCs w:val="21"/>
              </w:rPr>
              <w:t>姓名、手机号查询申请的</w:t>
            </w:r>
            <w:r>
              <w:rPr>
                <w:rFonts w:hint="eastAsia" w:ascii="宋体" w:hAnsi="宋体" w:cs="宋体"/>
                <w:color w:val="auto"/>
                <w:kern w:val="0"/>
                <w:szCs w:val="21"/>
                <w:lang w:val="en-US" w:eastAsia="zh-CN"/>
              </w:rPr>
              <w:t>校园</w:t>
            </w:r>
            <w:r>
              <w:rPr>
                <w:rFonts w:hint="eastAsia" w:ascii="宋体" w:hAnsi="宋体" w:cs="宋体"/>
                <w:color w:val="auto"/>
                <w:kern w:val="0"/>
                <w:szCs w:val="21"/>
              </w:rPr>
              <w:t>卡，并能对申请的</w:t>
            </w:r>
            <w:r>
              <w:rPr>
                <w:rFonts w:hint="eastAsia" w:ascii="宋体" w:hAnsi="宋体" w:cs="宋体"/>
                <w:color w:val="auto"/>
                <w:kern w:val="0"/>
                <w:szCs w:val="21"/>
                <w:lang w:val="en-US" w:eastAsia="zh-CN"/>
              </w:rPr>
              <w:t>校园</w:t>
            </w:r>
            <w:r>
              <w:rPr>
                <w:rFonts w:hint="eastAsia" w:ascii="宋体" w:hAnsi="宋体" w:cs="宋体"/>
                <w:color w:val="auto"/>
                <w:kern w:val="0"/>
                <w:szCs w:val="21"/>
              </w:rPr>
              <w:t>卡进行审批。</w:t>
            </w:r>
          </w:p>
          <w:p w14:paraId="559A7D92">
            <w:pPr>
              <w:widowControl/>
              <w:adjustRightInd w:val="0"/>
              <w:snapToGrid w:val="0"/>
              <w:spacing w:line="500" w:lineRule="exact"/>
              <w:ind w:firstLine="420" w:firstLineChars="200"/>
              <w:rPr>
                <w:rFonts w:hint="default" w:ascii="宋体" w:hAnsi="宋体" w:eastAsia="宋体" w:cs="宋体"/>
                <w:color w:val="auto"/>
                <w:kern w:val="0"/>
                <w:szCs w:val="21"/>
                <w:lang w:val="en-US" w:eastAsia="zh-CN"/>
              </w:rPr>
            </w:pPr>
            <w:r>
              <w:rPr>
                <w:rFonts w:hint="eastAsia" w:ascii="宋体" w:hAnsi="宋体" w:cs="宋体"/>
                <w:color w:val="auto"/>
                <w:kern w:val="0"/>
                <w:szCs w:val="21"/>
              </w:rPr>
              <w:t>5.可新增、删除用户信息，包括用户编号、身份类型、用户状态、姓名、证件类型、证件号码、院系部门、手机号码、专业、年级、班级、性别、生日、国籍、民族、有效期、上传证件头像；并可增加扩展信息，包括校区、宿舍号、生源地、毕业院校、家庭住址等。</w:t>
            </w:r>
            <w:r>
              <w:rPr>
                <w:rFonts w:hint="eastAsia" w:ascii="宋体" w:hAnsi="宋体" w:cs="宋体"/>
                <w:color w:val="auto"/>
                <w:kern w:val="0"/>
                <w:szCs w:val="21"/>
                <w:lang w:val="en-US" w:eastAsia="zh-CN"/>
              </w:rPr>
              <w:t>支持管理员可查询删除用户的信息及历史消费记录。</w:t>
            </w:r>
          </w:p>
          <w:p w14:paraId="37C72685">
            <w:pPr>
              <w:widowControl/>
              <w:adjustRightInd w:val="0"/>
              <w:snapToGrid w:val="0"/>
              <w:spacing w:line="500" w:lineRule="exact"/>
              <w:ind w:firstLine="420" w:firstLineChars="200"/>
              <w:rPr>
                <w:rFonts w:ascii="宋体" w:hAnsi="宋体" w:cs="宋体"/>
                <w:color w:val="auto"/>
                <w:kern w:val="0"/>
                <w:szCs w:val="21"/>
              </w:rPr>
            </w:pPr>
            <w:r>
              <w:rPr>
                <w:rFonts w:hint="eastAsia" w:ascii="宋体" w:hAnsi="宋体" w:cs="宋体"/>
                <w:color w:val="auto"/>
                <w:kern w:val="0"/>
                <w:szCs w:val="21"/>
              </w:rPr>
              <w:t>6.能批量导入学生、教</w:t>
            </w:r>
            <w:r>
              <w:rPr>
                <w:rFonts w:hint="eastAsia" w:ascii="宋体" w:hAnsi="宋体" w:cs="宋体"/>
                <w:color w:val="auto"/>
                <w:kern w:val="0"/>
                <w:szCs w:val="21"/>
                <w:lang w:val="en-US" w:eastAsia="zh-CN"/>
              </w:rPr>
              <w:t>职工及</w:t>
            </w:r>
            <w:r>
              <w:rPr>
                <w:rFonts w:hint="eastAsia" w:ascii="宋体" w:hAnsi="宋体" w:cs="宋体"/>
                <w:color w:val="auto"/>
                <w:kern w:val="0"/>
                <w:szCs w:val="21"/>
              </w:rPr>
              <w:t>校外</w:t>
            </w:r>
            <w:r>
              <w:rPr>
                <w:rFonts w:hint="eastAsia" w:ascii="宋体" w:hAnsi="宋体" w:cs="宋体"/>
                <w:color w:val="auto"/>
                <w:kern w:val="0"/>
                <w:szCs w:val="21"/>
                <w:lang w:val="en-US" w:eastAsia="zh-CN"/>
              </w:rPr>
              <w:t>等</w:t>
            </w:r>
            <w:r>
              <w:rPr>
                <w:rFonts w:hint="eastAsia" w:ascii="宋体" w:hAnsi="宋体" w:cs="宋体"/>
                <w:color w:val="auto"/>
                <w:kern w:val="0"/>
                <w:szCs w:val="21"/>
              </w:rPr>
              <w:t>人员信息。</w:t>
            </w:r>
          </w:p>
          <w:p w14:paraId="45DCB80D">
            <w:pPr>
              <w:widowControl/>
              <w:adjustRightInd w:val="0"/>
              <w:snapToGrid w:val="0"/>
              <w:spacing w:line="500" w:lineRule="exact"/>
              <w:ind w:firstLine="420" w:firstLineChars="200"/>
              <w:rPr>
                <w:rFonts w:ascii="宋体" w:hAnsi="宋体" w:cs="宋体"/>
                <w:color w:val="auto"/>
                <w:kern w:val="0"/>
                <w:szCs w:val="21"/>
              </w:rPr>
            </w:pPr>
            <w:r>
              <w:rPr>
                <w:rFonts w:hint="eastAsia" w:ascii="宋体" w:hAnsi="宋体" w:cs="宋体"/>
                <w:color w:val="auto"/>
                <w:kern w:val="0"/>
                <w:szCs w:val="21"/>
              </w:rPr>
              <w:t>7.能批量导入用户头像、导出头像，批量导入照片，支持jpeg、jpg、png格式的照片。</w:t>
            </w:r>
          </w:p>
          <w:p w14:paraId="7F637D61">
            <w:pPr>
              <w:widowControl/>
              <w:adjustRightInd w:val="0"/>
              <w:snapToGrid w:val="0"/>
              <w:spacing w:line="500" w:lineRule="exact"/>
              <w:ind w:firstLine="420" w:firstLineChars="200"/>
              <w:rPr>
                <w:rFonts w:ascii="宋体" w:hAnsi="宋体" w:cs="宋体"/>
                <w:color w:val="auto"/>
                <w:kern w:val="0"/>
                <w:szCs w:val="21"/>
              </w:rPr>
            </w:pPr>
            <w:r>
              <w:rPr>
                <w:rFonts w:ascii="宋体" w:hAnsi="宋体" w:cs="宋体"/>
                <w:color w:val="auto"/>
                <w:kern w:val="0"/>
                <w:szCs w:val="21"/>
              </w:rPr>
              <w:t>8</w:t>
            </w:r>
            <w:r>
              <w:rPr>
                <w:rFonts w:hint="eastAsia" w:ascii="宋体" w:hAnsi="宋体" w:cs="宋体"/>
                <w:color w:val="auto"/>
                <w:kern w:val="0"/>
                <w:szCs w:val="21"/>
              </w:rPr>
              <w:t>.一键延期：支持一键延期一卡通有效期一周、一</w:t>
            </w:r>
            <w:r>
              <w:rPr>
                <w:rFonts w:hint="eastAsia" w:ascii="宋体" w:hAnsi="宋体" w:cs="宋体"/>
                <w:color w:val="auto"/>
                <w:kern w:val="0"/>
                <w:szCs w:val="21"/>
                <w:lang w:val="en-US" w:eastAsia="zh-CN"/>
              </w:rPr>
              <w:t>个</w:t>
            </w:r>
            <w:r>
              <w:rPr>
                <w:rFonts w:hint="eastAsia" w:ascii="宋体" w:hAnsi="宋体" w:cs="宋体"/>
                <w:color w:val="auto"/>
                <w:kern w:val="0"/>
                <w:szCs w:val="21"/>
              </w:rPr>
              <w:t>月、六个月</w:t>
            </w:r>
            <w:r>
              <w:rPr>
                <w:rFonts w:hint="eastAsia" w:ascii="宋体" w:hAnsi="宋体" w:cs="宋体"/>
                <w:color w:val="auto"/>
                <w:kern w:val="0"/>
                <w:szCs w:val="21"/>
                <w:lang w:eastAsia="zh-CN"/>
              </w:rPr>
              <w:t>（</w:t>
            </w:r>
            <w:r>
              <w:rPr>
                <w:rFonts w:hint="eastAsia" w:ascii="宋体" w:hAnsi="宋体" w:eastAsia="宋体" w:cs="宋体"/>
                <w:b w:val="0"/>
                <w:bCs w:val="0"/>
                <w:color w:val="auto"/>
                <w:kern w:val="0"/>
                <w:sz w:val="21"/>
                <w:szCs w:val="21"/>
                <w:vertAlign w:val="baseline"/>
                <w:lang w:val="en-US" w:eastAsia="zh-CN"/>
              </w:rPr>
              <w:t>支持用户自定</w:t>
            </w:r>
            <w:r>
              <w:rPr>
                <w:rFonts w:hint="eastAsia" w:ascii="宋体" w:hAnsi="宋体" w:cs="宋体"/>
                <w:b w:val="0"/>
                <w:bCs w:val="0"/>
                <w:color w:val="auto"/>
                <w:kern w:val="0"/>
                <w:sz w:val="21"/>
                <w:szCs w:val="21"/>
                <w:vertAlign w:val="baseline"/>
                <w:lang w:val="en-US" w:eastAsia="zh-CN"/>
              </w:rPr>
              <w:t>义</w:t>
            </w:r>
            <w:r>
              <w:rPr>
                <w:rFonts w:hint="eastAsia" w:ascii="宋体" w:hAnsi="宋体" w:eastAsia="宋体" w:cs="宋体"/>
                <w:b w:val="0"/>
                <w:bCs w:val="0"/>
                <w:color w:val="auto"/>
                <w:kern w:val="0"/>
                <w:sz w:val="21"/>
                <w:szCs w:val="21"/>
                <w:vertAlign w:val="baseline"/>
                <w:lang w:val="en-US" w:eastAsia="zh-CN"/>
              </w:rPr>
              <w:t>延期时间）</w:t>
            </w:r>
            <w:r>
              <w:rPr>
                <w:rFonts w:hint="eastAsia" w:ascii="宋体" w:hAnsi="宋体" w:cs="宋体"/>
                <w:color w:val="auto"/>
                <w:kern w:val="0"/>
                <w:szCs w:val="21"/>
              </w:rPr>
              <w:t>。</w:t>
            </w:r>
          </w:p>
          <w:p w14:paraId="73E1E982">
            <w:pPr>
              <w:widowControl/>
              <w:adjustRightInd w:val="0"/>
              <w:snapToGrid w:val="0"/>
              <w:spacing w:line="500" w:lineRule="exact"/>
              <w:ind w:firstLine="420" w:firstLineChars="200"/>
              <w:rPr>
                <w:rFonts w:ascii="宋体" w:hAnsi="宋体" w:cs="宋体"/>
                <w:color w:val="auto"/>
                <w:kern w:val="0"/>
                <w:szCs w:val="21"/>
              </w:rPr>
            </w:pPr>
            <w:r>
              <w:rPr>
                <w:rFonts w:ascii="宋体" w:hAnsi="宋体" w:cs="宋体"/>
                <w:color w:val="auto"/>
                <w:kern w:val="0"/>
                <w:szCs w:val="21"/>
              </w:rPr>
              <w:t>9</w:t>
            </w:r>
            <w:r>
              <w:rPr>
                <w:rFonts w:hint="eastAsia" w:ascii="宋体" w:hAnsi="宋体" w:cs="宋体"/>
                <w:color w:val="auto"/>
                <w:kern w:val="0"/>
                <w:szCs w:val="21"/>
              </w:rPr>
              <w:t>.身份字典管理：可设置人员的用户状态、民族、国家、身份类型基础参数，可根据实际需要进行新增、编辑、删除等功能；可将用户分为学生、教</w:t>
            </w:r>
            <w:r>
              <w:rPr>
                <w:rFonts w:hint="eastAsia" w:ascii="宋体" w:hAnsi="宋体" w:cs="宋体"/>
                <w:color w:val="auto"/>
                <w:kern w:val="0"/>
                <w:szCs w:val="21"/>
                <w:lang w:val="en-US" w:eastAsia="zh-CN"/>
              </w:rPr>
              <w:t>职工及</w:t>
            </w:r>
            <w:r>
              <w:rPr>
                <w:rFonts w:hint="eastAsia" w:ascii="宋体" w:hAnsi="宋体" w:cs="宋体"/>
                <w:color w:val="auto"/>
                <w:kern w:val="0"/>
                <w:szCs w:val="21"/>
              </w:rPr>
              <w:t>校外</w:t>
            </w:r>
            <w:r>
              <w:rPr>
                <w:rFonts w:hint="eastAsia" w:ascii="宋体" w:hAnsi="宋体" w:cs="宋体"/>
                <w:color w:val="auto"/>
                <w:kern w:val="0"/>
                <w:szCs w:val="21"/>
                <w:lang w:val="en-US" w:eastAsia="zh-CN"/>
              </w:rPr>
              <w:t>等</w:t>
            </w:r>
            <w:r>
              <w:rPr>
                <w:rFonts w:hint="eastAsia" w:ascii="宋体" w:hAnsi="宋体" w:cs="宋体"/>
                <w:color w:val="auto"/>
                <w:kern w:val="0"/>
                <w:szCs w:val="21"/>
              </w:rPr>
              <w:t>人员三大类，具有不同的人员属性。</w:t>
            </w:r>
          </w:p>
          <w:p w14:paraId="607C5E2E">
            <w:pPr>
              <w:widowControl/>
              <w:adjustRightInd w:val="0"/>
              <w:snapToGrid w:val="0"/>
              <w:spacing w:line="500" w:lineRule="exact"/>
              <w:ind w:firstLine="420" w:firstLineChars="200"/>
              <w:rPr>
                <w:rFonts w:ascii="宋体" w:hAnsi="宋体" w:cs="宋体"/>
                <w:color w:val="auto"/>
                <w:kern w:val="0"/>
                <w:szCs w:val="21"/>
              </w:rPr>
            </w:pPr>
            <w:r>
              <w:rPr>
                <w:rFonts w:ascii="宋体" w:hAnsi="宋体" w:cs="宋体"/>
                <w:color w:val="auto"/>
                <w:kern w:val="0"/>
                <w:szCs w:val="21"/>
              </w:rPr>
              <w:t>10</w:t>
            </w:r>
            <w:r>
              <w:rPr>
                <w:rFonts w:hint="eastAsia" w:ascii="宋体" w:hAnsi="宋体" w:cs="宋体"/>
                <w:color w:val="auto"/>
                <w:kern w:val="0"/>
                <w:szCs w:val="21"/>
              </w:rPr>
              <w:t>.院系部门管理：可设置学校的院系、部门编号、名称等信息，并可为其他模块提供基础院系部门信息，支持院系部门的新增、删除、修改、同级部门间的排序、移动等。</w:t>
            </w:r>
          </w:p>
          <w:p w14:paraId="15C3D9F2">
            <w:pPr>
              <w:widowControl/>
              <w:adjustRightInd w:val="0"/>
              <w:snapToGrid w:val="0"/>
              <w:spacing w:line="500" w:lineRule="exact"/>
              <w:ind w:firstLine="420" w:firstLineChars="200"/>
              <w:rPr>
                <w:rFonts w:ascii="宋体" w:hAnsi="宋体" w:cs="宋体"/>
                <w:color w:val="auto"/>
                <w:kern w:val="0"/>
                <w:szCs w:val="21"/>
              </w:rPr>
            </w:pPr>
            <w:r>
              <w:rPr>
                <w:rFonts w:hint="eastAsia" w:ascii="宋体" w:hAnsi="宋体" w:cs="宋体"/>
                <w:color w:val="auto"/>
                <w:kern w:val="0"/>
                <w:szCs w:val="21"/>
              </w:rPr>
              <w:t>二、IC卡管理系统</w:t>
            </w:r>
          </w:p>
          <w:p w14:paraId="0D27F207">
            <w:pPr>
              <w:widowControl/>
              <w:adjustRightInd w:val="0"/>
              <w:snapToGrid w:val="0"/>
              <w:spacing w:line="500" w:lineRule="exact"/>
              <w:ind w:firstLine="420" w:firstLineChars="200"/>
              <w:rPr>
                <w:rFonts w:ascii="宋体" w:hAnsi="宋体" w:cs="宋体"/>
                <w:color w:val="auto"/>
                <w:kern w:val="0"/>
                <w:szCs w:val="21"/>
              </w:rPr>
            </w:pPr>
            <w:r>
              <w:rPr>
                <w:rFonts w:hint="eastAsia" w:ascii="宋体" w:hAnsi="宋体" w:cs="宋体"/>
                <w:color w:val="auto"/>
                <w:kern w:val="0"/>
                <w:szCs w:val="21"/>
              </w:rPr>
              <w:t>提供IC卡管理、IC卡综合处理、批量发卡、IC卡操作日志、擦除卡片、发卡参数模板和发卡报表等功能。综合处理支持IC卡的发卡、打印、挂失、更换、矫正、注销、修改有效期等操作，支持银行卡的绑定、支付密码的修改等。具体功能要求如下：</w:t>
            </w:r>
          </w:p>
          <w:p w14:paraId="77A9134C">
            <w:pPr>
              <w:widowControl/>
              <w:adjustRightInd w:val="0"/>
              <w:snapToGrid w:val="0"/>
              <w:spacing w:line="500" w:lineRule="exact"/>
              <w:ind w:firstLine="420" w:firstLineChars="200"/>
              <w:rPr>
                <w:rFonts w:ascii="宋体" w:hAnsi="宋体" w:cs="宋体"/>
                <w:color w:val="auto"/>
                <w:kern w:val="0"/>
                <w:szCs w:val="21"/>
              </w:rPr>
            </w:pPr>
            <w:r>
              <w:rPr>
                <w:rFonts w:hint="eastAsia" w:ascii="宋体" w:hAnsi="宋体" w:cs="宋体"/>
                <w:color w:val="auto"/>
                <w:kern w:val="0"/>
                <w:szCs w:val="21"/>
              </w:rPr>
              <w:t>1.IC卡管理：可以查看已发行的IC卡数据；进行综合处理，包括挂失、解挂卡；可以列表查询、批量编辑和批量注销IC卡；可以进行批量无卡发卡；可以导出和导入卡片数据。</w:t>
            </w:r>
          </w:p>
          <w:p w14:paraId="400515A4">
            <w:pPr>
              <w:widowControl/>
              <w:adjustRightInd w:val="0"/>
              <w:snapToGrid w:val="0"/>
              <w:spacing w:line="500" w:lineRule="exact"/>
              <w:ind w:firstLine="420" w:firstLineChars="200"/>
              <w:rPr>
                <w:rFonts w:ascii="宋体" w:hAnsi="宋体" w:cs="宋体"/>
                <w:color w:val="auto"/>
                <w:kern w:val="0"/>
                <w:szCs w:val="21"/>
              </w:rPr>
            </w:pPr>
            <w:r>
              <w:rPr>
                <w:rFonts w:hint="eastAsia" w:ascii="宋体" w:hAnsi="宋体" w:cs="宋体"/>
                <w:color w:val="auto"/>
                <w:kern w:val="0"/>
                <w:szCs w:val="21"/>
              </w:rPr>
              <w:t>2.钱包流水查询：查询卡绑定的虚拟卡钱包的交易明细；可通过交易类型、用户编号、系统订单号、业务单位、支付项目、网点、操作员、终端类型、姓名、身份类型等类型查询流水，同时可以以Excel表的形式导出所有、选中、当前页模式的钱包流水。</w:t>
            </w:r>
          </w:p>
          <w:p w14:paraId="5F3F9F35">
            <w:pPr>
              <w:widowControl/>
              <w:adjustRightInd w:val="0"/>
              <w:snapToGrid w:val="0"/>
              <w:spacing w:line="500" w:lineRule="exact"/>
              <w:ind w:firstLine="420" w:firstLineChars="200"/>
              <w:rPr>
                <w:rFonts w:ascii="宋体" w:hAnsi="宋体" w:cs="宋体"/>
                <w:color w:val="auto"/>
                <w:kern w:val="0"/>
                <w:szCs w:val="21"/>
              </w:rPr>
            </w:pPr>
            <w:r>
              <w:rPr>
                <w:rFonts w:hint="eastAsia" w:ascii="宋体" w:hAnsi="宋体" w:cs="宋体"/>
                <w:color w:val="auto"/>
                <w:kern w:val="0"/>
                <w:szCs w:val="21"/>
              </w:rPr>
              <w:t>3.IC卡操作查询：可以查看对IC卡的各种管理性质操作的日志，包括用户通过自主终端和H5服务方式的修改；可以进行发卡、挂失、有效期修改、更换、矫正、注销和退卡。</w:t>
            </w:r>
          </w:p>
          <w:p w14:paraId="10E2878A">
            <w:pPr>
              <w:widowControl/>
              <w:adjustRightInd w:val="0"/>
              <w:snapToGrid w:val="0"/>
              <w:spacing w:line="500" w:lineRule="exact"/>
              <w:ind w:firstLine="420" w:firstLineChars="200"/>
              <w:rPr>
                <w:rFonts w:ascii="宋体" w:hAnsi="宋体" w:cs="宋体"/>
                <w:color w:val="auto"/>
                <w:kern w:val="0"/>
                <w:szCs w:val="21"/>
              </w:rPr>
            </w:pPr>
            <w:r>
              <w:rPr>
                <w:rFonts w:hint="eastAsia" w:ascii="宋体" w:hAnsi="宋体" w:cs="宋体"/>
                <w:color w:val="auto"/>
                <w:kern w:val="0"/>
                <w:szCs w:val="21"/>
              </w:rPr>
              <w:t>4.拾卡登记管理：可以展示拾到的卡信息和拾取人员信息；可以对卡号、丢卡用户编号和拾卡用户编号进行数据过滤，展示符合条件的数据。</w:t>
            </w:r>
          </w:p>
          <w:p w14:paraId="5E82F5CB">
            <w:pPr>
              <w:widowControl/>
              <w:adjustRightInd w:val="0"/>
              <w:snapToGrid w:val="0"/>
              <w:spacing w:line="500" w:lineRule="exact"/>
              <w:ind w:firstLine="420" w:firstLineChars="200"/>
              <w:rPr>
                <w:rFonts w:ascii="宋体" w:hAnsi="宋体" w:cs="宋体"/>
                <w:color w:val="auto"/>
                <w:kern w:val="0"/>
                <w:szCs w:val="21"/>
              </w:rPr>
            </w:pPr>
            <w:r>
              <w:rPr>
                <w:rFonts w:hint="eastAsia" w:ascii="宋体" w:hAnsi="宋体" w:cs="宋体"/>
                <w:color w:val="auto"/>
                <w:kern w:val="0"/>
                <w:szCs w:val="21"/>
              </w:rPr>
              <w:t>5.可以记录IC卡在进行擦写时出现的失败记录，包括操作时间、操作终端、卡号、卡物理ID和原因。</w:t>
            </w:r>
          </w:p>
          <w:p w14:paraId="08048D62">
            <w:pPr>
              <w:widowControl/>
              <w:adjustRightInd w:val="0"/>
              <w:snapToGrid w:val="0"/>
              <w:spacing w:line="500" w:lineRule="exact"/>
              <w:ind w:firstLine="420" w:firstLineChars="200"/>
              <w:rPr>
                <w:rFonts w:ascii="宋体" w:hAnsi="宋体" w:cs="宋体"/>
                <w:color w:val="auto"/>
                <w:kern w:val="0"/>
                <w:szCs w:val="21"/>
              </w:rPr>
            </w:pPr>
            <w:r>
              <w:rPr>
                <w:rFonts w:hint="eastAsia" w:ascii="宋体" w:hAnsi="宋体" w:cs="宋体"/>
                <w:color w:val="auto"/>
                <w:kern w:val="0"/>
                <w:szCs w:val="21"/>
              </w:rPr>
              <w:t>6.复制卡风险日志：具有以卡号、卡物理ID、用户编号、终端、时间区间查询复制卡的消费使用日志功能。</w:t>
            </w:r>
          </w:p>
          <w:p w14:paraId="0038D0C0">
            <w:pPr>
              <w:widowControl/>
              <w:adjustRightInd w:val="0"/>
              <w:snapToGrid w:val="0"/>
              <w:spacing w:line="500" w:lineRule="exact"/>
              <w:ind w:firstLine="420" w:firstLineChars="200"/>
              <w:rPr>
                <w:rFonts w:ascii="宋体" w:hAnsi="宋体" w:cs="宋体"/>
                <w:color w:val="auto"/>
                <w:kern w:val="0"/>
                <w:szCs w:val="21"/>
              </w:rPr>
            </w:pPr>
            <w:r>
              <w:rPr>
                <w:rFonts w:hint="eastAsia" w:ascii="宋体" w:hAnsi="宋体" w:cs="宋体"/>
                <w:color w:val="auto"/>
                <w:kern w:val="0"/>
                <w:szCs w:val="21"/>
              </w:rPr>
              <w:t>7.发卡参数模板：可对发卡参数建立模板，具有模板名称、卡类型、适用人群、办卡收费类型、押金、换卡工本费、卡片打印正反面模板设置功能。</w:t>
            </w:r>
          </w:p>
          <w:p w14:paraId="1ED699FC">
            <w:pPr>
              <w:widowControl/>
              <w:adjustRightInd w:val="0"/>
              <w:snapToGrid w:val="0"/>
              <w:spacing w:line="500" w:lineRule="exact"/>
              <w:ind w:firstLine="420" w:firstLineChars="200"/>
              <w:rPr>
                <w:rFonts w:ascii="宋体" w:hAnsi="宋体" w:cs="宋体"/>
                <w:color w:val="auto"/>
                <w:kern w:val="0"/>
                <w:szCs w:val="21"/>
              </w:rPr>
            </w:pPr>
            <w:r>
              <w:rPr>
                <w:rFonts w:hint="eastAsia" w:ascii="宋体" w:hAnsi="宋体" w:cs="宋体"/>
                <w:color w:val="auto"/>
                <w:kern w:val="0"/>
                <w:szCs w:val="21"/>
              </w:rPr>
              <w:t>8.一人多卡：每个可发放多张有效可用的IC卡，每张IC卡都使用同一钱包支付。</w:t>
            </w:r>
          </w:p>
          <w:p w14:paraId="091C7DF9">
            <w:pPr>
              <w:widowControl/>
              <w:adjustRightInd w:val="0"/>
              <w:snapToGrid w:val="0"/>
              <w:spacing w:line="500" w:lineRule="exact"/>
              <w:ind w:firstLine="420" w:firstLineChars="200"/>
              <w:rPr>
                <w:rFonts w:ascii="宋体" w:hAnsi="宋体" w:cs="宋体"/>
                <w:color w:val="auto"/>
                <w:kern w:val="0"/>
                <w:szCs w:val="21"/>
              </w:rPr>
            </w:pPr>
            <w:r>
              <w:rPr>
                <w:rFonts w:ascii="宋体" w:hAnsi="宋体" w:cs="宋体"/>
                <w:color w:val="auto"/>
                <w:kern w:val="0"/>
                <w:szCs w:val="21"/>
              </w:rPr>
              <w:t>9</w:t>
            </w:r>
            <w:r>
              <w:rPr>
                <w:rFonts w:hint="eastAsia" w:ascii="宋体" w:hAnsi="宋体" w:cs="宋体"/>
                <w:color w:val="auto"/>
                <w:kern w:val="0"/>
                <w:szCs w:val="21"/>
              </w:rPr>
              <w:t>.IC卡综合处理：对未发卡人员进行发卡，对已发出的卡片进行打印、挂失、更换、矫正、注销、修改有效期、餐次限额等操作，并可对绑定的虚拟卡钱包进行充值、银行卡的绑定、支付密码的修改等操作。</w:t>
            </w:r>
          </w:p>
          <w:p w14:paraId="6DE4A735">
            <w:pPr>
              <w:widowControl/>
              <w:adjustRightInd w:val="0"/>
              <w:snapToGrid w:val="0"/>
              <w:spacing w:line="500" w:lineRule="exact"/>
              <w:ind w:firstLine="420" w:firstLineChars="200"/>
              <w:rPr>
                <w:rFonts w:ascii="宋体" w:hAnsi="宋体" w:cs="宋体"/>
                <w:color w:val="auto"/>
                <w:kern w:val="0"/>
                <w:szCs w:val="21"/>
              </w:rPr>
            </w:pPr>
            <w:r>
              <w:rPr>
                <w:rFonts w:hint="eastAsia" w:ascii="宋体" w:hAnsi="宋体" w:cs="宋体"/>
                <w:color w:val="auto"/>
                <w:kern w:val="0"/>
                <w:szCs w:val="21"/>
              </w:rPr>
              <w:t>1</w:t>
            </w:r>
            <w:r>
              <w:rPr>
                <w:rFonts w:ascii="宋体" w:hAnsi="宋体" w:cs="宋体"/>
                <w:color w:val="auto"/>
                <w:kern w:val="0"/>
                <w:szCs w:val="21"/>
              </w:rPr>
              <w:t>0</w:t>
            </w:r>
            <w:r>
              <w:rPr>
                <w:rFonts w:hint="eastAsia" w:ascii="宋体" w:hAnsi="宋体" w:cs="宋体"/>
                <w:color w:val="auto"/>
                <w:kern w:val="0"/>
                <w:szCs w:val="21"/>
              </w:rPr>
              <w:t>.现金充值退款：读卡后，对虚拟卡钱包进行充值和退款等操作。</w:t>
            </w:r>
          </w:p>
          <w:p w14:paraId="09E9AF7D">
            <w:pPr>
              <w:widowControl/>
              <w:adjustRightInd w:val="0"/>
              <w:snapToGrid w:val="0"/>
              <w:spacing w:line="500" w:lineRule="exact"/>
              <w:ind w:firstLine="420" w:firstLineChars="200"/>
              <w:rPr>
                <w:rFonts w:ascii="宋体" w:hAnsi="宋体" w:cs="宋体"/>
                <w:color w:val="auto"/>
                <w:kern w:val="0"/>
                <w:szCs w:val="21"/>
              </w:rPr>
            </w:pPr>
            <w:r>
              <w:rPr>
                <w:rFonts w:hint="eastAsia" w:ascii="宋体" w:hAnsi="宋体" w:cs="宋体"/>
                <w:color w:val="auto"/>
                <w:kern w:val="0"/>
                <w:szCs w:val="21"/>
              </w:rPr>
              <w:t>1</w:t>
            </w:r>
            <w:r>
              <w:rPr>
                <w:rFonts w:ascii="宋体" w:hAnsi="宋体" w:cs="宋体"/>
                <w:color w:val="auto"/>
                <w:kern w:val="0"/>
                <w:szCs w:val="21"/>
              </w:rPr>
              <w:t>1</w:t>
            </w:r>
            <w:r>
              <w:rPr>
                <w:rFonts w:hint="eastAsia" w:ascii="宋体" w:hAnsi="宋体" w:cs="宋体"/>
                <w:color w:val="auto"/>
                <w:kern w:val="0"/>
                <w:szCs w:val="21"/>
              </w:rPr>
              <w:t>.批量发卡：可以对IC卡进行批量编辑、批量注销、批量无卡发卡；批量发卡操作时支持选中发卡、当前页发卡、所有未发卡用户发卡三种模式。</w:t>
            </w:r>
          </w:p>
          <w:p w14:paraId="3EB3208C">
            <w:pPr>
              <w:widowControl/>
              <w:adjustRightInd w:val="0"/>
              <w:snapToGrid w:val="0"/>
              <w:spacing w:line="500" w:lineRule="exact"/>
              <w:ind w:firstLine="420" w:firstLineChars="200"/>
              <w:rPr>
                <w:rFonts w:ascii="宋体" w:hAnsi="宋体" w:cs="宋体"/>
                <w:color w:val="auto"/>
                <w:kern w:val="0"/>
                <w:szCs w:val="21"/>
              </w:rPr>
            </w:pPr>
            <w:r>
              <w:rPr>
                <w:rFonts w:ascii="宋体" w:hAnsi="宋体" w:cs="宋体"/>
                <w:color w:val="auto"/>
                <w:kern w:val="0"/>
                <w:szCs w:val="21"/>
              </w:rPr>
              <w:t>12</w:t>
            </w:r>
            <w:r>
              <w:rPr>
                <w:rFonts w:hint="eastAsia" w:ascii="宋体" w:hAnsi="宋体" w:cs="宋体"/>
                <w:color w:val="auto"/>
                <w:kern w:val="0"/>
                <w:szCs w:val="21"/>
              </w:rPr>
              <w:t>.擦除卡片：可对误发IC卡进行卡内数据的擦除。</w:t>
            </w:r>
          </w:p>
          <w:p w14:paraId="66AA3B3D">
            <w:pPr>
              <w:widowControl/>
              <w:adjustRightInd w:val="0"/>
              <w:snapToGrid w:val="0"/>
              <w:spacing w:line="500" w:lineRule="exact"/>
              <w:ind w:firstLine="420" w:firstLineChars="200"/>
              <w:rPr>
                <w:rFonts w:ascii="宋体" w:hAnsi="宋体" w:cs="宋体"/>
                <w:color w:val="auto"/>
                <w:kern w:val="0"/>
                <w:szCs w:val="21"/>
              </w:rPr>
            </w:pPr>
            <w:r>
              <w:rPr>
                <w:rFonts w:ascii="宋体" w:hAnsi="宋体" w:cs="宋体"/>
                <w:color w:val="auto"/>
                <w:kern w:val="0"/>
                <w:szCs w:val="21"/>
              </w:rPr>
              <w:t>13</w:t>
            </w:r>
            <w:r>
              <w:rPr>
                <w:rFonts w:hint="eastAsia" w:ascii="宋体" w:hAnsi="宋体" w:cs="宋体"/>
                <w:color w:val="auto"/>
                <w:kern w:val="0"/>
                <w:szCs w:val="21"/>
              </w:rPr>
              <w:t>.IC卡参数设置：具有终端支持IC卡设置、启用餐次限额设置、默认餐次限额设置、挂式成功提示内容设置等。</w:t>
            </w:r>
          </w:p>
          <w:p w14:paraId="64625505">
            <w:pPr>
              <w:pStyle w:val="10"/>
              <w:ind w:firstLine="420" w:firstLineChars="200"/>
              <w:rPr>
                <w:rFonts w:ascii="宋体" w:hAnsi="宋体" w:cs="宋体"/>
                <w:color w:val="auto"/>
                <w:kern w:val="0"/>
                <w:szCs w:val="21"/>
              </w:rPr>
            </w:pPr>
            <w:r>
              <w:rPr>
                <w:rFonts w:hint="eastAsia" w:ascii="宋体" w:hAnsi="宋体" w:cs="宋体"/>
                <w:color w:val="auto"/>
                <w:kern w:val="0"/>
                <w:szCs w:val="21"/>
              </w:rPr>
              <w:t>1</w:t>
            </w:r>
            <w:r>
              <w:rPr>
                <w:rFonts w:ascii="宋体" w:hAnsi="宋体" w:cs="宋体"/>
                <w:color w:val="auto"/>
                <w:kern w:val="0"/>
                <w:szCs w:val="21"/>
              </w:rPr>
              <w:t>4</w:t>
            </w:r>
            <w:r>
              <w:rPr>
                <w:rFonts w:hint="eastAsia" w:ascii="宋体" w:hAnsi="宋体" w:cs="宋体"/>
                <w:color w:val="auto"/>
                <w:kern w:val="0"/>
                <w:szCs w:val="21"/>
              </w:rPr>
              <w:t>.报表：需具有操作员业务操作日报表、网点业务操作日报表、操作员业务汇总表、网点业务汇总表，能通过Excel表、pdf形式导出报表</w:t>
            </w:r>
            <w:r>
              <w:rPr>
                <w:rFonts w:hint="eastAsia" w:ascii="宋体" w:hAnsi="宋体" w:cs="宋体"/>
                <w:color w:val="auto"/>
                <w:kern w:val="0"/>
                <w:szCs w:val="21"/>
                <w:lang w:eastAsia="zh-CN"/>
              </w:rPr>
              <w:t>。（</w:t>
            </w:r>
            <w:r>
              <w:rPr>
                <w:rFonts w:hint="eastAsia"/>
                <w:color w:val="auto"/>
              </w:rPr>
              <w:t>支持按学校实际管理需求提供</w:t>
            </w:r>
            <w:r>
              <w:rPr>
                <w:rFonts w:hint="eastAsia"/>
                <w:color w:val="auto"/>
                <w:lang w:val="en-US" w:eastAsia="zh-CN"/>
              </w:rPr>
              <w:t>自定义</w:t>
            </w:r>
            <w:r>
              <w:rPr>
                <w:rFonts w:hint="eastAsia"/>
                <w:color w:val="auto"/>
              </w:rPr>
              <w:t>的统计报表</w:t>
            </w:r>
            <w:r>
              <w:rPr>
                <w:rFonts w:hint="eastAsia"/>
                <w:color w:val="auto"/>
                <w:lang w:eastAsia="zh-CN"/>
              </w:rPr>
              <w:t>，</w:t>
            </w:r>
            <w:r>
              <w:rPr>
                <w:rFonts w:hint="eastAsia"/>
                <w:color w:val="auto"/>
                <w:lang w:val="en-US" w:eastAsia="zh-CN"/>
              </w:rPr>
              <w:t>开发2（含）个以内包含在本项目报价中）</w:t>
            </w:r>
          </w:p>
          <w:p w14:paraId="4281943F">
            <w:pPr>
              <w:widowControl/>
              <w:adjustRightInd w:val="0"/>
              <w:snapToGrid w:val="0"/>
              <w:spacing w:line="500" w:lineRule="exact"/>
              <w:ind w:firstLine="420" w:firstLineChars="200"/>
              <w:rPr>
                <w:rFonts w:ascii="宋体" w:hAnsi="宋体" w:cs="宋体"/>
                <w:color w:val="auto"/>
                <w:kern w:val="0"/>
                <w:szCs w:val="21"/>
              </w:rPr>
            </w:pPr>
            <w:r>
              <w:rPr>
                <w:rFonts w:hint="eastAsia" w:ascii="宋体" w:hAnsi="宋体" w:cs="宋体"/>
                <w:color w:val="auto"/>
                <w:kern w:val="0"/>
                <w:szCs w:val="21"/>
              </w:rPr>
              <w:t>三、虚拟卡管理系统</w:t>
            </w:r>
          </w:p>
          <w:p w14:paraId="45640424">
            <w:pPr>
              <w:widowControl/>
              <w:adjustRightInd w:val="0"/>
              <w:snapToGrid w:val="0"/>
              <w:spacing w:line="500" w:lineRule="exact"/>
              <w:ind w:firstLine="420" w:firstLineChars="200"/>
              <w:rPr>
                <w:rFonts w:ascii="宋体" w:hAnsi="宋体" w:cs="宋体"/>
                <w:color w:val="auto"/>
                <w:kern w:val="0"/>
                <w:szCs w:val="21"/>
              </w:rPr>
            </w:pPr>
            <w:r>
              <w:rPr>
                <w:rFonts w:hint="eastAsia" w:ascii="宋体" w:hAnsi="宋体" w:cs="宋体"/>
                <w:color w:val="auto"/>
                <w:kern w:val="0"/>
                <w:szCs w:val="21"/>
              </w:rPr>
              <w:t>提供基于非对称加密和二维码技术的虚拟卡，支持卡种定义，设置不同的卡片显示外观，支持用户根据身份类型和用户状态领取不同的虚拟卡。集成服务大厅为不同的人员显示不同的服务。具体功能需求如下：</w:t>
            </w:r>
          </w:p>
          <w:p w14:paraId="68630505">
            <w:pPr>
              <w:widowControl/>
              <w:adjustRightInd w:val="0"/>
              <w:snapToGrid w:val="0"/>
              <w:spacing w:line="500" w:lineRule="exact"/>
              <w:ind w:firstLine="420" w:firstLineChars="200"/>
              <w:rPr>
                <w:rFonts w:ascii="宋体" w:hAnsi="宋体" w:cs="宋体"/>
                <w:color w:val="auto"/>
                <w:kern w:val="0"/>
                <w:szCs w:val="21"/>
              </w:rPr>
            </w:pPr>
            <w:r>
              <w:rPr>
                <w:rFonts w:hint="eastAsia" w:ascii="宋体" w:hAnsi="宋体" w:cs="宋体"/>
                <w:color w:val="auto"/>
                <w:kern w:val="0"/>
                <w:szCs w:val="21"/>
              </w:rPr>
              <w:t>1.可以通过图表展示不同虚拟卡卡种启用和不启用的统计情况；可以记录由于用户违反截屏策略导致的二维码禁用记录；可以添加二维码禁用记录。</w:t>
            </w:r>
          </w:p>
          <w:p w14:paraId="0FC37AA4">
            <w:pPr>
              <w:widowControl/>
              <w:adjustRightInd w:val="0"/>
              <w:snapToGrid w:val="0"/>
              <w:spacing w:line="500" w:lineRule="exact"/>
              <w:ind w:firstLine="420" w:firstLineChars="200"/>
              <w:rPr>
                <w:rFonts w:ascii="宋体" w:hAnsi="宋体" w:cs="宋体"/>
                <w:color w:val="auto"/>
                <w:kern w:val="0"/>
                <w:szCs w:val="21"/>
              </w:rPr>
            </w:pPr>
            <w:r>
              <w:rPr>
                <w:rFonts w:hint="eastAsia" w:ascii="宋体" w:hAnsi="宋体" w:cs="宋体"/>
                <w:color w:val="auto"/>
                <w:kern w:val="0"/>
                <w:szCs w:val="21"/>
              </w:rPr>
              <w:t>2.参数设置：能设置虚拟卡的标题、小程序分享图、提现到绑定银行账户、单笔提现金额额度、用户单日提现上限、用户单日提现次数上限等；能设置校园码的名称、首次登录支付密码修改、校园码自动更新频率等设置。</w:t>
            </w:r>
          </w:p>
          <w:p w14:paraId="1830AF89">
            <w:pPr>
              <w:widowControl/>
              <w:adjustRightInd w:val="0"/>
              <w:snapToGrid w:val="0"/>
              <w:spacing w:line="500" w:lineRule="exact"/>
              <w:ind w:firstLine="420" w:firstLineChars="200"/>
              <w:rPr>
                <w:rFonts w:ascii="宋体" w:hAnsi="宋体" w:cs="宋体"/>
                <w:color w:val="auto"/>
                <w:kern w:val="0"/>
                <w:szCs w:val="21"/>
              </w:rPr>
            </w:pPr>
            <w:r>
              <w:rPr>
                <w:rFonts w:hint="eastAsia" w:ascii="宋体" w:hAnsi="宋体" w:cs="宋体"/>
                <w:color w:val="auto"/>
                <w:kern w:val="0"/>
                <w:szCs w:val="21"/>
              </w:rPr>
              <w:t>3.小程序绑定统计：能按身份类型人员统计已绑定人数、未绑定人数；并具有小程序绑定详细功能，能查询微信头像、微信昵称、姓名、用户编号、身份类别、院系部门、绑定时间、当前绑定状态、解绑时间。</w:t>
            </w:r>
          </w:p>
          <w:p w14:paraId="6EA9BB3A">
            <w:pPr>
              <w:widowControl/>
              <w:adjustRightInd w:val="0"/>
              <w:snapToGrid w:val="0"/>
              <w:spacing w:line="500" w:lineRule="exact"/>
              <w:ind w:firstLine="420" w:firstLineChars="200"/>
              <w:rPr>
                <w:rFonts w:ascii="宋体" w:hAnsi="宋体" w:cs="宋体"/>
                <w:color w:val="auto"/>
                <w:kern w:val="0"/>
                <w:szCs w:val="21"/>
              </w:rPr>
            </w:pPr>
            <w:r>
              <w:rPr>
                <w:rFonts w:hint="eastAsia" w:ascii="宋体" w:hAnsi="宋体" w:cs="宋体"/>
                <w:color w:val="auto"/>
                <w:kern w:val="0"/>
                <w:szCs w:val="21"/>
              </w:rPr>
              <w:t>4.支持查询统计不同用户状态、身份类别微信公众号、支付宝、钉钉绑定人数情况。</w:t>
            </w:r>
          </w:p>
          <w:p w14:paraId="0AC824A5">
            <w:pPr>
              <w:widowControl/>
              <w:adjustRightInd w:val="0"/>
              <w:snapToGrid w:val="0"/>
              <w:spacing w:line="500" w:lineRule="exact"/>
              <w:ind w:firstLine="420" w:firstLineChars="200"/>
              <w:rPr>
                <w:rFonts w:ascii="宋体" w:hAnsi="宋体" w:cs="宋体"/>
                <w:color w:val="auto"/>
                <w:kern w:val="0"/>
                <w:szCs w:val="21"/>
              </w:rPr>
            </w:pPr>
            <w:r>
              <w:rPr>
                <w:rFonts w:ascii="宋体" w:hAnsi="宋体" w:cs="宋体"/>
                <w:color w:val="auto"/>
                <w:kern w:val="0"/>
                <w:szCs w:val="21"/>
              </w:rPr>
              <w:t>5</w:t>
            </w:r>
            <w:r>
              <w:rPr>
                <w:rFonts w:hint="eastAsia" w:ascii="宋体" w:hAnsi="宋体" w:cs="宋体"/>
                <w:color w:val="auto"/>
                <w:kern w:val="0"/>
                <w:szCs w:val="21"/>
              </w:rPr>
              <w:t>.虚拟卡卡种管理：可以设置虚拟卡卡种、身份类型、用户状态、启用设置、卡种的封面、logo和底图、主标题、副标题、副标题位置设置、字体颜色、头像启用设置、显示个人信息设置（包括姓名、用户编号、院系部门、身份类型、年级）。</w:t>
            </w:r>
          </w:p>
          <w:p w14:paraId="670D10A4">
            <w:pPr>
              <w:widowControl/>
              <w:adjustRightInd w:val="0"/>
              <w:snapToGrid w:val="0"/>
              <w:spacing w:line="500" w:lineRule="exact"/>
              <w:ind w:firstLine="420" w:firstLineChars="200"/>
              <w:rPr>
                <w:rFonts w:ascii="宋体" w:hAnsi="宋体" w:cs="宋体"/>
                <w:color w:val="auto"/>
                <w:kern w:val="0"/>
                <w:szCs w:val="21"/>
              </w:rPr>
            </w:pPr>
            <w:r>
              <w:rPr>
                <w:rFonts w:ascii="宋体" w:hAnsi="宋体" w:cs="宋体"/>
                <w:color w:val="auto"/>
                <w:kern w:val="0"/>
                <w:szCs w:val="21"/>
              </w:rPr>
              <w:t>6</w:t>
            </w:r>
            <w:r>
              <w:rPr>
                <w:rFonts w:hint="eastAsia" w:ascii="宋体" w:hAnsi="宋体" w:cs="宋体"/>
                <w:color w:val="auto"/>
                <w:kern w:val="0"/>
                <w:szCs w:val="21"/>
              </w:rPr>
              <w:t>.对特定人员进行虚拟卡禁用，能设置禁用时长和原因，到期自动解禁；也支持手动解禁虚拟卡。</w:t>
            </w:r>
          </w:p>
          <w:p w14:paraId="6DC8B018">
            <w:pPr>
              <w:widowControl/>
              <w:adjustRightInd w:val="0"/>
              <w:snapToGrid w:val="0"/>
              <w:spacing w:line="500" w:lineRule="exact"/>
              <w:ind w:firstLine="420" w:firstLineChars="200"/>
              <w:rPr>
                <w:rFonts w:ascii="宋体" w:hAnsi="宋体" w:cs="宋体"/>
                <w:color w:val="auto"/>
                <w:kern w:val="0"/>
                <w:szCs w:val="21"/>
              </w:rPr>
            </w:pPr>
            <w:r>
              <w:rPr>
                <w:rFonts w:ascii="宋体" w:hAnsi="宋体" w:cs="宋体"/>
                <w:color w:val="auto"/>
                <w:kern w:val="0"/>
                <w:szCs w:val="21"/>
              </w:rPr>
              <w:t>7</w:t>
            </w:r>
            <w:r>
              <w:rPr>
                <w:rFonts w:hint="eastAsia" w:ascii="宋体" w:hAnsi="宋体" w:cs="宋体"/>
                <w:color w:val="auto"/>
                <w:kern w:val="0"/>
                <w:szCs w:val="21"/>
              </w:rPr>
              <w:t>.服务中心：支持根据不同的身份类型生成不同的虚拟卡；支持通过输入支付密码验证身份启用二维码，也可暂时停用二维码。</w:t>
            </w:r>
          </w:p>
          <w:p w14:paraId="0E605B9D">
            <w:pPr>
              <w:widowControl/>
              <w:adjustRightInd w:val="0"/>
              <w:snapToGrid w:val="0"/>
              <w:spacing w:line="500" w:lineRule="exact"/>
              <w:ind w:firstLine="420" w:firstLineChars="200"/>
              <w:rPr>
                <w:rFonts w:ascii="宋体" w:hAnsi="宋体" w:cs="宋体"/>
                <w:color w:val="auto"/>
                <w:kern w:val="0"/>
                <w:szCs w:val="21"/>
              </w:rPr>
            </w:pPr>
            <w:r>
              <w:rPr>
                <w:rFonts w:ascii="宋体" w:hAnsi="宋体" w:cs="宋体"/>
                <w:color w:val="auto"/>
                <w:kern w:val="0"/>
                <w:szCs w:val="21"/>
              </w:rPr>
              <w:t>8</w:t>
            </w:r>
            <w:r>
              <w:rPr>
                <w:rFonts w:hint="eastAsia" w:ascii="宋体" w:hAnsi="宋体" w:cs="宋体"/>
                <w:color w:val="auto"/>
                <w:kern w:val="0"/>
                <w:szCs w:val="21"/>
              </w:rPr>
              <w:t>.系统支持管理钱包安全参数，包括修改支付免密、免密额度、自动充值、支付锁等功能。</w:t>
            </w:r>
          </w:p>
          <w:p w14:paraId="66B88229">
            <w:pPr>
              <w:widowControl/>
              <w:adjustRightInd w:val="0"/>
              <w:snapToGrid w:val="0"/>
              <w:spacing w:line="500" w:lineRule="exact"/>
              <w:ind w:firstLine="420" w:firstLineChars="200"/>
              <w:rPr>
                <w:rFonts w:ascii="宋体" w:hAnsi="宋体" w:cs="宋体"/>
                <w:color w:val="auto"/>
                <w:kern w:val="0"/>
                <w:szCs w:val="21"/>
              </w:rPr>
            </w:pPr>
            <w:r>
              <w:rPr>
                <w:rFonts w:ascii="宋体" w:hAnsi="宋体" w:cs="宋体"/>
                <w:color w:val="auto"/>
                <w:kern w:val="0"/>
                <w:szCs w:val="21"/>
              </w:rPr>
              <w:t>9</w:t>
            </w:r>
            <w:r>
              <w:rPr>
                <w:rFonts w:hint="eastAsia" w:ascii="宋体" w:hAnsi="宋体" w:cs="宋体"/>
                <w:color w:val="auto"/>
                <w:kern w:val="0"/>
                <w:szCs w:val="21"/>
              </w:rPr>
              <w:t>.支持查看钱包余额的交易、充值、提现流水明细，能查看每一笔流水的具体情况，包括支付时间、支付方式、使用的折扣、补贴详情。</w:t>
            </w:r>
          </w:p>
          <w:p w14:paraId="67D66179">
            <w:pPr>
              <w:widowControl/>
              <w:adjustRightInd w:val="0"/>
              <w:snapToGrid w:val="0"/>
              <w:spacing w:line="500" w:lineRule="exact"/>
              <w:ind w:firstLine="420" w:firstLineChars="200"/>
              <w:rPr>
                <w:rFonts w:ascii="宋体" w:hAnsi="宋体" w:cs="宋体"/>
                <w:color w:val="auto"/>
                <w:kern w:val="0"/>
                <w:szCs w:val="21"/>
              </w:rPr>
            </w:pPr>
            <w:r>
              <w:rPr>
                <w:rFonts w:hint="eastAsia" w:ascii="宋体" w:hAnsi="宋体" w:cs="宋体"/>
                <w:color w:val="auto"/>
                <w:kern w:val="0"/>
                <w:szCs w:val="21"/>
              </w:rPr>
              <w:t>10.支付密码修改：实现虚拟卡支付密码进行首次登录修改、强制修改、不修改功能。</w:t>
            </w:r>
          </w:p>
          <w:p w14:paraId="41D9F25E">
            <w:pPr>
              <w:widowControl/>
              <w:adjustRightInd w:val="0"/>
              <w:snapToGrid w:val="0"/>
              <w:spacing w:line="500" w:lineRule="exact"/>
              <w:ind w:firstLine="420" w:firstLineChars="200"/>
              <w:rPr>
                <w:rFonts w:ascii="宋体" w:hAnsi="宋体" w:cs="宋体"/>
                <w:color w:val="auto"/>
                <w:kern w:val="0"/>
                <w:szCs w:val="21"/>
              </w:rPr>
            </w:pPr>
            <w:r>
              <w:rPr>
                <w:rFonts w:hint="eastAsia" w:ascii="宋体" w:hAnsi="宋体" w:cs="宋体"/>
                <w:color w:val="auto"/>
                <w:kern w:val="0"/>
                <w:szCs w:val="21"/>
              </w:rPr>
              <w:t>11.使用说明：具有设置移动端使用说明标题及使用说明的具体内容功能。</w:t>
            </w:r>
          </w:p>
          <w:p w14:paraId="316ACAF8">
            <w:pPr>
              <w:widowControl/>
              <w:adjustRightInd w:val="0"/>
              <w:snapToGrid w:val="0"/>
              <w:spacing w:line="520" w:lineRule="exact"/>
              <w:ind w:firstLine="420" w:firstLineChars="200"/>
              <w:rPr>
                <w:rFonts w:ascii="宋体" w:hAnsi="宋体" w:cs="宋体"/>
                <w:color w:val="auto"/>
                <w:kern w:val="0"/>
                <w:szCs w:val="21"/>
              </w:rPr>
            </w:pPr>
          </w:p>
        </w:tc>
        <w:tc>
          <w:tcPr>
            <w:tcW w:w="767" w:type="dxa"/>
            <w:noWrap/>
            <w:vAlign w:val="center"/>
          </w:tcPr>
          <w:p w14:paraId="406B66AB">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1</w:t>
            </w:r>
          </w:p>
        </w:tc>
        <w:tc>
          <w:tcPr>
            <w:tcW w:w="764" w:type="dxa"/>
            <w:noWrap/>
            <w:vAlign w:val="center"/>
          </w:tcPr>
          <w:p w14:paraId="43210D0B">
            <w:pPr>
              <w:widowControl/>
              <w:adjustRightInd w:val="0"/>
              <w:snapToGrid w:val="0"/>
              <w:spacing w:line="500" w:lineRule="exact"/>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rPr>
              <w:t>套</w:t>
            </w:r>
          </w:p>
        </w:tc>
      </w:tr>
      <w:tr w14:paraId="0F1BC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3" w:type="dxa"/>
            <w:noWrap/>
            <w:vAlign w:val="center"/>
          </w:tcPr>
          <w:p w14:paraId="212D9BA2">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2</w:t>
            </w:r>
          </w:p>
        </w:tc>
        <w:tc>
          <w:tcPr>
            <w:tcW w:w="1623" w:type="dxa"/>
            <w:vAlign w:val="center"/>
          </w:tcPr>
          <w:p w14:paraId="58BBE330">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支付平台</w:t>
            </w:r>
          </w:p>
        </w:tc>
        <w:tc>
          <w:tcPr>
            <w:tcW w:w="5761" w:type="dxa"/>
            <w:gridSpan w:val="2"/>
            <w:vAlign w:val="center"/>
          </w:tcPr>
          <w:p w14:paraId="7D9000A1">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一、支付管理系统</w:t>
            </w:r>
          </w:p>
          <w:p w14:paraId="2A66B9E1">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1.渠道管理模块-提供支付通道、支付渠道、通道商户、授权码来源管理、支付产品管理等功能。可支持多通道多商户，定义不同的手续费标准。</w:t>
            </w:r>
          </w:p>
          <w:p w14:paraId="42FFCDDA">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支付管理模块-提供业务单位（商户）管理、支付项目管理、结算方案管理、终端管理、餐次管理等收费业务相关的管理功能。可根据业务单位或者商户将支付资金结算到不同的银行账户或学校财务项目。支付项目支持按身份限制消费。</w:t>
            </w:r>
          </w:p>
          <w:p w14:paraId="47252D86">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3.交易管理模块-提供支付订单和支付记录查询功能，提供交易退款的管理和查看功能，并可监控到大额交易、高频交易、透支交易等异常情况。</w:t>
            </w:r>
          </w:p>
          <w:p w14:paraId="2A160491">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4.折扣管理模块-提供折扣或者搭伙费的规则设置功能，支持折扣限额设置。可设置补贴资金比例和搭伙费分成比例。</w:t>
            </w:r>
          </w:p>
          <w:p w14:paraId="535887F4">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5.克隆：支持选择已经配置的支付项目通过克隆方式复制创建新的支付项目，无需重复调整结算方案、安全等级、所属业务单位、身份消费规则、图标等内容。</w:t>
            </w:r>
          </w:p>
          <w:p w14:paraId="2291D20A">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6.终端管理：配置收费台签、消费机等各类支付终端参数；设置消费机其支持的支付项目、可用的支付介质、是否可脱网以及脱网的限额、笔数等，可设置脱机支付时的单笔限额和脱机流水数量；支持批量导出台签，强制停机报备，上传日志。</w:t>
            </w:r>
          </w:p>
          <w:p w14:paraId="308BFA00">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7.对账管理：可提供系统每天对账后出现的差错记录查询和差错处理功能，可提供系统对账的批次查询、对账文件上传、手工对账功能，可提供系统对账缓冲池的查询。</w:t>
            </w:r>
          </w:p>
          <w:p w14:paraId="49D2A3C6">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8.支持单一支付通道多通道商户，每个通道商户可以在校内二清到多个支付项目。</w:t>
            </w:r>
          </w:p>
          <w:p w14:paraId="4AC3E94D">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9.支付记录管理：能通过用户编号、业务单位、支付项目、系统订单号、终端编号、终端订单号、支付方式、支付类型、交易状态、结算状态、渠道清分状态、渠道清分日期、系统清分日期、风控类型、流水类型、收单时间、系统支付时间的内容查询显示、导出每笔支付订单的交易详情。</w:t>
            </w:r>
          </w:p>
          <w:p w14:paraId="5A11B730">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10.异常流水管理：能通过业务单位、支付项目、终端订单号、系统订单号、支付方式、支付类型、交易状态、异常状态、异常原因、异常处理结果、终端编号、流水类型、终端支付时间、收单时间、系统支付时间的查询显示、导出每笔异常交易流水，并能进行异常处理，包括视为正常、退款等。</w:t>
            </w:r>
          </w:p>
          <w:p w14:paraId="268169F0">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11.缴费对账单：支持以账单日期、缴费订单号、缴费类型、对账结果等查询条件，查询缴费对账单信息，提供对账结果、缴费类型、最后对账时间。</w:t>
            </w:r>
          </w:p>
          <w:p w14:paraId="6DA03970">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12.可查询打印商户清算明细报表、商户资金变动报表、渠道资金变动报表。</w:t>
            </w:r>
          </w:p>
          <w:p w14:paraId="1F61DA9D">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13.可记录通知类型为商户通知，微信刷卡支付轮询、代付，代付结果轮询、快捷支付结果轮询，代扣支付结果轮询的通知，把发起的通知的商户编号，订单号、通知类型、限制通知次数，通知次数，创建时间以页面展示的形式展示在运营后台。</w:t>
            </w:r>
          </w:p>
          <w:p w14:paraId="33D9393C">
            <w:pPr>
              <w:widowControl/>
              <w:adjustRightInd w:val="0"/>
              <w:snapToGrid w:val="0"/>
              <w:spacing w:line="500" w:lineRule="exact"/>
              <w:ind w:firstLine="420" w:firstLineChars="200"/>
              <w:jc w:val="left"/>
              <w:rPr>
                <w:rFonts w:ascii="宋体" w:hAnsi="宋体" w:cs="宋体"/>
                <w:color w:val="auto"/>
                <w:kern w:val="0"/>
                <w:szCs w:val="21"/>
              </w:rPr>
            </w:pPr>
            <w:r>
              <w:rPr>
                <w:rFonts w:ascii="宋体" w:hAnsi="宋体" w:cs="宋体"/>
                <w:color w:val="auto"/>
                <w:kern w:val="0"/>
                <w:szCs w:val="21"/>
              </w:rPr>
              <w:t>14</w:t>
            </w:r>
            <w:r>
              <w:rPr>
                <w:rFonts w:hint="eastAsia" w:ascii="宋体" w:hAnsi="宋体" w:cs="宋体"/>
                <w:color w:val="auto"/>
                <w:kern w:val="0"/>
                <w:szCs w:val="21"/>
              </w:rPr>
              <w:t>.商户管理：可设置商户的编号、名称、操作员等参数。</w:t>
            </w:r>
          </w:p>
          <w:p w14:paraId="25CC534E">
            <w:pPr>
              <w:widowControl/>
              <w:adjustRightInd w:val="0"/>
              <w:snapToGrid w:val="0"/>
              <w:spacing w:line="500" w:lineRule="exact"/>
              <w:ind w:firstLine="420" w:firstLineChars="200"/>
              <w:jc w:val="left"/>
              <w:rPr>
                <w:rFonts w:ascii="宋体" w:hAnsi="宋体" w:cs="宋体"/>
                <w:color w:val="auto"/>
                <w:kern w:val="0"/>
                <w:szCs w:val="21"/>
              </w:rPr>
            </w:pPr>
            <w:r>
              <w:rPr>
                <w:rFonts w:ascii="宋体" w:hAnsi="宋体" w:cs="宋体"/>
                <w:color w:val="auto"/>
                <w:kern w:val="0"/>
                <w:szCs w:val="21"/>
              </w:rPr>
              <w:t>15</w:t>
            </w:r>
            <w:r>
              <w:rPr>
                <w:rFonts w:hint="eastAsia" w:ascii="宋体" w:hAnsi="宋体" w:cs="宋体"/>
                <w:color w:val="auto"/>
                <w:kern w:val="0"/>
                <w:szCs w:val="21"/>
              </w:rPr>
              <w:t>.支付项目管理：可设置支付项目，包括项目所属的商户、支付时的身份限制、可用的支付产品、结算方案、标签设置、图标上传、大额交易监控启用设置等。</w:t>
            </w:r>
          </w:p>
          <w:p w14:paraId="0F42F084">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w:t>
            </w:r>
            <w:r>
              <w:rPr>
                <w:rFonts w:ascii="宋体" w:hAnsi="宋体" w:cs="宋体"/>
                <w:color w:val="auto"/>
                <w:kern w:val="0"/>
                <w:szCs w:val="21"/>
              </w:rPr>
              <w:t>6</w:t>
            </w:r>
            <w:r>
              <w:rPr>
                <w:rFonts w:hint="eastAsia" w:ascii="宋体" w:hAnsi="宋体" w:cs="宋体"/>
                <w:color w:val="auto"/>
                <w:kern w:val="0"/>
                <w:szCs w:val="21"/>
              </w:rPr>
              <w:t>.结算方案管理：可设置支付项目结算的周期、发起方式、资金结转方式等，包括结算周期、结算审核启用设置，并能设置用于结算的户名、账号、开户行等。</w:t>
            </w:r>
          </w:p>
          <w:p w14:paraId="24FB814D">
            <w:pPr>
              <w:widowControl/>
              <w:adjustRightInd w:val="0"/>
              <w:snapToGrid w:val="0"/>
              <w:spacing w:line="500" w:lineRule="exact"/>
              <w:ind w:firstLine="420" w:firstLineChars="200"/>
              <w:jc w:val="left"/>
              <w:rPr>
                <w:rFonts w:ascii="宋体" w:hAnsi="宋体" w:cs="宋体"/>
                <w:color w:val="auto"/>
                <w:kern w:val="0"/>
                <w:szCs w:val="21"/>
              </w:rPr>
            </w:pPr>
            <w:r>
              <w:rPr>
                <w:rFonts w:ascii="宋体" w:hAnsi="宋体" w:cs="宋体"/>
                <w:color w:val="auto"/>
                <w:kern w:val="0"/>
                <w:szCs w:val="21"/>
              </w:rPr>
              <w:t>17</w:t>
            </w:r>
            <w:r>
              <w:rPr>
                <w:rFonts w:hint="eastAsia" w:ascii="宋体" w:hAnsi="宋体" w:cs="宋体"/>
                <w:color w:val="auto"/>
                <w:kern w:val="0"/>
                <w:szCs w:val="21"/>
              </w:rPr>
              <w:t>.消费机型号管理：可配置POS型号，设置升级方式和升级包。</w:t>
            </w:r>
          </w:p>
          <w:p w14:paraId="52556DFB">
            <w:pPr>
              <w:widowControl/>
              <w:adjustRightInd w:val="0"/>
              <w:snapToGrid w:val="0"/>
              <w:spacing w:line="500" w:lineRule="exact"/>
              <w:ind w:firstLine="420" w:firstLineChars="200"/>
              <w:jc w:val="left"/>
              <w:rPr>
                <w:rFonts w:ascii="宋体" w:hAnsi="宋体" w:cs="宋体"/>
                <w:color w:val="auto"/>
                <w:kern w:val="0"/>
                <w:szCs w:val="21"/>
              </w:rPr>
            </w:pPr>
            <w:r>
              <w:rPr>
                <w:rFonts w:ascii="宋体" w:hAnsi="宋体" w:cs="宋体"/>
                <w:color w:val="auto"/>
                <w:kern w:val="0"/>
                <w:szCs w:val="21"/>
              </w:rPr>
              <w:t>18</w:t>
            </w:r>
            <w:r>
              <w:rPr>
                <w:rFonts w:hint="eastAsia" w:ascii="宋体" w:hAnsi="宋体" w:cs="宋体"/>
                <w:color w:val="auto"/>
                <w:kern w:val="0"/>
                <w:szCs w:val="21"/>
              </w:rPr>
              <w:t>.终端监控：能对POS终端进行监控，检查其联网状态、心跳、脱机数据是否及时上传等。</w:t>
            </w:r>
          </w:p>
          <w:p w14:paraId="5557C088">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w:t>
            </w:r>
            <w:r>
              <w:rPr>
                <w:rFonts w:ascii="宋体" w:hAnsi="宋体" w:cs="宋体"/>
                <w:color w:val="auto"/>
                <w:kern w:val="0"/>
                <w:szCs w:val="21"/>
              </w:rPr>
              <w:t>9</w:t>
            </w:r>
            <w:r>
              <w:rPr>
                <w:rFonts w:hint="eastAsia" w:ascii="宋体" w:hAnsi="宋体" w:cs="宋体"/>
                <w:color w:val="auto"/>
                <w:kern w:val="0"/>
                <w:szCs w:val="21"/>
              </w:rPr>
              <w:t>.餐次管理：可设置每日各餐次的起止时间。</w:t>
            </w:r>
          </w:p>
          <w:p w14:paraId="41BBD51A">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w:t>
            </w:r>
            <w:r>
              <w:rPr>
                <w:rFonts w:ascii="宋体" w:hAnsi="宋体" w:cs="宋体"/>
                <w:color w:val="auto"/>
                <w:kern w:val="0"/>
                <w:szCs w:val="21"/>
              </w:rPr>
              <w:t>0</w:t>
            </w:r>
            <w:r>
              <w:rPr>
                <w:rFonts w:hint="eastAsia" w:ascii="宋体" w:hAnsi="宋体" w:cs="宋体"/>
                <w:color w:val="auto"/>
                <w:kern w:val="0"/>
                <w:szCs w:val="21"/>
              </w:rPr>
              <w:t>.标签管理：可新增、编辑、删除标签，包括设置标签名称、启用设置等。</w:t>
            </w:r>
          </w:p>
          <w:p w14:paraId="1483927F">
            <w:pPr>
              <w:widowControl/>
              <w:adjustRightInd w:val="0"/>
              <w:snapToGrid w:val="0"/>
              <w:spacing w:line="500" w:lineRule="exact"/>
              <w:ind w:firstLine="420" w:firstLineChars="200"/>
              <w:jc w:val="left"/>
              <w:rPr>
                <w:rFonts w:ascii="宋体" w:hAnsi="宋体" w:cs="宋体"/>
                <w:color w:val="auto"/>
                <w:kern w:val="0"/>
                <w:szCs w:val="21"/>
              </w:rPr>
            </w:pPr>
            <w:r>
              <w:rPr>
                <w:rFonts w:ascii="宋体" w:hAnsi="宋体" w:cs="宋体"/>
                <w:color w:val="auto"/>
                <w:kern w:val="0"/>
                <w:szCs w:val="21"/>
              </w:rPr>
              <w:t>21</w:t>
            </w:r>
            <w:r>
              <w:rPr>
                <w:rFonts w:hint="eastAsia" w:ascii="宋体" w:hAnsi="宋体" w:cs="宋体"/>
                <w:color w:val="auto"/>
                <w:kern w:val="0"/>
                <w:szCs w:val="21"/>
              </w:rPr>
              <w:t>.支付参数设置：可设置POS网关、POS超时默认值、心跳频率、台签边框底色、二维码中心底色、零元支付、POS机默认管理密码、POS机音量等。</w:t>
            </w:r>
          </w:p>
          <w:p w14:paraId="45CD54A6">
            <w:pPr>
              <w:widowControl/>
              <w:adjustRightInd w:val="0"/>
              <w:snapToGrid w:val="0"/>
              <w:spacing w:line="500" w:lineRule="exact"/>
              <w:ind w:firstLine="420" w:firstLineChars="200"/>
              <w:jc w:val="left"/>
              <w:rPr>
                <w:rFonts w:ascii="宋体" w:hAnsi="宋体" w:cs="宋体"/>
                <w:color w:val="auto"/>
                <w:kern w:val="0"/>
                <w:szCs w:val="21"/>
              </w:rPr>
            </w:pPr>
            <w:r>
              <w:rPr>
                <w:rFonts w:ascii="宋体" w:hAnsi="宋体" w:cs="宋体"/>
                <w:color w:val="auto"/>
                <w:kern w:val="0"/>
                <w:szCs w:val="21"/>
              </w:rPr>
              <w:t>22</w:t>
            </w:r>
            <w:r>
              <w:rPr>
                <w:rFonts w:hint="eastAsia" w:ascii="宋体" w:hAnsi="宋体" w:cs="宋体"/>
                <w:color w:val="auto"/>
                <w:kern w:val="0"/>
                <w:szCs w:val="21"/>
              </w:rPr>
              <w:t>.报表：需具有支付项目收入日报表、支付项目收入查询、支付项目收入汇总表，可以Excel、pdf形式导出报表及以pdf展示报表。</w:t>
            </w:r>
          </w:p>
          <w:p w14:paraId="63077938">
            <w:pPr>
              <w:widowControl/>
              <w:adjustRightInd w:val="0"/>
              <w:snapToGrid w:val="0"/>
              <w:spacing w:line="500" w:lineRule="exact"/>
              <w:ind w:firstLine="420" w:firstLineChars="200"/>
              <w:jc w:val="left"/>
              <w:rPr>
                <w:rFonts w:ascii="宋体" w:hAnsi="宋体" w:cs="宋体"/>
                <w:color w:val="auto"/>
                <w:kern w:val="0"/>
                <w:szCs w:val="21"/>
              </w:rPr>
            </w:pPr>
            <w:r>
              <w:rPr>
                <w:rFonts w:ascii="宋体" w:hAnsi="宋体" w:cs="宋体"/>
                <w:color w:val="auto"/>
                <w:kern w:val="0"/>
                <w:szCs w:val="21"/>
              </w:rPr>
              <w:t>23</w:t>
            </w:r>
            <w:r>
              <w:rPr>
                <w:rFonts w:hint="eastAsia" w:ascii="宋体" w:hAnsi="宋体" w:cs="宋体"/>
                <w:color w:val="auto"/>
                <w:kern w:val="0"/>
                <w:szCs w:val="21"/>
              </w:rPr>
              <w:t>.系统接入管理：需具有系统接入管理和接入接口管理功能，能查询、添加第三方接入。</w:t>
            </w:r>
          </w:p>
          <w:p w14:paraId="349182C2">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w:t>
            </w:r>
            <w:r>
              <w:rPr>
                <w:rFonts w:ascii="宋体" w:hAnsi="宋体" w:cs="宋体"/>
                <w:color w:val="auto"/>
                <w:kern w:val="0"/>
                <w:szCs w:val="21"/>
              </w:rPr>
              <w:t>4</w:t>
            </w:r>
            <w:r>
              <w:rPr>
                <w:rFonts w:hint="eastAsia" w:ascii="宋体" w:hAnsi="宋体" w:cs="宋体"/>
                <w:color w:val="auto"/>
                <w:kern w:val="0"/>
                <w:szCs w:val="21"/>
              </w:rPr>
              <w:t>.交易管理</w:t>
            </w:r>
          </w:p>
          <w:p w14:paraId="0FC898DA">
            <w:pPr>
              <w:widowControl/>
              <w:adjustRightInd w:val="0"/>
              <w:snapToGrid w:val="0"/>
              <w:spacing w:line="500" w:lineRule="exact"/>
              <w:ind w:firstLine="210" w:firstLineChars="100"/>
              <w:jc w:val="left"/>
              <w:rPr>
                <w:rFonts w:ascii="宋体" w:hAnsi="宋体" w:cs="宋体"/>
                <w:color w:val="auto"/>
                <w:kern w:val="0"/>
                <w:szCs w:val="21"/>
              </w:rPr>
            </w:pPr>
            <w:r>
              <w:rPr>
                <w:rFonts w:hint="eastAsia" w:ascii="宋体" w:hAnsi="宋体" w:cs="宋体"/>
                <w:color w:val="auto"/>
                <w:kern w:val="0"/>
                <w:szCs w:val="21"/>
              </w:rPr>
              <w:t>（1）当日实时汇总：能以图表的方式显示系统当日的交易笔数、金额、手续费收入和支出，以及各种支付方式的占比、主要的支付项目排名等。</w:t>
            </w:r>
          </w:p>
          <w:p w14:paraId="783433AF">
            <w:pPr>
              <w:widowControl/>
              <w:adjustRightInd w:val="0"/>
              <w:snapToGrid w:val="0"/>
              <w:spacing w:line="500" w:lineRule="exact"/>
              <w:ind w:firstLine="210" w:firstLineChars="100"/>
              <w:jc w:val="left"/>
              <w:rPr>
                <w:rFonts w:hint="eastAsia" w:ascii="宋体" w:hAnsi="宋体" w:eastAsia="宋体" w:cs="宋体"/>
                <w:color w:val="auto"/>
                <w:kern w:val="0"/>
                <w:szCs w:val="21"/>
                <w:lang w:val="en-US" w:eastAsia="zh-CN"/>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）退款订单管理：能显示所有退款订单，查看退款订单状态，并能通过业务单位、支付项目、系统订单号、退款订单号、渠道清分状态、渠道清分日期、开户单位等内容查询。</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本功能</w:t>
            </w:r>
            <w:r>
              <w:rPr>
                <w:rFonts w:hint="eastAsia" w:ascii="宋体" w:hAnsi="宋体" w:cs="宋体"/>
                <w:color w:val="auto"/>
                <w:kern w:val="0"/>
                <w:szCs w:val="21"/>
              </w:rPr>
              <w:t>需要通过</w:t>
            </w:r>
            <w:r>
              <w:rPr>
                <w:rFonts w:hint="eastAsia" w:ascii="宋体" w:hAnsi="宋体" w:cs="宋体"/>
                <w:color w:val="auto"/>
                <w:kern w:val="0"/>
                <w:szCs w:val="21"/>
                <w:lang w:val="en-US" w:eastAsia="zh-CN"/>
              </w:rPr>
              <w:t>不同角色</w:t>
            </w:r>
            <w:r>
              <w:rPr>
                <w:rFonts w:hint="eastAsia" w:ascii="宋体" w:hAnsi="宋体" w:cs="宋体"/>
                <w:color w:val="auto"/>
                <w:kern w:val="0"/>
                <w:szCs w:val="21"/>
              </w:rPr>
              <w:t>审核后才能执行退款</w:t>
            </w:r>
            <w:r>
              <w:rPr>
                <w:rFonts w:hint="eastAsia" w:ascii="宋体" w:hAnsi="宋体" w:cs="宋体"/>
                <w:color w:val="auto"/>
                <w:kern w:val="0"/>
                <w:szCs w:val="21"/>
                <w:lang w:eastAsia="zh-CN"/>
              </w:rPr>
              <w:t>）</w:t>
            </w:r>
          </w:p>
          <w:p w14:paraId="4228541E">
            <w:pPr>
              <w:widowControl/>
              <w:adjustRightInd w:val="0"/>
              <w:snapToGrid w:val="0"/>
              <w:spacing w:line="500" w:lineRule="exact"/>
              <w:ind w:firstLine="210" w:firstLineChars="1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）报表：能查询统计历史收益报表、支付项目支付日报表、支付项目支付汇总表、支付日期汇总表、支付方式汇总表。</w:t>
            </w:r>
          </w:p>
          <w:p w14:paraId="2A4F6628">
            <w:pPr>
              <w:widowControl/>
              <w:adjustRightInd w:val="0"/>
              <w:snapToGrid w:val="0"/>
              <w:spacing w:line="500" w:lineRule="exact"/>
              <w:ind w:firstLine="420" w:firstLineChars="200"/>
              <w:jc w:val="left"/>
              <w:rPr>
                <w:rFonts w:ascii="宋体" w:hAnsi="宋体" w:cs="宋体"/>
                <w:color w:val="auto"/>
                <w:kern w:val="0"/>
                <w:szCs w:val="21"/>
              </w:rPr>
            </w:pPr>
            <w:r>
              <w:rPr>
                <w:rFonts w:ascii="宋体" w:hAnsi="宋体" w:cs="宋体"/>
                <w:color w:val="auto"/>
                <w:kern w:val="0"/>
                <w:szCs w:val="21"/>
              </w:rPr>
              <w:t>25</w:t>
            </w:r>
            <w:r>
              <w:rPr>
                <w:rFonts w:hint="eastAsia" w:ascii="宋体" w:hAnsi="宋体" w:cs="宋体"/>
                <w:color w:val="auto"/>
                <w:kern w:val="0"/>
                <w:szCs w:val="21"/>
              </w:rPr>
              <w:t>.风控管理</w:t>
            </w:r>
          </w:p>
          <w:p w14:paraId="02723C29">
            <w:pPr>
              <w:widowControl/>
              <w:adjustRightInd w:val="0"/>
              <w:snapToGrid w:val="0"/>
              <w:spacing w:line="500" w:lineRule="exact"/>
              <w:ind w:firstLine="210" w:firstLineChars="100"/>
              <w:jc w:val="left"/>
              <w:rPr>
                <w:rFonts w:ascii="宋体" w:hAnsi="宋体" w:cs="宋体"/>
                <w:color w:val="auto"/>
                <w:kern w:val="0"/>
                <w:szCs w:val="21"/>
              </w:rPr>
            </w:pPr>
            <w:r>
              <w:rPr>
                <w:rFonts w:hint="eastAsia" w:ascii="宋体" w:hAnsi="宋体" w:cs="宋体"/>
                <w:color w:val="auto"/>
                <w:kern w:val="0"/>
                <w:szCs w:val="21"/>
              </w:rPr>
              <w:t>（1）系统需具有多介质脱机交易功能，并支持对可脱网消费人群进行控制。</w:t>
            </w:r>
          </w:p>
          <w:p w14:paraId="2D9751EC">
            <w:pPr>
              <w:widowControl/>
              <w:adjustRightInd w:val="0"/>
              <w:snapToGrid w:val="0"/>
              <w:spacing w:line="500" w:lineRule="exact"/>
              <w:ind w:firstLine="210" w:firstLineChars="100"/>
              <w:jc w:val="left"/>
              <w:rPr>
                <w:rFonts w:ascii="宋体" w:hAnsi="宋体" w:cs="宋体"/>
                <w:color w:val="auto"/>
                <w:kern w:val="0"/>
                <w:szCs w:val="21"/>
              </w:rPr>
            </w:pPr>
            <w:r>
              <w:rPr>
                <w:rFonts w:hint="eastAsia" w:ascii="宋体" w:hAnsi="宋体" w:cs="宋体"/>
                <w:color w:val="auto"/>
                <w:kern w:val="0"/>
                <w:szCs w:val="21"/>
              </w:rPr>
              <w:t>（2）能对用户进行手机截屏的安全策略管理，需能设置近一年截屏次数超过不同数值后进行客户端警告、禁用二维码、永久禁用二维码，警告内容管理可自定义编辑。</w:t>
            </w:r>
          </w:p>
          <w:p w14:paraId="19454C38">
            <w:pPr>
              <w:widowControl/>
              <w:adjustRightInd w:val="0"/>
              <w:snapToGrid w:val="0"/>
              <w:spacing w:line="500" w:lineRule="exact"/>
              <w:ind w:firstLine="210" w:firstLineChars="100"/>
              <w:jc w:val="left"/>
              <w:rPr>
                <w:rFonts w:ascii="宋体" w:hAnsi="宋体" w:cs="宋体"/>
                <w:color w:val="auto"/>
                <w:kern w:val="0"/>
                <w:szCs w:val="21"/>
              </w:rPr>
            </w:pPr>
            <w:r>
              <w:rPr>
                <w:rFonts w:hint="eastAsia" w:ascii="宋体" w:hAnsi="宋体" w:cs="宋体"/>
                <w:color w:val="auto"/>
                <w:kern w:val="0"/>
                <w:szCs w:val="21"/>
              </w:rPr>
              <w:t>（3）能对认证支付系统使用过程中的风控参数设置，包含以下内容：</w:t>
            </w:r>
          </w:p>
          <w:p w14:paraId="06969B93">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1）能设置收款机是否允许脱机、允许脱机的时间、白名单全量更新周期、折扣规则全量更新周期、用户脱网消费累计限额；</w:t>
            </w:r>
          </w:p>
          <w:p w14:paraId="2A382ED1">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2）能设置终端时间差的冻结阈值；</w:t>
            </w:r>
          </w:p>
          <w:p w14:paraId="64AB6A16">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3）能设置交易阈值，限制单笔交易最高额；</w:t>
            </w:r>
          </w:p>
          <w:p w14:paraId="44641D43">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4）能设置高频交易阈值，限制固定时间内的交易次数。</w:t>
            </w:r>
          </w:p>
          <w:p w14:paraId="0D21A2BF">
            <w:pPr>
              <w:widowControl/>
              <w:adjustRightInd w:val="0"/>
              <w:snapToGrid w:val="0"/>
              <w:spacing w:line="500" w:lineRule="exact"/>
              <w:ind w:firstLine="420" w:firstLineChars="200"/>
              <w:jc w:val="left"/>
              <w:rPr>
                <w:rFonts w:ascii="宋体" w:hAnsi="宋体" w:cs="宋体"/>
                <w:color w:val="auto"/>
                <w:kern w:val="0"/>
                <w:szCs w:val="21"/>
              </w:rPr>
            </w:pPr>
            <w:r>
              <w:rPr>
                <w:rFonts w:ascii="宋体" w:hAnsi="宋体" w:cs="宋体"/>
                <w:color w:val="auto"/>
                <w:kern w:val="0"/>
                <w:szCs w:val="21"/>
              </w:rPr>
              <w:t>26</w:t>
            </w:r>
            <w:r>
              <w:rPr>
                <w:rFonts w:hint="eastAsia" w:ascii="宋体" w:hAnsi="宋体" w:cs="宋体"/>
                <w:color w:val="auto"/>
                <w:kern w:val="0"/>
                <w:szCs w:val="21"/>
              </w:rPr>
              <w:t>.能对系统自动预警的内容进行处理，包括标志为已处理、忽略、未处理。</w:t>
            </w:r>
          </w:p>
          <w:p w14:paraId="5C7A28F7">
            <w:pPr>
              <w:widowControl/>
              <w:adjustRightInd w:val="0"/>
              <w:snapToGrid w:val="0"/>
              <w:spacing w:line="500" w:lineRule="exact"/>
              <w:ind w:firstLine="420" w:firstLineChars="200"/>
              <w:jc w:val="left"/>
              <w:rPr>
                <w:rFonts w:ascii="宋体" w:hAnsi="宋体" w:cs="宋体"/>
                <w:color w:val="auto"/>
                <w:kern w:val="0"/>
                <w:szCs w:val="21"/>
              </w:rPr>
            </w:pPr>
            <w:r>
              <w:rPr>
                <w:rFonts w:ascii="宋体" w:hAnsi="宋体" w:cs="宋体"/>
                <w:color w:val="auto"/>
                <w:kern w:val="0"/>
                <w:szCs w:val="21"/>
              </w:rPr>
              <w:t>27</w:t>
            </w:r>
            <w:r>
              <w:rPr>
                <w:rFonts w:hint="eastAsia" w:ascii="宋体" w:hAnsi="宋体" w:cs="宋体"/>
                <w:color w:val="auto"/>
                <w:kern w:val="0"/>
                <w:szCs w:val="21"/>
              </w:rPr>
              <w:t>.对账管理</w:t>
            </w:r>
          </w:p>
          <w:p w14:paraId="79EFF369">
            <w:pPr>
              <w:widowControl/>
              <w:adjustRightInd w:val="0"/>
              <w:snapToGrid w:val="0"/>
              <w:spacing w:line="500" w:lineRule="exact"/>
              <w:ind w:firstLine="210" w:firstLineChars="100"/>
              <w:jc w:val="left"/>
              <w:rPr>
                <w:rFonts w:ascii="宋体" w:hAnsi="宋体" w:cs="宋体"/>
                <w:color w:val="auto"/>
                <w:kern w:val="0"/>
                <w:szCs w:val="21"/>
              </w:rPr>
            </w:pPr>
            <w:r>
              <w:rPr>
                <w:rFonts w:hint="eastAsia" w:ascii="宋体" w:hAnsi="宋体" w:cs="宋体"/>
                <w:color w:val="auto"/>
                <w:kern w:val="0"/>
                <w:szCs w:val="21"/>
              </w:rPr>
              <w:t>（1）对账差错列表：可提供系统每天对账后出现的差错记录查询和差错处理功能。</w:t>
            </w:r>
          </w:p>
          <w:p w14:paraId="776CE883">
            <w:pPr>
              <w:widowControl/>
              <w:adjustRightInd w:val="0"/>
              <w:snapToGrid w:val="0"/>
              <w:spacing w:line="500" w:lineRule="exact"/>
              <w:ind w:firstLine="210" w:firstLineChars="100"/>
              <w:jc w:val="left"/>
              <w:rPr>
                <w:rFonts w:ascii="宋体" w:hAnsi="宋体" w:cs="宋体"/>
                <w:color w:val="auto"/>
                <w:kern w:val="0"/>
                <w:szCs w:val="21"/>
              </w:rPr>
            </w:pPr>
            <w:r>
              <w:rPr>
                <w:rFonts w:hint="eastAsia" w:ascii="宋体" w:hAnsi="宋体" w:cs="宋体"/>
                <w:color w:val="auto"/>
                <w:kern w:val="0"/>
                <w:szCs w:val="21"/>
              </w:rPr>
              <w:t>（2）对账批次类别：可提供系统对账的批次查询、对账文件上传、手工对账功能。</w:t>
            </w:r>
          </w:p>
          <w:p w14:paraId="61302DC3">
            <w:pPr>
              <w:widowControl/>
              <w:adjustRightInd w:val="0"/>
              <w:snapToGrid w:val="0"/>
              <w:spacing w:line="500" w:lineRule="exact"/>
              <w:ind w:firstLine="210" w:firstLineChars="100"/>
              <w:jc w:val="left"/>
              <w:rPr>
                <w:rFonts w:ascii="宋体" w:hAnsi="宋体" w:cs="宋体"/>
                <w:color w:val="auto"/>
                <w:kern w:val="0"/>
                <w:szCs w:val="21"/>
              </w:rPr>
            </w:pPr>
            <w:r>
              <w:rPr>
                <w:rFonts w:hint="eastAsia" w:ascii="宋体" w:hAnsi="宋体" w:cs="宋体"/>
                <w:color w:val="auto"/>
                <w:kern w:val="0"/>
                <w:szCs w:val="21"/>
              </w:rPr>
              <w:t>（3）对账缓冲池列表：可提供系统对账缓冲池的查询。缓冲池的目的是记录因系统日切时间差异等因素出现的待系统再次确认的差错记录。</w:t>
            </w:r>
          </w:p>
          <w:p w14:paraId="2F58F059">
            <w:pPr>
              <w:widowControl/>
              <w:adjustRightInd w:val="0"/>
              <w:snapToGrid w:val="0"/>
              <w:spacing w:line="500" w:lineRule="exact"/>
              <w:ind w:firstLine="420" w:firstLineChars="200"/>
              <w:jc w:val="left"/>
              <w:rPr>
                <w:rFonts w:ascii="宋体" w:hAnsi="宋体" w:cs="宋体"/>
                <w:color w:val="auto"/>
                <w:kern w:val="0"/>
                <w:szCs w:val="21"/>
              </w:rPr>
            </w:pPr>
            <w:r>
              <w:rPr>
                <w:rFonts w:ascii="宋体" w:hAnsi="宋体" w:cs="宋体"/>
                <w:color w:val="auto"/>
                <w:kern w:val="0"/>
                <w:szCs w:val="21"/>
              </w:rPr>
              <w:t>28</w:t>
            </w:r>
            <w:r>
              <w:rPr>
                <w:rFonts w:hint="eastAsia" w:ascii="宋体" w:hAnsi="宋体" w:cs="宋体"/>
                <w:color w:val="auto"/>
                <w:kern w:val="0"/>
                <w:szCs w:val="21"/>
              </w:rPr>
              <w:t>.台签管理</w:t>
            </w:r>
          </w:p>
          <w:p w14:paraId="301C0B01">
            <w:pPr>
              <w:widowControl/>
              <w:adjustRightInd w:val="0"/>
              <w:snapToGrid w:val="0"/>
              <w:spacing w:line="500" w:lineRule="exact"/>
              <w:ind w:firstLine="210" w:firstLineChars="100"/>
              <w:jc w:val="left"/>
              <w:rPr>
                <w:rFonts w:ascii="宋体" w:hAnsi="宋体" w:cs="宋体"/>
                <w:color w:val="auto"/>
                <w:kern w:val="0"/>
                <w:szCs w:val="21"/>
              </w:rPr>
            </w:pPr>
            <w:r>
              <w:rPr>
                <w:rFonts w:hint="eastAsia" w:ascii="宋体" w:hAnsi="宋体" w:cs="宋体"/>
                <w:color w:val="auto"/>
                <w:kern w:val="0"/>
                <w:szCs w:val="21"/>
              </w:rPr>
              <w:t>（1）可提供收款二维码的批量添加、批量分配、导出已分配的二维码、查看详情功能。</w:t>
            </w:r>
          </w:p>
          <w:p w14:paraId="597360CB">
            <w:pPr>
              <w:widowControl/>
              <w:adjustRightInd w:val="0"/>
              <w:snapToGrid w:val="0"/>
              <w:spacing w:line="500" w:lineRule="exact"/>
              <w:ind w:firstLine="210" w:firstLineChars="100"/>
              <w:jc w:val="left"/>
              <w:rPr>
                <w:rFonts w:ascii="宋体" w:hAnsi="宋体" w:cs="宋体"/>
                <w:color w:val="auto"/>
                <w:kern w:val="0"/>
                <w:szCs w:val="21"/>
              </w:rPr>
            </w:pPr>
            <w:r>
              <w:rPr>
                <w:rFonts w:hint="eastAsia" w:ascii="宋体" w:hAnsi="宋体" w:cs="宋体"/>
                <w:color w:val="auto"/>
                <w:kern w:val="0"/>
                <w:szCs w:val="21"/>
              </w:rPr>
              <w:t>（2）可批量添加系统自动生成一批次的收款二维码图片以及</w:t>
            </w:r>
            <w:r>
              <w:rPr>
                <w:rFonts w:hint="eastAsia" w:ascii="宋体" w:hAnsi="宋体" w:cs="宋体"/>
                <w:color w:val="auto"/>
                <w:kern w:val="0"/>
                <w:szCs w:val="21"/>
                <w:lang w:eastAsia="zh-CN"/>
              </w:rPr>
              <w:t>链接</w:t>
            </w:r>
            <w:r>
              <w:rPr>
                <w:rFonts w:hint="eastAsia" w:ascii="宋体" w:hAnsi="宋体" w:cs="宋体"/>
                <w:color w:val="auto"/>
                <w:kern w:val="0"/>
                <w:szCs w:val="21"/>
              </w:rPr>
              <w:t>。</w:t>
            </w:r>
          </w:p>
          <w:p w14:paraId="7193A709">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二、钱包管理系统</w:t>
            </w:r>
          </w:p>
          <w:p w14:paraId="47D648C4">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钱包管理模块-为学校提供一套完整的个人支付账户体系，通过增加模块，可以支持IC卡、二维码、生物识别等各种支付体系。财务部门可以通过钱包批发无限制用途的补贴或者代扣报名费、考试费等小额收费。通过与合作银行或者第三方支付机构的账户，可实现钱包资金的自动充值。</w:t>
            </w:r>
          </w:p>
          <w:p w14:paraId="56B887FE">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2.风控模块-风控系统可以控制可脱机支付人群和介质，控制脱机时长、支付金额，对系统发现的风险进行预警。</w:t>
            </w:r>
          </w:p>
          <w:p w14:paraId="2D3AAABB">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3.可以查看用户钱包的汇总信息和交易信息；可以重置钱包支付密码，可以对钱包进行批量冻结和解冻，可以进行销户、重启。</w:t>
            </w:r>
          </w:p>
          <w:p w14:paraId="08282172">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4.可以对申请提现的申请进行批量强制提现、撤销申请、重试打款和结束打款；可以将钱包绑定银行账户所属银行；可以配置密码修改、钱包最大限额和充值触发阈值。</w:t>
            </w:r>
          </w:p>
          <w:p w14:paraId="3E95DC4A">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5.可以新增、编辑和查看批发、批扣批次；可以导出批发批次、批扣批次数据文件。</w:t>
            </w:r>
          </w:p>
          <w:p w14:paraId="6CA40B9B">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lang w:val="en-US" w:eastAsia="zh-CN"/>
              </w:rPr>
              <w:t>6</w:t>
            </w:r>
            <w:r>
              <w:rPr>
                <w:rFonts w:hint="eastAsia" w:ascii="宋体" w:hAnsi="宋体" w:cs="宋体"/>
                <w:color w:val="auto"/>
                <w:kern w:val="0"/>
                <w:szCs w:val="21"/>
              </w:rPr>
              <w:t>.用户开户后自动获得校园钱包，并对校园钱包进行管理，包括密码设置、销户、充值退款、提现管理等。</w:t>
            </w:r>
          </w:p>
          <w:p w14:paraId="47FA7F30">
            <w:pPr>
              <w:widowControl/>
              <w:adjustRightInd w:val="0"/>
              <w:snapToGrid w:val="0"/>
              <w:spacing w:line="500" w:lineRule="exact"/>
              <w:ind w:firstLine="420" w:firstLineChars="200"/>
              <w:jc w:val="left"/>
              <w:rPr>
                <w:rFonts w:hint="default" w:ascii="宋体" w:hAnsi="宋体" w:cs="宋体"/>
                <w:color w:val="auto"/>
                <w:kern w:val="0"/>
                <w:szCs w:val="21"/>
                <w:lang w:val="en-US"/>
              </w:rPr>
            </w:pPr>
            <w:r>
              <w:rPr>
                <w:rFonts w:hint="eastAsia" w:ascii="宋体" w:hAnsi="宋体" w:cs="宋体"/>
                <w:color w:val="auto"/>
                <w:kern w:val="0"/>
                <w:szCs w:val="21"/>
                <w:lang w:val="en-US" w:eastAsia="zh-CN"/>
              </w:rPr>
              <w:t>7</w:t>
            </w:r>
            <w:r>
              <w:rPr>
                <w:rFonts w:hint="eastAsia" w:ascii="宋体" w:hAnsi="宋体" w:cs="宋体"/>
                <w:color w:val="auto"/>
                <w:kern w:val="0"/>
                <w:szCs w:val="21"/>
              </w:rPr>
              <w:t>.</w:t>
            </w:r>
            <w:r>
              <w:rPr>
                <w:rFonts w:hint="eastAsia" w:ascii="宋体" w:hAnsi="宋体" w:cs="宋体"/>
                <w:color w:val="auto"/>
                <w:kern w:val="0"/>
                <w:szCs w:val="21"/>
                <w:lang w:val="en-US" w:eastAsia="zh-CN"/>
              </w:rPr>
              <w:t>用户本人可在</w:t>
            </w:r>
            <w:r>
              <w:rPr>
                <w:rFonts w:hint="eastAsia" w:ascii="宋体" w:hAnsi="宋体" w:cs="宋体"/>
                <w:color w:val="auto"/>
                <w:kern w:val="0"/>
                <w:szCs w:val="21"/>
              </w:rPr>
              <w:t>钱包销户后重新启用，对用户的校园钱包发起提现，</w:t>
            </w:r>
            <w:r>
              <w:rPr>
                <w:rFonts w:hint="eastAsia" w:ascii="宋体" w:hAnsi="宋体" w:cs="宋体"/>
                <w:color w:val="auto"/>
                <w:kern w:val="0"/>
                <w:szCs w:val="21"/>
                <w:lang w:val="en-US" w:eastAsia="zh-CN"/>
              </w:rPr>
              <w:t>可</w:t>
            </w:r>
            <w:r>
              <w:rPr>
                <w:rFonts w:hint="eastAsia" w:ascii="宋体" w:hAnsi="宋体" w:cs="宋体"/>
                <w:color w:val="auto"/>
                <w:kern w:val="0"/>
                <w:szCs w:val="21"/>
              </w:rPr>
              <w:t>将钱包余额全部转入用户的微信账户或银行卡账户。</w:t>
            </w:r>
            <w:r>
              <w:rPr>
                <w:rFonts w:hint="eastAsia"/>
                <w:color w:val="auto"/>
                <w:lang w:eastAsia="zh-CN"/>
              </w:rPr>
              <w:t>（</w:t>
            </w:r>
            <w:r>
              <w:rPr>
                <w:rFonts w:hint="eastAsia"/>
                <w:color w:val="auto"/>
                <w:lang w:val="en-US" w:eastAsia="zh-CN"/>
              </w:rPr>
              <w:t>本功能只限用户本人操作）</w:t>
            </w:r>
          </w:p>
          <w:p w14:paraId="60AE4342">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lang w:val="en-US" w:eastAsia="zh-CN"/>
              </w:rPr>
              <w:t>8</w:t>
            </w:r>
            <w:r>
              <w:rPr>
                <w:rFonts w:hint="eastAsia" w:ascii="宋体" w:hAnsi="宋体" w:cs="宋体"/>
                <w:color w:val="auto"/>
                <w:kern w:val="0"/>
                <w:szCs w:val="21"/>
              </w:rPr>
              <w:t>.可以对单个用户钱包进行充值、退款、冻结、解冻、绑定银行卡和修改支付密码。</w:t>
            </w:r>
          </w:p>
          <w:p w14:paraId="41C22D80">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lang w:val="en-US" w:eastAsia="zh-CN"/>
              </w:rPr>
              <w:t>9</w:t>
            </w:r>
            <w:r>
              <w:rPr>
                <w:rFonts w:hint="eastAsia" w:ascii="宋体" w:hAnsi="宋体" w:cs="宋体"/>
                <w:color w:val="auto"/>
                <w:kern w:val="0"/>
                <w:szCs w:val="21"/>
              </w:rPr>
              <w:t>.可以根据查询条件</w:t>
            </w:r>
            <w:r>
              <w:rPr>
                <w:rFonts w:hint="eastAsia" w:ascii="宋体" w:hAnsi="宋体" w:cs="宋体"/>
                <w:color w:val="auto"/>
                <w:kern w:val="0"/>
                <w:szCs w:val="21"/>
                <w:lang w:val="en-US" w:eastAsia="zh-CN"/>
              </w:rPr>
              <w:t>统计</w:t>
            </w:r>
            <w:r>
              <w:rPr>
                <w:rFonts w:hint="eastAsia" w:ascii="宋体" w:hAnsi="宋体" w:cs="宋体"/>
                <w:color w:val="auto"/>
                <w:kern w:val="0"/>
                <w:szCs w:val="21"/>
              </w:rPr>
              <w:t>出需要充值和退款的钱包账户，填入对应的金额后进行充值和退款。</w:t>
            </w:r>
          </w:p>
          <w:p w14:paraId="1E64087A">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lang w:val="en-US" w:eastAsia="zh-CN"/>
              </w:rPr>
              <w:t>10</w:t>
            </w:r>
            <w:r>
              <w:rPr>
                <w:rFonts w:hint="eastAsia" w:ascii="宋体" w:hAnsi="宋体" w:cs="宋体"/>
                <w:color w:val="auto"/>
                <w:kern w:val="0"/>
                <w:szCs w:val="21"/>
              </w:rPr>
              <w:t>.可以查看钱包的各种充值、退款和消费的流水。</w:t>
            </w:r>
          </w:p>
          <w:p w14:paraId="4EFA701C">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lang w:val="en-US" w:eastAsia="zh-CN"/>
              </w:rPr>
              <w:t>11</w:t>
            </w:r>
            <w:r>
              <w:rPr>
                <w:rFonts w:hint="eastAsia" w:ascii="宋体" w:hAnsi="宋体" w:cs="宋体"/>
                <w:color w:val="auto"/>
                <w:kern w:val="0"/>
                <w:szCs w:val="21"/>
              </w:rPr>
              <w:t>.可以查看操作员对用户钱包进行的各种操作流水日志。</w:t>
            </w:r>
          </w:p>
          <w:p w14:paraId="067D5D2E">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lang w:val="en-US" w:eastAsia="zh-CN"/>
              </w:rPr>
              <w:t>12</w:t>
            </w:r>
            <w:r>
              <w:rPr>
                <w:rFonts w:hint="eastAsia" w:ascii="宋体" w:hAnsi="宋体" w:cs="宋体"/>
                <w:color w:val="auto"/>
                <w:kern w:val="0"/>
                <w:szCs w:val="21"/>
              </w:rPr>
              <w:t>.具备按照支付介质设置是否允许脱机以及可脱机支付的人员类型。</w:t>
            </w:r>
          </w:p>
          <w:p w14:paraId="3F8F79CE">
            <w:pPr>
              <w:pStyle w:val="10"/>
              <w:ind w:firstLine="420" w:firstLineChars="200"/>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13</w:t>
            </w:r>
            <w:r>
              <w:rPr>
                <w:rFonts w:hint="eastAsia" w:ascii="宋体" w:hAnsi="宋体" w:cs="宋体"/>
                <w:color w:val="auto"/>
                <w:kern w:val="0"/>
                <w:szCs w:val="21"/>
              </w:rPr>
              <w:t>.报表：具有充值日报表、月报表、半年报表、年报表、钱包资金变动报表，并能导出Excel表、pdf文件</w:t>
            </w:r>
            <w:r>
              <w:rPr>
                <w:rFonts w:hint="eastAsia" w:ascii="宋体" w:hAnsi="宋体" w:cs="宋体"/>
                <w:color w:val="auto"/>
                <w:kern w:val="0"/>
                <w:szCs w:val="21"/>
                <w:lang w:eastAsia="zh-CN"/>
              </w:rPr>
              <w:t>。（</w:t>
            </w:r>
            <w:r>
              <w:rPr>
                <w:rFonts w:hint="eastAsia"/>
                <w:color w:val="auto"/>
              </w:rPr>
              <w:t>支持按学校实际管理需求提供</w:t>
            </w:r>
            <w:r>
              <w:rPr>
                <w:rFonts w:hint="eastAsia"/>
                <w:color w:val="auto"/>
                <w:lang w:val="en-US" w:eastAsia="zh-CN"/>
              </w:rPr>
              <w:t>自定义</w:t>
            </w:r>
            <w:r>
              <w:rPr>
                <w:rFonts w:hint="eastAsia"/>
                <w:color w:val="auto"/>
              </w:rPr>
              <w:t>的统计报表</w:t>
            </w:r>
            <w:r>
              <w:rPr>
                <w:rFonts w:hint="eastAsia"/>
                <w:color w:val="auto"/>
                <w:lang w:eastAsia="zh-CN"/>
              </w:rPr>
              <w:t>，</w:t>
            </w:r>
            <w:r>
              <w:rPr>
                <w:rFonts w:hint="eastAsia"/>
                <w:color w:val="auto"/>
                <w:lang w:val="en-US" w:eastAsia="zh-CN"/>
              </w:rPr>
              <w:t>开发2（含）个以内包含在本项目报价中）</w:t>
            </w:r>
          </w:p>
          <w:p w14:paraId="496D70F8">
            <w:pPr>
              <w:widowControl/>
              <w:adjustRightInd w:val="0"/>
              <w:snapToGrid w:val="0"/>
              <w:spacing w:line="54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.钱包账户安全：需具有修改支付密码、设置免密支付额度、开关校园码、设置支付锁等功能。</w:t>
            </w:r>
          </w:p>
          <w:p w14:paraId="6790BCFC">
            <w:pPr>
              <w:widowControl/>
              <w:adjustRightInd w:val="0"/>
              <w:snapToGrid w:val="0"/>
              <w:spacing w:line="54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.具有小额免密支付功能，能在交易的过程中输入支付密码，扣取一卡通钱包余额。</w:t>
            </w:r>
          </w:p>
          <w:p w14:paraId="18A923E0">
            <w:pPr>
              <w:widowControl/>
              <w:adjustRightInd w:val="0"/>
              <w:snapToGrid w:val="0"/>
              <w:spacing w:line="54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.参数管理：实现设置一卡通钱包名称、密码修改须验证手机、钱包最大限额、允许透支额度、自动充值触发阈值、单笔现金充值最大金额。</w:t>
            </w:r>
          </w:p>
          <w:p w14:paraId="596E2E4F">
            <w:pPr>
              <w:widowControl/>
              <w:adjustRightInd w:val="0"/>
              <w:snapToGrid w:val="0"/>
              <w:spacing w:line="54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w:t>
            </w:r>
            <w:r>
              <w:rPr>
                <w:rFonts w:hint="eastAsia" w:ascii="宋体" w:hAnsi="宋体" w:cs="宋体"/>
                <w:color w:val="auto"/>
                <w:kern w:val="0"/>
                <w:szCs w:val="21"/>
                <w:lang w:val="en-US" w:eastAsia="zh-CN"/>
              </w:rPr>
              <w:t>7</w:t>
            </w:r>
            <w:r>
              <w:rPr>
                <w:rFonts w:hint="eastAsia" w:ascii="宋体" w:hAnsi="宋体" w:cs="宋体"/>
                <w:color w:val="auto"/>
                <w:kern w:val="0"/>
                <w:szCs w:val="21"/>
              </w:rPr>
              <w:t>.操作日志：实现按操作类型、操作员、操作时间查询操作日志，包括账户编号、操作时间、操作类型、操作结果、操作员信息。</w:t>
            </w:r>
          </w:p>
          <w:p w14:paraId="733644C2">
            <w:pPr>
              <w:widowControl/>
              <w:adjustRightInd w:val="0"/>
              <w:snapToGrid w:val="0"/>
              <w:spacing w:line="54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三、补贴管理系统</w:t>
            </w:r>
          </w:p>
          <w:p w14:paraId="6E65D64C">
            <w:pPr>
              <w:widowControl/>
              <w:adjustRightInd w:val="0"/>
              <w:snapToGrid w:val="0"/>
              <w:spacing w:line="54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1.提供补贴项管理、补贴规则管理、补贴批次管理、补贴审核等各种专款专用补贴的管理功能。管理人员可以方便</w:t>
            </w:r>
            <w:r>
              <w:rPr>
                <w:rFonts w:hint="eastAsia" w:ascii="宋体" w:hAnsi="宋体" w:cs="宋体"/>
                <w:color w:val="auto"/>
                <w:kern w:val="0"/>
                <w:szCs w:val="21"/>
                <w:lang w:eastAsia="zh-CN"/>
              </w:rPr>
              <w:t>地</w:t>
            </w:r>
            <w:r>
              <w:rPr>
                <w:rFonts w:hint="eastAsia" w:ascii="宋体" w:hAnsi="宋体" w:cs="宋体"/>
                <w:color w:val="auto"/>
                <w:kern w:val="0"/>
                <w:szCs w:val="21"/>
              </w:rPr>
              <w:t>为师生发放各种补贴或者设置补贴规则进行后记账式的补贴，并且可以设置规则自动根据人员身份的变动完成补贴的调增调减。</w:t>
            </w:r>
          </w:p>
          <w:p w14:paraId="3C779CF5">
            <w:pPr>
              <w:widowControl/>
              <w:adjustRightInd w:val="0"/>
              <w:snapToGrid w:val="0"/>
              <w:spacing w:line="54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2.提供补贴信息H5功能，供用户在移动终端中进行补贴流水查询功能。</w:t>
            </w:r>
          </w:p>
          <w:p w14:paraId="2558AF11">
            <w:pPr>
              <w:widowControl/>
              <w:adjustRightInd w:val="0"/>
              <w:snapToGrid w:val="0"/>
              <w:spacing w:line="54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3.在POS中提供补贴消费功能。</w:t>
            </w:r>
          </w:p>
          <w:p w14:paraId="521B603B">
            <w:pPr>
              <w:widowControl/>
              <w:adjustRightInd w:val="0"/>
              <w:snapToGrid w:val="0"/>
              <w:spacing w:line="54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4.补贴项管理：设置补贴项的各项参数，包括结算率、使用说明、支持的支付项目、每日限额、餐次限额等。</w:t>
            </w:r>
          </w:p>
          <w:p w14:paraId="18D56BF0">
            <w:pPr>
              <w:widowControl/>
              <w:adjustRightInd w:val="0"/>
              <w:snapToGrid w:val="0"/>
              <w:spacing w:line="540" w:lineRule="exact"/>
              <w:ind w:firstLine="210" w:firstLineChars="100"/>
              <w:jc w:val="left"/>
              <w:rPr>
                <w:rFonts w:ascii="宋体" w:hAnsi="宋体" w:cs="宋体"/>
                <w:color w:val="auto"/>
                <w:kern w:val="0"/>
                <w:szCs w:val="21"/>
              </w:rPr>
            </w:pPr>
            <w:r>
              <w:rPr>
                <w:rFonts w:hint="eastAsia" w:ascii="宋体" w:hAnsi="宋体" w:cs="宋体"/>
                <w:color w:val="auto"/>
                <w:kern w:val="0"/>
                <w:szCs w:val="21"/>
              </w:rPr>
              <w:t>（1）补贴项的各项参数需包括结算率、使用说明、支持的支付项目、是否支持混合支付、补贴折扣关系、补贴管理员、每日限额、餐次限额；</w:t>
            </w:r>
          </w:p>
          <w:p w14:paraId="5734D0C9">
            <w:pPr>
              <w:widowControl/>
              <w:adjustRightInd w:val="0"/>
              <w:snapToGrid w:val="0"/>
              <w:spacing w:line="520" w:lineRule="exact"/>
              <w:ind w:firstLine="210" w:firstLineChars="1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）支持混合支付：开启后，如果该补贴项的额度不足，可以用其他可用的补贴项、钱包账户或者融合支付渠道支付剩余的金额；</w:t>
            </w:r>
          </w:p>
          <w:p w14:paraId="697E3CCE">
            <w:pPr>
              <w:widowControl/>
              <w:adjustRightInd w:val="0"/>
              <w:snapToGrid w:val="0"/>
              <w:spacing w:line="520" w:lineRule="exact"/>
              <w:ind w:firstLine="210" w:firstLineChars="1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）支持补贴折扣关系：支持折扣后，补贴收费金额先进行折扣，然后再使用补贴。支持折扣前补贴，收费金额先使用补贴，然后再进行折扣；</w:t>
            </w:r>
          </w:p>
          <w:p w14:paraId="0EDE60EA">
            <w:pPr>
              <w:widowControl/>
              <w:adjustRightInd w:val="0"/>
              <w:snapToGrid w:val="0"/>
              <w:spacing w:line="520" w:lineRule="exact"/>
              <w:ind w:firstLine="210" w:firstLineChars="1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）支持每日限额：可控制当日的使用补贴金额上限；</w:t>
            </w:r>
          </w:p>
          <w:p w14:paraId="1C6009D4">
            <w:pPr>
              <w:widowControl/>
              <w:adjustRightInd w:val="0"/>
              <w:snapToGrid w:val="0"/>
              <w:spacing w:line="520" w:lineRule="exact"/>
              <w:ind w:firstLine="210" w:firstLineChars="10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5</w:t>
            </w:r>
            <w:r>
              <w:rPr>
                <w:rFonts w:hint="eastAsia" w:ascii="宋体" w:hAnsi="宋体" w:cs="宋体"/>
                <w:color w:val="auto"/>
                <w:kern w:val="0"/>
                <w:szCs w:val="21"/>
              </w:rPr>
              <w:t>）支持餐次控制：可以按餐次控制是否可用和可用额度。</w:t>
            </w:r>
          </w:p>
          <w:p w14:paraId="4623EC15">
            <w:pPr>
              <w:widowControl/>
              <w:adjustRightInd w:val="0"/>
              <w:snapToGrid w:val="0"/>
              <w:spacing w:line="5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5.补贴规则组管理：可根据人员身份类别、状态、工作日、餐次设定补贴金额规则和次数规则，支持终端脱机应用规则。</w:t>
            </w:r>
          </w:p>
          <w:p w14:paraId="078B209E">
            <w:pPr>
              <w:widowControl/>
              <w:adjustRightInd w:val="0"/>
              <w:snapToGrid w:val="0"/>
              <w:spacing w:line="5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6.补贴批次管理：管理补贴批次，设置批次的开始结束时间、补贴模式等，管理批次中的补贴发放、调整、冻结、余额回收等，并支持设置自动规则，根据规则自动进行补贴的调整。</w:t>
            </w:r>
          </w:p>
          <w:p w14:paraId="691BDF8F">
            <w:pPr>
              <w:widowControl/>
              <w:adjustRightInd w:val="0"/>
              <w:snapToGrid w:val="0"/>
              <w:spacing w:line="5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7.可以设置特定人群可用餐次、可用日或可用次数的使用补贴；可设置享受该补贴的人员和其对应的补贴金额，可以对超规则的异常补贴进行记录。</w:t>
            </w:r>
          </w:p>
          <w:p w14:paraId="4B85A244">
            <w:pPr>
              <w:widowControl/>
              <w:adjustRightInd w:val="0"/>
              <w:snapToGrid w:val="0"/>
              <w:spacing w:line="520" w:lineRule="exact"/>
              <w:ind w:firstLine="420" w:firstLineChars="200"/>
              <w:jc w:val="left"/>
              <w:rPr>
                <w:rFonts w:ascii="宋体" w:hAnsi="宋体" w:cs="宋体"/>
                <w:color w:val="auto"/>
                <w:kern w:val="0"/>
                <w:szCs w:val="21"/>
              </w:rPr>
            </w:pPr>
            <w:r>
              <w:rPr>
                <w:rFonts w:ascii="宋体" w:hAnsi="宋体" w:cs="宋体"/>
                <w:color w:val="auto"/>
                <w:kern w:val="0"/>
                <w:szCs w:val="21"/>
              </w:rPr>
              <w:t>8</w:t>
            </w:r>
            <w:r>
              <w:rPr>
                <w:rFonts w:hint="eastAsia" w:ascii="宋体" w:hAnsi="宋体" w:cs="宋体"/>
                <w:color w:val="auto"/>
                <w:kern w:val="0"/>
                <w:szCs w:val="21"/>
              </w:rPr>
              <w:t>.补贴管理：具有对补贴发放人员、发放金额、发放补贴金额回收等进行设置操作，包括：补贴项管理、补贴批次管理、报表。</w:t>
            </w:r>
          </w:p>
          <w:p w14:paraId="75A5F73B">
            <w:pPr>
              <w:widowControl/>
              <w:adjustRightInd w:val="0"/>
              <w:snapToGrid w:val="0"/>
              <w:spacing w:line="520" w:lineRule="exact"/>
              <w:ind w:firstLine="420" w:firstLineChars="200"/>
              <w:jc w:val="left"/>
              <w:rPr>
                <w:rFonts w:ascii="宋体" w:hAnsi="宋体" w:cs="宋体"/>
                <w:color w:val="auto"/>
                <w:kern w:val="0"/>
                <w:szCs w:val="21"/>
              </w:rPr>
            </w:pPr>
            <w:r>
              <w:rPr>
                <w:rFonts w:ascii="宋体" w:hAnsi="宋体" w:cs="宋体"/>
                <w:color w:val="auto"/>
                <w:kern w:val="0"/>
                <w:szCs w:val="21"/>
              </w:rPr>
              <w:t>9</w:t>
            </w:r>
            <w:r>
              <w:rPr>
                <w:rFonts w:hint="eastAsia" w:ascii="宋体" w:hAnsi="宋体" w:cs="宋体"/>
                <w:color w:val="auto"/>
                <w:kern w:val="0"/>
                <w:szCs w:val="21"/>
              </w:rPr>
              <w:t>.报表：补贴批次日报表、补贴批次汇总表、补贴项日报表、补贴项汇总表；可根据支付日期、业务单位、支付项目、补贴项和补贴批次进行筛选，可导出为Excel和PDF文件。</w:t>
            </w:r>
          </w:p>
        </w:tc>
        <w:tc>
          <w:tcPr>
            <w:tcW w:w="767" w:type="dxa"/>
            <w:noWrap/>
            <w:vAlign w:val="center"/>
          </w:tcPr>
          <w:p w14:paraId="585F7F4E">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1</w:t>
            </w:r>
          </w:p>
        </w:tc>
        <w:tc>
          <w:tcPr>
            <w:tcW w:w="764" w:type="dxa"/>
            <w:noWrap/>
            <w:vAlign w:val="center"/>
          </w:tcPr>
          <w:p w14:paraId="78D4F180">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套</w:t>
            </w:r>
          </w:p>
        </w:tc>
      </w:tr>
      <w:tr w14:paraId="2BBB3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3" w:type="dxa"/>
            <w:noWrap/>
            <w:vAlign w:val="center"/>
          </w:tcPr>
          <w:p w14:paraId="6A4EF30A">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3</w:t>
            </w:r>
          </w:p>
        </w:tc>
        <w:tc>
          <w:tcPr>
            <w:tcW w:w="1623" w:type="dxa"/>
            <w:vAlign w:val="center"/>
          </w:tcPr>
          <w:p w14:paraId="32C4648B">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账务管理系统</w:t>
            </w:r>
          </w:p>
        </w:tc>
        <w:tc>
          <w:tcPr>
            <w:tcW w:w="5761" w:type="dxa"/>
            <w:gridSpan w:val="2"/>
            <w:vAlign w:val="center"/>
          </w:tcPr>
          <w:p w14:paraId="2A734F0B">
            <w:pPr>
              <w:widowControl/>
              <w:adjustRightInd w:val="0"/>
              <w:snapToGrid w:val="0"/>
              <w:spacing w:line="5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提供登账管理、对账管理、结算管理、资金结转管理、资金管理、凭证管理和各种账务报表，结合与支付通道、结算银行、账务系统的完善对接，可实现全自动化的交易资金管理功能。具体功能要求如下：</w:t>
            </w:r>
          </w:p>
          <w:p w14:paraId="38758457">
            <w:pPr>
              <w:widowControl/>
              <w:adjustRightInd w:val="0"/>
              <w:snapToGrid w:val="0"/>
              <w:spacing w:line="5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1.支付项目账户：查看每个支付项目的账户余额、未登账收入、可结算收入、待资金结转金额和当年累计收入。</w:t>
            </w:r>
          </w:p>
          <w:p w14:paraId="5F659CF2">
            <w:pPr>
              <w:widowControl/>
              <w:adjustRightInd w:val="0"/>
              <w:snapToGrid w:val="0"/>
              <w:spacing w:line="5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2.登账管理：每日在设定时间系统自动进行所有交易凭证的登账处理，形成各种总账。财务人员可查询登账记录或手工进行登账。</w:t>
            </w:r>
          </w:p>
          <w:p w14:paraId="63498E40">
            <w:pPr>
              <w:widowControl/>
              <w:adjustRightInd w:val="0"/>
              <w:snapToGrid w:val="0"/>
              <w:spacing w:line="5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3.对账管理：每日在设定时间，系统自动与第三方支付系统进行对账，并形成余额调节表。财务人员可查看对账情况，在必要的时候可手工启动对账。</w:t>
            </w:r>
          </w:p>
          <w:p w14:paraId="3DC779B7">
            <w:pPr>
              <w:widowControl/>
              <w:adjustRightInd w:val="0"/>
              <w:snapToGrid w:val="0"/>
              <w:spacing w:line="5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4.结算管理：每日在设定时间，系统根据支付项目设置的结算方案自动进行收入资金的结算，形成结算记录。财务人员可查看结算记录，或者手工进行结算，并可对没有结转的结算记录进行资金结转。</w:t>
            </w:r>
          </w:p>
          <w:p w14:paraId="7560A166">
            <w:pPr>
              <w:widowControl/>
              <w:adjustRightInd w:val="0"/>
              <w:snapToGrid w:val="0"/>
              <w:spacing w:line="5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5.资金结转：财务人员可查看资金结转记录。</w:t>
            </w:r>
          </w:p>
          <w:p w14:paraId="1D1714EE">
            <w:pPr>
              <w:widowControl/>
              <w:adjustRightInd w:val="0"/>
              <w:snapToGrid w:val="0"/>
              <w:spacing w:line="520" w:lineRule="exact"/>
              <w:ind w:firstLine="420" w:firstLineChars="200"/>
              <w:jc w:val="left"/>
              <w:rPr>
                <w:color w:val="auto"/>
              </w:rPr>
            </w:pPr>
            <w:r>
              <w:rPr>
                <w:rFonts w:hint="eastAsia" w:ascii="宋体" w:hAnsi="宋体" w:cs="宋体"/>
                <w:color w:val="auto"/>
                <w:kern w:val="0"/>
                <w:szCs w:val="21"/>
              </w:rPr>
              <w:t>6</w:t>
            </w:r>
            <w:r>
              <w:rPr>
                <w:rFonts w:hint="eastAsia"/>
                <w:color w:val="auto"/>
              </w:rPr>
              <w:t>.资金管理：财务人员可通过该功能进行通道资金应收管理、通道资金到账管理、直清商户搭伙费缴款登记、补贴资金到账登记、其他收支登记、盈余上缴、现金存取登记等各类资金管理操作，跟踪系统的资金走向。</w:t>
            </w:r>
          </w:p>
          <w:p w14:paraId="07DBBE3D">
            <w:pPr>
              <w:widowControl/>
              <w:adjustRightInd w:val="0"/>
              <w:snapToGrid w:val="0"/>
              <w:spacing w:line="5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7.凭证查看：查看各类交易的记账凭证。</w:t>
            </w:r>
          </w:p>
          <w:p w14:paraId="098D8310">
            <w:pPr>
              <w:widowControl/>
              <w:adjustRightInd w:val="0"/>
              <w:snapToGrid w:val="0"/>
              <w:spacing w:line="5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8.报表：需提供总账相关报表，包含科目余额表、科目明细账、科目总账表，科目在各个维度下的明细账、余额表、经济分类明细账、工作量汇总表、凭证预览表，所有账表可打印和输出。</w:t>
            </w:r>
          </w:p>
          <w:p w14:paraId="788B7939">
            <w:pPr>
              <w:widowControl/>
              <w:adjustRightInd w:val="0"/>
              <w:snapToGrid w:val="0"/>
              <w:spacing w:line="5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9.支持进行科目设置包括科目名称、科目类型、平行记账分类、受托代理科目、核算类别和经济分类。</w:t>
            </w:r>
          </w:p>
          <w:p w14:paraId="147445E0">
            <w:pPr>
              <w:widowControl/>
              <w:adjustRightInd w:val="0"/>
              <w:snapToGrid w:val="0"/>
              <w:spacing w:line="5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10.凭证查看：查看各类交易的记账凭证，包含业务单号、会计年度、会计时间、会计日期、凭证编号、凭证时间等。</w:t>
            </w:r>
          </w:p>
          <w:p w14:paraId="46DDF6DE">
            <w:pPr>
              <w:widowControl/>
              <w:adjustRightInd w:val="0"/>
              <w:snapToGrid w:val="0"/>
              <w:spacing w:line="5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11.系统支持科目、结算方式、凭证类型、开户行、常用摘要、敏感摘要、错误级别、凭证分录合并规则和字典管理等功能。</w:t>
            </w:r>
          </w:p>
          <w:p w14:paraId="47721FBC">
            <w:pPr>
              <w:widowControl/>
              <w:adjustRightInd w:val="0"/>
              <w:snapToGrid w:val="0"/>
              <w:spacing w:line="5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12.系统须支持丰富的辅助录入，包括项目、部门、资金来源、功能分类，实现各种业务的凭证审核。</w:t>
            </w:r>
          </w:p>
          <w:p w14:paraId="0D62B214">
            <w:pPr>
              <w:widowControl/>
              <w:adjustRightInd w:val="0"/>
              <w:snapToGrid w:val="0"/>
              <w:spacing w:line="5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13.可进行智能凭证录入和键盘录入；可进行打印和审核；当凭证未审核时打印需进行审核才能打印；可进行个性化打印功能包括适配不同的打印机、凭证打印模</w:t>
            </w:r>
            <w:r>
              <w:rPr>
                <w:rFonts w:hint="eastAsia" w:ascii="宋体" w:hAnsi="宋体" w:cs="宋体"/>
                <w:color w:val="auto"/>
                <w:kern w:val="0"/>
                <w:szCs w:val="21"/>
                <w:lang w:val="en-US" w:eastAsia="zh-CN"/>
              </w:rPr>
              <w:t>板</w:t>
            </w:r>
            <w:r>
              <w:rPr>
                <w:rFonts w:hint="eastAsia" w:ascii="宋体" w:hAnsi="宋体" w:cs="宋体"/>
                <w:color w:val="auto"/>
                <w:kern w:val="0"/>
                <w:szCs w:val="21"/>
              </w:rPr>
              <w:t>；多种打印模板时可默认设置。</w:t>
            </w:r>
          </w:p>
          <w:p w14:paraId="6F5FEF9C">
            <w:pPr>
              <w:widowControl/>
              <w:adjustRightInd w:val="0"/>
              <w:snapToGrid w:val="0"/>
              <w:spacing w:line="5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14.系统需内嵌智能检查，包含平衡校验、权限检查、凭证序时、敏感凭证摘要等。</w:t>
            </w:r>
          </w:p>
          <w:p w14:paraId="4D789320">
            <w:pPr>
              <w:widowControl/>
              <w:adjustRightInd w:val="0"/>
              <w:snapToGrid w:val="0"/>
              <w:spacing w:line="5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15.可接收电子凭证包括财政部要求的电子凭证会计数据标准；可对电子凭证进行审核；可查看电子凭证关联的电子附件。</w:t>
            </w:r>
          </w:p>
          <w:p w14:paraId="41D6FFE3">
            <w:pPr>
              <w:widowControl/>
              <w:adjustRightInd w:val="0"/>
              <w:snapToGrid w:val="0"/>
              <w:spacing w:line="5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16.系统支持对凭证进行记账，生成日记账；当期业务完结后，系统支持对当期进行月结处理。</w:t>
            </w:r>
          </w:p>
          <w:p w14:paraId="0ED5662C">
            <w:pPr>
              <w:widowControl/>
              <w:adjustRightInd w:val="0"/>
              <w:snapToGrid w:val="0"/>
              <w:spacing w:line="5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17.针对需要红冲的凭证，可选择原凭证进行红冲，系统自动生成红冲凭证。</w:t>
            </w:r>
          </w:p>
          <w:p w14:paraId="1277B82D">
            <w:pPr>
              <w:widowControl/>
              <w:adjustRightInd w:val="0"/>
              <w:snapToGrid w:val="0"/>
              <w:spacing w:line="5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18.支持凭证与业务单据的联查，做到账务分析可追溯。</w:t>
            </w:r>
          </w:p>
          <w:p w14:paraId="53B22334">
            <w:pPr>
              <w:widowControl/>
              <w:adjustRightInd w:val="0"/>
              <w:snapToGrid w:val="0"/>
              <w:spacing w:line="5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19.可对错误凭证进行关联调整；可显示调整的关联关系；可进行关联查看。</w:t>
            </w:r>
          </w:p>
          <w:p w14:paraId="2D7C1BD8">
            <w:pPr>
              <w:widowControl/>
              <w:adjustRightInd w:val="0"/>
              <w:snapToGrid w:val="0"/>
              <w:spacing w:line="5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20.系统支持提供凭证模板管理，可将常用业务进行模板化管理，并支持在凭证录入界面快速调出凭证模板，可直接选择模板自动生成凭证；支持在凭证审核界面直接一键将凭证转换成模板。</w:t>
            </w:r>
          </w:p>
          <w:p w14:paraId="7236AA16">
            <w:pPr>
              <w:widowControl/>
              <w:adjustRightInd w:val="0"/>
              <w:snapToGrid w:val="0"/>
              <w:spacing w:line="5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21.支持根据凭证基本属性进行凭证查询，显示凭证明细记录，支持跨年查询；系统提供丰富的查询字段，包括凭证、科目、项目、经济分类等相关字段，还可自定义查询条件和显示字段，系统可根据用户设置的查询，进行凭证记录的显示。</w:t>
            </w:r>
          </w:p>
          <w:p w14:paraId="4C075FDC">
            <w:pPr>
              <w:widowControl/>
              <w:adjustRightInd w:val="0"/>
              <w:snapToGrid w:val="0"/>
              <w:spacing w:line="5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22.可进行联查凭证、联查业务单、双屏查看附件和查看银行回单；可选择不同结算方式进行批量出纳；可进行批量搁置和批量关联搁置；可查看所有收付款单的出纳状态。</w:t>
            </w:r>
          </w:p>
          <w:p w14:paraId="7328054D">
            <w:pPr>
              <w:widowControl/>
              <w:adjustRightInd w:val="0"/>
              <w:snapToGrid w:val="0"/>
              <w:spacing w:line="5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23.系统支持项目分类多级管理，实现树形层级结构展示功能；支持管理项目的负责人、所属部门、归口管理部门、可用科目、是否锁定、类款项属性；支持扩展项目属性字段，提供项目分项相关报表；可根据岗位权限进行维护与管理；支持批量修改或批量导入Excel的方式对项目进行批量维护管理。</w:t>
            </w:r>
          </w:p>
          <w:p w14:paraId="2FF80AB3">
            <w:pPr>
              <w:widowControl/>
              <w:adjustRightInd w:val="0"/>
              <w:snapToGrid w:val="0"/>
              <w:spacing w:line="52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24.可针对各个项目类别设置默认的属性模板，新增项目时，系统自动生成项目属性。</w:t>
            </w:r>
          </w:p>
          <w:p w14:paraId="5EA4E27B">
            <w:pPr>
              <w:widowControl/>
              <w:adjustRightInd w:val="0"/>
              <w:snapToGrid w:val="0"/>
              <w:spacing w:line="52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25.针对一些有开支控制要求的项目，可设置开支预算控制模板，针对每项开支进行额度控制，并且提供接口给业务系统，业务系统在提交开支时，先进行开支额度的检查控制；对于同一个项目，支持项目分项管理，负责人可将项目额度分配给不同的人来管理，分项负责人可对分配的额度进行签批，对于分出去的额度，项目负责人可完全委托分项负责人进行管理。</w:t>
            </w:r>
          </w:p>
          <w:p w14:paraId="38935D58">
            <w:pPr>
              <w:widowControl/>
              <w:adjustRightInd w:val="0"/>
              <w:snapToGrid w:val="0"/>
              <w:spacing w:line="52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26.支持出纳复核、票据管理、支付管理、往来单位信息自动保存和账户自助录入；支持根据不同的网银支付额度设置不同的审批岗位，实现多级审批；支持自动提供打印现金、银行日记账及流水账功能。</w:t>
            </w:r>
          </w:p>
          <w:p w14:paraId="43A873A5">
            <w:pPr>
              <w:widowControl/>
              <w:adjustRightInd w:val="0"/>
              <w:snapToGrid w:val="0"/>
              <w:spacing w:line="52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27.可进行编辑国库属性包括资金属性、财政项目、预算类型、功能分类、预算来源、经济分类；可对财政项目关联资金来源进行编辑；可编辑资金来源经济分类平衡检验设置；可进行一项目多资金来源和资金来源额度编辑。</w:t>
            </w:r>
          </w:p>
          <w:p w14:paraId="159A4E84">
            <w:pPr>
              <w:widowControl/>
              <w:adjustRightInd w:val="0"/>
              <w:snapToGrid w:val="0"/>
              <w:spacing w:line="52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28.需提供项目设置的增加、删除、修改和查询功能，并以项目类别、项目所属部门两种树状列表方式展现项目数据列表，可以进行资金冻结和项目管理权限的授权操作。</w:t>
            </w:r>
          </w:p>
          <w:p w14:paraId="536AE8DA">
            <w:pPr>
              <w:widowControl/>
              <w:adjustRightInd w:val="0"/>
              <w:snapToGrid w:val="0"/>
              <w:spacing w:line="52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29.系统对接银行获取银行流水根据银行流水生成到款凭证和水电费划扣凭证；可打印进账单；可根据流水关联凭证分录；可在回单时形成凭证附件。</w:t>
            </w:r>
          </w:p>
          <w:p w14:paraId="2598F0B3">
            <w:pPr>
              <w:widowControl/>
              <w:adjustRightInd w:val="0"/>
              <w:snapToGrid w:val="0"/>
              <w:spacing w:line="5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30.报表：具备资产负债表、应用钱包批复资金日报表、未结转资金报表、通道结算资金日报表、应收直清商户搭伙费资金日报表、应收补贴批次资金日报表、应收折扣补贴资金日报表、补贴资金使用日报表，并支持导出Excel、pdf报表。</w:t>
            </w:r>
          </w:p>
        </w:tc>
        <w:tc>
          <w:tcPr>
            <w:tcW w:w="767" w:type="dxa"/>
            <w:noWrap/>
            <w:vAlign w:val="center"/>
          </w:tcPr>
          <w:p w14:paraId="12635F9C">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1</w:t>
            </w:r>
          </w:p>
        </w:tc>
        <w:tc>
          <w:tcPr>
            <w:tcW w:w="764" w:type="dxa"/>
            <w:noWrap/>
            <w:vAlign w:val="center"/>
          </w:tcPr>
          <w:p w14:paraId="38E6CAB5">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套</w:t>
            </w:r>
          </w:p>
        </w:tc>
      </w:tr>
      <w:tr w14:paraId="1929D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3" w:type="dxa"/>
            <w:noWrap/>
            <w:vAlign w:val="center"/>
          </w:tcPr>
          <w:p w14:paraId="203E1FA8">
            <w:pPr>
              <w:widowControl/>
              <w:adjustRightInd w:val="0"/>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4</w:t>
            </w:r>
          </w:p>
        </w:tc>
        <w:tc>
          <w:tcPr>
            <w:tcW w:w="1623" w:type="dxa"/>
            <w:vAlign w:val="center"/>
          </w:tcPr>
          <w:p w14:paraId="33C9F3E1">
            <w:pPr>
              <w:widowControl/>
              <w:adjustRightInd w:val="0"/>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权管平台</w:t>
            </w:r>
          </w:p>
        </w:tc>
        <w:tc>
          <w:tcPr>
            <w:tcW w:w="5761" w:type="dxa"/>
            <w:gridSpan w:val="2"/>
            <w:vAlign w:val="center"/>
          </w:tcPr>
          <w:p w14:paraId="0153075E">
            <w:pPr>
              <w:widowControl/>
              <w:adjustRightInd w:val="0"/>
              <w:snapToGrid w:val="0"/>
              <w:spacing w:line="480" w:lineRule="exact"/>
              <w:ind w:firstLine="420" w:firstLineChars="200"/>
              <w:rPr>
                <w:rFonts w:ascii="宋体" w:hAnsi="宋体" w:cs="宋体"/>
                <w:color w:val="auto"/>
                <w:kern w:val="0"/>
                <w:szCs w:val="21"/>
              </w:rPr>
            </w:pPr>
            <w:r>
              <w:rPr>
                <w:rFonts w:ascii="宋体" w:hAnsi="宋体" w:cs="宋体"/>
                <w:color w:val="auto"/>
                <w:kern w:val="0"/>
                <w:szCs w:val="21"/>
              </w:rPr>
              <w:t>1</w:t>
            </w:r>
            <w:r>
              <w:rPr>
                <w:rFonts w:hint="eastAsia" w:ascii="宋体" w:hAnsi="宋体" w:cs="宋体"/>
                <w:color w:val="auto"/>
                <w:kern w:val="0"/>
                <w:szCs w:val="21"/>
              </w:rPr>
              <w:t>.支持通过隧道模式，可以支持基于TCP、UDP、ICMP等协议代理访问业务资源，支持发布IPv4/IPv6地址、IPv4/IPv6地址范围、IPv4/IPv6地址网段、具体域名及通配符域名等形式的服务器地址，满足常见办公业务的代理，收缩业务暴露面。为简化资源发布配置，隧道模式应支持同一个资源发布多个服务器地址；管理员还可基于业务的特殊性，自主选择优先使用长连接或短连接进行业务代理。</w:t>
            </w:r>
          </w:p>
          <w:p w14:paraId="4503EF2F">
            <w:pPr>
              <w:widowControl/>
              <w:adjustRightInd w:val="0"/>
              <w:snapToGrid w:val="0"/>
              <w:spacing w:line="480" w:lineRule="exact"/>
              <w:ind w:firstLine="420" w:firstLineChars="200"/>
              <w:rPr>
                <w:rFonts w:ascii="宋体" w:hAnsi="宋体" w:cs="宋体"/>
                <w:color w:val="auto"/>
                <w:kern w:val="0"/>
                <w:szCs w:val="21"/>
              </w:rPr>
            </w:pPr>
            <w:r>
              <w:rPr>
                <w:rFonts w:ascii="宋体" w:hAnsi="宋体" w:cs="宋体"/>
                <w:color w:val="auto"/>
                <w:kern w:val="0"/>
                <w:szCs w:val="21"/>
              </w:rPr>
              <w:t>2</w:t>
            </w:r>
            <w:r>
              <w:rPr>
                <w:rFonts w:hint="eastAsia" w:ascii="宋体" w:hAnsi="宋体" w:cs="宋体"/>
                <w:color w:val="auto"/>
                <w:kern w:val="0"/>
                <w:szCs w:val="21"/>
              </w:rPr>
              <w:t>.支持直接在应用授权界面为单一应用或某个应用分类分配用户授权，授权方式支持直接授权给用户所在的组织架构、用户关联的角色或用户本身，并展示应用直接授权的组织架构、授权角色或用户数量。</w:t>
            </w:r>
          </w:p>
          <w:p w14:paraId="49F26E27">
            <w:pPr>
              <w:widowControl/>
              <w:adjustRightInd w:val="0"/>
              <w:snapToGrid w:val="0"/>
              <w:spacing w:line="480" w:lineRule="exact"/>
              <w:ind w:firstLine="420" w:firstLineChars="200"/>
              <w:rPr>
                <w:rFonts w:ascii="宋体" w:hAnsi="宋体" w:cs="宋体"/>
                <w:color w:val="auto"/>
                <w:kern w:val="0"/>
                <w:szCs w:val="21"/>
              </w:rPr>
            </w:pPr>
            <w:r>
              <w:rPr>
                <w:rFonts w:ascii="宋体" w:hAnsi="宋体" w:cs="宋体"/>
                <w:color w:val="auto"/>
                <w:kern w:val="0"/>
                <w:szCs w:val="21"/>
              </w:rPr>
              <w:t>3</w:t>
            </w:r>
            <w:r>
              <w:rPr>
                <w:rFonts w:hint="eastAsia" w:ascii="宋体" w:hAnsi="宋体" w:cs="宋体"/>
                <w:color w:val="auto"/>
                <w:kern w:val="0"/>
                <w:szCs w:val="21"/>
              </w:rPr>
              <w:t>.为了保障用户在国产化终端上的正常业务访问，安全接入客户端应兼容主流国产硬件CPU的国产操作系统终端，包括但不限于麒麟V10×龙芯、麒麟V10×龙芯LoongArch、麒麟V10×飞腾、麒麟V10×鲲鹏、麒麟V10×兆芯、麒麟V10×海光、麒麟V10×海思麒麟；统信V20×龙芯（3A3000、3A4000）、统信V20×龙芯（3A5000）、统信V20×飞腾、统信V20×鲲鹏、统信V20×海光、统信V20×兆芯等。</w:t>
            </w:r>
          </w:p>
          <w:p w14:paraId="342C374F">
            <w:pPr>
              <w:widowControl/>
              <w:adjustRightInd w:val="0"/>
              <w:snapToGrid w:val="0"/>
              <w:spacing w:line="500" w:lineRule="exact"/>
              <w:ind w:firstLine="420" w:firstLineChars="200"/>
              <w:rPr>
                <w:rFonts w:hint="eastAsia" w:ascii="宋体" w:hAnsi="宋体" w:cs="宋体"/>
                <w:color w:val="auto"/>
                <w:kern w:val="0"/>
                <w:szCs w:val="21"/>
              </w:rPr>
            </w:pPr>
            <w:r>
              <w:rPr>
                <w:rFonts w:ascii="宋体" w:hAnsi="宋体" w:cs="宋体"/>
                <w:color w:val="auto"/>
                <w:kern w:val="0"/>
                <w:szCs w:val="21"/>
              </w:rPr>
              <w:t>4</w:t>
            </w:r>
            <w:r>
              <w:rPr>
                <w:rFonts w:hint="eastAsia" w:ascii="宋体" w:hAnsi="宋体" w:cs="宋体"/>
                <w:color w:val="auto"/>
                <w:kern w:val="0"/>
                <w:szCs w:val="21"/>
              </w:rPr>
              <w:t>.支持配置HTTPS短信网关、腾讯云短信网关、阿里云短信网关、华为云短信网关、移动云mas短信网关、百度云短信网关、天翼云短信网关、融合云信短信网关、梦网API短信网关、亿美软通短信网关、智恒三网短信网关、音信通短信网关、梦网API短信网关、Socket短信网关、企业微信消息网关、钉钉消息网关等多种短信网关。</w:t>
            </w:r>
          </w:p>
          <w:p w14:paraId="31075CED">
            <w:pPr>
              <w:widowControl/>
              <w:adjustRightInd w:val="0"/>
              <w:snapToGrid w:val="0"/>
              <w:spacing w:line="500" w:lineRule="exact"/>
              <w:ind w:firstLine="420" w:firstLineChars="200"/>
              <w:rPr>
                <w:rFonts w:hint="eastAsia" w:ascii="宋体" w:hAnsi="宋体" w:cs="宋体"/>
                <w:color w:val="auto"/>
                <w:kern w:val="0"/>
                <w:szCs w:val="21"/>
              </w:rPr>
            </w:pPr>
            <w:r>
              <w:rPr>
                <w:rFonts w:ascii="宋体" w:hAnsi="宋体" w:cs="宋体"/>
                <w:color w:val="auto"/>
                <w:kern w:val="0"/>
                <w:szCs w:val="21"/>
              </w:rPr>
              <w:t>5</w:t>
            </w:r>
            <w:r>
              <w:rPr>
                <w:rFonts w:hint="eastAsia" w:ascii="宋体" w:hAnsi="宋体" w:cs="宋体"/>
                <w:color w:val="auto"/>
                <w:kern w:val="0"/>
                <w:szCs w:val="21"/>
              </w:rPr>
              <w:t>.支持配置动态访问规则，动态访问控制策略支持“与</w:t>
            </w:r>
            <w:r>
              <w:rPr>
                <w:rFonts w:hint="eastAsia" w:ascii="宋体" w:hAnsi="宋体" w:cs="宋体"/>
                <w:color w:val="auto"/>
                <w:kern w:val="0"/>
                <w:szCs w:val="21"/>
                <w:lang w:eastAsia="zh-CN"/>
              </w:rPr>
              <w:t>”“</w:t>
            </w:r>
            <w:r>
              <w:rPr>
                <w:rFonts w:hint="eastAsia" w:ascii="宋体" w:hAnsi="宋体" w:cs="宋体"/>
                <w:color w:val="auto"/>
                <w:kern w:val="0"/>
                <w:szCs w:val="21"/>
              </w:rPr>
              <w:t>或”条件嵌套，并可通过单一条件或条件组的方式灵活组合嵌套，可支持的条件变量应包括但不限于：终端名称、MAC地址、终端本地IP列表、操作系统版本、终端资产类型、终端标签类型、存在指定文件、操作系统安装的补丁、运行进程、运行指定杀毒软件、运行任一杀毒软件、安全接入客户端版本、安装指定软件、开启系统防火墙、开放的操作系统端口、windows操作系统注册表、用户接入城市、用户登录国家、用户登录时间、授信终端、授信域环境、异常时间登录、新地点登录、非常用地点登录等。</w:t>
            </w:r>
          </w:p>
          <w:p w14:paraId="6844E748">
            <w:pPr>
              <w:widowControl/>
              <w:adjustRightInd w:val="0"/>
              <w:snapToGrid w:val="0"/>
              <w:spacing w:line="500" w:lineRule="exact"/>
              <w:ind w:firstLine="420" w:firstLineChars="200"/>
              <w:rPr>
                <w:rFonts w:hint="eastAsia" w:ascii="宋体" w:hAnsi="宋体" w:cs="宋体"/>
                <w:color w:val="auto"/>
                <w:kern w:val="0"/>
                <w:szCs w:val="21"/>
              </w:rPr>
            </w:pPr>
            <w:r>
              <w:rPr>
                <w:rFonts w:ascii="宋体" w:hAnsi="宋体" w:cs="宋体"/>
                <w:color w:val="auto"/>
                <w:kern w:val="0"/>
                <w:szCs w:val="21"/>
              </w:rPr>
              <w:t>6</w:t>
            </w:r>
            <w:r>
              <w:rPr>
                <w:rFonts w:hint="eastAsia" w:ascii="宋体" w:hAnsi="宋体" w:cs="宋体"/>
                <w:color w:val="auto"/>
                <w:kern w:val="0"/>
                <w:szCs w:val="21"/>
              </w:rPr>
              <w:t>.安全接入系统内置了一些常见攻击工具进程黑名单，管理员可基于内置的名单进行增减，匹配上此名单的进程访问安全接入系统时会被打上标签，以方便快速定位排查问题终端。</w:t>
            </w:r>
          </w:p>
          <w:p w14:paraId="05B12EDB">
            <w:pPr>
              <w:widowControl/>
              <w:adjustRightInd w:val="0"/>
              <w:snapToGrid w:val="0"/>
              <w:spacing w:line="500" w:lineRule="exact"/>
              <w:ind w:firstLine="420" w:firstLineChars="200"/>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7</w:t>
            </w:r>
            <w:r>
              <w:rPr>
                <w:rFonts w:hint="eastAsia" w:ascii="宋体" w:hAnsi="宋体" w:cs="宋体"/>
                <w:color w:val="auto"/>
                <w:kern w:val="0"/>
                <w:szCs w:val="21"/>
              </w:rPr>
              <w:t>.需提供单包授权能力（SPA），支持UDP+TCP组合的单包授权技术，PC端和移动端均支持安全码，支持短信分发安全码，保障业务的安全性。</w:t>
            </w:r>
            <w:r>
              <w:rPr>
                <w:rFonts w:hint="eastAsia" w:ascii="宋体" w:hAnsi="宋体" w:cs="宋体"/>
                <w:color w:val="auto"/>
                <w:kern w:val="0"/>
                <w:szCs w:val="21"/>
                <w:lang w:val="en-US" w:eastAsia="zh-CN"/>
              </w:rPr>
              <w:t>验收</w:t>
            </w:r>
            <w:r>
              <w:rPr>
                <w:rFonts w:hint="eastAsia" w:ascii="宋体" w:hAnsi="宋体" w:cs="宋体"/>
                <w:color w:val="auto"/>
                <w:kern w:val="0"/>
                <w:szCs w:val="21"/>
              </w:rPr>
              <w:t>时需提供第三方检测机构出具的带CNAS标识的检测报告扫描件证明</w:t>
            </w:r>
            <w:r>
              <w:rPr>
                <w:rFonts w:hint="eastAsia"/>
                <w:color w:val="auto"/>
                <w:lang w:val="en-US" w:eastAsia="zh-CN"/>
              </w:rPr>
              <w:t>并加盖供应商公章</w:t>
            </w:r>
            <w:r>
              <w:rPr>
                <w:rFonts w:hint="eastAsia" w:ascii="宋体" w:hAnsi="宋体" w:cs="宋体"/>
                <w:color w:val="auto"/>
                <w:kern w:val="0"/>
                <w:szCs w:val="21"/>
              </w:rPr>
              <w:t>。</w:t>
            </w:r>
          </w:p>
          <w:p w14:paraId="4382704D">
            <w:pPr>
              <w:widowControl/>
              <w:adjustRightInd w:val="0"/>
              <w:snapToGrid w:val="0"/>
              <w:spacing w:line="480" w:lineRule="exact"/>
              <w:ind w:firstLine="420" w:firstLineChars="200"/>
              <w:rPr>
                <w:rFonts w:ascii="宋体" w:hAnsi="宋体" w:cs="宋体"/>
                <w:color w:val="auto"/>
                <w:kern w:val="0"/>
                <w:szCs w:val="21"/>
              </w:rPr>
            </w:pPr>
            <w:r>
              <w:rPr>
                <w:rFonts w:ascii="宋体" w:hAnsi="宋体" w:cs="宋体"/>
                <w:color w:val="auto"/>
                <w:kern w:val="0"/>
                <w:szCs w:val="21"/>
              </w:rPr>
              <w:t>8</w:t>
            </w:r>
            <w:r>
              <w:rPr>
                <w:rFonts w:hint="eastAsia" w:ascii="宋体" w:hAnsi="宋体" w:cs="宋体"/>
                <w:color w:val="auto"/>
                <w:kern w:val="0"/>
                <w:szCs w:val="21"/>
              </w:rPr>
              <w:t>.支持对设备自身的安全状态和策略配置进行巡检，对设备的整体状态进行打分，统计所有检查的正常项、异常项和告警项，并输出巡检报告。报告须包含检测项、检查状态、存在的问题描述、建议改进措施等。支持在设备上查看及下载巡检报告。</w:t>
            </w:r>
          </w:p>
          <w:p w14:paraId="173D1318">
            <w:pPr>
              <w:pStyle w:val="2"/>
              <w:widowControl/>
              <w:adjustRightInd w:val="0"/>
              <w:snapToGrid w:val="0"/>
              <w:spacing w:line="480" w:lineRule="exact"/>
              <w:ind w:firstLineChars="200"/>
              <w:rPr>
                <w:rFonts w:hint="eastAsia" w:ascii="宋体" w:hAnsi="宋体" w:eastAsia="宋体" w:cs="宋体"/>
                <w:color w:val="auto"/>
                <w:kern w:val="0"/>
                <w:szCs w:val="21"/>
                <w:lang w:eastAsia="zh-CN"/>
              </w:rPr>
            </w:pPr>
            <w:r>
              <w:rPr>
                <w:rFonts w:hint="eastAsia" w:ascii="宋体" w:hAnsi="宋体" w:cs="宋体"/>
                <w:color w:val="auto"/>
                <w:kern w:val="0"/>
                <w:szCs w:val="21"/>
              </w:rPr>
              <w:t>▲9.</w:t>
            </w:r>
            <w:r>
              <w:rPr>
                <w:rFonts w:hint="eastAsia"/>
                <w:color w:val="auto"/>
              </w:rPr>
              <w:t>为证明所投产品的自身安全性，应具备及出具有效的安全无漏洞相关证明文件，</w:t>
            </w:r>
            <w:r>
              <w:rPr>
                <w:rFonts w:hint="eastAsia"/>
                <w:color w:val="auto"/>
                <w:lang w:val="en-US" w:eastAsia="zh-CN"/>
              </w:rPr>
              <w:t>验收</w:t>
            </w:r>
            <w:r>
              <w:rPr>
                <w:rFonts w:hint="eastAsia"/>
                <w:color w:val="auto"/>
              </w:rPr>
              <w:t>时需提供证明文件扫描件</w:t>
            </w:r>
            <w:r>
              <w:rPr>
                <w:rFonts w:hint="eastAsia"/>
                <w:color w:val="auto"/>
                <w:lang w:val="en-US" w:eastAsia="zh-CN"/>
              </w:rPr>
              <w:t>并加盖供应商公章</w:t>
            </w:r>
            <w:r>
              <w:rPr>
                <w:rFonts w:hint="eastAsia"/>
                <w:color w:val="auto"/>
                <w:lang w:eastAsia="zh-CN"/>
              </w:rPr>
              <w:t>。</w:t>
            </w:r>
          </w:p>
        </w:tc>
        <w:tc>
          <w:tcPr>
            <w:tcW w:w="767" w:type="dxa"/>
            <w:noWrap/>
            <w:vAlign w:val="center"/>
          </w:tcPr>
          <w:p w14:paraId="08F9EB6F">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1</w:t>
            </w:r>
          </w:p>
        </w:tc>
        <w:tc>
          <w:tcPr>
            <w:tcW w:w="764" w:type="dxa"/>
            <w:noWrap/>
            <w:vAlign w:val="center"/>
          </w:tcPr>
          <w:p w14:paraId="10196196">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套</w:t>
            </w:r>
          </w:p>
        </w:tc>
      </w:tr>
      <w:tr w14:paraId="7DA3E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3" w:type="dxa"/>
            <w:noWrap/>
            <w:vAlign w:val="center"/>
          </w:tcPr>
          <w:p w14:paraId="64D66E4C">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5</w:t>
            </w:r>
          </w:p>
        </w:tc>
        <w:tc>
          <w:tcPr>
            <w:tcW w:w="1623" w:type="dxa"/>
            <w:vAlign w:val="center"/>
          </w:tcPr>
          <w:p w14:paraId="3A5BB2D0">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聚合支付</w:t>
            </w:r>
          </w:p>
        </w:tc>
        <w:tc>
          <w:tcPr>
            <w:tcW w:w="5761" w:type="dxa"/>
            <w:gridSpan w:val="2"/>
            <w:vAlign w:val="center"/>
          </w:tcPr>
          <w:p w14:paraId="26D269C0">
            <w:pPr>
              <w:widowControl/>
              <w:adjustRightInd w:val="0"/>
              <w:snapToGrid w:val="0"/>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w:t>
            </w:r>
            <w:r>
              <w:rPr>
                <w:rFonts w:ascii="宋体" w:hAnsi="宋体" w:cs="宋体"/>
                <w:color w:val="auto"/>
                <w:kern w:val="0"/>
                <w:szCs w:val="21"/>
              </w:rPr>
              <w:t>.</w:t>
            </w:r>
            <w:r>
              <w:rPr>
                <w:rFonts w:hint="eastAsia" w:ascii="宋体" w:hAnsi="宋体" w:cs="宋体"/>
                <w:color w:val="auto"/>
                <w:kern w:val="0"/>
                <w:szCs w:val="21"/>
              </w:rPr>
              <w:t>微信支付通道对接：与微信支付渠道对接，实现刷微信二维码进行扣费。</w:t>
            </w:r>
          </w:p>
          <w:p w14:paraId="33D3AB3B">
            <w:pPr>
              <w:widowControl/>
              <w:adjustRightInd w:val="0"/>
              <w:snapToGrid w:val="0"/>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2.支付宝支付通道对接：与支付宝支付渠道对接，实现刷支付宝二维码进行扣费。</w:t>
            </w:r>
          </w:p>
          <w:p w14:paraId="7939A1C8">
            <w:pPr>
              <w:widowControl/>
              <w:adjustRightInd w:val="0"/>
              <w:snapToGrid w:val="0"/>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3.银行聚合支付通道对接：与银行聚合支付通道对接，实现刷微信、支付宝二维码扣费。</w:t>
            </w:r>
          </w:p>
          <w:p w14:paraId="2A6483FC">
            <w:pPr>
              <w:widowControl/>
              <w:adjustRightInd w:val="0"/>
              <w:snapToGrid w:val="0"/>
              <w:spacing w:line="400" w:lineRule="exact"/>
              <w:ind w:firstLine="420" w:firstLineChars="200"/>
              <w:jc w:val="left"/>
              <w:rPr>
                <w:rFonts w:ascii="宋体" w:hAnsi="宋体" w:cs="宋体"/>
                <w:b/>
                <w:bCs/>
                <w:color w:val="auto"/>
                <w:kern w:val="0"/>
                <w:szCs w:val="21"/>
              </w:rPr>
            </w:pPr>
            <w:r>
              <w:rPr>
                <w:rFonts w:ascii="宋体" w:hAnsi="宋体" w:cs="宋体"/>
                <w:b w:val="0"/>
                <w:bCs w:val="0"/>
                <w:color w:val="auto"/>
                <w:kern w:val="0"/>
                <w:szCs w:val="21"/>
              </w:rPr>
              <w:t>4.</w:t>
            </w:r>
            <w:r>
              <w:rPr>
                <w:rFonts w:hint="eastAsia" w:ascii="宋体" w:hAnsi="宋体" w:cs="宋体"/>
                <w:b w:val="0"/>
                <w:bCs w:val="0"/>
                <w:color w:val="auto"/>
                <w:kern w:val="0"/>
                <w:szCs w:val="21"/>
              </w:rPr>
              <w:t>云闪付对接：对接后，支持使用云闪付进行消费。</w:t>
            </w:r>
          </w:p>
          <w:p w14:paraId="29EE5BDF">
            <w:pPr>
              <w:widowControl/>
              <w:adjustRightInd w:val="0"/>
              <w:snapToGrid w:val="0"/>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5</w:t>
            </w:r>
            <w:r>
              <w:rPr>
                <w:rFonts w:ascii="宋体" w:hAnsi="宋体" w:cs="宋体"/>
                <w:color w:val="auto"/>
                <w:kern w:val="0"/>
                <w:szCs w:val="21"/>
              </w:rPr>
              <w:t>.</w:t>
            </w:r>
            <w:r>
              <w:rPr>
                <w:rFonts w:hint="eastAsia" w:ascii="宋体" w:hAnsi="宋体" w:cs="宋体"/>
                <w:color w:val="auto"/>
                <w:kern w:val="0"/>
                <w:szCs w:val="21"/>
              </w:rPr>
              <w:t>通道管理：支持配置支付所需的银行、微信、支付宝、第三方支付机构等支付通道；多种支付方式整合成为统一的支付接口，每日的收入由支付通道第二天将学校上一日的收入资金转到学校的结算账户。</w:t>
            </w:r>
          </w:p>
          <w:p w14:paraId="1E43ED97">
            <w:pPr>
              <w:widowControl/>
              <w:adjustRightInd w:val="0"/>
              <w:snapToGrid w:val="0"/>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6</w:t>
            </w:r>
            <w:r>
              <w:rPr>
                <w:rFonts w:ascii="宋体" w:hAnsi="宋体" w:cs="宋体"/>
                <w:color w:val="auto"/>
                <w:kern w:val="0"/>
                <w:szCs w:val="21"/>
              </w:rPr>
              <w:t>.</w:t>
            </w:r>
            <w:r>
              <w:rPr>
                <w:rFonts w:hint="eastAsia" w:ascii="宋体" w:hAnsi="宋体" w:cs="宋体"/>
                <w:color w:val="auto"/>
                <w:kern w:val="0"/>
                <w:szCs w:val="21"/>
              </w:rPr>
              <w:t>能添加银行通道，对银行通道进行修改、冻结、激活；可添加银行渠道编码，并对银行渠道编码进行修改、冻结、激活；可添加银行渠道，并对银行渠道进行修改、查看规则；可添加支付渠道分流，并对支付渠道分流列表进行查询。</w:t>
            </w:r>
          </w:p>
          <w:p w14:paraId="150FB5ED">
            <w:pPr>
              <w:widowControl/>
              <w:adjustRightInd w:val="0"/>
              <w:snapToGrid w:val="0"/>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7</w:t>
            </w:r>
            <w:r>
              <w:rPr>
                <w:rFonts w:ascii="宋体" w:hAnsi="宋体" w:cs="宋体"/>
                <w:color w:val="auto"/>
                <w:kern w:val="0"/>
                <w:szCs w:val="21"/>
              </w:rPr>
              <w:t>.</w:t>
            </w:r>
            <w:r>
              <w:rPr>
                <w:rFonts w:hint="eastAsia" w:ascii="宋体" w:hAnsi="宋体" w:cs="宋体"/>
                <w:color w:val="auto"/>
                <w:kern w:val="0"/>
                <w:szCs w:val="21"/>
              </w:rPr>
              <w:t>渠道编码管理：配置各支付通道下不同的支付渠道，可添加渠道、设置该渠道接口的各种连接和控制参数。</w:t>
            </w:r>
          </w:p>
          <w:p w14:paraId="266BC5E7">
            <w:pPr>
              <w:widowControl/>
              <w:adjustRightInd w:val="0"/>
              <w:snapToGrid w:val="0"/>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8</w:t>
            </w:r>
            <w:r>
              <w:rPr>
                <w:rFonts w:ascii="宋体" w:hAnsi="宋体" w:cs="宋体"/>
                <w:color w:val="auto"/>
                <w:kern w:val="0"/>
                <w:szCs w:val="21"/>
              </w:rPr>
              <w:t>.</w:t>
            </w:r>
            <w:r>
              <w:rPr>
                <w:rFonts w:hint="eastAsia" w:ascii="宋体" w:hAnsi="宋体" w:cs="宋体"/>
                <w:color w:val="auto"/>
                <w:kern w:val="0"/>
                <w:szCs w:val="21"/>
              </w:rPr>
              <w:t>渠道管理：配置支付渠道的类型和费率。</w:t>
            </w:r>
          </w:p>
          <w:p w14:paraId="6DD02553">
            <w:pPr>
              <w:widowControl/>
              <w:adjustRightInd w:val="0"/>
              <w:snapToGrid w:val="0"/>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9</w:t>
            </w:r>
            <w:r>
              <w:rPr>
                <w:rFonts w:ascii="宋体" w:hAnsi="宋体" w:cs="宋体"/>
                <w:color w:val="auto"/>
                <w:kern w:val="0"/>
                <w:szCs w:val="21"/>
              </w:rPr>
              <w:t>.</w:t>
            </w:r>
            <w:r>
              <w:rPr>
                <w:rFonts w:hint="eastAsia" w:ascii="宋体" w:hAnsi="宋体" w:cs="宋体"/>
                <w:color w:val="auto"/>
                <w:kern w:val="0"/>
                <w:szCs w:val="21"/>
              </w:rPr>
              <w:t>渠道费率管理：可设置各渠道的费率，折扣和虚拟卡钱包可设置手续费。</w:t>
            </w:r>
          </w:p>
          <w:p w14:paraId="1DB7E7EC">
            <w:pPr>
              <w:widowControl/>
              <w:adjustRightInd w:val="0"/>
              <w:snapToGrid w:val="0"/>
              <w:spacing w:line="400" w:lineRule="exact"/>
              <w:ind w:firstLine="420" w:firstLineChars="200"/>
              <w:jc w:val="left"/>
              <w:rPr>
                <w:rFonts w:ascii="宋体" w:hAnsi="宋体" w:cs="宋体"/>
                <w:color w:val="auto"/>
                <w:kern w:val="0"/>
                <w:szCs w:val="21"/>
              </w:rPr>
            </w:pPr>
            <w:r>
              <w:rPr>
                <w:rFonts w:ascii="宋体" w:hAnsi="宋体" w:cs="宋体"/>
                <w:color w:val="auto"/>
                <w:kern w:val="0"/>
                <w:szCs w:val="21"/>
              </w:rPr>
              <w:t>10.</w:t>
            </w:r>
            <w:r>
              <w:rPr>
                <w:rFonts w:hint="eastAsia" w:ascii="宋体" w:hAnsi="宋体" w:cs="宋体"/>
                <w:color w:val="auto"/>
                <w:kern w:val="0"/>
                <w:szCs w:val="21"/>
              </w:rPr>
              <w:t>渠道分流列表：可建立主从的渠道管理，设置从渠道线路，当主支付渠道出现故障的时候，能自动转到从支付渠道。</w:t>
            </w:r>
          </w:p>
          <w:p w14:paraId="55CD0478">
            <w:pPr>
              <w:widowControl/>
              <w:adjustRightInd w:val="0"/>
              <w:snapToGrid w:val="0"/>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w:t>
            </w:r>
            <w:r>
              <w:rPr>
                <w:rFonts w:ascii="宋体" w:hAnsi="宋体" w:cs="宋体"/>
                <w:color w:val="auto"/>
                <w:kern w:val="0"/>
                <w:szCs w:val="21"/>
              </w:rPr>
              <w:t>1.</w:t>
            </w:r>
            <w:r>
              <w:rPr>
                <w:rFonts w:hint="eastAsia" w:ascii="宋体" w:hAnsi="宋体" w:cs="宋体"/>
                <w:color w:val="auto"/>
                <w:kern w:val="0"/>
                <w:szCs w:val="21"/>
              </w:rPr>
              <w:t>码来源管理：配置支付授权码的特征值，支付渠道根据特征值识别支付授权码所属渠道。</w:t>
            </w:r>
          </w:p>
          <w:p w14:paraId="23D4EE38">
            <w:pPr>
              <w:widowControl/>
              <w:adjustRightInd w:val="0"/>
              <w:snapToGrid w:val="0"/>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w:t>
            </w:r>
            <w:r>
              <w:rPr>
                <w:rFonts w:ascii="宋体" w:hAnsi="宋体" w:cs="宋体"/>
                <w:color w:val="auto"/>
                <w:kern w:val="0"/>
                <w:szCs w:val="21"/>
              </w:rPr>
              <w:t>2.</w:t>
            </w:r>
            <w:r>
              <w:rPr>
                <w:rFonts w:hint="eastAsia" w:ascii="宋体" w:hAnsi="宋体" w:cs="宋体"/>
                <w:color w:val="auto"/>
                <w:kern w:val="0"/>
                <w:szCs w:val="21"/>
              </w:rPr>
              <w:t>通道商户管理：配置第三方支付机构的通道商户信息。</w:t>
            </w:r>
          </w:p>
          <w:p w14:paraId="6264485E">
            <w:pPr>
              <w:widowControl/>
              <w:adjustRightInd w:val="0"/>
              <w:snapToGrid w:val="0"/>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w:t>
            </w:r>
            <w:r>
              <w:rPr>
                <w:rFonts w:ascii="宋体" w:hAnsi="宋体" w:cs="宋体"/>
                <w:color w:val="auto"/>
                <w:kern w:val="0"/>
                <w:szCs w:val="21"/>
              </w:rPr>
              <w:t>3.</w:t>
            </w:r>
            <w:r>
              <w:rPr>
                <w:rFonts w:hint="eastAsia" w:ascii="宋体" w:hAnsi="宋体" w:cs="宋体"/>
                <w:color w:val="auto"/>
                <w:kern w:val="0"/>
                <w:szCs w:val="21"/>
              </w:rPr>
              <w:t>支付产品管理：将支付渠道分组为支付产品，并设置其支持的支付方式和支付渠道，以及对应的支付费率。</w:t>
            </w:r>
          </w:p>
          <w:p w14:paraId="1E9516CE">
            <w:pPr>
              <w:widowControl/>
              <w:adjustRightInd w:val="0"/>
              <w:snapToGrid w:val="0"/>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w:t>
            </w:r>
            <w:r>
              <w:rPr>
                <w:rFonts w:ascii="宋体" w:hAnsi="宋体" w:cs="宋体"/>
                <w:color w:val="auto"/>
                <w:kern w:val="0"/>
                <w:szCs w:val="21"/>
              </w:rPr>
              <w:t>4.</w:t>
            </w:r>
            <w:r>
              <w:rPr>
                <w:rFonts w:hint="eastAsia" w:ascii="宋体" w:hAnsi="宋体" w:cs="宋体"/>
                <w:color w:val="auto"/>
                <w:kern w:val="0"/>
                <w:szCs w:val="21"/>
              </w:rPr>
              <w:t>支付方式管理：能进行支付方式的添加以及启用、禁用控制。</w:t>
            </w:r>
          </w:p>
        </w:tc>
        <w:tc>
          <w:tcPr>
            <w:tcW w:w="767" w:type="dxa"/>
            <w:noWrap/>
            <w:vAlign w:val="center"/>
          </w:tcPr>
          <w:p w14:paraId="253AC426">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1</w:t>
            </w:r>
          </w:p>
        </w:tc>
        <w:tc>
          <w:tcPr>
            <w:tcW w:w="764" w:type="dxa"/>
            <w:noWrap/>
            <w:vAlign w:val="center"/>
          </w:tcPr>
          <w:p w14:paraId="51FBB246">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项</w:t>
            </w:r>
          </w:p>
        </w:tc>
      </w:tr>
      <w:tr w14:paraId="29A6D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3" w:type="dxa"/>
            <w:noWrap/>
            <w:vAlign w:val="center"/>
          </w:tcPr>
          <w:p w14:paraId="777580AA">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6</w:t>
            </w:r>
          </w:p>
        </w:tc>
        <w:tc>
          <w:tcPr>
            <w:tcW w:w="1623" w:type="dxa"/>
            <w:vAlign w:val="center"/>
          </w:tcPr>
          <w:p w14:paraId="46035DC3">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移动服务</w:t>
            </w:r>
          </w:p>
        </w:tc>
        <w:tc>
          <w:tcPr>
            <w:tcW w:w="5761" w:type="dxa"/>
            <w:gridSpan w:val="2"/>
            <w:vAlign w:val="center"/>
          </w:tcPr>
          <w:p w14:paraId="353EC5FA">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一、移动服务系统</w:t>
            </w:r>
          </w:p>
          <w:p w14:paraId="7EB91294">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1.虚拟卡移动服务-显示虚拟卡和二维码，支持多身份。</w:t>
            </w:r>
          </w:p>
          <w:p w14:paraId="21AB9103">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2.支付查询模块-提供虚拟卡移动端中进行聚合交易流水、折扣流水查询等。</w:t>
            </w:r>
          </w:p>
          <w:p w14:paraId="7044C79A">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3.钱包服务模块-提供虚拟卡移动端中进行钱包的充值、流水查询等服务。</w:t>
            </w:r>
          </w:p>
          <w:p w14:paraId="73D1E2F0">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4.支持搭载在小程序、公众号平台。</w:t>
            </w:r>
          </w:p>
          <w:p w14:paraId="70789753">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5.虚拟卡需集成认证码、付款码于一体，通过一个码实现门禁通道、食堂消费就餐、图书馆借还书等多种场景。</w:t>
            </w:r>
          </w:p>
          <w:p w14:paraId="548EC7C6">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6.虚拟卡能在单脱机、双脱机等情况下正常使用。</w:t>
            </w:r>
          </w:p>
          <w:p w14:paraId="1A100BDA">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7.用户可在小程序内申请提现，系统在脱机流水全部回收之后即可将提现资金转入用户绑定的银行账户或者微信零钱。</w:t>
            </w:r>
          </w:p>
          <w:p w14:paraId="41F2511E">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8.查询钱包的充值、消费、提现等明细记录。</w:t>
            </w:r>
          </w:p>
          <w:p w14:paraId="4829A980">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9.持卡人能通过虚拟卡小程序自助提现钱包余额，并查询到款后余额情况。</w:t>
            </w:r>
          </w:p>
          <w:p w14:paraId="311DC09D">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10.设置个人的支付密码、免密支付限额、二维码的启用与停用、自动充值、支付锁等，修改支付密码需要验证原支付密码，停用虚拟卡后不能使用虚拟卡进行消费和身份验证。</w:t>
            </w:r>
          </w:p>
          <w:p w14:paraId="2AB17A85">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11.支持虚拟校园卡展示，包含校园卡背景、照片、姓名、班级、学工号、账户有效期等。</w:t>
            </w:r>
          </w:p>
          <w:p w14:paraId="1CC34E6C">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12.需能对校园卡进行挂失、解挂。</w:t>
            </w:r>
          </w:p>
          <w:p w14:paraId="523BE334">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13.需能自主设置虚拟卡的开启、关闭。</w:t>
            </w:r>
          </w:p>
          <w:p w14:paraId="2E581638">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14.需能修改持卡人一卡通账户的密码。</w:t>
            </w:r>
          </w:p>
          <w:p w14:paraId="508A2BEB">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二、提现服务系统</w:t>
            </w:r>
          </w:p>
          <w:p w14:paraId="0B5BB772">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1.可与银行支付通道进行对接，实现账户提现业务的支持。每个支付通道为一个收费单位。</w:t>
            </w:r>
          </w:p>
          <w:p w14:paraId="4F0898D3">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2.可以查看对钱包进行审核、打款、提现和到账的情况；可以对提现申请进行批量的强制提现、撤销、重试打款和结束打款操作。</w:t>
            </w:r>
          </w:p>
          <w:p w14:paraId="228C60F7">
            <w:pPr>
              <w:widowControl/>
              <w:adjustRightInd w:val="0"/>
              <w:snapToGrid w:val="0"/>
              <w:spacing w:line="500" w:lineRule="exact"/>
              <w:ind w:firstLine="420" w:firstLineChars="200"/>
              <w:jc w:val="left"/>
              <w:rPr>
                <w:rFonts w:ascii="宋体" w:hAnsi="宋体" w:cs="宋体"/>
                <w:color w:val="auto"/>
                <w:kern w:val="0"/>
                <w:szCs w:val="21"/>
              </w:rPr>
            </w:pPr>
          </w:p>
        </w:tc>
        <w:tc>
          <w:tcPr>
            <w:tcW w:w="767" w:type="dxa"/>
            <w:noWrap/>
            <w:vAlign w:val="center"/>
          </w:tcPr>
          <w:p w14:paraId="15840DFF">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1</w:t>
            </w:r>
          </w:p>
        </w:tc>
        <w:tc>
          <w:tcPr>
            <w:tcW w:w="764" w:type="dxa"/>
            <w:noWrap/>
            <w:vAlign w:val="center"/>
          </w:tcPr>
          <w:p w14:paraId="542E06E8">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套</w:t>
            </w:r>
          </w:p>
        </w:tc>
      </w:tr>
      <w:tr w14:paraId="5AB81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8" w:type="dxa"/>
            <w:gridSpan w:val="6"/>
            <w:noWrap/>
            <w:vAlign w:val="center"/>
          </w:tcPr>
          <w:p w14:paraId="47BC73E8">
            <w:pPr>
              <w:widowControl/>
              <w:adjustRightInd w:val="0"/>
              <w:snapToGrid w:val="0"/>
              <w:spacing w:line="500" w:lineRule="exact"/>
              <w:jc w:val="left"/>
              <w:rPr>
                <w:rFonts w:ascii="宋体" w:hAnsi="宋体" w:cs="宋体"/>
                <w:color w:val="auto"/>
                <w:kern w:val="0"/>
                <w:szCs w:val="21"/>
              </w:rPr>
            </w:pPr>
            <w:r>
              <w:rPr>
                <w:rFonts w:hint="eastAsia" w:ascii="宋体" w:hAnsi="宋体" w:cs="宋体"/>
                <w:color w:val="auto"/>
                <w:kern w:val="0"/>
                <w:szCs w:val="21"/>
              </w:rPr>
              <w:t>二、客户服务系统及设施</w:t>
            </w:r>
          </w:p>
        </w:tc>
      </w:tr>
      <w:tr w14:paraId="39B4B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3" w:type="dxa"/>
            <w:noWrap/>
            <w:vAlign w:val="center"/>
          </w:tcPr>
          <w:p w14:paraId="10F0F9E6">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7</w:t>
            </w:r>
          </w:p>
        </w:tc>
        <w:tc>
          <w:tcPr>
            <w:tcW w:w="1623" w:type="dxa"/>
            <w:vAlign w:val="center"/>
          </w:tcPr>
          <w:p w14:paraId="1B23A71F">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服务大厅</w:t>
            </w:r>
          </w:p>
        </w:tc>
        <w:tc>
          <w:tcPr>
            <w:tcW w:w="5761" w:type="dxa"/>
            <w:gridSpan w:val="2"/>
            <w:vAlign w:val="center"/>
          </w:tcPr>
          <w:p w14:paraId="36ED4BD9">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一、服务大厅系统</w:t>
            </w:r>
          </w:p>
          <w:p w14:paraId="3BF27F41">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服务大厅提供web端、移动端、自助终端的综合应用服务；</w:t>
            </w:r>
          </w:p>
          <w:p w14:paraId="7BCE61A4">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支持各种H5服务的聚合，将各类H5应用整合在一个界面，后台管理模块提供服务大厅的设置和管理端，支持多个服务大厅和服务大厅的嵌套。支持第三方应用发布到服务大厅；支持嵌入到微信服务号环境中。</w:t>
            </w:r>
          </w:p>
          <w:p w14:paraId="24BC7EE8">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主要功能要求如下：</w:t>
            </w:r>
          </w:p>
          <w:p w14:paraId="1AC23181">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1.服务大厅管理</w:t>
            </w:r>
          </w:p>
          <w:p w14:paraId="0AAF6AB3">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（1）用于管理服务大厅，支持学校建立多个服务大厅，满足不同场景的需求，支持服务大厅建立多个服务栏目，服务栏目中可以建立多个服务项目，每个服务项目都对应一个服务应用。</w:t>
            </w:r>
          </w:p>
          <w:p w14:paraId="4011A4B7">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（2）支持管理多个服务大厅，包括服务大厅名称、LOGO、单位名称、题图背景、题图背景色、背景色、背景图片、超时时长、可用认证方式、版权信息。</w:t>
            </w:r>
          </w:p>
          <w:p w14:paraId="0E1413A8">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（3）支持对服务大厅的管理、克隆、复制项目、删除。</w:t>
            </w:r>
          </w:p>
          <w:p w14:paraId="2BE9E8F6">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2.开放平台管理</w:t>
            </w:r>
          </w:p>
          <w:p w14:paraId="0ED9D758">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服务大厅的管理可以直接通过调用API接口实现，第三方应用如果需要管理服务大厅，可以在此处进行设置，允许第三方调用API接口实现获取用户信息、发送微信信息、获取服务大厅结构、注册服务、删除服务等功能。</w:t>
            </w:r>
          </w:p>
          <w:p w14:paraId="0E2AC952">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（2）支持新增、编辑、删除接入的应用系统，包括应用名称、应用ID号、应用密钥。</w:t>
            </w:r>
          </w:p>
          <w:p w14:paraId="6F78EE0E">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3.应用市场管理</w:t>
            </w:r>
          </w:p>
          <w:p w14:paraId="19725B4F">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满足规范的第三方H5应用，可以注册到应用市场，并发布到指定的服务大厅，供师生员工自行选择常用的应用显示在服务大厅页面中。</w:t>
            </w:r>
          </w:p>
          <w:p w14:paraId="07E46342">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4.信息栏目管理</w:t>
            </w:r>
          </w:p>
          <w:p w14:paraId="75D70676">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支持信息栏目管理，可设置栏目名称、操作员、启用状态、栏目可见范围模板、栏目列表可见数据、栏目说明。</w:t>
            </w:r>
          </w:p>
          <w:p w14:paraId="6B5AC0B4">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5.服务大厅应用</w:t>
            </w:r>
          </w:p>
          <w:p w14:paraId="4453A180">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（1）查询：持卡人需能查询校园卡的余额及历史交易流水、提现明细流水。</w:t>
            </w:r>
          </w:p>
          <w:p w14:paraId="56F933C9">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（2）充值：可对校园卡充值，在任何一台消费机刷卡消费时能将账户余额写入校园卡的大钱包内。</w:t>
            </w:r>
          </w:p>
          <w:p w14:paraId="2E8C4FB3">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（3）缴费：支持缴费项的缴纳。</w:t>
            </w:r>
          </w:p>
          <w:p w14:paraId="24EF76F3">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（4）挂失、解挂：需能对校园卡进行挂失、解挂。</w:t>
            </w:r>
          </w:p>
          <w:p w14:paraId="10BE3F7C">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（5）密码修改：需能修改持卡人校园卡的查询密码。</w:t>
            </w:r>
          </w:p>
          <w:p w14:paraId="234894D2">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（6）个人信息：支持查询个人的姓名、班级、学工号、性别、院系等基本信息。</w:t>
            </w:r>
          </w:p>
          <w:p w14:paraId="339AB43B">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6.可以新增、编辑、删除和移动服务栏目和服务项目；可以通过不同的身份设置不同的大厅，包括编辑、克隆、复制项目和删除；可以设置信息栏目，可以设置可见范围模板，可以查看图文信息的配置；可以设置通知公告；可以设置所属的信息栏目和置顶，可以将图文信息进行定时发布。</w:t>
            </w:r>
          </w:p>
          <w:p w14:paraId="20F37BDC">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二、停车场收费：与停车场系统对接，支持停车场缴费。</w:t>
            </w:r>
          </w:p>
          <w:p w14:paraId="3E2E0E8A">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三、电控缴费：与电控系统对接，支持电控缴费服务。</w:t>
            </w:r>
          </w:p>
          <w:p w14:paraId="4219FE79">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四、水控充值：与水控系统对接，支持水控钱包充值服务。</w:t>
            </w:r>
          </w:p>
        </w:tc>
        <w:tc>
          <w:tcPr>
            <w:tcW w:w="767" w:type="dxa"/>
            <w:noWrap/>
            <w:vAlign w:val="center"/>
          </w:tcPr>
          <w:p w14:paraId="5A0E55FF">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1</w:t>
            </w:r>
          </w:p>
        </w:tc>
        <w:tc>
          <w:tcPr>
            <w:tcW w:w="764" w:type="dxa"/>
            <w:noWrap/>
            <w:vAlign w:val="center"/>
          </w:tcPr>
          <w:p w14:paraId="424551BE">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套</w:t>
            </w:r>
          </w:p>
        </w:tc>
      </w:tr>
      <w:tr w14:paraId="473ED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3" w:type="dxa"/>
            <w:noWrap/>
            <w:vAlign w:val="center"/>
          </w:tcPr>
          <w:p w14:paraId="7EA4DEAB">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lang w:val="en-US" w:eastAsia="zh-CN"/>
              </w:rPr>
              <w:t>8</w:t>
            </w:r>
          </w:p>
        </w:tc>
        <w:tc>
          <w:tcPr>
            <w:tcW w:w="1623" w:type="dxa"/>
            <w:vAlign w:val="center"/>
          </w:tcPr>
          <w:p w14:paraId="31B8641B">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业务单位服务</w:t>
            </w:r>
          </w:p>
        </w:tc>
        <w:tc>
          <w:tcPr>
            <w:tcW w:w="5761" w:type="dxa"/>
            <w:gridSpan w:val="2"/>
            <w:vAlign w:val="center"/>
          </w:tcPr>
          <w:p w14:paraId="35FC5FB5">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业务单位服务需提供PC端和移动端服务，为商户提供查看收入统计及管理机具等功能；详细功能要求如下：</w:t>
            </w:r>
          </w:p>
          <w:p w14:paraId="5777F3DF">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1.商户支持树形结构，各级商户下都可以设置支付项目，支付流水记录到支付项目上。例如</w:t>
            </w:r>
            <w:r>
              <w:rPr>
                <w:rFonts w:hint="eastAsia" w:ascii="宋体" w:hAnsi="宋体" w:cs="宋体"/>
                <w:color w:val="auto"/>
                <w:kern w:val="0"/>
                <w:szCs w:val="21"/>
                <w:lang w:val="en-US" w:eastAsia="zh-CN"/>
              </w:rPr>
              <w:t>后勤基建保卫处</w:t>
            </w:r>
            <w:r>
              <w:rPr>
                <w:rFonts w:hint="eastAsia" w:ascii="宋体" w:hAnsi="宋体" w:cs="宋体"/>
                <w:color w:val="auto"/>
                <w:kern w:val="0"/>
                <w:szCs w:val="21"/>
              </w:rPr>
              <w:t>，可以下设饮食服务中心、水电服务中心等二级商户，饮食服务中心又可下设学生饭堂、教工饭堂等三级商户；总务处可以拥有直属的收费项目，例如住宿费，学生饭堂可以拥有餐费、小卖部、自助餐等多个支付项目以归集收入。每一级别都可以设置管理员，管理本级以及下级商户的各项收入。</w:t>
            </w:r>
          </w:p>
          <w:p w14:paraId="2E5F0B87">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2.可查看本单位以及下属单位的收入数据，包括支付项目的统计数据、退款信息、数据趋势图等，并且可以根据年月日进行查看，查看某年某月或某日的数据。历史数据要自动</w:t>
            </w:r>
            <w:r>
              <w:rPr>
                <w:rFonts w:hint="eastAsia" w:ascii="宋体" w:hAnsi="宋体" w:cs="宋体"/>
                <w:color w:val="auto"/>
                <w:kern w:val="0"/>
                <w:szCs w:val="21"/>
                <w:lang w:val="en-US" w:eastAsia="zh-CN"/>
              </w:rPr>
              <w:t>分</w:t>
            </w:r>
            <w:r>
              <w:rPr>
                <w:rFonts w:hint="eastAsia" w:ascii="宋体" w:hAnsi="宋体" w:cs="宋体"/>
                <w:color w:val="auto"/>
                <w:kern w:val="0"/>
                <w:szCs w:val="21"/>
              </w:rPr>
              <w:t>批形成汇总数据，收入金额、实际收入金额等汇总类的金额可从汇总数据中直接获取，而不需要根据支付记录进行汇总。</w:t>
            </w:r>
          </w:p>
          <w:p w14:paraId="291022D9">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3.商户管理人员可查看本单位以及下属单位的收入趋势，包括收入金额趋势、收入笔数趋势，趋势图也可以根据年月日进行查看，查看某年某月或某日的数据。</w:t>
            </w:r>
          </w:p>
          <w:p w14:paraId="40E0585D">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4.商户管理人员可查看本单位以及下属单位的机具收入数据，可按照机具单个查看，也可按照机具分组查看，还可查看单个机具的退款信息，并且可以根据年月日进行查看，查看某年某月或某日的数据。</w:t>
            </w:r>
          </w:p>
          <w:p w14:paraId="22D9A966">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5.可查看订单列表和订单详情，按照日期、订单编号、搜索订单，通过扫描订单条码发起退款。</w:t>
            </w:r>
          </w:p>
          <w:p w14:paraId="35D8C12A">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6.可根据商户和日期，打包下载交易对账单。</w:t>
            </w:r>
          </w:p>
          <w:p w14:paraId="4AE6630D">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7.可以进行商户与子商户的实际收入、收入金额、收入笔数、退款金额和退款笔数的数据汇总；可以查询和导出交易订单，可以查询交易退款订单列表，可以查看交易日和结算日的结算信息；可以查询清算信息汇总表。</w:t>
            </w:r>
          </w:p>
          <w:p w14:paraId="418CD70C">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8.可以查询和导出机具的餐次的实际收入、收入金额、收入笔数、退款金额和退款笔数。</w:t>
            </w:r>
          </w:p>
          <w:p w14:paraId="50B8F84A">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9.可以增加机具和机具的分组，可以修改管理的密码和机具分组名称，可以删除分组，可以增加、编辑和修改定额策略。</w:t>
            </w:r>
          </w:p>
          <w:p w14:paraId="6B253EC1">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10.业务单位服务PC版：为业务单位（商户）提供收入明细查询、各种收入报表、终端分组、交易退款申请等功能。</w:t>
            </w:r>
          </w:p>
          <w:p w14:paraId="421D40EA">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11.业务单位服务移动版：供业务单位（商户）在微信或小程序中查询收入汇总数据和发起交易退款申请。</w:t>
            </w:r>
          </w:p>
        </w:tc>
        <w:tc>
          <w:tcPr>
            <w:tcW w:w="767" w:type="dxa"/>
            <w:noWrap/>
            <w:vAlign w:val="center"/>
          </w:tcPr>
          <w:p w14:paraId="2D664990">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1</w:t>
            </w:r>
          </w:p>
        </w:tc>
        <w:tc>
          <w:tcPr>
            <w:tcW w:w="764" w:type="dxa"/>
            <w:noWrap/>
            <w:vAlign w:val="center"/>
          </w:tcPr>
          <w:p w14:paraId="61DC8DCB">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套</w:t>
            </w:r>
          </w:p>
        </w:tc>
      </w:tr>
      <w:tr w14:paraId="0B861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3" w:type="dxa"/>
            <w:noWrap/>
            <w:vAlign w:val="center"/>
          </w:tcPr>
          <w:p w14:paraId="2942BF4A">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lang w:val="en-US" w:eastAsia="zh-CN"/>
              </w:rPr>
              <w:t>9</w:t>
            </w:r>
          </w:p>
        </w:tc>
        <w:tc>
          <w:tcPr>
            <w:tcW w:w="1623" w:type="dxa"/>
            <w:vAlign w:val="center"/>
          </w:tcPr>
          <w:p w14:paraId="157747F5">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自助柜台</w:t>
            </w:r>
          </w:p>
        </w:tc>
        <w:tc>
          <w:tcPr>
            <w:tcW w:w="5761" w:type="dxa"/>
            <w:gridSpan w:val="2"/>
            <w:vAlign w:val="center"/>
          </w:tcPr>
          <w:p w14:paraId="3FEC2FA1">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一、自助服务系统</w:t>
            </w:r>
          </w:p>
          <w:p w14:paraId="4360E7E0">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1.自助柜台服务系统集成自助补卡、自助收单于一体，实现各种信息查询处理、收单业务功能，包括用户信息、卡片挂失/解挂、卡片补办、自助收单。</w:t>
            </w:r>
          </w:p>
          <w:p w14:paraId="737BA443">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2.支持对自助终端设备进行管理，包括终端名称、终端位置、IP地址。</w:t>
            </w:r>
          </w:p>
          <w:p w14:paraId="5D807AA3">
            <w:pPr>
              <w:widowControl/>
              <w:adjustRightInd w:val="0"/>
              <w:snapToGrid w:val="0"/>
              <w:spacing w:line="500" w:lineRule="exact"/>
              <w:ind w:firstLine="420" w:firstLineChars="200"/>
              <w:jc w:val="left"/>
              <w:rPr>
                <w:rFonts w:ascii="宋体" w:hAnsi="宋体" w:cs="宋体"/>
                <w:color w:val="auto"/>
                <w:kern w:val="0"/>
                <w:szCs w:val="21"/>
              </w:rPr>
            </w:pPr>
            <w:r>
              <w:rPr>
                <w:rFonts w:ascii="宋体" w:hAnsi="宋体" w:cs="宋体"/>
                <w:color w:val="auto"/>
                <w:kern w:val="0"/>
                <w:szCs w:val="21"/>
              </w:rPr>
              <w:t>3</w:t>
            </w:r>
            <w:r>
              <w:rPr>
                <w:rFonts w:hint="eastAsia" w:ascii="宋体" w:hAnsi="宋体" w:cs="宋体"/>
                <w:color w:val="auto"/>
                <w:kern w:val="0"/>
                <w:szCs w:val="21"/>
              </w:rPr>
              <w:t>.支持对自助终端的开关机状态、系统运行状态、资源运行情况进行监控。</w:t>
            </w:r>
          </w:p>
          <w:p w14:paraId="6117033A">
            <w:pPr>
              <w:widowControl/>
              <w:adjustRightInd w:val="0"/>
              <w:snapToGrid w:val="0"/>
              <w:spacing w:line="500" w:lineRule="exact"/>
              <w:ind w:firstLine="420" w:firstLineChars="200"/>
              <w:jc w:val="left"/>
              <w:rPr>
                <w:rFonts w:ascii="宋体" w:hAnsi="宋体" w:cs="宋体"/>
                <w:color w:val="auto"/>
                <w:kern w:val="0"/>
                <w:szCs w:val="21"/>
              </w:rPr>
            </w:pPr>
            <w:r>
              <w:rPr>
                <w:rFonts w:ascii="宋体" w:hAnsi="宋体" w:cs="宋体"/>
                <w:color w:val="auto"/>
                <w:kern w:val="0"/>
                <w:szCs w:val="21"/>
              </w:rPr>
              <w:t>4</w:t>
            </w:r>
            <w:r>
              <w:rPr>
                <w:rFonts w:hint="eastAsia" w:ascii="宋体" w:hAnsi="宋体" w:cs="宋体"/>
                <w:color w:val="auto"/>
                <w:kern w:val="0"/>
                <w:szCs w:val="21"/>
              </w:rPr>
              <w:t>.支持对自助终端的公告进行管理，可新增、编辑、删除和发布公告，发布的通知公告显示在自助终端的界面。</w:t>
            </w:r>
          </w:p>
          <w:p w14:paraId="4A27E853">
            <w:pPr>
              <w:widowControl/>
              <w:adjustRightInd w:val="0"/>
              <w:snapToGrid w:val="0"/>
              <w:spacing w:line="500" w:lineRule="exact"/>
              <w:ind w:firstLine="420" w:firstLineChars="200"/>
              <w:jc w:val="left"/>
              <w:rPr>
                <w:rFonts w:ascii="宋体" w:hAnsi="宋体" w:cs="宋体"/>
                <w:color w:val="auto"/>
                <w:kern w:val="0"/>
                <w:szCs w:val="21"/>
              </w:rPr>
            </w:pPr>
            <w:r>
              <w:rPr>
                <w:rFonts w:ascii="宋体" w:hAnsi="宋体" w:cs="宋体"/>
                <w:color w:val="auto"/>
                <w:kern w:val="0"/>
                <w:szCs w:val="21"/>
              </w:rPr>
              <w:t>5</w:t>
            </w:r>
            <w:r>
              <w:rPr>
                <w:rFonts w:hint="eastAsia" w:ascii="宋体" w:hAnsi="宋体" w:cs="宋体"/>
                <w:color w:val="auto"/>
                <w:kern w:val="0"/>
                <w:szCs w:val="21"/>
              </w:rPr>
              <w:t>.支持查询用户在自助终端上</w:t>
            </w:r>
            <w:r>
              <w:rPr>
                <w:rFonts w:hint="eastAsia" w:ascii="宋体" w:hAnsi="宋体" w:cs="宋体"/>
                <w:color w:val="auto"/>
                <w:kern w:val="0"/>
                <w:szCs w:val="21"/>
                <w:lang w:eastAsia="zh-CN"/>
              </w:rPr>
              <w:t>投递</w:t>
            </w:r>
            <w:r>
              <w:rPr>
                <w:rFonts w:hint="eastAsia" w:ascii="宋体" w:hAnsi="宋体" w:cs="宋体"/>
                <w:color w:val="auto"/>
                <w:kern w:val="0"/>
                <w:szCs w:val="21"/>
              </w:rPr>
              <w:t>文件的记录。</w:t>
            </w:r>
          </w:p>
          <w:p w14:paraId="6985B3FA">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二、银行圈存服务系统：支持银行圈存、查询、密码修改功能。</w:t>
            </w:r>
          </w:p>
          <w:p w14:paraId="5B5DAAEE">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三、银行自动充值系统：调用银行支付通道提供的圈存支付接口，实现账户的自动充值功能。</w:t>
            </w:r>
          </w:p>
        </w:tc>
        <w:tc>
          <w:tcPr>
            <w:tcW w:w="767" w:type="dxa"/>
            <w:noWrap/>
            <w:vAlign w:val="center"/>
          </w:tcPr>
          <w:p w14:paraId="0096F2B3">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1</w:t>
            </w:r>
          </w:p>
        </w:tc>
        <w:tc>
          <w:tcPr>
            <w:tcW w:w="764" w:type="dxa"/>
            <w:noWrap/>
            <w:vAlign w:val="center"/>
          </w:tcPr>
          <w:p w14:paraId="0694B02B">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套</w:t>
            </w:r>
          </w:p>
        </w:tc>
      </w:tr>
      <w:tr w14:paraId="108BB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3" w:type="dxa"/>
            <w:noWrap/>
            <w:vAlign w:val="center"/>
          </w:tcPr>
          <w:p w14:paraId="5028CAA2">
            <w:pPr>
              <w:widowControl/>
              <w:adjustRightInd w:val="0"/>
              <w:snapToGrid w:val="0"/>
              <w:spacing w:line="500" w:lineRule="exact"/>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rPr>
              <w:t>1</w:t>
            </w:r>
            <w:r>
              <w:rPr>
                <w:rFonts w:hint="eastAsia" w:ascii="宋体" w:hAnsi="宋体" w:cs="宋体"/>
                <w:color w:val="auto"/>
                <w:kern w:val="0"/>
                <w:szCs w:val="21"/>
                <w:lang w:val="en-US" w:eastAsia="zh-CN"/>
              </w:rPr>
              <w:t>0</w:t>
            </w:r>
          </w:p>
        </w:tc>
        <w:tc>
          <w:tcPr>
            <w:tcW w:w="1623" w:type="dxa"/>
            <w:vAlign w:val="center"/>
          </w:tcPr>
          <w:p w14:paraId="61168503">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自助柜台一体机（卡码+发卡补卡）</w:t>
            </w:r>
          </w:p>
        </w:tc>
        <w:tc>
          <w:tcPr>
            <w:tcW w:w="5761" w:type="dxa"/>
            <w:gridSpan w:val="2"/>
            <w:vAlign w:val="center"/>
          </w:tcPr>
          <w:p w14:paraId="62A94718">
            <w:pPr>
              <w:pStyle w:val="53"/>
              <w:widowControl/>
              <w:adjustRightInd w:val="0"/>
              <w:snapToGrid w:val="0"/>
              <w:spacing w:line="500" w:lineRule="exact"/>
              <w:rPr>
                <w:rFonts w:ascii="宋体" w:hAnsi="宋体" w:cs="宋体"/>
                <w:color w:val="auto"/>
                <w:kern w:val="0"/>
                <w:szCs w:val="21"/>
              </w:rPr>
            </w:pPr>
            <w:r>
              <w:rPr>
                <w:rFonts w:hint="eastAsia" w:ascii="宋体" w:hAnsi="宋体" w:cs="宋体"/>
                <w:color w:val="auto"/>
                <w:kern w:val="0"/>
                <w:szCs w:val="21"/>
              </w:rPr>
              <w:t>一、功能要求</w:t>
            </w:r>
          </w:p>
          <w:p w14:paraId="481C3145">
            <w:pPr>
              <w:pStyle w:val="53"/>
              <w:widowControl/>
              <w:adjustRightInd w:val="0"/>
              <w:snapToGrid w:val="0"/>
              <w:spacing w:line="500" w:lineRule="exact"/>
              <w:rPr>
                <w:rFonts w:ascii="宋体" w:hAnsi="宋体" w:cs="宋体"/>
                <w:color w:val="auto"/>
                <w:kern w:val="0"/>
                <w:szCs w:val="21"/>
              </w:rPr>
            </w:pPr>
            <w:r>
              <w:rPr>
                <w:rFonts w:hint="eastAsia" w:ascii="宋体" w:hAnsi="宋体" w:cs="宋体"/>
                <w:color w:val="auto"/>
                <w:kern w:val="0"/>
                <w:szCs w:val="21"/>
              </w:rPr>
              <w:t>1.支持通过一卡通账户密码、扫码进行身份验证后直接领取或补办校园IC卡，支持一次性完成校园卡补发和卡面打印。</w:t>
            </w:r>
          </w:p>
          <w:p w14:paraId="77F1EA91">
            <w:pPr>
              <w:pStyle w:val="53"/>
              <w:widowControl/>
              <w:adjustRightInd w:val="0"/>
              <w:snapToGrid w:val="0"/>
              <w:spacing w:line="500" w:lineRule="exact"/>
              <w:rPr>
                <w:rFonts w:ascii="宋体" w:hAnsi="宋体" w:cs="宋体"/>
                <w:color w:val="auto"/>
                <w:kern w:val="0"/>
                <w:szCs w:val="21"/>
              </w:rPr>
            </w:pPr>
            <w:r>
              <w:rPr>
                <w:rFonts w:hint="eastAsia" w:ascii="宋体" w:hAnsi="宋体" w:cs="宋体"/>
                <w:color w:val="auto"/>
                <w:kern w:val="0"/>
                <w:szCs w:val="21"/>
              </w:rPr>
              <w:t>2.支持对丢失的校园卡进行自助挂失、解挂。</w:t>
            </w:r>
          </w:p>
          <w:p w14:paraId="78BE1B69">
            <w:pPr>
              <w:pStyle w:val="53"/>
              <w:widowControl/>
              <w:adjustRightInd w:val="0"/>
              <w:snapToGrid w:val="0"/>
              <w:spacing w:line="500" w:lineRule="exact"/>
              <w:rPr>
                <w:rFonts w:ascii="宋体" w:hAnsi="宋体" w:cs="宋体"/>
                <w:color w:val="auto"/>
                <w:kern w:val="0"/>
                <w:szCs w:val="21"/>
              </w:rPr>
            </w:pPr>
            <w:r>
              <w:rPr>
                <w:rFonts w:hint="eastAsia" w:ascii="宋体" w:hAnsi="宋体" w:cs="宋体"/>
                <w:color w:val="auto"/>
                <w:kern w:val="0"/>
                <w:szCs w:val="21"/>
              </w:rPr>
              <w:t>3.支持缴纳电费。</w:t>
            </w:r>
          </w:p>
          <w:p w14:paraId="6658D3F6">
            <w:pPr>
              <w:pStyle w:val="53"/>
              <w:widowControl/>
              <w:adjustRightInd w:val="0"/>
              <w:snapToGrid w:val="0"/>
              <w:spacing w:line="500" w:lineRule="exact"/>
              <w:rPr>
                <w:rFonts w:ascii="宋体" w:hAnsi="宋体" w:cs="宋体"/>
                <w:color w:val="auto"/>
                <w:kern w:val="0"/>
                <w:szCs w:val="21"/>
              </w:rPr>
            </w:pPr>
            <w:r>
              <w:rPr>
                <w:rFonts w:hint="eastAsia" w:ascii="宋体" w:hAnsi="宋体" w:cs="宋体"/>
                <w:color w:val="auto"/>
                <w:kern w:val="0"/>
                <w:szCs w:val="21"/>
              </w:rPr>
              <w:t>4.支持展示用户自助投递、管理员取件功能及展示系统名称、学校logo、学校名称、日期信息。</w:t>
            </w:r>
          </w:p>
          <w:p w14:paraId="7E002104">
            <w:pPr>
              <w:pStyle w:val="53"/>
              <w:widowControl/>
              <w:adjustRightInd w:val="0"/>
              <w:snapToGrid w:val="0"/>
              <w:spacing w:line="500" w:lineRule="exact"/>
              <w:rPr>
                <w:rFonts w:ascii="宋体" w:hAnsi="宋体" w:cs="宋体"/>
                <w:color w:val="auto"/>
                <w:kern w:val="0"/>
                <w:szCs w:val="21"/>
              </w:rPr>
            </w:pPr>
            <w:r>
              <w:rPr>
                <w:rFonts w:hint="eastAsia" w:ascii="宋体" w:hAnsi="宋体" w:cs="宋体"/>
                <w:color w:val="auto"/>
                <w:kern w:val="0"/>
                <w:szCs w:val="21"/>
              </w:rPr>
              <w:t>5.支持用户自助投递，若投递箱已满，则提示已满，若投递箱未满，则提示放入单据，进仓口门自动打开。</w:t>
            </w:r>
          </w:p>
          <w:p w14:paraId="4F40CF06">
            <w:pPr>
              <w:pStyle w:val="53"/>
              <w:widowControl/>
              <w:adjustRightInd w:val="0"/>
              <w:snapToGrid w:val="0"/>
              <w:spacing w:line="500" w:lineRule="exact"/>
              <w:rPr>
                <w:rFonts w:ascii="宋体" w:hAnsi="宋体" w:cs="宋体"/>
                <w:color w:val="auto"/>
                <w:kern w:val="0"/>
                <w:szCs w:val="21"/>
              </w:rPr>
            </w:pPr>
            <w:r>
              <w:rPr>
                <w:rFonts w:hint="eastAsia" w:ascii="宋体" w:hAnsi="宋体" w:cs="宋体"/>
                <w:color w:val="auto"/>
                <w:kern w:val="0"/>
                <w:szCs w:val="21"/>
              </w:rPr>
              <w:t>6.支持投放附件防夹手：若仓门被异物挡住，支持触发“防夹手”机制，仓门终止关闭并上升。</w:t>
            </w:r>
          </w:p>
          <w:p w14:paraId="72CC805C">
            <w:pPr>
              <w:pStyle w:val="53"/>
              <w:widowControl/>
              <w:adjustRightInd w:val="0"/>
              <w:snapToGrid w:val="0"/>
              <w:spacing w:line="500" w:lineRule="exact"/>
              <w:rPr>
                <w:rFonts w:ascii="宋体" w:hAnsi="宋体" w:cs="宋体"/>
                <w:color w:val="auto"/>
                <w:kern w:val="0"/>
                <w:szCs w:val="21"/>
              </w:rPr>
            </w:pPr>
            <w:r>
              <w:rPr>
                <w:rFonts w:hint="eastAsia" w:ascii="宋体" w:hAnsi="宋体" w:cs="宋体"/>
                <w:color w:val="auto"/>
                <w:kern w:val="0"/>
                <w:szCs w:val="21"/>
              </w:rPr>
              <w:t>7.支持识别投递单据的二维码信息，根据单据号前缀确定对应系统；若扫描识别失败或单据状态不符，显示屏状态提示单据不符。取回单据重新投放新单据，回到投放附件。</w:t>
            </w:r>
          </w:p>
          <w:p w14:paraId="72516222">
            <w:pPr>
              <w:pStyle w:val="53"/>
              <w:widowControl/>
              <w:adjustRightInd w:val="0"/>
              <w:snapToGrid w:val="0"/>
              <w:spacing w:line="500" w:lineRule="exact"/>
              <w:rPr>
                <w:rFonts w:ascii="宋体" w:hAnsi="宋体" w:cs="宋体"/>
                <w:color w:val="auto"/>
                <w:kern w:val="0"/>
                <w:szCs w:val="21"/>
              </w:rPr>
            </w:pPr>
            <w:r>
              <w:rPr>
                <w:rFonts w:hint="eastAsia" w:ascii="宋体" w:hAnsi="宋体" w:cs="宋体"/>
                <w:color w:val="auto"/>
                <w:kern w:val="0"/>
                <w:szCs w:val="21"/>
              </w:rPr>
              <w:t>8.自助终端部署的系统软件支持实现网报单内部扫描，符合投递状态将进行自动投递附件操作；不符合投递状态将打开仓门提示用户取走附件；投递成功时提示网报单投递成功，并给相关人员发送通知，可检测附件是否投入箱子的状态，可检测附件是否存放异常，并可提示用户放好附件；</w:t>
            </w:r>
            <w:r>
              <w:rPr>
                <w:rFonts w:hint="eastAsia"/>
                <w:color w:val="auto"/>
                <w:lang w:val="en-US" w:eastAsia="zh-CN"/>
              </w:rPr>
              <w:t>验收时</w:t>
            </w:r>
            <w:r>
              <w:rPr>
                <w:rFonts w:hint="eastAsia" w:ascii="宋体" w:hAnsi="宋体" w:cs="宋体"/>
                <w:color w:val="auto"/>
                <w:kern w:val="0"/>
                <w:szCs w:val="21"/>
              </w:rPr>
              <w:t>需提供第三方检测机构出具的软件测试报告扫描件佐证</w:t>
            </w:r>
            <w:r>
              <w:rPr>
                <w:rFonts w:hint="eastAsia"/>
                <w:color w:val="auto"/>
                <w:lang w:val="en-US" w:eastAsia="zh-CN"/>
              </w:rPr>
              <w:t>并加盖供应商公章</w:t>
            </w:r>
            <w:r>
              <w:rPr>
                <w:rFonts w:hint="eastAsia" w:ascii="宋体" w:hAnsi="宋体" w:cs="宋体"/>
                <w:color w:val="auto"/>
                <w:kern w:val="0"/>
                <w:szCs w:val="21"/>
              </w:rPr>
              <w:t>。</w:t>
            </w:r>
          </w:p>
          <w:p w14:paraId="48E6F4D3">
            <w:pPr>
              <w:pStyle w:val="53"/>
              <w:widowControl/>
              <w:adjustRightInd w:val="0"/>
              <w:snapToGrid w:val="0"/>
              <w:spacing w:line="500" w:lineRule="exact"/>
              <w:rPr>
                <w:rFonts w:ascii="宋体" w:hAnsi="宋体" w:cs="宋体"/>
                <w:color w:val="auto"/>
                <w:kern w:val="0"/>
                <w:szCs w:val="21"/>
              </w:rPr>
            </w:pPr>
            <w:r>
              <w:rPr>
                <w:rFonts w:hint="eastAsia" w:ascii="宋体" w:hAnsi="宋体" w:cs="宋体"/>
                <w:color w:val="auto"/>
                <w:kern w:val="0"/>
                <w:szCs w:val="21"/>
              </w:rPr>
              <w:t>9.入箱单据进入投递箱后，系统需识别投递箱状态。</w:t>
            </w:r>
          </w:p>
          <w:p w14:paraId="7A1FA04B">
            <w:pPr>
              <w:pStyle w:val="53"/>
              <w:widowControl/>
              <w:adjustRightInd w:val="0"/>
              <w:snapToGrid w:val="0"/>
              <w:spacing w:line="500" w:lineRule="exact"/>
              <w:rPr>
                <w:rFonts w:ascii="宋体" w:hAnsi="宋体" w:cs="宋体"/>
                <w:color w:val="auto"/>
                <w:kern w:val="0"/>
                <w:szCs w:val="21"/>
              </w:rPr>
            </w:pPr>
            <w:r>
              <w:rPr>
                <w:rFonts w:hint="eastAsia" w:ascii="宋体" w:hAnsi="宋体" w:cs="宋体"/>
                <w:color w:val="auto"/>
                <w:kern w:val="0"/>
                <w:szCs w:val="21"/>
              </w:rPr>
              <w:t>10.支持管理员通过现有的财务系统账户密码验证权限登录自助终端系统，管理员账户权限验证通过后，通过投递箱取件功能打开投递箱取出单据。</w:t>
            </w:r>
          </w:p>
          <w:p w14:paraId="65E70E08">
            <w:pPr>
              <w:pStyle w:val="53"/>
              <w:widowControl/>
              <w:adjustRightInd w:val="0"/>
              <w:snapToGrid w:val="0"/>
              <w:spacing w:line="500" w:lineRule="exact"/>
              <w:rPr>
                <w:rFonts w:ascii="宋体" w:hAnsi="宋体" w:cs="宋体"/>
                <w:color w:val="auto"/>
                <w:kern w:val="0"/>
                <w:szCs w:val="21"/>
              </w:rPr>
            </w:pPr>
            <w:r>
              <w:rPr>
                <w:rFonts w:hint="eastAsia" w:ascii="宋体" w:hAnsi="宋体" w:cs="宋体"/>
                <w:color w:val="auto"/>
                <w:kern w:val="0"/>
                <w:szCs w:val="21"/>
              </w:rPr>
              <w:t>11.本项目提供的自助终端须与学校现有智能报账系统融合集成，通过学校现有智能报账系统提交的财务报销到达递交纸质网报单阶段时，用户须能通过自助终端提交报销单及能识别学校现有智能报账系统生成的报销单二维码，并联动智能报账系统校验报销单，校验通过后收单口自动打开，报销单投递完成后，系统记录收单成功，并推送消息至报销人员；同时学校现有的智能报账系统须能实时获取更新用户在自助终端投递网报单的状态，用户也可以在现有智能报账系统查询网报单的投递状态；实现该功能的所有费用包含在项目预算内；</w:t>
            </w:r>
            <w:r>
              <w:rPr>
                <w:rFonts w:hint="eastAsia"/>
                <w:color w:val="auto"/>
                <w:lang w:val="en-US" w:eastAsia="zh-CN"/>
              </w:rPr>
              <w:t>响应文件需提供</w:t>
            </w:r>
            <w:r>
              <w:rPr>
                <w:rFonts w:hint="eastAsia" w:ascii="宋体" w:hAnsi="宋体" w:cs="宋体"/>
                <w:color w:val="auto"/>
                <w:kern w:val="0"/>
                <w:szCs w:val="21"/>
              </w:rPr>
              <w:t>自助终端与学校现有智能报账系统（品牌：友财，型号</w:t>
            </w:r>
            <w:r>
              <w:rPr>
                <w:rFonts w:hint="eastAsia" w:ascii="Times New Roman" w:hAnsi="Times New Roman" w:cs="Times New Roman"/>
                <w:color w:val="auto"/>
                <w:kern w:val="2"/>
                <w:szCs w:val="24"/>
                <w:u w:val="none"/>
              </w:rPr>
              <w:t>：</w:t>
            </w:r>
            <w:r>
              <w:rPr>
                <w:rFonts w:hint="eastAsia" w:cs="Times New Roman"/>
                <w:color w:val="auto"/>
                <w:kern w:val="2"/>
                <w:szCs w:val="24"/>
                <w:u w:val="none"/>
                <w:lang w:val="en-US" w:eastAsia="zh-CN"/>
              </w:rPr>
              <w:t>智能报销系统V25</w:t>
            </w:r>
            <w:r>
              <w:rPr>
                <w:rFonts w:hint="eastAsia" w:ascii="Times New Roman" w:hAnsi="Times New Roman" w:cs="Times New Roman"/>
                <w:color w:val="auto"/>
                <w:kern w:val="2"/>
                <w:szCs w:val="24"/>
              </w:rPr>
              <w:t>）</w:t>
            </w:r>
            <w:r>
              <w:rPr>
                <w:rFonts w:hint="eastAsia" w:ascii="宋体" w:hAnsi="宋体" w:cs="宋体"/>
                <w:color w:val="auto"/>
                <w:kern w:val="0"/>
                <w:szCs w:val="21"/>
                <w:lang w:val="en-US" w:eastAsia="zh-CN"/>
              </w:rPr>
              <w:t>兼容互认承诺函。（如需要</w:t>
            </w:r>
            <w:r>
              <w:rPr>
                <w:rFonts w:hint="eastAsia" w:ascii="宋体" w:hAnsi="宋体" w:cs="宋体"/>
                <w:color w:val="auto"/>
                <w:kern w:val="0"/>
                <w:szCs w:val="21"/>
              </w:rPr>
              <w:t>学校现有智能报</w:t>
            </w:r>
            <w:r>
              <w:rPr>
                <w:rFonts w:hint="eastAsia" w:ascii="宋体" w:hAnsi="宋体" w:cs="宋体"/>
                <w:color w:val="auto"/>
                <w:kern w:val="0"/>
                <w:szCs w:val="21"/>
                <w:lang w:val="en-US" w:eastAsia="zh-CN"/>
              </w:rPr>
              <w:t>账</w:t>
            </w:r>
            <w:r>
              <w:rPr>
                <w:rFonts w:hint="eastAsia" w:ascii="宋体" w:hAnsi="宋体" w:cs="宋体"/>
                <w:color w:val="auto"/>
                <w:kern w:val="0"/>
                <w:szCs w:val="21"/>
              </w:rPr>
              <w:t>系统</w:t>
            </w:r>
            <w:r>
              <w:rPr>
                <w:rFonts w:hint="eastAsia" w:ascii="宋体" w:hAnsi="宋体" w:cs="宋体"/>
                <w:color w:val="auto"/>
                <w:kern w:val="0"/>
                <w:szCs w:val="21"/>
                <w:lang w:val="en-US" w:eastAsia="zh-CN"/>
              </w:rPr>
              <w:t>端口开放需原厂商进行二次开发的，所需二次开发费用由本项目成交供应商承担）。</w:t>
            </w:r>
          </w:p>
          <w:p w14:paraId="2240B6E1">
            <w:pPr>
              <w:pStyle w:val="53"/>
              <w:widowControl/>
              <w:numPr>
                <w:ilvl w:val="0"/>
                <w:numId w:val="2"/>
              </w:numPr>
              <w:adjustRightInd w:val="0"/>
              <w:snapToGrid w:val="0"/>
              <w:spacing w:line="500" w:lineRule="exact"/>
              <w:rPr>
                <w:rFonts w:ascii="宋体" w:hAnsi="宋体" w:cs="宋体"/>
                <w:color w:val="auto"/>
                <w:kern w:val="0"/>
                <w:szCs w:val="21"/>
              </w:rPr>
            </w:pPr>
            <w:r>
              <w:rPr>
                <w:rFonts w:hint="eastAsia" w:ascii="宋体" w:hAnsi="宋体" w:cs="宋体"/>
                <w:color w:val="auto"/>
                <w:kern w:val="0"/>
                <w:szCs w:val="21"/>
              </w:rPr>
              <w:t>硬件参数要求</w:t>
            </w:r>
          </w:p>
          <w:p w14:paraId="373C14DF">
            <w:pPr>
              <w:pStyle w:val="53"/>
              <w:widowControl/>
              <w:adjustRightInd w:val="0"/>
              <w:snapToGrid w:val="0"/>
              <w:spacing w:line="500" w:lineRule="exact"/>
              <w:ind w:left="420" w:leftChars="200" w:firstLine="0" w:firstLineChars="0"/>
              <w:rPr>
                <w:rFonts w:ascii="宋体" w:hAnsi="宋体" w:cs="宋体"/>
                <w:color w:val="auto"/>
                <w:kern w:val="0"/>
                <w:szCs w:val="21"/>
              </w:rPr>
            </w:pPr>
            <w:r>
              <w:rPr>
                <w:rFonts w:hint="eastAsia" w:ascii="宋体" w:hAnsi="宋体" w:cs="宋体"/>
                <w:color w:val="auto"/>
                <w:kern w:val="0"/>
                <w:szCs w:val="21"/>
              </w:rPr>
              <w:t>1.柜</w:t>
            </w:r>
            <w:r>
              <w:rPr>
                <w:rFonts w:hint="eastAsia" w:ascii="宋体" w:hAnsi="宋体" w:cs="宋体"/>
                <w:color w:val="auto"/>
                <w:kern w:val="0"/>
                <w:szCs w:val="21"/>
                <w:lang w:val="en-US" w:eastAsia="zh-CN"/>
              </w:rPr>
              <w:t>体</w:t>
            </w:r>
          </w:p>
          <w:p w14:paraId="5A168997">
            <w:pPr>
              <w:widowControl/>
              <w:adjustRightInd w:val="0"/>
              <w:snapToGrid w:val="0"/>
              <w:spacing w:line="500" w:lineRule="exact"/>
              <w:ind w:firstLine="210" w:firstLineChars="100"/>
              <w:rPr>
                <w:rFonts w:ascii="宋体" w:hAnsi="宋体" w:cs="宋体"/>
                <w:color w:val="auto"/>
                <w:kern w:val="0"/>
                <w:szCs w:val="21"/>
              </w:rPr>
            </w:pPr>
            <w:r>
              <w:rPr>
                <w:rFonts w:hint="eastAsia" w:ascii="宋体" w:hAnsi="宋体" w:cs="宋体"/>
                <w:color w:val="auto"/>
                <w:kern w:val="0"/>
                <w:szCs w:val="21"/>
              </w:rPr>
              <w:t>（1）≥2.0mm冷轧钢板金属机柜。</w:t>
            </w:r>
          </w:p>
          <w:p w14:paraId="102DACC3">
            <w:pPr>
              <w:widowControl/>
              <w:adjustRightInd w:val="0"/>
              <w:snapToGrid w:val="0"/>
              <w:spacing w:line="500" w:lineRule="exact"/>
              <w:ind w:firstLine="210" w:firstLineChars="100"/>
              <w:rPr>
                <w:rFonts w:ascii="宋体" w:hAnsi="宋体" w:cs="宋体"/>
                <w:color w:val="auto"/>
                <w:kern w:val="0"/>
                <w:szCs w:val="21"/>
              </w:rPr>
            </w:pPr>
            <w:r>
              <w:rPr>
                <w:rFonts w:hint="eastAsia" w:ascii="宋体" w:hAnsi="宋体" w:cs="宋体"/>
                <w:color w:val="auto"/>
                <w:kern w:val="0"/>
                <w:szCs w:val="21"/>
              </w:rPr>
              <w:t>（2）表面处理：采用静电喷塑处理。</w:t>
            </w:r>
          </w:p>
          <w:p w14:paraId="2FDACD8A">
            <w:pPr>
              <w:widowControl/>
              <w:adjustRightInd w:val="0"/>
              <w:snapToGrid w:val="0"/>
              <w:spacing w:line="500" w:lineRule="exact"/>
              <w:ind w:firstLine="210" w:firstLineChars="100"/>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val="en-US" w:eastAsia="zh-CN"/>
              </w:rPr>
              <w:t>3</w:t>
            </w:r>
            <w:r>
              <w:rPr>
                <w:rFonts w:hint="eastAsia" w:ascii="宋体" w:hAnsi="宋体" w:cs="宋体"/>
                <w:color w:val="auto"/>
                <w:kern w:val="0"/>
                <w:szCs w:val="21"/>
              </w:rPr>
              <w:t>）需集成≥21.5寸触摸显示屏。</w:t>
            </w:r>
          </w:p>
          <w:p w14:paraId="205A2AB3">
            <w:pPr>
              <w:widowControl/>
              <w:adjustRightInd w:val="0"/>
              <w:snapToGrid w:val="0"/>
              <w:spacing w:line="500" w:lineRule="exact"/>
              <w:ind w:firstLine="210" w:firstLineChars="100"/>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val="en-US" w:eastAsia="zh-CN"/>
              </w:rPr>
              <w:t>4</w:t>
            </w:r>
            <w:r>
              <w:rPr>
                <w:rFonts w:hint="eastAsia" w:ascii="宋体" w:hAnsi="宋体" w:cs="宋体"/>
                <w:color w:val="auto"/>
                <w:kern w:val="0"/>
                <w:szCs w:val="21"/>
              </w:rPr>
              <w:t>）需集成指示灯，在操作过程中进行提示。</w:t>
            </w:r>
          </w:p>
          <w:p w14:paraId="4AA1A415">
            <w:pPr>
              <w:widowControl/>
              <w:adjustRightInd w:val="0"/>
              <w:snapToGrid w:val="0"/>
              <w:spacing w:line="500" w:lineRule="exact"/>
              <w:ind w:firstLine="210" w:firstLineChars="100"/>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val="en-US" w:eastAsia="zh-CN"/>
              </w:rPr>
              <w:t>5</w:t>
            </w:r>
            <w:r>
              <w:rPr>
                <w:rFonts w:hint="eastAsia" w:ascii="宋体" w:hAnsi="宋体" w:cs="宋体"/>
                <w:color w:val="auto"/>
                <w:kern w:val="0"/>
                <w:szCs w:val="21"/>
              </w:rPr>
              <w:t>）需集成仓门，文件投递时打开，提交过程中关闭。</w:t>
            </w:r>
          </w:p>
          <w:p w14:paraId="08E9F3EE">
            <w:pPr>
              <w:widowControl/>
              <w:adjustRightInd w:val="0"/>
              <w:snapToGrid w:val="0"/>
              <w:spacing w:line="500" w:lineRule="exact"/>
              <w:ind w:firstLine="210" w:firstLineChars="100"/>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val="en-US" w:eastAsia="zh-CN"/>
              </w:rPr>
              <w:t>6</w:t>
            </w:r>
            <w:r>
              <w:rPr>
                <w:rFonts w:hint="eastAsia" w:ascii="宋体" w:hAnsi="宋体" w:cs="宋体"/>
                <w:color w:val="auto"/>
                <w:kern w:val="0"/>
                <w:szCs w:val="21"/>
              </w:rPr>
              <w:t>）需集成语音模块，在操作过程中进行提示。</w:t>
            </w:r>
          </w:p>
          <w:p w14:paraId="745CC734">
            <w:pPr>
              <w:widowControl/>
              <w:adjustRightInd w:val="0"/>
              <w:snapToGrid w:val="0"/>
              <w:spacing w:line="500" w:lineRule="exact"/>
              <w:ind w:firstLine="210" w:firstLineChars="100"/>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val="en-US" w:eastAsia="zh-CN"/>
              </w:rPr>
              <w:t>7</w:t>
            </w:r>
            <w:r>
              <w:rPr>
                <w:rFonts w:hint="eastAsia" w:ascii="宋体" w:hAnsi="宋体" w:cs="宋体"/>
                <w:color w:val="auto"/>
                <w:kern w:val="0"/>
                <w:szCs w:val="21"/>
              </w:rPr>
              <w:t>）设备内部需集成文件回收箱，开锁后可将回收箱拖走处理。</w:t>
            </w:r>
          </w:p>
          <w:p w14:paraId="1195A47F">
            <w:pPr>
              <w:widowControl/>
              <w:adjustRightInd w:val="0"/>
              <w:snapToGrid w:val="0"/>
              <w:spacing w:line="500" w:lineRule="exact"/>
              <w:ind w:firstLine="420" w:firstLineChars="200"/>
              <w:rPr>
                <w:rFonts w:ascii="宋体" w:hAnsi="宋体" w:cs="宋体"/>
                <w:color w:val="auto"/>
                <w:kern w:val="0"/>
                <w:szCs w:val="21"/>
              </w:rPr>
            </w:pPr>
            <w:r>
              <w:rPr>
                <w:rFonts w:hint="eastAsia" w:ascii="宋体" w:hAnsi="宋体" w:cs="宋体"/>
                <w:color w:val="auto"/>
                <w:kern w:val="0"/>
                <w:szCs w:val="21"/>
                <w:lang w:val="en-US" w:eastAsia="zh-CN"/>
              </w:rPr>
              <w:t>2</w:t>
            </w:r>
            <w:r>
              <w:rPr>
                <w:rFonts w:hint="eastAsia" w:ascii="宋体" w:hAnsi="宋体" w:cs="宋体"/>
                <w:color w:val="auto"/>
                <w:kern w:val="0"/>
                <w:szCs w:val="21"/>
              </w:rPr>
              <w:t>.触摸显示屏</w:t>
            </w:r>
          </w:p>
          <w:p w14:paraId="77AD0143">
            <w:pPr>
              <w:widowControl/>
              <w:adjustRightInd w:val="0"/>
              <w:snapToGrid w:val="0"/>
              <w:spacing w:line="500" w:lineRule="exact"/>
              <w:ind w:firstLine="210" w:firstLineChars="100"/>
              <w:rPr>
                <w:rFonts w:ascii="宋体" w:hAnsi="宋体" w:cs="宋体"/>
                <w:color w:val="auto"/>
                <w:kern w:val="0"/>
                <w:szCs w:val="21"/>
              </w:rPr>
            </w:pPr>
            <w:r>
              <w:rPr>
                <w:rFonts w:hint="eastAsia" w:ascii="宋体" w:hAnsi="宋体" w:cs="宋体"/>
                <w:color w:val="auto"/>
                <w:kern w:val="0"/>
                <w:szCs w:val="21"/>
              </w:rPr>
              <w:t>（1）液晶屏技术参数</w:t>
            </w:r>
          </w:p>
          <w:p w14:paraId="6AC3A30B">
            <w:pPr>
              <w:widowControl/>
              <w:adjustRightInd w:val="0"/>
              <w:snapToGrid w:val="0"/>
              <w:spacing w:line="500" w:lineRule="exact"/>
              <w:ind w:firstLine="420" w:firstLineChars="200"/>
              <w:rPr>
                <w:rFonts w:ascii="宋体" w:hAnsi="宋体" w:cs="宋体"/>
                <w:color w:val="auto"/>
                <w:kern w:val="0"/>
                <w:szCs w:val="21"/>
              </w:rPr>
            </w:pPr>
            <w:r>
              <w:rPr>
                <w:rFonts w:hint="eastAsia" w:ascii="微软雅黑" w:hAnsi="微软雅黑" w:eastAsia="微软雅黑" w:cs="微软雅黑"/>
                <w:color w:val="auto"/>
                <w:kern w:val="0"/>
                <w:szCs w:val="21"/>
              </w:rPr>
              <w:t>①</w:t>
            </w:r>
            <w:r>
              <w:rPr>
                <w:rFonts w:hint="eastAsia" w:ascii="宋体" w:hAnsi="宋体" w:cs="宋体"/>
                <w:color w:val="auto"/>
                <w:kern w:val="0"/>
                <w:szCs w:val="21"/>
              </w:rPr>
              <w:t>显示器尺：≥21.5英寸；</w:t>
            </w:r>
          </w:p>
          <w:p w14:paraId="135AF936">
            <w:pPr>
              <w:widowControl/>
              <w:adjustRightInd w:val="0"/>
              <w:snapToGrid w:val="0"/>
              <w:spacing w:line="500" w:lineRule="exact"/>
              <w:ind w:firstLine="420" w:firstLineChars="200"/>
              <w:rPr>
                <w:rFonts w:ascii="宋体" w:hAnsi="宋体" w:cs="宋体"/>
                <w:color w:val="auto"/>
                <w:kern w:val="0"/>
                <w:szCs w:val="21"/>
              </w:rPr>
            </w:pPr>
            <w:r>
              <w:rPr>
                <w:rFonts w:hint="eastAsia" w:ascii="微软雅黑" w:hAnsi="微软雅黑" w:eastAsia="微软雅黑" w:cs="微软雅黑"/>
                <w:color w:val="auto"/>
                <w:kern w:val="0"/>
                <w:szCs w:val="21"/>
              </w:rPr>
              <w:t>②</w:t>
            </w:r>
            <w:r>
              <w:rPr>
                <w:rFonts w:hint="eastAsia" w:ascii="宋体" w:hAnsi="宋体" w:cs="宋体"/>
                <w:color w:val="auto"/>
                <w:kern w:val="0"/>
                <w:szCs w:val="21"/>
              </w:rPr>
              <w:t>显示比例：≥16：9；</w:t>
            </w:r>
          </w:p>
          <w:p w14:paraId="02430CCE">
            <w:pPr>
              <w:widowControl/>
              <w:adjustRightInd w:val="0"/>
              <w:snapToGrid w:val="0"/>
              <w:spacing w:line="500" w:lineRule="exact"/>
              <w:ind w:firstLine="420" w:firstLineChars="200"/>
              <w:rPr>
                <w:rFonts w:ascii="宋体" w:hAnsi="宋体" w:cs="宋体"/>
                <w:color w:val="auto"/>
                <w:kern w:val="0"/>
                <w:szCs w:val="21"/>
              </w:rPr>
            </w:pPr>
            <w:r>
              <w:rPr>
                <w:rFonts w:hint="eastAsia" w:ascii="微软雅黑" w:hAnsi="微软雅黑" w:eastAsia="微软雅黑" w:cs="微软雅黑"/>
                <w:color w:val="auto"/>
                <w:kern w:val="0"/>
                <w:szCs w:val="21"/>
              </w:rPr>
              <w:t>③</w:t>
            </w:r>
            <w:r>
              <w:rPr>
                <w:rFonts w:hint="eastAsia" w:ascii="宋体" w:hAnsi="宋体" w:cs="宋体"/>
                <w:color w:val="auto"/>
                <w:kern w:val="0"/>
                <w:szCs w:val="21"/>
              </w:rPr>
              <w:t>背光类型：LED；</w:t>
            </w:r>
          </w:p>
          <w:p w14:paraId="1CAB3820">
            <w:pPr>
              <w:widowControl/>
              <w:adjustRightInd w:val="0"/>
              <w:snapToGrid w:val="0"/>
              <w:spacing w:line="500" w:lineRule="exact"/>
              <w:ind w:firstLine="420" w:firstLineChars="200"/>
              <w:rPr>
                <w:rFonts w:ascii="宋体" w:hAnsi="宋体" w:cs="宋体"/>
                <w:color w:val="auto"/>
                <w:kern w:val="0"/>
                <w:szCs w:val="21"/>
              </w:rPr>
            </w:pPr>
            <w:r>
              <w:rPr>
                <w:rFonts w:hint="eastAsia" w:ascii="微软雅黑" w:hAnsi="微软雅黑" w:eastAsia="微软雅黑" w:cs="微软雅黑"/>
                <w:color w:val="auto"/>
                <w:kern w:val="0"/>
                <w:szCs w:val="21"/>
              </w:rPr>
              <w:t>④</w:t>
            </w:r>
            <w:r>
              <w:rPr>
                <w:rFonts w:hint="eastAsia" w:ascii="宋体" w:hAnsi="宋体" w:cs="宋体"/>
                <w:color w:val="auto"/>
                <w:kern w:val="0"/>
                <w:szCs w:val="21"/>
              </w:rPr>
              <w:t>响应时间：≤16ms；</w:t>
            </w:r>
          </w:p>
          <w:p w14:paraId="18662F39">
            <w:pPr>
              <w:widowControl/>
              <w:adjustRightInd w:val="0"/>
              <w:snapToGrid w:val="0"/>
              <w:spacing w:line="500" w:lineRule="exact"/>
              <w:ind w:firstLine="420" w:firstLineChars="200"/>
              <w:rPr>
                <w:rFonts w:ascii="宋体" w:hAnsi="宋体" w:cs="宋体"/>
                <w:color w:val="auto"/>
                <w:kern w:val="0"/>
                <w:szCs w:val="21"/>
              </w:rPr>
            </w:pPr>
            <w:r>
              <w:rPr>
                <w:rFonts w:hint="eastAsia" w:ascii="微软雅黑" w:hAnsi="微软雅黑" w:eastAsia="微软雅黑" w:cs="微软雅黑"/>
                <w:color w:val="auto"/>
                <w:kern w:val="0"/>
                <w:szCs w:val="21"/>
              </w:rPr>
              <w:t>⑤</w:t>
            </w:r>
            <w:r>
              <w:rPr>
                <w:rFonts w:hint="eastAsia" w:ascii="宋体" w:hAnsi="宋体" w:cs="宋体"/>
                <w:color w:val="auto"/>
                <w:kern w:val="0"/>
                <w:szCs w:val="21"/>
              </w:rPr>
              <w:t>视频输入接口：VGA/HDMI。</w:t>
            </w:r>
          </w:p>
          <w:p w14:paraId="6E8CB44F">
            <w:pPr>
              <w:widowControl/>
              <w:adjustRightInd w:val="0"/>
              <w:snapToGrid w:val="0"/>
              <w:spacing w:line="500" w:lineRule="exact"/>
              <w:ind w:firstLine="210" w:firstLineChars="100"/>
              <w:rPr>
                <w:rFonts w:ascii="宋体" w:hAnsi="宋体" w:cs="宋体"/>
                <w:color w:val="auto"/>
                <w:kern w:val="0"/>
                <w:szCs w:val="21"/>
              </w:rPr>
            </w:pPr>
            <w:r>
              <w:rPr>
                <w:rFonts w:hint="eastAsia" w:ascii="宋体" w:hAnsi="宋体" w:cs="宋体"/>
                <w:color w:val="auto"/>
                <w:kern w:val="0"/>
                <w:szCs w:val="21"/>
              </w:rPr>
              <w:t>（2）触摸屏技术参数</w:t>
            </w:r>
          </w:p>
          <w:p w14:paraId="6ACA893A">
            <w:pPr>
              <w:widowControl/>
              <w:adjustRightInd w:val="0"/>
              <w:snapToGrid w:val="0"/>
              <w:spacing w:line="500" w:lineRule="exact"/>
              <w:ind w:firstLine="420" w:firstLineChars="200"/>
              <w:rPr>
                <w:rFonts w:ascii="宋体" w:hAnsi="宋体" w:cs="宋体"/>
                <w:color w:val="auto"/>
                <w:kern w:val="0"/>
                <w:szCs w:val="21"/>
              </w:rPr>
            </w:pPr>
            <w:r>
              <w:rPr>
                <w:rFonts w:hint="eastAsia" w:ascii="微软雅黑" w:hAnsi="微软雅黑" w:eastAsia="微软雅黑" w:cs="微软雅黑"/>
                <w:color w:val="auto"/>
                <w:kern w:val="0"/>
                <w:szCs w:val="21"/>
              </w:rPr>
              <w:t>①</w:t>
            </w:r>
            <w:r>
              <w:rPr>
                <w:rFonts w:hint="eastAsia" w:ascii="宋体" w:hAnsi="宋体" w:cs="宋体"/>
                <w:color w:val="auto"/>
                <w:kern w:val="0"/>
                <w:szCs w:val="21"/>
              </w:rPr>
              <w:t>触摸屏类型：电容触摸屏；</w:t>
            </w:r>
          </w:p>
          <w:p w14:paraId="6EEC2745">
            <w:pPr>
              <w:widowControl/>
              <w:adjustRightInd w:val="0"/>
              <w:snapToGrid w:val="0"/>
              <w:spacing w:line="500" w:lineRule="exact"/>
              <w:ind w:firstLine="420" w:firstLineChars="200"/>
              <w:rPr>
                <w:rFonts w:ascii="宋体" w:hAnsi="宋体" w:cs="宋体"/>
                <w:color w:val="auto"/>
                <w:kern w:val="0"/>
                <w:szCs w:val="21"/>
              </w:rPr>
            </w:pPr>
            <w:r>
              <w:rPr>
                <w:rFonts w:hint="eastAsia" w:ascii="微软雅黑" w:hAnsi="微软雅黑" w:eastAsia="微软雅黑" w:cs="微软雅黑"/>
                <w:color w:val="auto"/>
                <w:kern w:val="0"/>
                <w:szCs w:val="21"/>
              </w:rPr>
              <w:t>②</w:t>
            </w:r>
            <w:r>
              <w:rPr>
                <w:rFonts w:hint="eastAsia" w:ascii="宋体" w:hAnsi="宋体" w:cs="宋体"/>
                <w:color w:val="auto"/>
                <w:kern w:val="0"/>
                <w:szCs w:val="21"/>
              </w:rPr>
              <w:t>盖板玻璃：2.0mm；</w:t>
            </w:r>
          </w:p>
          <w:p w14:paraId="069A56B8">
            <w:pPr>
              <w:widowControl/>
              <w:adjustRightInd w:val="0"/>
              <w:snapToGrid w:val="0"/>
              <w:spacing w:line="500" w:lineRule="exact"/>
              <w:ind w:firstLine="420" w:firstLineChars="200"/>
              <w:rPr>
                <w:rFonts w:ascii="宋体" w:hAnsi="宋体" w:cs="宋体"/>
                <w:color w:val="auto"/>
                <w:kern w:val="0"/>
                <w:szCs w:val="21"/>
              </w:rPr>
            </w:pPr>
            <w:r>
              <w:rPr>
                <w:rFonts w:hint="eastAsia" w:ascii="微软雅黑" w:hAnsi="微软雅黑" w:eastAsia="微软雅黑" w:cs="微软雅黑"/>
                <w:color w:val="auto"/>
                <w:kern w:val="0"/>
                <w:szCs w:val="21"/>
              </w:rPr>
              <w:t>③</w:t>
            </w:r>
            <w:r>
              <w:rPr>
                <w:rFonts w:hint="eastAsia" w:ascii="宋体" w:hAnsi="宋体" w:cs="宋体"/>
                <w:color w:val="auto"/>
                <w:kern w:val="0"/>
                <w:szCs w:val="21"/>
              </w:rPr>
              <w:t>表面硬度：7H；</w:t>
            </w:r>
          </w:p>
          <w:p w14:paraId="10C336FE">
            <w:pPr>
              <w:widowControl/>
              <w:adjustRightInd w:val="0"/>
              <w:snapToGrid w:val="0"/>
              <w:spacing w:line="500" w:lineRule="exact"/>
              <w:ind w:firstLine="420" w:firstLineChars="200"/>
              <w:rPr>
                <w:rFonts w:ascii="宋体" w:hAnsi="宋体" w:cs="宋体"/>
                <w:color w:val="auto"/>
                <w:kern w:val="0"/>
                <w:szCs w:val="21"/>
              </w:rPr>
            </w:pPr>
            <w:r>
              <w:rPr>
                <w:rFonts w:hint="eastAsia" w:ascii="微软雅黑" w:hAnsi="微软雅黑" w:eastAsia="微软雅黑" w:cs="微软雅黑"/>
                <w:color w:val="auto"/>
                <w:kern w:val="0"/>
                <w:szCs w:val="21"/>
              </w:rPr>
              <w:t>④</w:t>
            </w:r>
            <w:r>
              <w:rPr>
                <w:rFonts w:hint="eastAsia" w:ascii="宋体" w:hAnsi="宋体" w:cs="宋体"/>
                <w:color w:val="auto"/>
                <w:kern w:val="0"/>
                <w:szCs w:val="21"/>
              </w:rPr>
              <w:t>触摸接口：USB；</w:t>
            </w:r>
          </w:p>
          <w:p w14:paraId="749690DF">
            <w:pPr>
              <w:widowControl/>
              <w:adjustRightInd w:val="0"/>
              <w:snapToGrid w:val="0"/>
              <w:spacing w:line="500" w:lineRule="exact"/>
              <w:ind w:firstLine="420" w:firstLineChars="200"/>
              <w:rPr>
                <w:rFonts w:ascii="宋体" w:hAnsi="宋体" w:cs="宋体"/>
                <w:color w:val="auto"/>
                <w:kern w:val="0"/>
                <w:szCs w:val="21"/>
              </w:rPr>
            </w:pPr>
            <w:r>
              <w:rPr>
                <w:rFonts w:hint="eastAsia" w:ascii="微软雅黑" w:hAnsi="微软雅黑" w:eastAsia="微软雅黑" w:cs="微软雅黑"/>
                <w:color w:val="auto"/>
                <w:kern w:val="0"/>
                <w:szCs w:val="21"/>
              </w:rPr>
              <w:t>⑤</w:t>
            </w:r>
            <w:r>
              <w:rPr>
                <w:rFonts w:hint="eastAsia" w:ascii="宋体" w:hAnsi="宋体" w:cs="宋体"/>
                <w:color w:val="auto"/>
                <w:kern w:val="0"/>
                <w:szCs w:val="21"/>
              </w:rPr>
              <w:t>触摸点数：10点；</w:t>
            </w:r>
          </w:p>
          <w:p w14:paraId="1DC0ED58">
            <w:pPr>
              <w:widowControl/>
              <w:adjustRightInd w:val="0"/>
              <w:snapToGrid w:val="0"/>
              <w:spacing w:line="500" w:lineRule="exact"/>
              <w:ind w:firstLine="420" w:firstLineChars="200"/>
              <w:rPr>
                <w:rFonts w:ascii="宋体" w:hAnsi="宋体" w:cs="宋体"/>
                <w:color w:val="auto"/>
                <w:kern w:val="0"/>
                <w:szCs w:val="21"/>
              </w:rPr>
            </w:pPr>
            <w:r>
              <w:rPr>
                <w:rFonts w:hint="eastAsia" w:ascii="微软雅黑" w:hAnsi="微软雅黑" w:eastAsia="微软雅黑" w:cs="微软雅黑"/>
                <w:color w:val="auto"/>
                <w:kern w:val="0"/>
                <w:szCs w:val="21"/>
              </w:rPr>
              <w:t>⑥</w:t>
            </w:r>
            <w:r>
              <w:rPr>
                <w:rFonts w:hint="eastAsia" w:ascii="宋体" w:hAnsi="宋体" w:cs="宋体"/>
                <w:color w:val="auto"/>
                <w:kern w:val="0"/>
                <w:szCs w:val="21"/>
              </w:rPr>
              <w:t>触摸反应时间：15ms；</w:t>
            </w:r>
          </w:p>
          <w:p w14:paraId="1D5CA571">
            <w:pPr>
              <w:widowControl/>
              <w:adjustRightInd w:val="0"/>
              <w:snapToGrid w:val="0"/>
              <w:spacing w:line="500" w:lineRule="exact"/>
              <w:ind w:firstLine="420" w:firstLineChars="200"/>
              <w:rPr>
                <w:rFonts w:ascii="宋体" w:hAnsi="宋体" w:cs="宋体"/>
                <w:color w:val="auto"/>
                <w:kern w:val="0"/>
                <w:szCs w:val="21"/>
              </w:rPr>
            </w:pPr>
            <w:r>
              <w:rPr>
                <w:rFonts w:hint="eastAsia" w:ascii="微软雅黑" w:hAnsi="微软雅黑" w:eastAsia="微软雅黑" w:cs="微软雅黑"/>
                <w:color w:val="auto"/>
                <w:kern w:val="0"/>
                <w:szCs w:val="21"/>
              </w:rPr>
              <w:t>⑦</w:t>
            </w:r>
            <w:r>
              <w:rPr>
                <w:rFonts w:hint="eastAsia" w:ascii="宋体" w:hAnsi="宋体" w:cs="宋体"/>
                <w:color w:val="auto"/>
                <w:kern w:val="0"/>
                <w:szCs w:val="21"/>
              </w:rPr>
              <w:t>触摸方法：手指/电容笔；</w:t>
            </w:r>
          </w:p>
          <w:p w14:paraId="4124B4C5">
            <w:pPr>
              <w:widowControl/>
              <w:adjustRightInd w:val="0"/>
              <w:snapToGrid w:val="0"/>
              <w:spacing w:line="500" w:lineRule="exact"/>
              <w:ind w:firstLine="420" w:firstLineChars="200"/>
              <w:rPr>
                <w:rFonts w:ascii="宋体" w:hAnsi="宋体" w:cs="宋体"/>
                <w:color w:val="auto"/>
                <w:kern w:val="0"/>
                <w:szCs w:val="21"/>
              </w:rPr>
            </w:pPr>
            <w:r>
              <w:rPr>
                <w:rFonts w:hint="eastAsia" w:ascii="微软雅黑" w:hAnsi="微软雅黑" w:eastAsia="微软雅黑" w:cs="微软雅黑"/>
                <w:color w:val="auto"/>
                <w:kern w:val="0"/>
                <w:szCs w:val="21"/>
              </w:rPr>
              <w:t>⑧</w:t>
            </w:r>
            <w:r>
              <w:rPr>
                <w:rFonts w:hint="eastAsia" w:ascii="宋体" w:hAnsi="宋体" w:cs="宋体"/>
                <w:color w:val="auto"/>
                <w:kern w:val="0"/>
                <w:szCs w:val="21"/>
              </w:rPr>
              <w:t>单点触摸寿命：≥5000 万次。</w:t>
            </w:r>
          </w:p>
          <w:p w14:paraId="7CFFE12E">
            <w:pPr>
              <w:widowControl/>
              <w:adjustRightInd w:val="0"/>
              <w:snapToGrid w:val="0"/>
              <w:spacing w:line="500" w:lineRule="exact"/>
              <w:ind w:firstLine="420" w:firstLineChars="200"/>
              <w:rPr>
                <w:rFonts w:ascii="宋体" w:hAnsi="宋体" w:cs="宋体"/>
                <w:color w:val="auto"/>
                <w:kern w:val="0"/>
                <w:szCs w:val="21"/>
              </w:rPr>
            </w:pPr>
            <w:r>
              <w:rPr>
                <w:rFonts w:hint="eastAsia" w:ascii="宋体" w:hAnsi="宋体" w:cs="宋体"/>
                <w:color w:val="auto"/>
                <w:kern w:val="0"/>
                <w:szCs w:val="21"/>
                <w:lang w:val="en-US" w:eastAsia="zh-CN"/>
              </w:rPr>
              <w:t>3</w:t>
            </w:r>
            <w:r>
              <w:rPr>
                <w:rFonts w:hint="eastAsia" w:ascii="宋体" w:hAnsi="宋体" w:cs="宋体"/>
                <w:color w:val="auto"/>
                <w:kern w:val="0"/>
                <w:szCs w:val="21"/>
              </w:rPr>
              <w:t>.工业控制主机</w:t>
            </w:r>
          </w:p>
          <w:p w14:paraId="561CBE28">
            <w:pPr>
              <w:widowControl/>
              <w:adjustRightInd w:val="0"/>
              <w:snapToGrid w:val="0"/>
              <w:spacing w:line="500" w:lineRule="exact"/>
              <w:ind w:firstLine="420" w:firstLineChars="200"/>
              <w:rPr>
                <w:rFonts w:ascii="宋体" w:hAnsi="宋体" w:cs="宋体"/>
                <w:color w:val="auto"/>
                <w:kern w:val="0"/>
                <w:szCs w:val="21"/>
              </w:rPr>
            </w:pPr>
            <w:r>
              <w:rPr>
                <w:rFonts w:hint="eastAsia" w:ascii="微软雅黑" w:hAnsi="微软雅黑" w:eastAsia="微软雅黑" w:cs="微软雅黑"/>
                <w:color w:val="auto"/>
                <w:kern w:val="0"/>
                <w:szCs w:val="21"/>
              </w:rPr>
              <w:t>①</w:t>
            </w:r>
            <w:r>
              <w:rPr>
                <w:rFonts w:hint="eastAsia" w:ascii="宋体" w:hAnsi="宋体" w:cs="宋体"/>
                <w:color w:val="auto"/>
                <w:kern w:val="0"/>
                <w:szCs w:val="21"/>
              </w:rPr>
              <w:t>CPU处理器：不低于4核处理器；</w:t>
            </w:r>
          </w:p>
          <w:p w14:paraId="7293F06F">
            <w:pPr>
              <w:widowControl/>
              <w:adjustRightInd w:val="0"/>
              <w:snapToGrid w:val="0"/>
              <w:spacing w:line="500" w:lineRule="exact"/>
              <w:ind w:firstLine="420" w:firstLineChars="200"/>
              <w:rPr>
                <w:rFonts w:ascii="宋体" w:hAnsi="宋体" w:cs="宋体"/>
                <w:color w:val="auto"/>
                <w:kern w:val="0"/>
                <w:szCs w:val="21"/>
              </w:rPr>
            </w:pPr>
            <w:r>
              <w:rPr>
                <w:rFonts w:hint="eastAsia" w:ascii="微软雅黑" w:hAnsi="微软雅黑" w:eastAsia="微软雅黑" w:cs="微软雅黑"/>
                <w:color w:val="auto"/>
                <w:kern w:val="0"/>
                <w:szCs w:val="21"/>
              </w:rPr>
              <w:t>②</w:t>
            </w:r>
            <w:r>
              <w:rPr>
                <w:rFonts w:hint="eastAsia" w:ascii="宋体" w:hAnsi="宋体" w:cs="宋体"/>
                <w:color w:val="auto"/>
                <w:kern w:val="0"/>
                <w:szCs w:val="21"/>
              </w:rPr>
              <w:t>内存：≥8GB DDR4；</w:t>
            </w:r>
          </w:p>
          <w:p w14:paraId="7B33EB9C">
            <w:pPr>
              <w:widowControl/>
              <w:adjustRightInd w:val="0"/>
              <w:snapToGrid w:val="0"/>
              <w:spacing w:line="500" w:lineRule="exact"/>
              <w:ind w:firstLine="420" w:firstLineChars="200"/>
              <w:rPr>
                <w:rFonts w:ascii="宋体" w:hAnsi="宋体" w:cs="宋体"/>
                <w:color w:val="auto"/>
                <w:kern w:val="0"/>
                <w:szCs w:val="21"/>
              </w:rPr>
            </w:pPr>
            <w:r>
              <w:rPr>
                <w:rFonts w:hint="eastAsia" w:ascii="微软雅黑" w:hAnsi="微软雅黑" w:eastAsia="微软雅黑" w:cs="微软雅黑"/>
                <w:color w:val="auto"/>
                <w:kern w:val="0"/>
                <w:szCs w:val="21"/>
              </w:rPr>
              <w:t>③</w:t>
            </w:r>
            <w:r>
              <w:rPr>
                <w:rFonts w:hint="eastAsia" w:ascii="宋体" w:hAnsi="宋体" w:cs="宋体"/>
                <w:color w:val="auto"/>
                <w:kern w:val="0"/>
                <w:szCs w:val="21"/>
              </w:rPr>
              <w:t>固态硬盘：≥250GB。</w:t>
            </w:r>
          </w:p>
          <w:p w14:paraId="225DAD76">
            <w:pPr>
              <w:widowControl/>
              <w:adjustRightInd w:val="0"/>
              <w:snapToGrid w:val="0"/>
              <w:spacing w:line="500" w:lineRule="exact"/>
              <w:ind w:firstLine="420" w:firstLineChars="200"/>
              <w:rPr>
                <w:rFonts w:ascii="宋体" w:hAnsi="宋体" w:cs="宋体"/>
                <w:color w:val="auto"/>
                <w:kern w:val="0"/>
                <w:szCs w:val="21"/>
              </w:rPr>
            </w:pPr>
            <w:r>
              <w:rPr>
                <w:rFonts w:hint="eastAsia" w:ascii="宋体" w:hAnsi="宋体" w:cs="宋体"/>
                <w:color w:val="auto"/>
                <w:kern w:val="0"/>
                <w:szCs w:val="21"/>
                <w:lang w:val="en-US" w:eastAsia="zh-CN"/>
              </w:rPr>
              <w:t>4</w:t>
            </w:r>
            <w:r>
              <w:rPr>
                <w:rFonts w:hint="eastAsia" w:ascii="宋体" w:hAnsi="宋体" w:cs="宋体"/>
                <w:color w:val="auto"/>
                <w:kern w:val="0"/>
                <w:szCs w:val="21"/>
              </w:rPr>
              <w:t>.仓门模块</w:t>
            </w:r>
          </w:p>
          <w:p w14:paraId="561E4FA1">
            <w:pPr>
              <w:widowControl/>
              <w:adjustRightInd w:val="0"/>
              <w:snapToGrid w:val="0"/>
              <w:spacing w:line="500" w:lineRule="exact"/>
              <w:ind w:firstLine="420" w:firstLineChars="200"/>
              <w:rPr>
                <w:rFonts w:ascii="宋体" w:hAnsi="宋体" w:cs="宋体"/>
                <w:color w:val="auto"/>
                <w:kern w:val="0"/>
                <w:szCs w:val="21"/>
              </w:rPr>
            </w:pPr>
            <w:r>
              <w:rPr>
                <w:rFonts w:hint="eastAsia" w:ascii="微软雅黑" w:hAnsi="微软雅黑" w:eastAsia="微软雅黑" w:cs="微软雅黑"/>
                <w:color w:val="auto"/>
                <w:kern w:val="0"/>
                <w:szCs w:val="21"/>
              </w:rPr>
              <w:t>①</w:t>
            </w:r>
            <w:r>
              <w:rPr>
                <w:rFonts w:hint="eastAsia" w:ascii="宋体" w:hAnsi="宋体" w:cs="宋体"/>
                <w:color w:val="auto"/>
                <w:kern w:val="0"/>
                <w:szCs w:val="21"/>
              </w:rPr>
              <w:t>开关门速度：≥66mm/s；</w:t>
            </w:r>
          </w:p>
          <w:p w14:paraId="18D04EF0">
            <w:pPr>
              <w:widowControl/>
              <w:adjustRightInd w:val="0"/>
              <w:snapToGrid w:val="0"/>
              <w:spacing w:line="500" w:lineRule="exact"/>
              <w:ind w:firstLine="420" w:firstLineChars="200"/>
              <w:rPr>
                <w:rFonts w:ascii="宋体" w:hAnsi="宋体" w:cs="宋体"/>
                <w:color w:val="auto"/>
                <w:kern w:val="0"/>
                <w:szCs w:val="21"/>
              </w:rPr>
            </w:pPr>
            <w:r>
              <w:rPr>
                <w:rFonts w:hint="eastAsia" w:ascii="微软雅黑" w:hAnsi="微软雅黑" w:eastAsia="微软雅黑" w:cs="微软雅黑"/>
                <w:color w:val="auto"/>
                <w:kern w:val="0"/>
                <w:szCs w:val="21"/>
              </w:rPr>
              <w:t>②</w:t>
            </w:r>
            <w:r>
              <w:rPr>
                <w:rFonts w:hint="eastAsia" w:ascii="宋体" w:hAnsi="宋体" w:cs="宋体"/>
                <w:color w:val="auto"/>
                <w:kern w:val="0"/>
                <w:szCs w:val="21"/>
              </w:rPr>
              <w:t>开关推力：1≥50N；</w:t>
            </w:r>
          </w:p>
          <w:p w14:paraId="32B4C7AD">
            <w:pPr>
              <w:widowControl/>
              <w:adjustRightInd w:val="0"/>
              <w:snapToGrid w:val="0"/>
              <w:spacing w:line="500" w:lineRule="exact"/>
              <w:ind w:firstLine="420" w:firstLineChars="200"/>
              <w:rPr>
                <w:rFonts w:ascii="宋体" w:hAnsi="宋体" w:cs="宋体"/>
                <w:color w:val="auto"/>
                <w:kern w:val="0"/>
                <w:szCs w:val="21"/>
              </w:rPr>
            </w:pPr>
            <w:r>
              <w:rPr>
                <w:rFonts w:hint="eastAsia" w:ascii="微软雅黑" w:hAnsi="微软雅黑" w:eastAsia="微软雅黑" w:cs="微软雅黑"/>
                <w:color w:val="auto"/>
                <w:kern w:val="0"/>
                <w:szCs w:val="21"/>
              </w:rPr>
              <w:t>③</w:t>
            </w:r>
            <w:r>
              <w:rPr>
                <w:rFonts w:hint="eastAsia" w:ascii="宋体" w:hAnsi="宋体" w:cs="宋体"/>
                <w:color w:val="auto"/>
                <w:kern w:val="0"/>
                <w:szCs w:val="21"/>
              </w:rPr>
              <w:t>关门自带防夹手功能；</w:t>
            </w:r>
          </w:p>
          <w:p w14:paraId="7028BA4B">
            <w:pPr>
              <w:widowControl/>
              <w:adjustRightInd w:val="0"/>
              <w:snapToGrid w:val="0"/>
              <w:spacing w:line="500" w:lineRule="exact"/>
              <w:ind w:firstLine="420" w:firstLineChars="200"/>
              <w:rPr>
                <w:rFonts w:ascii="宋体" w:hAnsi="宋体" w:cs="宋体"/>
                <w:color w:val="auto"/>
                <w:kern w:val="0"/>
                <w:szCs w:val="21"/>
              </w:rPr>
            </w:pPr>
            <w:r>
              <w:rPr>
                <w:rFonts w:hint="eastAsia" w:ascii="微软雅黑" w:hAnsi="微软雅黑" w:eastAsia="微软雅黑" w:cs="微软雅黑"/>
                <w:color w:val="auto"/>
                <w:kern w:val="0"/>
                <w:szCs w:val="21"/>
              </w:rPr>
              <w:t>④</w:t>
            </w:r>
            <w:r>
              <w:rPr>
                <w:rFonts w:hint="eastAsia" w:ascii="宋体" w:hAnsi="宋体" w:cs="宋体"/>
                <w:color w:val="auto"/>
                <w:kern w:val="0"/>
                <w:szCs w:val="21"/>
              </w:rPr>
              <w:t>开关门到位传感器。</w:t>
            </w:r>
          </w:p>
          <w:p w14:paraId="069503F5">
            <w:pPr>
              <w:widowControl/>
              <w:adjustRightInd w:val="0"/>
              <w:snapToGrid w:val="0"/>
              <w:spacing w:line="500" w:lineRule="exact"/>
              <w:ind w:firstLine="420" w:firstLineChars="200"/>
              <w:rPr>
                <w:rFonts w:ascii="宋体" w:hAnsi="宋体" w:cs="宋体"/>
                <w:color w:val="auto"/>
                <w:kern w:val="0"/>
                <w:szCs w:val="21"/>
              </w:rPr>
            </w:pPr>
            <w:r>
              <w:rPr>
                <w:rFonts w:hint="eastAsia" w:ascii="宋体" w:hAnsi="宋体" w:cs="宋体"/>
                <w:color w:val="auto"/>
                <w:kern w:val="0"/>
                <w:szCs w:val="21"/>
                <w:lang w:val="en-US" w:eastAsia="zh-CN"/>
              </w:rPr>
              <w:t>5</w:t>
            </w:r>
            <w:r>
              <w:rPr>
                <w:rFonts w:hint="eastAsia" w:ascii="宋体" w:hAnsi="宋体" w:cs="宋体"/>
                <w:color w:val="auto"/>
                <w:kern w:val="0"/>
                <w:szCs w:val="21"/>
              </w:rPr>
              <w:t>.补卡设备</w:t>
            </w:r>
          </w:p>
          <w:p w14:paraId="13C7B6A7">
            <w:pPr>
              <w:widowControl/>
              <w:adjustRightInd w:val="0"/>
              <w:snapToGrid w:val="0"/>
              <w:spacing w:line="500" w:lineRule="exact"/>
              <w:ind w:firstLine="210" w:firstLineChars="100"/>
              <w:rPr>
                <w:rFonts w:ascii="宋体" w:hAnsi="宋体" w:cs="宋体"/>
                <w:color w:val="auto"/>
                <w:kern w:val="0"/>
                <w:szCs w:val="21"/>
              </w:rPr>
            </w:pPr>
            <w:r>
              <w:rPr>
                <w:rFonts w:hint="eastAsia" w:ascii="宋体" w:hAnsi="宋体" w:cs="宋体"/>
                <w:color w:val="auto"/>
                <w:kern w:val="0"/>
                <w:szCs w:val="21"/>
              </w:rPr>
              <w:t>（1）打印分辨率≥300dpi；</w:t>
            </w:r>
          </w:p>
          <w:p w14:paraId="2BB1923F">
            <w:pPr>
              <w:widowControl/>
              <w:adjustRightInd w:val="0"/>
              <w:snapToGrid w:val="0"/>
              <w:spacing w:line="500" w:lineRule="exact"/>
              <w:ind w:firstLine="210" w:firstLineChars="100"/>
              <w:rPr>
                <w:rFonts w:ascii="宋体" w:hAnsi="宋体" w:cs="宋体"/>
                <w:color w:val="auto"/>
                <w:kern w:val="0"/>
                <w:szCs w:val="21"/>
              </w:rPr>
            </w:pPr>
            <w:r>
              <w:rPr>
                <w:rFonts w:hint="eastAsia" w:ascii="宋体" w:hAnsi="宋体" w:cs="宋体"/>
                <w:color w:val="auto"/>
                <w:kern w:val="0"/>
                <w:szCs w:val="21"/>
              </w:rPr>
              <w:t>（2）集成USB接口、以太网接口；</w:t>
            </w:r>
          </w:p>
          <w:p w14:paraId="1A87586C">
            <w:pPr>
              <w:widowControl/>
              <w:adjustRightInd w:val="0"/>
              <w:snapToGrid w:val="0"/>
              <w:spacing w:line="500" w:lineRule="exact"/>
              <w:ind w:firstLine="210" w:firstLineChars="100"/>
              <w:rPr>
                <w:rFonts w:ascii="宋体" w:hAnsi="宋体" w:cs="宋体"/>
                <w:color w:val="auto"/>
                <w:kern w:val="0"/>
                <w:szCs w:val="21"/>
              </w:rPr>
            </w:pPr>
            <w:r>
              <w:rPr>
                <w:rFonts w:hint="eastAsia" w:ascii="宋体" w:hAnsi="宋体" w:cs="宋体"/>
                <w:color w:val="auto"/>
                <w:kern w:val="0"/>
                <w:szCs w:val="21"/>
              </w:rPr>
              <w:t>（3）支持不低于100张校园卡容量；</w:t>
            </w:r>
          </w:p>
          <w:p w14:paraId="6D5C9660">
            <w:pPr>
              <w:widowControl/>
              <w:adjustRightInd w:val="0"/>
              <w:snapToGrid w:val="0"/>
              <w:spacing w:line="500" w:lineRule="exact"/>
              <w:ind w:firstLine="210" w:firstLineChars="100"/>
              <w:rPr>
                <w:rFonts w:ascii="宋体" w:hAnsi="宋体" w:cs="宋体"/>
                <w:color w:val="auto"/>
                <w:kern w:val="0"/>
                <w:szCs w:val="21"/>
              </w:rPr>
            </w:pPr>
            <w:r>
              <w:rPr>
                <w:rFonts w:hint="eastAsia" w:ascii="宋体" w:hAnsi="宋体" w:cs="宋体"/>
                <w:color w:val="auto"/>
                <w:kern w:val="0"/>
                <w:szCs w:val="21"/>
              </w:rPr>
              <w:t>（4）支持染料升华热转印方法；</w:t>
            </w:r>
          </w:p>
          <w:p w14:paraId="7E41B91F">
            <w:pPr>
              <w:widowControl/>
              <w:adjustRightInd w:val="0"/>
              <w:snapToGrid w:val="0"/>
              <w:spacing w:line="500" w:lineRule="exact"/>
              <w:ind w:firstLine="210" w:firstLineChars="100"/>
              <w:rPr>
                <w:rFonts w:ascii="宋体" w:hAnsi="宋体" w:cs="宋体"/>
                <w:color w:val="auto"/>
                <w:kern w:val="0"/>
                <w:szCs w:val="21"/>
              </w:rPr>
            </w:pPr>
            <w:r>
              <w:rPr>
                <w:rFonts w:hint="eastAsia" w:ascii="宋体" w:hAnsi="宋体" w:cs="宋体"/>
                <w:color w:val="auto"/>
                <w:kern w:val="0"/>
                <w:szCs w:val="21"/>
              </w:rPr>
              <w:t>（5）支持不低于单面打印。</w:t>
            </w:r>
          </w:p>
          <w:p w14:paraId="009A61B8">
            <w:pPr>
              <w:widowControl/>
              <w:adjustRightInd w:val="0"/>
              <w:snapToGrid w:val="0"/>
              <w:spacing w:line="500" w:lineRule="exact"/>
              <w:ind w:firstLine="420" w:firstLineChars="200"/>
              <w:rPr>
                <w:rFonts w:ascii="宋体" w:hAnsi="宋体" w:cs="宋体"/>
                <w:color w:val="auto"/>
                <w:kern w:val="0"/>
                <w:szCs w:val="21"/>
              </w:rPr>
            </w:pPr>
            <w:r>
              <w:rPr>
                <w:rFonts w:hint="eastAsia" w:ascii="宋体" w:hAnsi="宋体" w:cs="宋体"/>
                <w:color w:val="auto"/>
                <w:kern w:val="0"/>
                <w:szCs w:val="21"/>
                <w:lang w:val="en-US" w:eastAsia="zh-CN"/>
              </w:rPr>
              <w:t>6</w:t>
            </w:r>
            <w:r>
              <w:rPr>
                <w:rFonts w:hint="eastAsia" w:ascii="宋体" w:hAnsi="宋体" w:cs="宋体"/>
                <w:color w:val="auto"/>
                <w:kern w:val="0"/>
                <w:szCs w:val="21"/>
              </w:rPr>
              <w:t>.IC卡读卡器</w:t>
            </w:r>
          </w:p>
          <w:p w14:paraId="404FE85D">
            <w:pPr>
              <w:widowControl/>
              <w:adjustRightInd w:val="0"/>
              <w:snapToGrid w:val="0"/>
              <w:spacing w:line="500" w:lineRule="exact"/>
              <w:ind w:firstLine="210" w:firstLineChars="100"/>
              <w:rPr>
                <w:rFonts w:ascii="宋体" w:hAnsi="宋体" w:cs="宋体"/>
                <w:color w:val="auto"/>
                <w:kern w:val="0"/>
                <w:szCs w:val="21"/>
              </w:rPr>
            </w:pPr>
            <w:r>
              <w:rPr>
                <w:rFonts w:hint="eastAsia" w:ascii="宋体" w:hAnsi="宋体" w:cs="宋体"/>
                <w:color w:val="auto"/>
                <w:kern w:val="0"/>
                <w:szCs w:val="21"/>
              </w:rPr>
              <w:t>（1）支持系统：Window7以上操作系统、支持Linux操作系统；</w:t>
            </w:r>
          </w:p>
          <w:p w14:paraId="2F2E602E">
            <w:pPr>
              <w:widowControl/>
              <w:adjustRightInd w:val="0"/>
              <w:snapToGrid w:val="0"/>
              <w:spacing w:line="500" w:lineRule="exact"/>
              <w:ind w:firstLine="210" w:firstLineChars="100"/>
              <w:rPr>
                <w:rFonts w:ascii="宋体" w:hAnsi="宋体" w:cs="宋体"/>
                <w:color w:val="auto"/>
                <w:kern w:val="0"/>
                <w:szCs w:val="21"/>
              </w:rPr>
            </w:pPr>
            <w:r>
              <w:rPr>
                <w:rFonts w:hint="eastAsia" w:ascii="宋体" w:hAnsi="宋体" w:cs="宋体"/>
                <w:color w:val="auto"/>
                <w:kern w:val="0"/>
                <w:szCs w:val="21"/>
              </w:rPr>
              <w:t>（2）指示灯：LED指示灯，指示电源或通讯状态；</w:t>
            </w:r>
          </w:p>
          <w:p w14:paraId="02028D3E">
            <w:pPr>
              <w:widowControl/>
              <w:adjustRightInd w:val="0"/>
              <w:snapToGrid w:val="0"/>
              <w:spacing w:line="500" w:lineRule="exact"/>
              <w:ind w:firstLine="210" w:firstLineChars="100"/>
              <w:rPr>
                <w:rFonts w:ascii="宋体" w:hAnsi="宋体" w:cs="宋体"/>
                <w:color w:val="auto"/>
                <w:kern w:val="0"/>
                <w:szCs w:val="21"/>
              </w:rPr>
            </w:pPr>
            <w:r>
              <w:rPr>
                <w:rFonts w:hint="eastAsia" w:ascii="宋体" w:hAnsi="宋体" w:cs="宋体"/>
                <w:color w:val="auto"/>
                <w:kern w:val="0"/>
                <w:szCs w:val="21"/>
              </w:rPr>
              <w:t>（3）通讯接口：USB、RS232；</w:t>
            </w:r>
          </w:p>
          <w:p w14:paraId="2F68A868">
            <w:pPr>
              <w:widowControl/>
              <w:adjustRightInd w:val="0"/>
              <w:snapToGrid w:val="0"/>
              <w:spacing w:line="500" w:lineRule="exact"/>
              <w:ind w:firstLine="210" w:firstLineChars="100"/>
              <w:rPr>
                <w:rFonts w:ascii="宋体" w:hAnsi="宋体" w:cs="宋体"/>
                <w:color w:val="auto"/>
                <w:kern w:val="0"/>
                <w:szCs w:val="21"/>
              </w:rPr>
            </w:pPr>
            <w:r>
              <w:rPr>
                <w:rFonts w:hint="eastAsia" w:ascii="宋体" w:hAnsi="宋体" w:cs="宋体"/>
                <w:color w:val="auto"/>
                <w:kern w:val="0"/>
                <w:szCs w:val="21"/>
              </w:rPr>
              <w:t>（4）非接触卡：支持ISO14443TypeA/B标准感应IC卡；</w:t>
            </w:r>
          </w:p>
          <w:p w14:paraId="0860D6CE">
            <w:pPr>
              <w:widowControl/>
              <w:adjustRightInd w:val="0"/>
              <w:snapToGrid w:val="0"/>
              <w:spacing w:line="500" w:lineRule="exact"/>
              <w:ind w:firstLine="210" w:firstLineChars="100"/>
              <w:rPr>
                <w:rFonts w:ascii="宋体" w:hAnsi="宋体" w:cs="宋体"/>
                <w:color w:val="auto"/>
                <w:kern w:val="0"/>
                <w:szCs w:val="21"/>
              </w:rPr>
            </w:pPr>
            <w:r>
              <w:rPr>
                <w:rFonts w:hint="eastAsia" w:ascii="宋体" w:hAnsi="宋体" w:cs="宋体"/>
                <w:color w:val="auto"/>
                <w:kern w:val="0"/>
                <w:szCs w:val="21"/>
              </w:rPr>
              <w:t>（5）SAM卡座：≥2个。</w:t>
            </w:r>
          </w:p>
          <w:p w14:paraId="7DE042A1">
            <w:pPr>
              <w:widowControl/>
              <w:adjustRightInd w:val="0"/>
              <w:snapToGrid w:val="0"/>
              <w:spacing w:line="500" w:lineRule="exact"/>
              <w:ind w:firstLine="420" w:firstLineChars="200"/>
              <w:rPr>
                <w:rFonts w:ascii="宋体" w:hAnsi="宋体" w:cs="宋体"/>
                <w:color w:val="auto"/>
                <w:kern w:val="0"/>
                <w:szCs w:val="21"/>
              </w:rPr>
            </w:pPr>
            <w:r>
              <w:rPr>
                <w:rFonts w:hint="eastAsia" w:ascii="宋体" w:hAnsi="宋体" w:cs="宋体"/>
                <w:color w:val="auto"/>
                <w:kern w:val="0"/>
                <w:szCs w:val="21"/>
                <w:lang w:val="en-US" w:eastAsia="zh-CN"/>
              </w:rPr>
              <w:t>7</w:t>
            </w:r>
            <w:r>
              <w:rPr>
                <w:rFonts w:hint="eastAsia" w:ascii="宋体" w:hAnsi="宋体" w:cs="宋体"/>
                <w:color w:val="auto"/>
                <w:kern w:val="0"/>
                <w:szCs w:val="21"/>
              </w:rPr>
              <w:t>.回收平台模块</w:t>
            </w:r>
          </w:p>
          <w:p w14:paraId="6A7AAE81">
            <w:pPr>
              <w:widowControl/>
              <w:adjustRightInd w:val="0"/>
              <w:snapToGrid w:val="0"/>
              <w:spacing w:line="500" w:lineRule="exact"/>
              <w:ind w:firstLine="210" w:firstLineChars="100"/>
              <w:rPr>
                <w:rFonts w:ascii="宋体" w:hAnsi="宋体" w:cs="宋体"/>
                <w:color w:val="auto"/>
                <w:kern w:val="0"/>
                <w:szCs w:val="21"/>
              </w:rPr>
            </w:pPr>
            <w:r>
              <w:rPr>
                <w:rFonts w:hint="eastAsia" w:ascii="宋体" w:hAnsi="宋体" w:cs="宋体"/>
                <w:color w:val="auto"/>
                <w:kern w:val="0"/>
                <w:szCs w:val="21"/>
              </w:rPr>
              <w:t>（1）平台活动模块</w:t>
            </w:r>
          </w:p>
          <w:p w14:paraId="2A7A6939">
            <w:pPr>
              <w:widowControl/>
              <w:adjustRightInd w:val="0"/>
              <w:snapToGrid w:val="0"/>
              <w:spacing w:line="500" w:lineRule="exact"/>
              <w:ind w:firstLine="420" w:firstLineChars="200"/>
              <w:rPr>
                <w:rFonts w:ascii="宋体" w:hAnsi="宋体" w:cs="宋体"/>
                <w:color w:val="auto"/>
                <w:kern w:val="0"/>
                <w:szCs w:val="21"/>
              </w:rPr>
            </w:pPr>
            <w:r>
              <w:rPr>
                <w:rFonts w:hint="eastAsia" w:ascii="微软雅黑" w:hAnsi="微软雅黑" w:eastAsia="微软雅黑" w:cs="微软雅黑"/>
                <w:color w:val="auto"/>
                <w:kern w:val="0"/>
                <w:szCs w:val="21"/>
              </w:rPr>
              <w:t>①</w:t>
            </w:r>
            <w:r>
              <w:rPr>
                <w:rFonts w:hint="eastAsia" w:ascii="宋体" w:hAnsi="宋体" w:cs="宋体"/>
                <w:color w:val="auto"/>
                <w:kern w:val="0"/>
                <w:szCs w:val="21"/>
              </w:rPr>
              <w:t>平台升降速度：66mm/s；</w:t>
            </w:r>
          </w:p>
          <w:p w14:paraId="3F473963">
            <w:pPr>
              <w:widowControl/>
              <w:adjustRightInd w:val="0"/>
              <w:snapToGrid w:val="0"/>
              <w:spacing w:line="500" w:lineRule="exact"/>
              <w:ind w:firstLine="420" w:firstLineChars="200"/>
              <w:rPr>
                <w:rFonts w:ascii="宋体" w:hAnsi="宋体" w:cs="宋体"/>
                <w:color w:val="auto"/>
                <w:kern w:val="0"/>
                <w:szCs w:val="21"/>
              </w:rPr>
            </w:pPr>
            <w:r>
              <w:rPr>
                <w:rFonts w:hint="eastAsia" w:ascii="微软雅黑" w:hAnsi="微软雅黑" w:eastAsia="微软雅黑" w:cs="微软雅黑"/>
                <w:color w:val="auto"/>
                <w:kern w:val="0"/>
                <w:szCs w:val="21"/>
              </w:rPr>
              <w:t>②</w:t>
            </w:r>
            <w:r>
              <w:rPr>
                <w:rFonts w:hint="eastAsia" w:ascii="宋体" w:hAnsi="宋体" w:cs="宋体"/>
                <w:color w:val="auto"/>
                <w:kern w:val="0"/>
                <w:szCs w:val="21"/>
              </w:rPr>
              <w:t>升降推力：150N；</w:t>
            </w:r>
          </w:p>
          <w:p w14:paraId="57764F48">
            <w:pPr>
              <w:widowControl/>
              <w:adjustRightInd w:val="0"/>
              <w:snapToGrid w:val="0"/>
              <w:spacing w:line="500" w:lineRule="exact"/>
              <w:ind w:firstLine="420" w:firstLineChars="200"/>
              <w:rPr>
                <w:rFonts w:ascii="宋体" w:hAnsi="宋体" w:cs="宋体"/>
                <w:color w:val="auto"/>
                <w:kern w:val="0"/>
                <w:szCs w:val="21"/>
              </w:rPr>
            </w:pPr>
            <w:r>
              <w:rPr>
                <w:rFonts w:hint="eastAsia" w:ascii="微软雅黑" w:hAnsi="微软雅黑" w:eastAsia="微软雅黑" w:cs="微软雅黑"/>
                <w:color w:val="auto"/>
                <w:kern w:val="0"/>
                <w:szCs w:val="21"/>
              </w:rPr>
              <w:t>③</w:t>
            </w:r>
            <w:r>
              <w:rPr>
                <w:rFonts w:hint="eastAsia" w:ascii="宋体" w:hAnsi="宋体" w:cs="宋体"/>
                <w:color w:val="auto"/>
                <w:kern w:val="0"/>
                <w:szCs w:val="21"/>
              </w:rPr>
              <w:t>平台升降到位传感器；</w:t>
            </w:r>
          </w:p>
          <w:p w14:paraId="7B0EE8D3">
            <w:pPr>
              <w:widowControl/>
              <w:adjustRightInd w:val="0"/>
              <w:snapToGrid w:val="0"/>
              <w:spacing w:line="500" w:lineRule="exact"/>
              <w:ind w:firstLine="420" w:firstLineChars="200"/>
              <w:rPr>
                <w:rFonts w:ascii="宋体" w:hAnsi="宋体" w:cs="宋体"/>
                <w:color w:val="auto"/>
                <w:kern w:val="0"/>
                <w:szCs w:val="21"/>
              </w:rPr>
            </w:pPr>
            <w:r>
              <w:rPr>
                <w:rFonts w:hint="eastAsia" w:ascii="微软雅黑" w:hAnsi="微软雅黑" w:eastAsia="微软雅黑" w:cs="微软雅黑"/>
                <w:color w:val="auto"/>
                <w:kern w:val="0"/>
                <w:szCs w:val="21"/>
              </w:rPr>
              <w:t>④</w:t>
            </w:r>
            <w:r>
              <w:rPr>
                <w:rFonts w:hint="eastAsia" w:ascii="宋体" w:hAnsi="宋体" w:cs="宋体"/>
                <w:color w:val="auto"/>
                <w:kern w:val="0"/>
                <w:szCs w:val="21"/>
              </w:rPr>
              <w:t>平台消磁保持:吸力30kg，电压，DC12-V1.5A；</w:t>
            </w:r>
          </w:p>
          <w:p w14:paraId="4728D837">
            <w:pPr>
              <w:widowControl/>
              <w:adjustRightInd w:val="0"/>
              <w:snapToGrid w:val="0"/>
              <w:spacing w:line="500" w:lineRule="exact"/>
              <w:ind w:firstLine="420" w:firstLineChars="200"/>
              <w:rPr>
                <w:rFonts w:ascii="宋体" w:hAnsi="宋体" w:cs="宋体"/>
                <w:color w:val="auto"/>
                <w:kern w:val="0"/>
                <w:szCs w:val="21"/>
              </w:rPr>
            </w:pPr>
            <w:r>
              <w:rPr>
                <w:rFonts w:hint="eastAsia" w:ascii="微软雅黑" w:hAnsi="微软雅黑" w:eastAsia="微软雅黑" w:cs="微软雅黑"/>
                <w:color w:val="auto"/>
                <w:kern w:val="0"/>
                <w:szCs w:val="21"/>
              </w:rPr>
              <w:t>⑤</w:t>
            </w:r>
            <w:r>
              <w:rPr>
                <w:rFonts w:hint="eastAsia" w:ascii="宋体" w:hAnsi="宋体" w:cs="宋体"/>
                <w:color w:val="auto"/>
                <w:kern w:val="0"/>
                <w:szCs w:val="21"/>
              </w:rPr>
              <w:t>二维码补光灯模块2条。</w:t>
            </w:r>
          </w:p>
          <w:p w14:paraId="0DFA3E4B">
            <w:pPr>
              <w:widowControl/>
              <w:adjustRightInd w:val="0"/>
              <w:snapToGrid w:val="0"/>
              <w:spacing w:line="500" w:lineRule="exact"/>
              <w:ind w:firstLine="210" w:firstLineChars="100"/>
              <w:rPr>
                <w:rFonts w:ascii="宋体" w:hAnsi="宋体" w:cs="宋体"/>
                <w:color w:val="auto"/>
                <w:kern w:val="0"/>
                <w:szCs w:val="21"/>
              </w:rPr>
            </w:pPr>
            <w:r>
              <w:rPr>
                <w:rFonts w:hint="eastAsia" w:ascii="宋体" w:hAnsi="宋体" w:cs="宋体"/>
                <w:color w:val="auto"/>
                <w:kern w:val="0"/>
                <w:szCs w:val="21"/>
              </w:rPr>
              <w:t>（2）二维码读取模块</w:t>
            </w:r>
          </w:p>
          <w:p w14:paraId="03C202A4">
            <w:pPr>
              <w:widowControl/>
              <w:adjustRightInd w:val="0"/>
              <w:snapToGrid w:val="0"/>
              <w:spacing w:line="500" w:lineRule="exact"/>
              <w:ind w:firstLine="420" w:firstLineChars="200"/>
              <w:rPr>
                <w:rFonts w:ascii="宋体" w:hAnsi="宋体" w:cs="宋体"/>
                <w:color w:val="auto"/>
                <w:kern w:val="0"/>
                <w:szCs w:val="21"/>
              </w:rPr>
            </w:pPr>
            <w:r>
              <w:rPr>
                <w:rFonts w:hint="eastAsia" w:ascii="微软雅黑" w:hAnsi="微软雅黑" w:eastAsia="微软雅黑" w:cs="微软雅黑"/>
                <w:color w:val="auto"/>
                <w:kern w:val="0"/>
                <w:szCs w:val="21"/>
              </w:rPr>
              <w:t>①</w:t>
            </w:r>
            <w:r>
              <w:rPr>
                <w:rFonts w:hint="eastAsia" w:ascii="宋体" w:hAnsi="宋体" w:cs="宋体"/>
                <w:color w:val="auto"/>
                <w:kern w:val="0"/>
                <w:szCs w:val="21"/>
              </w:rPr>
              <w:t xml:space="preserve">图像传感器：640×480 CMOS 传感器 </w:t>
            </w:r>
          </w:p>
          <w:p w14:paraId="03DD9E0B">
            <w:pPr>
              <w:widowControl/>
              <w:adjustRightInd w:val="0"/>
              <w:snapToGrid w:val="0"/>
              <w:spacing w:line="500" w:lineRule="exact"/>
              <w:ind w:firstLine="420" w:firstLineChars="200"/>
              <w:rPr>
                <w:rFonts w:ascii="宋体" w:hAnsi="宋体" w:cs="宋体"/>
                <w:color w:val="auto"/>
                <w:kern w:val="0"/>
                <w:szCs w:val="21"/>
              </w:rPr>
            </w:pPr>
            <w:r>
              <w:rPr>
                <w:rFonts w:hint="eastAsia" w:ascii="微软雅黑" w:hAnsi="微软雅黑" w:eastAsia="微软雅黑" w:cs="微软雅黑"/>
                <w:color w:val="auto"/>
                <w:kern w:val="0"/>
                <w:szCs w:val="21"/>
              </w:rPr>
              <w:t>②</w:t>
            </w:r>
            <w:r>
              <w:rPr>
                <w:rFonts w:hint="eastAsia" w:ascii="宋体" w:hAnsi="宋体" w:cs="宋体"/>
                <w:color w:val="auto"/>
                <w:kern w:val="0"/>
                <w:szCs w:val="21"/>
              </w:rPr>
              <w:t>照明：白色 LED</w:t>
            </w:r>
          </w:p>
          <w:p w14:paraId="456B5F4A">
            <w:pPr>
              <w:widowControl/>
              <w:adjustRightInd w:val="0"/>
              <w:snapToGrid w:val="0"/>
              <w:spacing w:line="500" w:lineRule="exact"/>
              <w:ind w:firstLine="420" w:firstLineChars="200"/>
              <w:rPr>
                <w:rFonts w:ascii="宋体" w:hAnsi="宋体" w:cs="宋体"/>
                <w:color w:val="auto"/>
                <w:kern w:val="0"/>
                <w:szCs w:val="21"/>
              </w:rPr>
            </w:pPr>
            <w:r>
              <w:rPr>
                <w:rFonts w:hint="eastAsia" w:ascii="微软雅黑" w:hAnsi="微软雅黑" w:eastAsia="微软雅黑" w:cs="微软雅黑"/>
                <w:color w:val="auto"/>
                <w:kern w:val="0"/>
                <w:szCs w:val="21"/>
              </w:rPr>
              <w:t>③</w:t>
            </w:r>
            <w:r>
              <w:rPr>
                <w:rFonts w:hint="eastAsia" w:ascii="宋体" w:hAnsi="宋体" w:cs="宋体"/>
                <w:color w:val="auto"/>
                <w:kern w:val="0"/>
                <w:szCs w:val="21"/>
              </w:rPr>
              <w:t>识读码制：2D：QR Code, Micro QR；1D：Code 128, EAN-13, AN-8, Code 39, UPC-A, UPC-E, Codabar, Interleaved 2 of 5, ITF-6, ITF-14, ISBN, ISSN, Code 93, UCC/EAN128, GS1 Databar, Matrix 2 of 5, Code 11, Industrial 2 of 5, Standard 2 of 5, AIM128, Plessey, MSI-Plesse</w:t>
            </w:r>
            <w:r>
              <w:rPr>
                <w:rFonts w:ascii="宋体" w:hAnsi="宋体" w:cs="宋体"/>
                <w:color w:val="auto"/>
                <w:kern w:val="0"/>
                <w:szCs w:val="21"/>
              </w:rPr>
              <w:t>y</w:t>
            </w:r>
          </w:p>
          <w:p w14:paraId="3A44C4EB">
            <w:pPr>
              <w:widowControl/>
              <w:adjustRightInd w:val="0"/>
              <w:snapToGrid w:val="0"/>
              <w:spacing w:line="500" w:lineRule="exact"/>
              <w:ind w:firstLine="420" w:firstLineChars="200"/>
              <w:rPr>
                <w:rFonts w:ascii="宋体" w:hAnsi="宋体" w:cs="宋体"/>
                <w:color w:val="auto"/>
                <w:kern w:val="0"/>
                <w:szCs w:val="21"/>
              </w:rPr>
            </w:pPr>
            <w:r>
              <w:rPr>
                <w:rFonts w:hint="eastAsia" w:ascii="微软雅黑" w:hAnsi="微软雅黑" w:eastAsia="微软雅黑" w:cs="微软雅黑"/>
                <w:color w:val="auto"/>
                <w:kern w:val="0"/>
                <w:szCs w:val="21"/>
              </w:rPr>
              <w:t>④</w:t>
            </w:r>
            <w:r>
              <w:rPr>
                <w:rFonts w:hint="eastAsia" w:ascii="宋体" w:hAnsi="宋体" w:cs="宋体"/>
                <w:color w:val="auto"/>
                <w:kern w:val="0"/>
                <w:szCs w:val="21"/>
              </w:rPr>
              <w:t>通行接口：USB，TTL232</w:t>
            </w:r>
          </w:p>
          <w:p w14:paraId="7B1625ED">
            <w:pPr>
              <w:widowControl/>
              <w:adjustRightInd w:val="0"/>
              <w:snapToGrid w:val="0"/>
              <w:spacing w:line="500" w:lineRule="exact"/>
              <w:ind w:firstLine="210" w:firstLineChars="100"/>
              <w:rPr>
                <w:rFonts w:ascii="宋体" w:hAnsi="宋体" w:cs="宋体"/>
                <w:color w:val="auto"/>
                <w:kern w:val="0"/>
                <w:szCs w:val="21"/>
              </w:rPr>
            </w:pPr>
            <w:r>
              <w:rPr>
                <w:rFonts w:hint="eastAsia" w:ascii="宋体" w:hAnsi="宋体" w:cs="宋体"/>
                <w:color w:val="auto"/>
                <w:kern w:val="0"/>
                <w:szCs w:val="21"/>
              </w:rPr>
              <w:t>（3）广角监控模块</w:t>
            </w:r>
          </w:p>
          <w:p w14:paraId="4847F6CB">
            <w:pPr>
              <w:widowControl/>
              <w:adjustRightInd w:val="0"/>
              <w:snapToGrid w:val="0"/>
              <w:spacing w:line="500" w:lineRule="exact"/>
              <w:ind w:firstLine="420" w:firstLineChars="200"/>
              <w:rPr>
                <w:rFonts w:ascii="宋体" w:hAnsi="宋体" w:cs="宋体"/>
                <w:color w:val="auto"/>
                <w:kern w:val="0"/>
                <w:szCs w:val="21"/>
              </w:rPr>
            </w:pPr>
            <w:r>
              <w:rPr>
                <w:rFonts w:hint="eastAsia" w:ascii="微软雅黑" w:hAnsi="微软雅黑" w:eastAsia="微软雅黑" w:cs="微软雅黑"/>
                <w:color w:val="auto"/>
                <w:kern w:val="0"/>
                <w:szCs w:val="21"/>
              </w:rPr>
              <w:t>①</w:t>
            </w:r>
            <w:r>
              <w:rPr>
                <w:rFonts w:hint="eastAsia" w:ascii="宋体" w:hAnsi="宋体" w:cs="宋体"/>
                <w:color w:val="auto"/>
                <w:kern w:val="0"/>
                <w:szCs w:val="21"/>
              </w:rPr>
              <w:t>不低于1/2.5</w:t>
            </w:r>
            <w:r>
              <w:rPr>
                <w:rFonts w:hint="eastAsia" w:ascii="宋体" w:hAnsi="宋体" w:cs="宋体"/>
                <w:color w:val="auto"/>
                <w:kern w:val="0"/>
                <w:szCs w:val="21"/>
                <w:lang w:val="en-US" w:eastAsia="zh-CN"/>
              </w:rPr>
              <w:t>英寸</w:t>
            </w:r>
            <w:r>
              <w:rPr>
                <w:rFonts w:hint="eastAsia" w:ascii="宋体" w:hAnsi="宋体" w:cs="宋体"/>
                <w:color w:val="auto"/>
                <w:kern w:val="0"/>
                <w:szCs w:val="21"/>
              </w:rPr>
              <w:t>500万彩色摄像机；</w:t>
            </w:r>
          </w:p>
          <w:p w14:paraId="3B484EA5">
            <w:pPr>
              <w:widowControl/>
              <w:adjustRightInd w:val="0"/>
              <w:snapToGrid w:val="0"/>
              <w:spacing w:line="500" w:lineRule="exact"/>
              <w:ind w:firstLine="420" w:firstLineChars="200"/>
              <w:rPr>
                <w:rFonts w:ascii="宋体" w:hAnsi="宋体" w:cs="宋体"/>
                <w:color w:val="auto"/>
                <w:kern w:val="0"/>
                <w:szCs w:val="21"/>
              </w:rPr>
            </w:pPr>
            <w:r>
              <w:rPr>
                <w:rFonts w:hint="eastAsia" w:ascii="微软雅黑" w:hAnsi="微软雅黑" w:eastAsia="微软雅黑" w:cs="微软雅黑"/>
                <w:color w:val="auto"/>
                <w:kern w:val="0"/>
                <w:szCs w:val="21"/>
              </w:rPr>
              <w:t>②</w:t>
            </w:r>
            <w:r>
              <w:rPr>
                <w:rFonts w:hint="eastAsia" w:ascii="宋体" w:hAnsi="宋体" w:cs="宋体"/>
                <w:color w:val="auto"/>
                <w:kern w:val="0"/>
                <w:szCs w:val="21"/>
              </w:rPr>
              <w:t>1080P全高清像素，固定30帧，无拖影；</w:t>
            </w:r>
          </w:p>
          <w:p w14:paraId="170EB157">
            <w:pPr>
              <w:widowControl/>
              <w:adjustRightInd w:val="0"/>
              <w:snapToGrid w:val="0"/>
              <w:spacing w:line="500" w:lineRule="exact"/>
              <w:ind w:firstLine="420" w:firstLineChars="200"/>
              <w:rPr>
                <w:rFonts w:ascii="宋体" w:hAnsi="宋体" w:cs="宋体"/>
                <w:color w:val="auto"/>
                <w:kern w:val="0"/>
                <w:szCs w:val="21"/>
              </w:rPr>
            </w:pPr>
            <w:r>
              <w:rPr>
                <w:rFonts w:hint="eastAsia" w:ascii="微软雅黑" w:hAnsi="微软雅黑" w:eastAsia="微软雅黑" w:cs="微软雅黑"/>
                <w:color w:val="auto"/>
                <w:kern w:val="0"/>
                <w:szCs w:val="21"/>
              </w:rPr>
              <w:t>③</w:t>
            </w:r>
            <w:r>
              <w:rPr>
                <w:rFonts w:hint="eastAsia" w:ascii="宋体" w:hAnsi="宋体" w:cs="宋体"/>
                <w:color w:val="auto"/>
                <w:kern w:val="0"/>
                <w:szCs w:val="21"/>
              </w:rPr>
              <w:t xml:space="preserve">信噪比：40 </w:t>
            </w:r>
            <w:r>
              <w:rPr>
                <w:rFonts w:hint="eastAsia" w:ascii="宋体" w:hAnsi="宋体" w:cs="宋体"/>
                <w:color w:val="auto"/>
                <w:kern w:val="0"/>
                <w:szCs w:val="21"/>
                <w:lang w:val="en-US" w:eastAsia="zh-CN"/>
              </w:rPr>
              <w:t>d</w:t>
            </w:r>
            <w:r>
              <w:rPr>
                <w:rFonts w:hint="eastAsia" w:ascii="宋体" w:hAnsi="宋体" w:cs="宋体"/>
                <w:color w:val="auto"/>
                <w:kern w:val="0"/>
                <w:szCs w:val="21"/>
              </w:rPr>
              <w:t>B；</w:t>
            </w:r>
          </w:p>
          <w:p w14:paraId="1C61C7F9">
            <w:pPr>
              <w:widowControl/>
              <w:adjustRightInd w:val="0"/>
              <w:snapToGrid w:val="0"/>
              <w:spacing w:line="500" w:lineRule="exact"/>
              <w:ind w:firstLine="420" w:firstLineChars="200"/>
              <w:rPr>
                <w:rFonts w:ascii="宋体" w:hAnsi="宋体" w:cs="宋体"/>
                <w:color w:val="auto"/>
                <w:kern w:val="0"/>
                <w:szCs w:val="21"/>
              </w:rPr>
            </w:pPr>
            <w:r>
              <w:rPr>
                <w:rFonts w:hint="eastAsia" w:ascii="微软雅黑" w:hAnsi="微软雅黑" w:eastAsia="微软雅黑" w:cs="微软雅黑"/>
                <w:color w:val="auto"/>
                <w:kern w:val="0"/>
                <w:szCs w:val="21"/>
              </w:rPr>
              <w:t>④</w:t>
            </w:r>
            <w:r>
              <w:rPr>
                <w:rFonts w:hint="eastAsia" w:ascii="宋体" w:hAnsi="宋体" w:cs="宋体"/>
                <w:color w:val="auto"/>
                <w:kern w:val="0"/>
                <w:szCs w:val="21"/>
              </w:rPr>
              <w:t>动态范围： 100dB；</w:t>
            </w:r>
          </w:p>
          <w:p w14:paraId="51FC6DB6">
            <w:pPr>
              <w:widowControl/>
              <w:adjustRightInd w:val="0"/>
              <w:snapToGrid w:val="0"/>
              <w:spacing w:line="500" w:lineRule="exact"/>
              <w:ind w:firstLine="420" w:firstLineChars="200"/>
              <w:rPr>
                <w:rFonts w:ascii="宋体" w:hAnsi="宋体" w:cs="宋体"/>
                <w:color w:val="auto"/>
                <w:kern w:val="0"/>
                <w:szCs w:val="21"/>
              </w:rPr>
            </w:pPr>
            <w:r>
              <w:rPr>
                <w:rFonts w:hint="eastAsia" w:ascii="微软雅黑" w:hAnsi="微软雅黑" w:eastAsia="微软雅黑" w:cs="微软雅黑"/>
                <w:color w:val="auto"/>
                <w:kern w:val="0"/>
                <w:szCs w:val="21"/>
              </w:rPr>
              <w:t>⑤</w:t>
            </w:r>
            <w:r>
              <w:rPr>
                <w:rFonts w:hint="eastAsia" w:ascii="宋体" w:hAnsi="宋体" w:cs="宋体"/>
                <w:color w:val="auto"/>
                <w:kern w:val="0"/>
                <w:szCs w:val="21"/>
              </w:rPr>
              <w:t>最低照度：1LUTX；</w:t>
            </w:r>
          </w:p>
          <w:p w14:paraId="6CD4DE7A">
            <w:pPr>
              <w:widowControl/>
              <w:adjustRightInd w:val="0"/>
              <w:snapToGrid w:val="0"/>
              <w:spacing w:line="500" w:lineRule="exact"/>
              <w:ind w:firstLine="420" w:firstLineChars="200"/>
              <w:rPr>
                <w:rFonts w:ascii="宋体" w:hAnsi="宋体" w:cs="宋体"/>
                <w:color w:val="auto"/>
                <w:kern w:val="0"/>
                <w:szCs w:val="21"/>
              </w:rPr>
            </w:pPr>
            <w:r>
              <w:rPr>
                <w:rFonts w:hint="eastAsia" w:ascii="微软雅黑" w:hAnsi="微软雅黑" w:eastAsia="微软雅黑" w:cs="微软雅黑"/>
                <w:color w:val="auto"/>
                <w:kern w:val="0"/>
                <w:szCs w:val="21"/>
              </w:rPr>
              <w:t>⑥</w:t>
            </w:r>
            <w:r>
              <w:rPr>
                <w:rFonts w:hint="eastAsia" w:ascii="宋体" w:hAnsi="宋体" w:cs="宋体"/>
                <w:color w:val="auto"/>
                <w:kern w:val="0"/>
                <w:szCs w:val="21"/>
              </w:rPr>
              <w:t>USB；</w:t>
            </w:r>
          </w:p>
          <w:p w14:paraId="70E3AEFB">
            <w:pPr>
              <w:widowControl/>
              <w:adjustRightInd w:val="0"/>
              <w:snapToGrid w:val="0"/>
              <w:spacing w:line="500" w:lineRule="exact"/>
              <w:ind w:firstLine="420" w:firstLineChars="200"/>
              <w:rPr>
                <w:rFonts w:ascii="宋体" w:hAnsi="宋体" w:cs="宋体"/>
                <w:color w:val="auto"/>
                <w:kern w:val="0"/>
                <w:szCs w:val="21"/>
              </w:rPr>
            </w:pPr>
            <w:r>
              <w:rPr>
                <w:rFonts w:hint="eastAsia" w:ascii="微软雅黑" w:hAnsi="微软雅黑" w:eastAsia="微软雅黑" w:cs="微软雅黑"/>
                <w:color w:val="auto"/>
                <w:kern w:val="0"/>
                <w:szCs w:val="21"/>
              </w:rPr>
              <w:t>⑦</w:t>
            </w:r>
            <w:r>
              <w:rPr>
                <w:rFonts w:hint="eastAsia" w:ascii="宋体" w:hAnsi="宋体" w:cs="宋体"/>
                <w:color w:val="auto"/>
                <w:kern w:val="0"/>
                <w:szCs w:val="21"/>
              </w:rPr>
              <w:t>功率：2W。</w:t>
            </w:r>
          </w:p>
          <w:p w14:paraId="0C726620">
            <w:pPr>
              <w:widowControl/>
              <w:adjustRightInd w:val="0"/>
              <w:snapToGrid w:val="0"/>
              <w:spacing w:line="500" w:lineRule="exact"/>
              <w:ind w:firstLine="420" w:firstLineChars="200"/>
              <w:rPr>
                <w:rFonts w:ascii="宋体" w:hAnsi="宋体" w:cs="宋体"/>
                <w:color w:val="auto"/>
                <w:kern w:val="0"/>
                <w:szCs w:val="21"/>
              </w:rPr>
            </w:pPr>
            <w:r>
              <w:rPr>
                <w:rFonts w:hint="eastAsia" w:ascii="宋体" w:hAnsi="宋体" w:cs="宋体"/>
                <w:color w:val="auto"/>
                <w:kern w:val="0"/>
                <w:szCs w:val="21"/>
                <w:lang w:val="en-US" w:eastAsia="zh-CN"/>
              </w:rPr>
              <w:t>8</w:t>
            </w:r>
            <w:r>
              <w:rPr>
                <w:rFonts w:hint="eastAsia" w:ascii="宋体" w:hAnsi="宋体" w:cs="宋体"/>
                <w:color w:val="auto"/>
                <w:kern w:val="0"/>
                <w:szCs w:val="21"/>
              </w:rPr>
              <w:t>.前门电子锁</w:t>
            </w:r>
          </w:p>
          <w:p w14:paraId="04C29EFA">
            <w:pPr>
              <w:widowControl/>
              <w:adjustRightInd w:val="0"/>
              <w:snapToGrid w:val="0"/>
              <w:spacing w:line="500" w:lineRule="exact"/>
              <w:ind w:firstLine="420" w:firstLineChars="200"/>
              <w:rPr>
                <w:rFonts w:ascii="宋体" w:hAnsi="宋体" w:cs="宋体"/>
                <w:color w:val="auto"/>
                <w:kern w:val="0"/>
                <w:szCs w:val="21"/>
              </w:rPr>
            </w:pP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1）</w:t>
            </w:r>
            <w:r>
              <w:rPr>
                <w:rFonts w:hint="eastAsia" w:ascii="宋体" w:hAnsi="宋体" w:cs="宋体"/>
                <w:color w:val="auto"/>
                <w:kern w:val="0"/>
                <w:szCs w:val="21"/>
              </w:rPr>
              <w:t>工作电压：DC12V2A；</w:t>
            </w:r>
          </w:p>
          <w:p w14:paraId="760D808E">
            <w:pPr>
              <w:widowControl/>
              <w:adjustRightInd w:val="0"/>
              <w:snapToGrid w:val="0"/>
              <w:spacing w:line="500" w:lineRule="exact"/>
              <w:ind w:firstLine="420" w:firstLineChars="200"/>
              <w:rPr>
                <w:rFonts w:ascii="宋体" w:hAnsi="宋体" w:cs="宋体"/>
                <w:color w:val="auto"/>
                <w:kern w:val="0"/>
                <w:szCs w:val="21"/>
              </w:rPr>
            </w:pP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2）</w:t>
            </w:r>
            <w:r>
              <w:rPr>
                <w:rFonts w:hint="eastAsia" w:ascii="宋体" w:hAnsi="宋体" w:cs="宋体"/>
                <w:color w:val="auto"/>
                <w:kern w:val="0"/>
                <w:szCs w:val="21"/>
              </w:rPr>
              <w:t>通电时间：≤3s；</w:t>
            </w:r>
          </w:p>
          <w:p w14:paraId="1C8FC1BB">
            <w:pPr>
              <w:widowControl/>
              <w:adjustRightInd w:val="0"/>
              <w:snapToGrid w:val="0"/>
              <w:spacing w:line="500" w:lineRule="exact"/>
              <w:ind w:firstLine="420" w:firstLineChars="200"/>
              <w:rPr>
                <w:rFonts w:ascii="宋体" w:hAnsi="宋体" w:cs="宋体"/>
                <w:color w:val="auto"/>
                <w:kern w:val="0"/>
                <w:szCs w:val="21"/>
              </w:rPr>
            </w:pP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3）</w:t>
            </w:r>
            <w:r>
              <w:rPr>
                <w:rFonts w:hint="eastAsia" w:ascii="宋体" w:hAnsi="宋体" w:cs="宋体"/>
                <w:color w:val="auto"/>
                <w:kern w:val="0"/>
                <w:szCs w:val="21"/>
              </w:rPr>
              <w:t>工作状态：瞬间通电解锁；</w:t>
            </w:r>
          </w:p>
          <w:p w14:paraId="30E08673">
            <w:pPr>
              <w:widowControl/>
              <w:adjustRightInd w:val="0"/>
              <w:snapToGrid w:val="0"/>
              <w:spacing w:line="500" w:lineRule="exact"/>
              <w:ind w:firstLine="420" w:firstLineChars="200"/>
              <w:rPr>
                <w:rFonts w:ascii="宋体" w:hAnsi="宋体" w:cs="宋体"/>
                <w:color w:val="auto"/>
                <w:kern w:val="0"/>
                <w:szCs w:val="21"/>
              </w:rPr>
            </w:pP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4）</w:t>
            </w:r>
            <w:r>
              <w:rPr>
                <w:rFonts w:hint="eastAsia" w:ascii="宋体" w:hAnsi="宋体" w:cs="宋体"/>
                <w:color w:val="auto"/>
                <w:kern w:val="0"/>
                <w:szCs w:val="21"/>
              </w:rPr>
              <w:t>使用寿命：＞20万次；</w:t>
            </w:r>
          </w:p>
          <w:p w14:paraId="3EE69344">
            <w:pPr>
              <w:widowControl/>
              <w:adjustRightInd w:val="0"/>
              <w:snapToGrid w:val="0"/>
              <w:spacing w:line="500" w:lineRule="exact"/>
              <w:ind w:firstLine="420" w:firstLineChars="200"/>
              <w:rPr>
                <w:rFonts w:ascii="宋体" w:hAnsi="宋体" w:cs="宋体"/>
                <w:color w:val="auto"/>
                <w:kern w:val="0"/>
                <w:szCs w:val="21"/>
              </w:rPr>
            </w:pP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5）</w:t>
            </w:r>
            <w:r>
              <w:rPr>
                <w:rFonts w:hint="eastAsia" w:ascii="宋体" w:hAnsi="宋体" w:cs="宋体"/>
                <w:color w:val="auto"/>
                <w:kern w:val="0"/>
                <w:szCs w:val="21"/>
              </w:rPr>
              <w:t>解锁方式：电控解锁、钥匙解锁、带信号反馈。</w:t>
            </w:r>
          </w:p>
          <w:p w14:paraId="5A0F2394">
            <w:pPr>
              <w:widowControl/>
              <w:adjustRightInd w:val="0"/>
              <w:snapToGrid w:val="0"/>
              <w:spacing w:line="500" w:lineRule="exact"/>
              <w:ind w:firstLine="420" w:firstLineChars="200"/>
              <w:rPr>
                <w:rFonts w:ascii="宋体" w:hAnsi="宋体" w:cs="宋体"/>
                <w:color w:val="auto"/>
                <w:kern w:val="0"/>
                <w:szCs w:val="21"/>
              </w:rPr>
            </w:pPr>
            <w:r>
              <w:rPr>
                <w:rFonts w:hint="eastAsia" w:ascii="宋体" w:hAnsi="宋体" w:cs="宋体"/>
                <w:color w:val="auto"/>
                <w:kern w:val="0"/>
                <w:szCs w:val="21"/>
                <w:lang w:val="en-US" w:eastAsia="zh-CN"/>
              </w:rPr>
              <w:t>9</w:t>
            </w:r>
            <w:r>
              <w:rPr>
                <w:rFonts w:hint="eastAsia" w:ascii="宋体" w:hAnsi="宋体" w:cs="宋体"/>
                <w:color w:val="auto"/>
                <w:kern w:val="0"/>
                <w:szCs w:val="21"/>
              </w:rPr>
              <w:t>.文件回收箱</w:t>
            </w:r>
          </w:p>
          <w:p w14:paraId="7CE1E3A0">
            <w:pPr>
              <w:widowControl/>
              <w:adjustRightInd w:val="0"/>
              <w:snapToGrid w:val="0"/>
              <w:spacing w:line="500" w:lineRule="exact"/>
              <w:ind w:firstLine="420" w:firstLineChars="200"/>
              <w:rPr>
                <w:rFonts w:ascii="宋体" w:hAnsi="宋体" w:cs="宋体"/>
                <w:color w:val="auto"/>
                <w:kern w:val="0"/>
                <w:szCs w:val="21"/>
              </w:rPr>
            </w:pP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1）</w:t>
            </w:r>
            <w:r>
              <w:rPr>
                <w:rFonts w:hint="eastAsia" w:ascii="宋体" w:hAnsi="宋体" w:cs="宋体"/>
                <w:color w:val="auto"/>
                <w:kern w:val="0"/>
                <w:szCs w:val="21"/>
              </w:rPr>
              <w:t>尺寸：不低于380×320×560mm；</w:t>
            </w:r>
          </w:p>
          <w:p w14:paraId="74227995">
            <w:pPr>
              <w:widowControl/>
              <w:adjustRightInd w:val="0"/>
              <w:snapToGrid w:val="0"/>
              <w:spacing w:line="500" w:lineRule="exact"/>
              <w:ind w:firstLine="420" w:firstLineChars="200"/>
              <w:rPr>
                <w:rFonts w:ascii="宋体" w:hAnsi="宋体" w:cs="宋体"/>
                <w:color w:val="auto"/>
                <w:kern w:val="0"/>
                <w:szCs w:val="21"/>
              </w:rPr>
            </w:pP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2）</w:t>
            </w:r>
            <w:r>
              <w:rPr>
                <w:rFonts w:hint="eastAsia" w:ascii="宋体" w:hAnsi="宋体" w:cs="宋体"/>
                <w:color w:val="auto"/>
                <w:kern w:val="0"/>
                <w:szCs w:val="21"/>
              </w:rPr>
              <w:t>配套伸缩推拉杆，方便移动；</w:t>
            </w:r>
          </w:p>
          <w:p w14:paraId="2210DD9E">
            <w:pPr>
              <w:widowControl/>
              <w:adjustRightInd w:val="0"/>
              <w:snapToGrid w:val="0"/>
              <w:spacing w:line="500" w:lineRule="exact"/>
              <w:ind w:firstLine="420" w:firstLineChars="200"/>
              <w:rPr>
                <w:rFonts w:ascii="宋体" w:hAnsi="宋体" w:cs="宋体"/>
                <w:color w:val="auto"/>
                <w:kern w:val="0"/>
                <w:szCs w:val="21"/>
              </w:rPr>
            </w:pP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3）</w:t>
            </w:r>
            <w:r>
              <w:rPr>
                <w:rFonts w:hint="eastAsia" w:ascii="宋体" w:hAnsi="宋体" w:cs="宋体"/>
                <w:color w:val="auto"/>
                <w:kern w:val="0"/>
                <w:szCs w:val="21"/>
              </w:rPr>
              <w:t>配套箱满检测，文件袋装满反馈。</w:t>
            </w:r>
          </w:p>
          <w:p w14:paraId="75FB2230">
            <w:pPr>
              <w:widowControl/>
              <w:adjustRightInd w:val="0"/>
              <w:snapToGrid w:val="0"/>
              <w:spacing w:line="500" w:lineRule="exact"/>
              <w:ind w:firstLine="420" w:firstLineChars="200"/>
              <w:rPr>
                <w:rFonts w:ascii="宋体" w:hAnsi="宋体" w:cs="宋体"/>
                <w:color w:val="auto"/>
                <w:kern w:val="0"/>
                <w:szCs w:val="21"/>
              </w:rPr>
            </w:pPr>
            <w:r>
              <w:rPr>
                <w:rFonts w:hint="eastAsia" w:ascii="宋体" w:hAnsi="宋体" w:cs="宋体"/>
                <w:color w:val="auto"/>
                <w:kern w:val="0"/>
                <w:szCs w:val="21"/>
                <w:lang w:val="en-US" w:eastAsia="zh-CN"/>
              </w:rPr>
              <w:t>10</w:t>
            </w:r>
            <w:r>
              <w:rPr>
                <w:rFonts w:hint="eastAsia" w:ascii="宋体" w:hAnsi="宋体" w:cs="宋体"/>
                <w:color w:val="auto"/>
                <w:kern w:val="0"/>
                <w:szCs w:val="21"/>
              </w:rPr>
              <w:t>.须提供不少于3年的原厂售后服务；</w:t>
            </w:r>
          </w:p>
          <w:p w14:paraId="23617497">
            <w:pPr>
              <w:widowControl/>
              <w:adjustRightInd w:val="0"/>
              <w:snapToGrid w:val="0"/>
              <w:spacing w:line="500" w:lineRule="exact"/>
              <w:ind w:firstLine="420" w:firstLineChars="200"/>
              <w:rPr>
                <w:rFonts w:ascii="宋体" w:hAnsi="宋体" w:cs="宋体"/>
                <w:color w:val="auto"/>
                <w:kern w:val="0"/>
                <w:szCs w:val="21"/>
              </w:rPr>
            </w:pPr>
            <w:r>
              <w:rPr>
                <w:rFonts w:hint="eastAsia" w:ascii="宋体" w:hAnsi="宋体" w:cs="宋体"/>
                <w:color w:val="auto"/>
                <w:kern w:val="0"/>
                <w:szCs w:val="21"/>
                <w:lang w:val="en-US" w:eastAsia="zh-CN"/>
              </w:rPr>
              <w:t>11</w:t>
            </w:r>
            <w:r>
              <w:rPr>
                <w:rFonts w:hint="eastAsia" w:ascii="宋体" w:hAnsi="宋体" w:cs="宋体"/>
                <w:color w:val="auto"/>
                <w:kern w:val="0"/>
                <w:szCs w:val="21"/>
              </w:rPr>
              <w:t>.需提供设备安装所需的电源线、网线、线管线槽、设备部署调</w:t>
            </w:r>
            <w:r>
              <w:rPr>
                <w:rFonts w:hint="eastAsia" w:ascii="宋体" w:hAnsi="宋体" w:cs="宋体"/>
                <w:color w:val="auto"/>
                <w:kern w:val="0"/>
                <w:szCs w:val="21"/>
                <w:lang w:val="en-US" w:eastAsia="zh-CN"/>
              </w:rPr>
              <w:t>试</w:t>
            </w:r>
            <w:r>
              <w:rPr>
                <w:rFonts w:hint="eastAsia" w:ascii="宋体" w:hAnsi="宋体" w:cs="宋体"/>
                <w:color w:val="auto"/>
                <w:kern w:val="0"/>
                <w:szCs w:val="21"/>
              </w:rPr>
              <w:t>。</w:t>
            </w:r>
          </w:p>
        </w:tc>
        <w:tc>
          <w:tcPr>
            <w:tcW w:w="767" w:type="dxa"/>
            <w:noWrap/>
            <w:vAlign w:val="center"/>
          </w:tcPr>
          <w:p w14:paraId="7B8821D0">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2</w:t>
            </w:r>
          </w:p>
        </w:tc>
        <w:tc>
          <w:tcPr>
            <w:tcW w:w="764" w:type="dxa"/>
            <w:noWrap/>
            <w:vAlign w:val="center"/>
          </w:tcPr>
          <w:p w14:paraId="773EA44C">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台</w:t>
            </w:r>
          </w:p>
        </w:tc>
      </w:tr>
      <w:tr w14:paraId="0EA5A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543" w:type="dxa"/>
            <w:noWrap/>
            <w:vAlign w:val="center"/>
          </w:tcPr>
          <w:p w14:paraId="251121D6">
            <w:pPr>
              <w:widowControl/>
              <w:adjustRightInd w:val="0"/>
              <w:snapToGrid w:val="0"/>
              <w:spacing w:line="500" w:lineRule="exact"/>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rPr>
              <w:t>1</w:t>
            </w:r>
            <w:r>
              <w:rPr>
                <w:rFonts w:hint="eastAsia" w:ascii="宋体" w:hAnsi="宋体" w:cs="宋体"/>
                <w:color w:val="auto"/>
                <w:kern w:val="0"/>
                <w:szCs w:val="21"/>
                <w:lang w:val="en-US" w:eastAsia="zh-CN"/>
              </w:rPr>
              <w:t>1</w:t>
            </w:r>
          </w:p>
        </w:tc>
        <w:tc>
          <w:tcPr>
            <w:tcW w:w="1623" w:type="dxa"/>
            <w:vAlign w:val="center"/>
          </w:tcPr>
          <w:p w14:paraId="31928D97">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一卡通批量发卡系统</w:t>
            </w:r>
          </w:p>
        </w:tc>
        <w:tc>
          <w:tcPr>
            <w:tcW w:w="5761" w:type="dxa"/>
            <w:gridSpan w:val="2"/>
            <w:vAlign w:val="center"/>
          </w:tcPr>
          <w:p w14:paraId="46CBD6C2">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1.支持CPU卡、M1卡的批量打印、发卡；</w:t>
            </w:r>
          </w:p>
          <w:p w14:paraId="517126A9">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2.支持卡务中心的日常发卡、补卡业务，一次性完成写卡、打印操作。</w:t>
            </w:r>
          </w:p>
        </w:tc>
        <w:tc>
          <w:tcPr>
            <w:tcW w:w="767" w:type="dxa"/>
            <w:noWrap/>
            <w:vAlign w:val="center"/>
          </w:tcPr>
          <w:p w14:paraId="51BE9C66">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1</w:t>
            </w:r>
          </w:p>
        </w:tc>
        <w:tc>
          <w:tcPr>
            <w:tcW w:w="764" w:type="dxa"/>
            <w:noWrap/>
            <w:vAlign w:val="center"/>
          </w:tcPr>
          <w:p w14:paraId="753D0606">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套</w:t>
            </w:r>
          </w:p>
        </w:tc>
      </w:tr>
      <w:tr w14:paraId="41D82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3" w:type="dxa"/>
            <w:noWrap/>
            <w:vAlign w:val="center"/>
          </w:tcPr>
          <w:p w14:paraId="5D9835E6">
            <w:pPr>
              <w:widowControl/>
              <w:adjustRightInd w:val="0"/>
              <w:snapToGrid w:val="0"/>
              <w:spacing w:line="500" w:lineRule="exact"/>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p>
        </w:tc>
        <w:tc>
          <w:tcPr>
            <w:tcW w:w="1623" w:type="dxa"/>
            <w:vAlign w:val="center"/>
          </w:tcPr>
          <w:p w14:paraId="1CB5534F">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 xml:space="preserve">IC读卡器 </w:t>
            </w:r>
          </w:p>
        </w:tc>
        <w:tc>
          <w:tcPr>
            <w:tcW w:w="5761" w:type="dxa"/>
            <w:gridSpan w:val="2"/>
            <w:vAlign w:val="center"/>
          </w:tcPr>
          <w:p w14:paraId="633E18E3">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1.支持读写IC卡；</w:t>
            </w:r>
          </w:p>
          <w:p w14:paraId="4E50A3F3">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2.指示灯：LED指示灯，指示电源或通讯状态；</w:t>
            </w:r>
          </w:p>
          <w:p w14:paraId="5411FC79">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3.通讯接口：USB、RS232；</w:t>
            </w:r>
          </w:p>
          <w:p w14:paraId="6ED82C3E">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4.非接触卡：支持ISO14443TypeA/B标准感应IC卡；</w:t>
            </w:r>
          </w:p>
          <w:p w14:paraId="54B28D76">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5.SAM卡座：≥2个；</w:t>
            </w:r>
          </w:p>
          <w:p w14:paraId="0F14CA8D">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6.支持系统：Window7以上操作系统、支持Linux操作系统。</w:t>
            </w:r>
          </w:p>
        </w:tc>
        <w:tc>
          <w:tcPr>
            <w:tcW w:w="767" w:type="dxa"/>
            <w:noWrap/>
            <w:vAlign w:val="center"/>
          </w:tcPr>
          <w:p w14:paraId="1A4FD70C">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8</w:t>
            </w:r>
          </w:p>
        </w:tc>
        <w:tc>
          <w:tcPr>
            <w:tcW w:w="764" w:type="dxa"/>
            <w:noWrap/>
            <w:vAlign w:val="center"/>
          </w:tcPr>
          <w:p w14:paraId="49D6A572">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个</w:t>
            </w:r>
          </w:p>
        </w:tc>
      </w:tr>
      <w:tr w14:paraId="7C5F2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3" w:type="dxa"/>
            <w:noWrap/>
            <w:vAlign w:val="center"/>
          </w:tcPr>
          <w:p w14:paraId="5189729D">
            <w:pPr>
              <w:widowControl/>
              <w:adjustRightInd w:val="0"/>
              <w:snapToGrid w:val="0"/>
              <w:spacing w:line="500" w:lineRule="exact"/>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p>
        </w:tc>
        <w:tc>
          <w:tcPr>
            <w:tcW w:w="1623" w:type="dxa"/>
            <w:vAlign w:val="center"/>
          </w:tcPr>
          <w:p w14:paraId="152916C1">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指纹采集仪</w:t>
            </w:r>
          </w:p>
        </w:tc>
        <w:tc>
          <w:tcPr>
            <w:tcW w:w="5761" w:type="dxa"/>
            <w:gridSpan w:val="2"/>
            <w:vAlign w:val="center"/>
          </w:tcPr>
          <w:p w14:paraId="64C9758C">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1.指纹采集窗口：13.5MM×19,1MM；</w:t>
            </w:r>
          </w:p>
          <w:p w14:paraId="44BB67A1">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2.图像像素：≥256×360 ；</w:t>
            </w:r>
          </w:p>
          <w:p w14:paraId="0345E1BC">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3.传感器类型：半导体（按压式）；</w:t>
            </w:r>
          </w:p>
          <w:p w14:paraId="30F0C483">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4.图像畸变校验：≤2%；</w:t>
            </w:r>
          </w:p>
          <w:p w14:paraId="5A4302D3">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5.指纹图像采集时间：≤0.25S；</w:t>
            </w:r>
          </w:p>
          <w:p w14:paraId="3EB03926">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6.通讯接口：USB2.0；</w:t>
            </w:r>
          </w:p>
          <w:p w14:paraId="2C766CCD">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7.供电电压：直流5.0±0.5（V）。</w:t>
            </w:r>
          </w:p>
        </w:tc>
        <w:tc>
          <w:tcPr>
            <w:tcW w:w="767" w:type="dxa"/>
            <w:noWrap/>
            <w:vAlign w:val="center"/>
          </w:tcPr>
          <w:p w14:paraId="73CD0B54">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1</w:t>
            </w:r>
          </w:p>
        </w:tc>
        <w:tc>
          <w:tcPr>
            <w:tcW w:w="764" w:type="dxa"/>
            <w:noWrap/>
            <w:vAlign w:val="center"/>
          </w:tcPr>
          <w:p w14:paraId="59BF2D2E">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台</w:t>
            </w:r>
          </w:p>
        </w:tc>
      </w:tr>
      <w:tr w14:paraId="46394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3" w:type="dxa"/>
            <w:shd w:val="clear" w:color="auto" w:fill="auto"/>
            <w:noWrap/>
            <w:vAlign w:val="center"/>
          </w:tcPr>
          <w:p w14:paraId="3F1114DA">
            <w:pPr>
              <w:widowControl/>
              <w:adjustRightInd w:val="0"/>
              <w:snapToGrid w:val="0"/>
              <w:spacing w:line="500" w:lineRule="exact"/>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p>
        </w:tc>
        <w:tc>
          <w:tcPr>
            <w:tcW w:w="1623" w:type="dxa"/>
            <w:shd w:val="clear" w:color="auto" w:fill="auto"/>
            <w:vAlign w:val="center"/>
          </w:tcPr>
          <w:p w14:paraId="2C330136">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掌纹采集模块</w:t>
            </w:r>
          </w:p>
        </w:tc>
        <w:tc>
          <w:tcPr>
            <w:tcW w:w="5761" w:type="dxa"/>
            <w:gridSpan w:val="2"/>
            <w:shd w:val="clear" w:color="000000" w:fill="FFFFFF"/>
            <w:vAlign w:val="center"/>
          </w:tcPr>
          <w:p w14:paraId="71CABF2D">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1.需支持掌静脉数据的采集，并存储</w:t>
            </w:r>
            <w:r>
              <w:rPr>
                <w:rFonts w:hint="eastAsia" w:ascii="宋体" w:hAnsi="宋体" w:cs="宋体"/>
                <w:color w:val="auto"/>
                <w:kern w:val="0"/>
                <w:szCs w:val="21"/>
                <w:lang w:val="en-US" w:eastAsia="zh-CN"/>
              </w:rPr>
              <w:t>的</w:t>
            </w:r>
            <w:r>
              <w:rPr>
                <w:rFonts w:hint="eastAsia" w:ascii="宋体" w:hAnsi="宋体" w:cs="宋体"/>
                <w:color w:val="auto"/>
                <w:kern w:val="0"/>
                <w:szCs w:val="21"/>
              </w:rPr>
              <w:t>是掌静脉数据库。</w:t>
            </w:r>
          </w:p>
          <w:p w14:paraId="20616922">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2.操作系统：Android 7.1以上。</w:t>
            </w:r>
          </w:p>
          <w:p w14:paraId="13E8B920">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3.CPU：不低于四核、主频≥1.8GHz。</w:t>
            </w:r>
          </w:p>
          <w:p w14:paraId="7C266C41">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4.内存：≥2GB。</w:t>
            </w:r>
          </w:p>
          <w:p w14:paraId="48093B38">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5.主屏/操作屏：≥5英寸，LED背光。</w:t>
            </w:r>
          </w:p>
          <w:p w14:paraId="24AECBDF">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6.按键：≥19键防水防尘机械式键盘。</w:t>
            </w:r>
          </w:p>
          <w:p w14:paraId="737F600E">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7.副屏/客户屏：7英寸，LED背光，可选配电容触摸屏，支持多点触控。</w:t>
            </w:r>
          </w:p>
          <w:p w14:paraId="760BD13A">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8.以太网：≥1×RJ45，支持TCP/IP标准有线网络通讯，10M/100M自适应。</w:t>
            </w:r>
          </w:p>
          <w:p w14:paraId="0F7B7048">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9.Wi-Fi：支持IEEE 802.11b/g/n。</w:t>
            </w:r>
          </w:p>
          <w:p w14:paraId="3F5EE2A0">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10.电源适配器：≥12VDC电源适配器。</w:t>
            </w:r>
          </w:p>
          <w:p w14:paraId="476BE9FF">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11.扬声器：功率≥3W，支持语音播报。</w:t>
            </w:r>
          </w:p>
          <w:p w14:paraId="6E4BA1CB">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12.卡槽：SIM卡槽×1。</w:t>
            </w:r>
          </w:p>
          <w:p w14:paraId="1FE0FD0C">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13.USB2.0接口：≥2个标准Type-A USB接口（含1个USB调试口）。</w:t>
            </w:r>
          </w:p>
          <w:p w14:paraId="3AA35909">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14.以太网接口(RJ45)：1个(10M/100M自适应)。</w:t>
            </w:r>
          </w:p>
          <w:p w14:paraId="3582C4B0">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15.副屏/客户屏触摸屏：电容触摸屏，支持多点触控。</w:t>
            </w:r>
          </w:p>
          <w:p w14:paraId="66F0E25E">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16.验证方式：掌静脉。</w:t>
            </w:r>
          </w:p>
          <w:p w14:paraId="05B6A486">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17.比对模式：后比（上位机比对验证），1:1 或1:N。</w:t>
            </w:r>
          </w:p>
          <w:p w14:paraId="32A9A7BF">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18.验证速度：后比，1:10000＜1 秒。</w:t>
            </w:r>
          </w:p>
          <w:p w14:paraId="6BD5E9D6">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19.识别距离：正上方15</w:t>
            </w:r>
            <w:r>
              <w:rPr>
                <w:rFonts w:hint="eastAsia" w:ascii="宋体" w:hAnsi="宋体" w:cs="宋体"/>
                <w:color w:val="auto"/>
                <w:kern w:val="0"/>
                <w:szCs w:val="21"/>
                <w:lang w:eastAsia="zh-CN"/>
              </w:rPr>
              <w:t>—</w:t>
            </w:r>
            <w:r>
              <w:rPr>
                <w:rFonts w:hint="eastAsia" w:ascii="宋体" w:hAnsi="宋体" w:cs="宋体"/>
                <w:color w:val="auto"/>
                <w:kern w:val="0"/>
                <w:szCs w:val="21"/>
              </w:rPr>
              <w:t>30cm。</w:t>
            </w:r>
          </w:p>
          <w:p w14:paraId="33F662FA">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20.适应角度：水平面旋转≥360°，水平面角旋转≥±10°。</w:t>
            </w:r>
          </w:p>
          <w:p w14:paraId="35DF63BB">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21.验证精度：拒真率FRR 不大于0.1%，认假率FAR 不大于0.0001%。</w:t>
            </w:r>
          </w:p>
        </w:tc>
        <w:tc>
          <w:tcPr>
            <w:tcW w:w="767" w:type="dxa"/>
            <w:noWrap/>
            <w:vAlign w:val="center"/>
          </w:tcPr>
          <w:p w14:paraId="26A512BA">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2</w:t>
            </w:r>
          </w:p>
        </w:tc>
        <w:tc>
          <w:tcPr>
            <w:tcW w:w="764" w:type="dxa"/>
            <w:noWrap/>
            <w:vAlign w:val="center"/>
          </w:tcPr>
          <w:p w14:paraId="0EEADE3D">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台</w:t>
            </w:r>
          </w:p>
        </w:tc>
      </w:tr>
      <w:tr w14:paraId="4F428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3" w:type="dxa"/>
            <w:shd w:val="clear" w:color="auto" w:fill="auto"/>
            <w:noWrap/>
            <w:vAlign w:val="center"/>
          </w:tcPr>
          <w:p w14:paraId="7F68B3F3">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p>
        </w:tc>
        <w:tc>
          <w:tcPr>
            <w:tcW w:w="1623" w:type="dxa"/>
            <w:shd w:val="clear" w:color="auto" w:fill="auto"/>
            <w:vAlign w:val="center"/>
          </w:tcPr>
          <w:p w14:paraId="3F1F3994">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校园卡</w:t>
            </w:r>
          </w:p>
        </w:tc>
        <w:tc>
          <w:tcPr>
            <w:tcW w:w="5761" w:type="dxa"/>
            <w:gridSpan w:val="2"/>
            <w:shd w:val="clear" w:color="000000" w:fill="FFFFFF"/>
            <w:vAlign w:val="center"/>
          </w:tcPr>
          <w:p w14:paraId="3633FCE7">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1.提供的卡片需按学校卡面样式印刷完成。</w:t>
            </w:r>
          </w:p>
          <w:p w14:paraId="43D6CD98">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2.支持卡面定制化。</w:t>
            </w:r>
          </w:p>
          <w:p w14:paraId="3D402146">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3.需提供CPU校园卡。</w:t>
            </w:r>
          </w:p>
          <w:p w14:paraId="75D572B4">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4.通信协议：ISO 14443 TYPE A。</w:t>
            </w:r>
          </w:p>
          <w:p w14:paraId="09E4D8B2">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5.兼容性：兼容FM11RF08、M1非接触卡芯片。</w:t>
            </w:r>
          </w:p>
          <w:p w14:paraId="149E85B2">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6.MCU指令兼容性：兼容8051。</w:t>
            </w:r>
          </w:p>
          <w:p w14:paraId="649DF106">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7.数据传输速率：106Kbps。</w:t>
            </w:r>
          </w:p>
          <w:p w14:paraId="3F6EF955">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8.协处理器：Triple-DES；</w:t>
            </w:r>
          </w:p>
          <w:p w14:paraId="1B908472">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9.程序储存器：32K x 8bit ROM；</w:t>
            </w:r>
          </w:p>
          <w:p w14:paraId="076FF154">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10.数据储存器：8K x 8bit EEPROM；</w:t>
            </w:r>
          </w:p>
          <w:p w14:paraId="5E5EDF9A">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11.iRAM：256 x 8bit；</w:t>
            </w:r>
          </w:p>
          <w:p w14:paraId="0EBCBB4C">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12.xRAM：384 x 8bit；</w:t>
            </w:r>
          </w:p>
          <w:p w14:paraId="4E3583BD">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13.EEPROM擦写次数：≥10万次；</w:t>
            </w:r>
          </w:p>
          <w:p w14:paraId="243CBBD6">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14.EEPROM数据储存时间：≥10年；</w:t>
            </w:r>
          </w:p>
          <w:p w14:paraId="50C7ED18">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15.卡片识别时间：≤3ms(包括复位应答和防冲突)；</w:t>
            </w:r>
          </w:p>
          <w:p w14:paraId="289BB7BF">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16.EEPROM擦写时间：≤2.4ms；</w:t>
            </w:r>
          </w:p>
          <w:p w14:paraId="1C702BBB">
            <w:pPr>
              <w:widowControl/>
              <w:adjustRightInd w:val="0"/>
              <w:snapToGrid w:val="0"/>
              <w:spacing w:line="5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17.典型交易过程：＜350ms。</w:t>
            </w:r>
          </w:p>
          <w:p w14:paraId="5EF2ABC3">
            <w:pPr>
              <w:pStyle w:val="2"/>
              <w:ind w:firstLine="210" w:firstLineChars="100"/>
              <w:rPr>
                <w:rFonts w:hint="default" w:eastAsia="宋体"/>
                <w:color w:val="auto"/>
                <w:lang w:val="en-US" w:eastAsia="zh-CN"/>
              </w:rPr>
            </w:pPr>
            <w:r>
              <w:rPr>
                <w:rFonts w:hint="eastAsia" w:ascii="宋体" w:hAnsi="宋体" w:eastAsia="宋体" w:cs="宋体"/>
                <w:color w:val="auto"/>
                <w:kern w:val="0"/>
                <w:szCs w:val="21"/>
                <w:lang w:val="en-US" w:eastAsia="zh-CN"/>
              </w:rPr>
              <w:t>▲</w:t>
            </w:r>
            <w:r>
              <w:rPr>
                <w:rFonts w:hint="eastAsia" w:ascii="宋体" w:hAnsi="宋体" w:cs="宋体"/>
                <w:color w:val="auto"/>
                <w:kern w:val="0"/>
                <w:szCs w:val="21"/>
                <w:lang w:val="en-US" w:eastAsia="zh-CN"/>
              </w:rPr>
              <w:t>18.后期若采购人需采购校园卡，供应商必须承诺校园卡单价本次成交金额至少优惠10%，且满足本次上述1-17项参数要求。</w:t>
            </w:r>
          </w:p>
        </w:tc>
        <w:tc>
          <w:tcPr>
            <w:tcW w:w="767" w:type="dxa"/>
            <w:noWrap/>
            <w:vAlign w:val="center"/>
          </w:tcPr>
          <w:p w14:paraId="4A482DC3">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2000</w:t>
            </w:r>
          </w:p>
        </w:tc>
        <w:tc>
          <w:tcPr>
            <w:tcW w:w="764" w:type="dxa"/>
            <w:noWrap/>
            <w:vAlign w:val="center"/>
          </w:tcPr>
          <w:p w14:paraId="5DD00C84">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张</w:t>
            </w:r>
          </w:p>
        </w:tc>
      </w:tr>
      <w:tr w14:paraId="0A1B1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8" w:type="dxa"/>
            <w:gridSpan w:val="6"/>
            <w:noWrap/>
            <w:vAlign w:val="center"/>
          </w:tcPr>
          <w:p w14:paraId="6F329892">
            <w:pPr>
              <w:widowControl/>
              <w:adjustRightInd w:val="0"/>
              <w:snapToGrid w:val="0"/>
              <w:spacing w:line="500" w:lineRule="exact"/>
              <w:jc w:val="left"/>
              <w:rPr>
                <w:rFonts w:ascii="宋体" w:hAnsi="宋体" w:cs="宋体"/>
                <w:color w:val="auto"/>
                <w:kern w:val="0"/>
                <w:szCs w:val="21"/>
              </w:rPr>
            </w:pPr>
            <w:r>
              <w:rPr>
                <w:rFonts w:hint="eastAsia" w:ascii="宋体" w:hAnsi="宋体" w:cs="宋体"/>
                <w:color w:val="auto"/>
                <w:kern w:val="0"/>
                <w:szCs w:val="21"/>
              </w:rPr>
              <w:t>三、消费系统及硬件</w:t>
            </w:r>
          </w:p>
        </w:tc>
      </w:tr>
      <w:tr w14:paraId="4822D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3" w:type="dxa"/>
            <w:shd w:val="clear" w:color="auto" w:fill="auto"/>
            <w:noWrap/>
            <w:vAlign w:val="center"/>
          </w:tcPr>
          <w:p w14:paraId="6929801A">
            <w:pPr>
              <w:widowControl/>
              <w:adjustRightInd w:val="0"/>
              <w:snapToGrid w:val="0"/>
              <w:spacing w:line="500" w:lineRule="exact"/>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p>
        </w:tc>
        <w:tc>
          <w:tcPr>
            <w:tcW w:w="1623" w:type="dxa"/>
            <w:shd w:val="clear" w:color="auto" w:fill="auto"/>
            <w:vAlign w:val="center"/>
          </w:tcPr>
          <w:p w14:paraId="724040BE">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POS软网关</w:t>
            </w:r>
          </w:p>
        </w:tc>
        <w:tc>
          <w:tcPr>
            <w:tcW w:w="5761" w:type="dxa"/>
            <w:gridSpan w:val="2"/>
            <w:shd w:val="clear" w:color="auto" w:fill="auto"/>
            <w:vAlign w:val="center"/>
          </w:tcPr>
          <w:p w14:paraId="5AEB4F9B">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POS软网关系统需负责对收款机进行管控，作为收款机连接后台的服务系统，需具有以下功能：</w:t>
            </w:r>
          </w:p>
          <w:p w14:paraId="59739BCF">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1.需提供POS身份验证、交易数据加密认证、校验、传输等功能；</w:t>
            </w:r>
          </w:p>
          <w:p w14:paraId="0E8F7159">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2.支持查询二维码扫码、IC卡刷卡识别的消费流水；</w:t>
            </w:r>
          </w:p>
          <w:p w14:paraId="55CD7B01">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3.支持计价消费、定额消费、票券核销等多种模式；</w:t>
            </w:r>
          </w:p>
          <w:p w14:paraId="1CB091CC">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4.计价消费支持定义按键金额，自动快速加总；</w:t>
            </w:r>
          </w:p>
          <w:p w14:paraId="0B6D3CDF">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5.定额消费支持根据身份自动确定价格；</w:t>
            </w:r>
          </w:p>
          <w:p w14:paraId="3C72DD23">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6.支持联网实时交易和脱网交易，可管控脱网时长；</w:t>
            </w:r>
          </w:p>
          <w:p w14:paraId="4A2E1183">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7.支持退款、查询交易流水、交易汇总等功能；</w:t>
            </w:r>
          </w:p>
          <w:p w14:paraId="35AD92EF">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8.可设置餐饮时间和卡片应用的范围；</w:t>
            </w:r>
          </w:p>
          <w:p w14:paraId="67D57817">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9.可设置消费机安装地点、消费方式、消费机权限；</w:t>
            </w:r>
          </w:p>
          <w:p w14:paraId="6CD24BC3">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10.可监控消费机状态、在线升级；</w:t>
            </w:r>
          </w:p>
          <w:p w14:paraId="237B3F0C">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 xml:space="preserve">11.能导出当前系统界面或所有终端设备状态情况的Excel表，包括管理单位、终端编号、设备型号、停机报备状态、联网状态、当前版本号、最后在线时间、最后交易时间、IP等； </w:t>
            </w:r>
          </w:p>
          <w:p w14:paraId="2B434E6A">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12.需实现收款机最后三笔在收款机终端上直接退款给持卡人；</w:t>
            </w:r>
          </w:p>
          <w:p w14:paraId="450B51C5">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13.能在后台系统设置支付安全等级(MD5、MD5+白名单)、启停零元支付、控制音量大小、标签管理、启停消费机广告轮播功能。</w:t>
            </w:r>
          </w:p>
          <w:p w14:paraId="5F3F87AE">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14.能创建支付项目，包括对所属业务单位、支付项目名称、启用开关设置、大额交易监控开关设置、身份消费规则设置、支付渠道、结算方案等管理。</w:t>
            </w:r>
          </w:p>
        </w:tc>
        <w:tc>
          <w:tcPr>
            <w:tcW w:w="767" w:type="dxa"/>
            <w:shd w:val="clear" w:color="000000" w:fill="FFFFFF"/>
            <w:vAlign w:val="center"/>
          </w:tcPr>
          <w:p w14:paraId="6F872CC8">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1</w:t>
            </w:r>
          </w:p>
        </w:tc>
        <w:tc>
          <w:tcPr>
            <w:tcW w:w="764" w:type="dxa"/>
            <w:shd w:val="clear" w:color="000000" w:fill="FFFFFF"/>
            <w:vAlign w:val="center"/>
          </w:tcPr>
          <w:p w14:paraId="6BA43339">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套</w:t>
            </w:r>
          </w:p>
        </w:tc>
      </w:tr>
      <w:tr w14:paraId="1136C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3" w:type="dxa"/>
            <w:noWrap/>
            <w:vAlign w:val="center"/>
          </w:tcPr>
          <w:p w14:paraId="63898075">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1</w:t>
            </w:r>
            <w:r>
              <w:rPr>
                <w:rFonts w:hint="eastAsia" w:ascii="宋体" w:hAnsi="宋体" w:cs="宋体"/>
                <w:color w:val="auto"/>
                <w:kern w:val="0"/>
                <w:szCs w:val="21"/>
                <w:lang w:val="en-US" w:eastAsia="zh-CN"/>
              </w:rPr>
              <w:t>7</w:t>
            </w:r>
          </w:p>
        </w:tc>
        <w:tc>
          <w:tcPr>
            <w:tcW w:w="1623" w:type="dxa"/>
            <w:vAlign w:val="center"/>
          </w:tcPr>
          <w:p w14:paraId="562AEB08">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卡码掌POS机（台式）</w:t>
            </w:r>
          </w:p>
        </w:tc>
        <w:tc>
          <w:tcPr>
            <w:tcW w:w="5761" w:type="dxa"/>
            <w:gridSpan w:val="2"/>
            <w:vAlign w:val="center"/>
          </w:tcPr>
          <w:p w14:paraId="603BB738">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一、功能要求</w:t>
            </w:r>
          </w:p>
          <w:p w14:paraId="221B0E5D">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1.就餐的结算与消费，实现定额或人工计价消费。</w:t>
            </w:r>
          </w:p>
          <w:p w14:paraId="00A6AB82">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2.身份折扣：可按不同人员设置不同的折扣率。</w:t>
            </w:r>
          </w:p>
          <w:p w14:paraId="07CDF9D0">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3.集刷卡、扫码、掌静脉模模块于一体，能通过刷卡、刷码、掌静脉的方式完成支付。</w:t>
            </w:r>
          </w:p>
          <w:p w14:paraId="0C62352B">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4.消费机能识别微信、支付宝的原生付款码，消费机扫微信、支付宝原生付款码时，直接通过支付系统渠道扣取微信、支付宝的账户余额，交易数据存储至支付系统平台的数据中心。</w:t>
            </w:r>
          </w:p>
          <w:p w14:paraId="7B2A4516">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5.收款机配套集成的软件系统可查看最后三笔交易的流水，可在验证管理密码后发起退款。</w:t>
            </w:r>
          </w:p>
          <w:p w14:paraId="79301FAE">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6.饭堂POS接入后台所需的网关服务软件，提供POS身份验证、交易数据传输等功能。</w:t>
            </w:r>
          </w:p>
          <w:p w14:paraId="3D9197B6">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二、参数要求</w:t>
            </w:r>
          </w:p>
          <w:p w14:paraId="55A61D2E">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1.操作系统：Android 7.1以上。</w:t>
            </w:r>
          </w:p>
          <w:p w14:paraId="56C08DA3">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2.CPU：不低于四核处理器，主频≥1.8GHz。</w:t>
            </w:r>
          </w:p>
          <w:p w14:paraId="233B4643">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3.内存：≥2GB DDR3。</w:t>
            </w:r>
          </w:p>
          <w:p w14:paraId="1AC8382D">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4.存储器：≥16GB。</w:t>
            </w:r>
          </w:p>
          <w:p w14:paraId="042C8775">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5.主屏/操作屏：≥5英寸，LED背光。</w:t>
            </w:r>
          </w:p>
          <w:p w14:paraId="2E736A65">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6.按键：≥19键防水防尘机械式键盘。</w:t>
            </w:r>
          </w:p>
          <w:p w14:paraId="5C7E9EDA">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7.副屏/客户屏：≥10英寸、分辨率不低于1280*800、LED背光，电容触摸屏，支持多点触控。</w:t>
            </w:r>
          </w:p>
          <w:p w14:paraId="3A64B64A">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8.以太网：≥1×RJ45，支持TCP/IP标准有线网络通讯，10M/100M自适应。</w:t>
            </w:r>
          </w:p>
          <w:p w14:paraId="2E05AB19">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9.Wi-Fi：支持IEEE 802.11b/g/n。</w:t>
            </w:r>
          </w:p>
          <w:p w14:paraId="6CB0EC25">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10.电源适配器：≥12VDC电源适配器。</w:t>
            </w:r>
          </w:p>
          <w:p w14:paraId="6FDC6305">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11.扬声器：大音量喇叭，功率≥2×3W，支持语音播报。</w:t>
            </w:r>
          </w:p>
          <w:p w14:paraId="50F7B494">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12.卡槽：SIM卡槽×1。</w:t>
            </w:r>
          </w:p>
          <w:p w14:paraId="1FB42DF8">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13.USB2.0接口：≥1个标准Type-A USB接口。</w:t>
            </w:r>
          </w:p>
          <w:p w14:paraId="73D2C9F3">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14.以太网接口(RJ45)：1个(10M/100M自适应)。</w:t>
            </w:r>
          </w:p>
          <w:p w14:paraId="569C2FBB">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15.功能配置 非接触式读卡模块（NFC读卡）：13.56MHz高频读卡模块，支持ISO/IEC 14443A、ISO/IEC14443B，FeliCa，Mifare 1K/4K，NFC Forum tag， ISO/IEC 15693/ICODE, NFCIP-1, NFCIP-2协议。</w:t>
            </w:r>
          </w:p>
          <w:p w14:paraId="1424B6D6">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16.二维扫描：集成二维码读卡器于一体，支持扫码支付。</w:t>
            </w:r>
          </w:p>
          <w:p w14:paraId="1FC0C12A">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17.内置电池：不低于7.4V，5200mAh，需采用独立电池仓。</w:t>
            </w:r>
          </w:p>
          <w:p w14:paraId="3AFED5D1">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18.验证方式：掌静脉。</w:t>
            </w:r>
          </w:p>
          <w:p w14:paraId="6031A70A">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19.比对模式：后比（上位机比对验证），1:1 或1:N；</w:t>
            </w:r>
          </w:p>
          <w:p w14:paraId="067F2BDC">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20.验证速度：后比，1:10000＜1 秒。</w:t>
            </w:r>
          </w:p>
          <w:p w14:paraId="0D1483E8">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21.识别距离：≤30cm。</w:t>
            </w:r>
          </w:p>
          <w:p w14:paraId="19131E91">
            <w:pPr>
              <w:widowControl/>
              <w:adjustRightInd w:val="0"/>
              <w:snapToGrid w:val="0"/>
              <w:spacing w:line="5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22.适应角度：水平面旋转≥360°，水平面角旋转≥±10。</w:t>
            </w:r>
          </w:p>
          <w:p w14:paraId="2C98CEEF">
            <w:pPr>
              <w:widowControl/>
              <w:adjustRightInd w:val="0"/>
              <w:snapToGrid w:val="0"/>
              <w:spacing w:line="500" w:lineRule="exact"/>
              <w:ind w:firstLine="420" w:firstLineChars="200"/>
              <w:jc w:val="left"/>
              <w:rPr>
                <w:color w:val="auto"/>
              </w:rPr>
            </w:pPr>
            <w:r>
              <w:rPr>
                <w:rFonts w:hint="eastAsia" w:ascii="宋体" w:hAnsi="宋体" w:eastAsia="宋体" w:cs="宋体"/>
                <w:b w:val="0"/>
                <w:bCs w:val="0"/>
                <w:color w:val="auto"/>
                <w:kern w:val="0"/>
                <w:sz w:val="21"/>
                <w:szCs w:val="21"/>
                <w:vertAlign w:val="baseline"/>
                <w:lang w:val="en-US" w:eastAsia="zh-CN"/>
              </w:rPr>
              <w:t>▲23.响应文件供应商须承诺，后期若采购人需采购卡码掌POS机（台式），采购单价须是比本项目成交单价至少优惠10% ，且满足本项上述1-22点参数要求</w:t>
            </w:r>
          </w:p>
        </w:tc>
        <w:tc>
          <w:tcPr>
            <w:tcW w:w="767" w:type="dxa"/>
            <w:noWrap/>
            <w:vAlign w:val="center"/>
          </w:tcPr>
          <w:p w14:paraId="21B5B6DA">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20</w:t>
            </w:r>
          </w:p>
        </w:tc>
        <w:tc>
          <w:tcPr>
            <w:tcW w:w="764" w:type="dxa"/>
            <w:noWrap/>
            <w:vAlign w:val="center"/>
          </w:tcPr>
          <w:p w14:paraId="72802910">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台</w:t>
            </w:r>
          </w:p>
        </w:tc>
      </w:tr>
      <w:tr w14:paraId="076F1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3" w:type="dxa"/>
            <w:shd w:val="clear" w:color="auto" w:fill="auto"/>
            <w:noWrap/>
            <w:vAlign w:val="center"/>
          </w:tcPr>
          <w:p w14:paraId="546D6758">
            <w:pPr>
              <w:widowControl/>
              <w:adjustRightInd w:val="0"/>
              <w:snapToGrid w:val="0"/>
              <w:spacing w:line="500" w:lineRule="exact"/>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rPr>
              <w:t>1</w:t>
            </w:r>
            <w:r>
              <w:rPr>
                <w:rFonts w:hint="eastAsia" w:ascii="宋体" w:hAnsi="宋体" w:cs="宋体"/>
                <w:color w:val="auto"/>
                <w:kern w:val="0"/>
                <w:szCs w:val="21"/>
                <w:lang w:val="en-US" w:eastAsia="zh-CN"/>
              </w:rPr>
              <w:t>8</w:t>
            </w:r>
          </w:p>
        </w:tc>
        <w:tc>
          <w:tcPr>
            <w:tcW w:w="1623" w:type="dxa"/>
            <w:shd w:val="clear" w:color="000000" w:fill="FFFFFF"/>
            <w:vAlign w:val="center"/>
          </w:tcPr>
          <w:p w14:paraId="0ABDECBF">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卡码掌POS机（挂式）</w:t>
            </w:r>
          </w:p>
        </w:tc>
        <w:tc>
          <w:tcPr>
            <w:tcW w:w="5761" w:type="dxa"/>
            <w:gridSpan w:val="2"/>
            <w:vAlign w:val="center"/>
          </w:tcPr>
          <w:p w14:paraId="622E3DEC">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一、功能要求</w:t>
            </w:r>
          </w:p>
          <w:p w14:paraId="0D5B88DC">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1.就餐的结算与消费，实现定额或人工计价消费。</w:t>
            </w:r>
          </w:p>
          <w:p w14:paraId="1D44BB19">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2.身份折扣：可按不同人员设置不同的折扣率。</w:t>
            </w:r>
          </w:p>
          <w:p w14:paraId="1F9BF02C">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3.集刷卡、扫码、掌静脉模块于一体，能通过刷卡、刷码、掌静脉的方式完成支付。</w:t>
            </w:r>
          </w:p>
          <w:p w14:paraId="11561CF8">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4.消费机能识别微信、支付宝的原生付款码，消费机扫微信、支付宝原生付款码时，直接通过支付系统渠道扣取微信、支付宝的账户余额，交易数据存储至支付系统平台的数据中心。</w:t>
            </w:r>
          </w:p>
          <w:p w14:paraId="04379F95">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5.收款机配套集成的软件系统可查看最后三笔交易的流水，可在验证管理密码后发起退款；可配置手动选择场次或者自动选择场次；可设置场次，启动核销；可以进入下一轮核销。</w:t>
            </w:r>
          </w:p>
          <w:p w14:paraId="3A6DA164">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6.可以设置操作人员核销票券的方式；可以使用二维码通过终端刷码的方式核销票券；可以对POS网络或者POS终端进行配置，包括 Wi-Fi配置和终端设置，并且可以通过扫描二维码的方式进行配置；可以选择启用和禁用收费POS的外接键盘；可以设置机具的按键音。</w:t>
            </w:r>
          </w:p>
          <w:p w14:paraId="793302C4">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7.饭堂POS接入后台所需的网关服务软件，提供POS身份验证、交易数据传输等功能。</w:t>
            </w:r>
          </w:p>
          <w:p w14:paraId="0892C487">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二、硬件参数要求</w:t>
            </w:r>
          </w:p>
          <w:p w14:paraId="461FCAFC">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1.操作系统：Android 7.1以上。</w:t>
            </w:r>
          </w:p>
          <w:p w14:paraId="1309B1DA">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2.CPU：不低于四核，主频≥1.8GHz。</w:t>
            </w:r>
          </w:p>
          <w:p w14:paraId="4BF709EA">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3.内存：≥2GB DDR3。</w:t>
            </w:r>
          </w:p>
          <w:p w14:paraId="11B006CC">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4.存储器：≥16GB。</w:t>
            </w:r>
          </w:p>
          <w:p w14:paraId="4DD7E45C">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5.主屏：≥5英寸，LED背光，分辨率≥1280*720。</w:t>
            </w:r>
          </w:p>
          <w:p w14:paraId="39437645">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6.按键：≥19键实体防水防尘机械式键盘。</w:t>
            </w:r>
          </w:p>
          <w:p w14:paraId="0062F06F">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7.副屏：≥7英寸，LED背光，分辨率1024*600，支持多点触控。</w:t>
            </w:r>
          </w:p>
          <w:p w14:paraId="6C55BF8E">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8.以太网：1*RJ45，支持TCP/IP标准有线网络通讯，10M/100M自适应。</w:t>
            </w:r>
          </w:p>
          <w:p w14:paraId="15A66BA7">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9.Wi-Fi：支持IEEE 802.11b/g/n。</w:t>
            </w:r>
          </w:p>
          <w:p w14:paraId="1CAB9C42">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10.扬声器：大音量喇叭。</w:t>
            </w:r>
          </w:p>
          <w:p w14:paraId="5A3CF039">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11.卡槽：SIM卡×1。</w:t>
            </w:r>
          </w:p>
          <w:p w14:paraId="3953A755">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12.USB2.0接口：≥2个标准Type-A USB接口。</w:t>
            </w:r>
          </w:p>
          <w:p w14:paraId="458452A9">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13.以太网接口(RJ45)：1个(10M/100M自适应)。</w:t>
            </w:r>
          </w:p>
          <w:p w14:paraId="42BD6DAE">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14.非接触式读卡模块（NFC读卡）：13.56MHz高频读卡模块，支持ISO/IEC 14443A、ISO/IEC14443B，FeliCa，Mifare 1K/4K，NFC Forum tag， ISO/IEC 15693/ICODE, NFCIP-1, NFCIP-2协议。</w:t>
            </w:r>
          </w:p>
          <w:p w14:paraId="5457DF0D">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15.二维扫描：集成二维码读卡器于一体，支持扫码支付。</w:t>
            </w:r>
          </w:p>
          <w:p w14:paraId="1FA32D09">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16.验证方式：掌静脉。</w:t>
            </w:r>
          </w:p>
          <w:p w14:paraId="73C245EC">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17.比对模式：后比（上位机比对验证），1:1 或1:N；</w:t>
            </w:r>
          </w:p>
          <w:p w14:paraId="588BEC3D">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18.验证速度：后比，1:10000＜1 秒。</w:t>
            </w:r>
          </w:p>
          <w:p w14:paraId="65656879">
            <w:pPr>
              <w:widowControl/>
              <w:adjustRightInd w:val="0"/>
              <w:snapToGrid w:val="0"/>
              <w:spacing w:line="5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19.识别距离：≤8cm。</w:t>
            </w:r>
          </w:p>
          <w:p w14:paraId="7B26EE1A">
            <w:pPr>
              <w:widowControl/>
              <w:adjustRightInd w:val="0"/>
              <w:snapToGrid w:val="0"/>
              <w:spacing w:line="500" w:lineRule="exact"/>
              <w:ind w:firstLine="420" w:firstLineChars="200"/>
              <w:jc w:val="left"/>
              <w:rPr>
                <w:color w:val="auto"/>
              </w:rPr>
            </w:pPr>
            <w:r>
              <w:rPr>
                <w:rFonts w:hint="eastAsia" w:ascii="宋体" w:hAnsi="宋体" w:eastAsia="宋体" w:cs="宋体"/>
                <w:b w:val="0"/>
                <w:bCs w:val="0"/>
                <w:color w:val="auto"/>
                <w:kern w:val="0"/>
                <w:sz w:val="21"/>
                <w:szCs w:val="21"/>
                <w:vertAlign w:val="baseline"/>
                <w:lang w:val="en-US" w:eastAsia="zh-CN"/>
              </w:rPr>
              <w:t>▲20.响应文件供应商须承诺，后期若采购人需采购卡码掌POS机（挂式），采购单价须是比本项目成交单价至少优惠10% ，且满足本项上述1-19点参数要求</w:t>
            </w:r>
          </w:p>
        </w:tc>
        <w:tc>
          <w:tcPr>
            <w:tcW w:w="767" w:type="dxa"/>
            <w:noWrap/>
            <w:vAlign w:val="center"/>
          </w:tcPr>
          <w:p w14:paraId="19B1E0C0">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90</w:t>
            </w:r>
          </w:p>
        </w:tc>
        <w:tc>
          <w:tcPr>
            <w:tcW w:w="764" w:type="dxa"/>
            <w:noWrap/>
            <w:vAlign w:val="center"/>
          </w:tcPr>
          <w:p w14:paraId="1F5C859F">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台</w:t>
            </w:r>
          </w:p>
        </w:tc>
      </w:tr>
      <w:tr w14:paraId="13063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3" w:type="dxa"/>
            <w:shd w:val="clear" w:color="auto" w:fill="auto"/>
            <w:noWrap/>
            <w:vAlign w:val="center"/>
          </w:tcPr>
          <w:p w14:paraId="6F1932D7">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lang w:val="en-US" w:eastAsia="zh-CN"/>
              </w:rPr>
              <w:t>19</w:t>
            </w:r>
          </w:p>
        </w:tc>
        <w:tc>
          <w:tcPr>
            <w:tcW w:w="1623" w:type="dxa"/>
            <w:shd w:val="clear" w:color="000000" w:fill="FFFFFF"/>
            <w:vAlign w:val="center"/>
          </w:tcPr>
          <w:p w14:paraId="750E5061">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24口交换机</w:t>
            </w:r>
          </w:p>
        </w:tc>
        <w:tc>
          <w:tcPr>
            <w:tcW w:w="5761" w:type="dxa"/>
            <w:gridSpan w:val="2"/>
            <w:shd w:val="clear" w:color="000000" w:fill="FFFFFF"/>
            <w:vAlign w:val="center"/>
          </w:tcPr>
          <w:p w14:paraId="62FFBE97">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1.包转发率：≥36Mpps。</w:t>
            </w:r>
          </w:p>
          <w:p w14:paraId="090156E6">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2.交换容量：≥48Gbps。</w:t>
            </w:r>
          </w:p>
          <w:p w14:paraId="4CE715F1">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3.固定端口：24个10/100/1000Base-T以太网端口。</w:t>
            </w:r>
          </w:p>
          <w:p w14:paraId="53247F93">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4.MAC地址表：8KMAC。</w:t>
            </w:r>
          </w:p>
        </w:tc>
        <w:tc>
          <w:tcPr>
            <w:tcW w:w="767" w:type="dxa"/>
            <w:shd w:val="clear" w:color="000000" w:fill="FFFFFF"/>
            <w:vAlign w:val="center"/>
          </w:tcPr>
          <w:p w14:paraId="764B9A9A">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6</w:t>
            </w:r>
          </w:p>
        </w:tc>
        <w:tc>
          <w:tcPr>
            <w:tcW w:w="764" w:type="dxa"/>
            <w:shd w:val="clear" w:color="000000" w:fill="FFFFFF"/>
            <w:vAlign w:val="center"/>
          </w:tcPr>
          <w:p w14:paraId="6F39A66B">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台</w:t>
            </w:r>
          </w:p>
        </w:tc>
      </w:tr>
      <w:tr w14:paraId="3EE33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3" w:type="dxa"/>
            <w:shd w:val="clear" w:color="auto" w:fill="auto"/>
            <w:noWrap/>
            <w:vAlign w:val="center"/>
          </w:tcPr>
          <w:p w14:paraId="4F09D839">
            <w:pPr>
              <w:widowControl/>
              <w:adjustRightInd w:val="0"/>
              <w:snapToGrid w:val="0"/>
              <w:spacing w:line="500" w:lineRule="exact"/>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rPr>
              <w:t>2</w:t>
            </w:r>
            <w:r>
              <w:rPr>
                <w:rFonts w:hint="eastAsia" w:ascii="宋体" w:hAnsi="宋体" w:cs="宋体"/>
                <w:color w:val="auto"/>
                <w:kern w:val="0"/>
                <w:szCs w:val="21"/>
                <w:lang w:val="en-US" w:eastAsia="zh-CN"/>
              </w:rPr>
              <w:t>0</w:t>
            </w:r>
          </w:p>
        </w:tc>
        <w:tc>
          <w:tcPr>
            <w:tcW w:w="1623" w:type="dxa"/>
            <w:shd w:val="clear" w:color="000000" w:fill="FFFFFF"/>
            <w:vAlign w:val="center"/>
          </w:tcPr>
          <w:p w14:paraId="74BD0E59">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机柜</w:t>
            </w:r>
          </w:p>
        </w:tc>
        <w:tc>
          <w:tcPr>
            <w:tcW w:w="5761" w:type="dxa"/>
            <w:gridSpan w:val="2"/>
            <w:shd w:val="clear" w:color="000000" w:fill="FFFFFF"/>
            <w:vAlign w:val="center"/>
          </w:tcPr>
          <w:p w14:paraId="0BF3F588">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1.规格：6U机柜。</w:t>
            </w:r>
          </w:p>
          <w:p w14:paraId="050D4E1A">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2.类型：网络机柜。</w:t>
            </w:r>
          </w:p>
          <w:p w14:paraId="45559329">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3.材质：SPCC冷轧钢、脱脂静电喷塑。</w:t>
            </w:r>
          </w:p>
        </w:tc>
        <w:tc>
          <w:tcPr>
            <w:tcW w:w="767" w:type="dxa"/>
            <w:shd w:val="clear" w:color="000000" w:fill="FFFFFF"/>
            <w:vAlign w:val="center"/>
          </w:tcPr>
          <w:p w14:paraId="04E06F39">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3</w:t>
            </w:r>
          </w:p>
        </w:tc>
        <w:tc>
          <w:tcPr>
            <w:tcW w:w="764" w:type="dxa"/>
            <w:shd w:val="clear" w:color="000000" w:fill="FFFFFF"/>
            <w:vAlign w:val="center"/>
          </w:tcPr>
          <w:p w14:paraId="2CDBB276">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台</w:t>
            </w:r>
          </w:p>
        </w:tc>
      </w:tr>
      <w:tr w14:paraId="6CF2A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3" w:type="dxa"/>
            <w:noWrap/>
            <w:vAlign w:val="center"/>
          </w:tcPr>
          <w:p w14:paraId="23E953A8">
            <w:pPr>
              <w:widowControl/>
              <w:adjustRightInd w:val="0"/>
              <w:snapToGrid w:val="0"/>
              <w:spacing w:line="500" w:lineRule="exact"/>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rPr>
              <w:t>2</w:t>
            </w:r>
            <w:r>
              <w:rPr>
                <w:rFonts w:hint="eastAsia" w:ascii="宋体" w:hAnsi="宋体" w:cs="宋体"/>
                <w:color w:val="auto"/>
                <w:kern w:val="0"/>
                <w:szCs w:val="21"/>
                <w:lang w:val="en-US" w:eastAsia="zh-CN"/>
              </w:rPr>
              <w:t>1</w:t>
            </w:r>
          </w:p>
        </w:tc>
        <w:tc>
          <w:tcPr>
            <w:tcW w:w="1623" w:type="dxa"/>
            <w:vAlign w:val="center"/>
          </w:tcPr>
          <w:p w14:paraId="20EBD6DE">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设备安装及线材</w:t>
            </w:r>
          </w:p>
        </w:tc>
        <w:tc>
          <w:tcPr>
            <w:tcW w:w="5761" w:type="dxa"/>
            <w:gridSpan w:val="2"/>
            <w:noWrap/>
            <w:vAlign w:val="center"/>
          </w:tcPr>
          <w:p w14:paraId="551E3232">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负责提供设备安装所需的电源线、网线、线管线槽及设备安装调试。</w:t>
            </w:r>
          </w:p>
        </w:tc>
        <w:tc>
          <w:tcPr>
            <w:tcW w:w="767" w:type="dxa"/>
            <w:noWrap/>
            <w:vAlign w:val="center"/>
          </w:tcPr>
          <w:p w14:paraId="6E904DBA">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1</w:t>
            </w:r>
          </w:p>
        </w:tc>
        <w:tc>
          <w:tcPr>
            <w:tcW w:w="764" w:type="dxa"/>
            <w:noWrap/>
            <w:vAlign w:val="center"/>
          </w:tcPr>
          <w:p w14:paraId="693B1A07">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项</w:t>
            </w:r>
          </w:p>
        </w:tc>
      </w:tr>
      <w:tr w14:paraId="33A9C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8" w:type="dxa"/>
            <w:gridSpan w:val="6"/>
            <w:noWrap/>
            <w:vAlign w:val="center"/>
          </w:tcPr>
          <w:p w14:paraId="3056CF53">
            <w:pPr>
              <w:widowControl/>
              <w:adjustRightInd w:val="0"/>
              <w:snapToGrid w:val="0"/>
              <w:spacing w:line="500" w:lineRule="exact"/>
              <w:jc w:val="left"/>
              <w:rPr>
                <w:rFonts w:ascii="宋体" w:hAnsi="宋体" w:cs="宋体"/>
                <w:color w:val="auto"/>
                <w:kern w:val="0"/>
                <w:szCs w:val="21"/>
              </w:rPr>
            </w:pPr>
            <w:r>
              <w:rPr>
                <w:rFonts w:hint="eastAsia" w:ascii="宋体" w:hAnsi="宋体" w:cs="宋体"/>
                <w:color w:val="auto"/>
                <w:kern w:val="0"/>
                <w:szCs w:val="21"/>
                <w:lang w:val="en-US" w:eastAsia="zh-CN"/>
              </w:rPr>
              <w:t>四、硬件设施</w:t>
            </w:r>
          </w:p>
        </w:tc>
      </w:tr>
      <w:tr w14:paraId="3F55A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3" w:type="dxa"/>
            <w:shd w:val="clear" w:color="auto" w:fill="auto"/>
            <w:noWrap/>
            <w:vAlign w:val="center"/>
          </w:tcPr>
          <w:p w14:paraId="0368CE1C">
            <w:pPr>
              <w:widowControl/>
              <w:adjustRightInd w:val="0"/>
              <w:snapToGrid w:val="0"/>
              <w:spacing w:line="500" w:lineRule="exact"/>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22</w:t>
            </w:r>
          </w:p>
        </w:tc>
        <w:tc>
          <w:tcPr>
            <w:tcW w:w="1623" w:type="dxa"/>
            <w:shd w:val="clear" w:color="auto" w:fill="auto"/>
            <w:vAlign w:val="center"/>
          </w:tcPr>
          <w:p w14:paraId="3D430815">
            <w:pPr>
              <w:widowControl/>
              <w:adjustRightInd w:val="0"/>
              <w:snapToGrid w:val="0"/>
              <w:spacing w:line="500" w:lineRule="exact"/>
              <w:jc w:val="center"/>
              <w:rPr>
                <w:rFonts w:ascii="宋体" w:hAnsi="宋体" w:cs="宋体"/>
                <w:color w:val="auto"/>
                <w:kern w:val="0"/>
                <w:szCs w:val="21"/>
              </w:rPr>
            </w:pPr>
            <w:r>
              <w:rPr>
                <w:rFonts w:hint="eastAsia" w:ascii="仿宋_GB2312" w:hAnsi="仿宋" w:eastAsia="仿宋_GB2312" w:cs="宋体"/>
                <w:color w:val="auto"/>
                <w:kern w:val="0"/>
                <w:szCs w:val="21"/>
              </w:rPr>
              <w:t>存储交换机</w:t>
            </w:r>
          </w:p>
        </w:tc>
        <w:tc>
          <w:tcPr>
            <w:tcW w:w="5761" w:type="dxa"/>
            <w:gridSpan w:val="2"/>
            <w:shd w:val="clear" w:color="auto" w:fill="auto"/>
            <w:vAlign w:val="center"/>
          </w:tcPr>
          <w:p w14:paraId="6E10483B">
            <w:pPr>
              <w:widowControl/>
              <w:adjustRightInd w:val="0"/>
              <w:snapToGrid w:val="0"/>
              <w:spacing w:line="500" w:lineRule="exact"/>
              <w:ind w:firstLine="420" w:firstLineChars="200"/>
              <w:jc w:val="left"/>
              <w:rPr>
                <w:rFonts w:hint="eastAsia" w:ascii="宋体" w:hAnsi="宋体" w:cs="宋体"/>
                <w:color w:val="auto"/>
                <w:kern w:val="0"/>
                <w:szCs w:val="21"/>
              </w:rPr>
            </w:pPr>
            <w:r>
              <w:rPr>
                <w:rFonts w:hint="eastAsia" w:ascii="宋体" w:hAnsi="宋体" w:eastAsia="宋体" w:cs="宋体"/>
                <w:color w:val="auto"/>
                <w:kern w:val="0"/>
                <w:szCs w:val="21"/>
                <w:lang w:val="en-US" w:eastAsia="zh-CN"/>
              </w:rPr>
              <w:t>▲</w:t>
            </w:r>
            <w:r>
              <w:rPr>
                <w:rFonts w:hint="eastAsia" w:ascii="宋体" w:hAnsi="宋体" w:cs="宋体"/>
                <w:color w:val="auto"/>
                <w:kern w:val="0"/>
                <w:szCs w:val="21"/>
              </w:rPr>
              <w:t>1、交换容量≥1.28Tbps，包转发率≥480Mpps；万兆SFP+光口≥12个，千兆电口≥12个，Console口≥1个，Manage口≥1个；支持双交流电源1+1冗余；</w:t>
            </w:r>
          </w:p>
          <w:p w14:paraId="3E0A3338">
            <w:pPr>
              <w:widowControl/>
              <w:adjustRightInd w:val="0"/>
              <w:snapToGrid w:val="0"/>
              <w:spacing w:line="5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2、支持MAC地址≥32K，支持MAC地址自动学习、源MAC地址过滤、接口MAC地址学习个数限制；</w:t>
            </w:r>
          </w:p>
          <w:p w14:paraId="691FC00C">
            <w:pPr>
              <w:widowControl/>
              <w:adjustRightInd w:val="0"/>
              <w:snapToGrid w:val="0"/>
              <w:spacing w:line="5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3、支持STP、RSTP、MSTP防环协议；</w:t>
            </w:r>
          </w:p>
          <w:p w14:paraId="7E5DBBD8">
            <w:pPr>
              <w:widowControl/>
              <w:adjustRightInd w:val="0"/>
              <w:snapToGrid w:val="0"/>
              <w:spacing w:line="5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4、支持DHCP Snooping，可将交换机端口设置为信任端口或非信任端口，非信任端口也可设置白名单响应DHCP报文；</w:t>
            </w:r>
          </w:p>
          <w:p w14:paraId="3393D7AF">
            <w:pPr>
              <w:widowControl/>
              <w:adjustRightInd w:val="0"/>
              <w:snapToGrid w:val="0"/>
              <w:spacing w:line="5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5、支持防网关ARP欺骗，支持端口保护、隔离，支持防止DOS、ARP攻击功能，支持CPU保护功能；</w:t>
            </w:r>
          </w:p>
          <w:p w14:paraId="162B0FDA">
            <w:pPr>
              <w:widowControl/>
              <w:adjustRightInd w:val="0"/>
              <w:snapToGrid w:val="0"/>
              <w:spacing w:line="5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6、支持M-LAG技术，跨设备链路聚合（非堆叠技术实现），要求配对的设备有独立的控制平面；</w:t>
            </w:r>
          </w:p>
          <w:p w14:paraId="2DDB4D10">
            <w:pPr>
              <w:widowControl/>
              <w:adjustRightInd w:val="0"/>
              <w:snapToGrid w:val="0"/>
              <w:spacing w:line="500" w:lineRule="exact"/>
              <w:ind w:firstLine="420" w:firstLineChars="200"/>
              <w:jc w:val="left"/>
              <w:rPr>
                <w:rFonts w:hint="eastAsia" w:ascii="宋体" w:hAnsi="宋体" w:cs="宋体"/>
                <w:color w:val="auto"/>
                <w:kern w:val="0"/>
                <w:szCs w:val="21"/>
              </w:rPr>
            </w:pPr>
            <w:r>
              <w:rPr>
                <w:rFonts w:hint="eastAsia" w:ascii="宋体" w:hAnsi="宋体" w:eastAsia="宋体" w:cs="宋体"/>
                <w:color w:val="auto"/>
                <w:kern w:val="0"/>
                <w:szCs w:val="21"/>
                <w:lang w:val="en-US" w:eastAsia="zh-CN"/>
              </w:rPr>
              <w:t>▲</w:t>
            </w:r>
            <w:r>
              <w:rPr>
                <w:rFonts w:hint="eastAsia" w:ascii="宋体" w:hAnsi="宋体" w:cs="宋体"/>
                <w:color w:val="auto"/>
                <w:kern w:val="0"/>
                <w:szCs w:val="21"/>
              </w:rPr>
              <w:t>7、可通过配置静态IP地址，DHCP Option43方式，DNS域名等方式发现控制器平台（</w:t>
            </w:r>
            <w:r>
              <w:rPr>
                <w:rFonts w:hint="eastAsia" w:ascii="宋体" w:hAnsi="宋体" w:cs="宋体"/>
                <w:color w:val="auto"/>
                <w:kern w:val="0"/>
                <w:szCs w:val="21"/>
                <w:lang w:val="en-US" w:eastAsia="zh-CN"/>
              </w:rPr>
              <w:t>供货时</w:t>
            </w:r>
            <w:r>
              <w:rPr>
                <w:rFonts w:hint="eastAsia" w:ascii="宋体" w:hAnsi="宋体" w:cs="宋体"/>
                <w:color w:val="auto"/>
                <w:kern w:val="0"/>
                <w:szCs w:val="21"/>
              </w:rPr>
              <w:t>提供功能截图并加盖投标人公章证明）；</w:t>
            </w:r>
          </w:p>
          <w:p w14:paraId="63EE58F3">
            <w:pPr>
              <w:widowControl/>
              <w:adjustRightInd w:val="0"/>
              <w:snapToGrid w:val="0"/>
              <w:spacing w:line="5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8、支持通过控制器平台一键替换“按钮”即可完成故障设备替换；</w:t>
            </w:r>
          </w:p>
          <w:p w14:paraId="2EB3BC8A">
            <w:pPr>
              <w:widowControl/>
              <w:adjustRightInd w:val="0"/>
              <w:snapToGrid w:val="0"/>
              <w:spacing w:line="5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9、支持通过控制器平台图形化操作对交换机端口状态的开启与关闭；</w:t>
            </w:r>
          </w:p>
          <w:p w14:paraId="1EA9A017">
            <w:pPr>
              <w:widowControl/>
              <w:adjustRightInd w:val="0"/>
              <w:snapToGrid w:val="0"/>
              <w:spacing w:line="5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10、支持终端类型库，基于指纹自动识别PC、路由器、摄像头设备等；</w:t>
            </w:r>
          </w:p>
          <w:p w14:paraId="3C9AD488">
            <w:pPr>
              <w:widowControl/>
              <w:adjustRightInd w:val="0"/>
              <w:snapToGrid w:val="0"/>
              <w:spacing w:line="5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11、支持基于交换机端口组实现通过检测设备供电特征，有无要电防止仿冒设备接入；</w:t>
            </w:r>
          </w:p>
          <w:p w14:paraId="2AB3D902">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12、支持IEEE 802.3az 标准的 EEE节能技术：当EEE使能时，从而大幅度的减小端口在该阶段的功耗，达到了节能的目的；</w:t>
            </w:r>
          </w:p>
        </w:tc>
        <w:tc>
          <w:tcPr>
            <w:tcW w:w="767" w:type="dxa"/>
            <w:shd w:val="clear" w:color="auto" w:fill="auto"/>
            <w:vAlign w:val="center"/>
          </w:tcPr>
          <w:p w14:paraId="18FE0881">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lang w:val="en-US" w:eastAsia="zh-CN"/>
              </w:rPr>
              <w:t>1</w:t>
            </w:r>
          </w:p>
        </w:tc>
        <w:tc>
          <w:tcPr>
            <w:tcW w:w="764" w:type="dxa"/>
            <w:shd w:val="clear" w:color="auto" w:fill="auto"/>
            <w:vAlign w:val="center"/>
          </w:tcPr>
          <w:p w14:paraId="52A0B05B">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lang w:val="en-US" w:eastAsia="zh-CN"/>
              </w:rPr>
              <w:t>台</w:t>
            </w:r>
          </w:p>
        </w:tc>
      </w:tr>
      <w:tr w14:paraId="46DBB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8" w:type="dxa"/>
            <w:gridSpan w:val="6"/>
            <w:noWrap/>
            <w:vAlign w:val="center"/>
          </w:tcPr>
          <w:p w14:paraId="1E24DE8A">
            <w:pPr>
              <w:widowControl/>
              <w:adjustRightInd w:val="0"/>
              <w:snapToGrid w:val="0"/>
              <w:spacing w:line="50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rPr>
              <w:t>▲五、数字化校园对接</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对接产生的所有费用由成交供应商支付）</w:t>
            </w:r>
          </w:p>
        </w:tc>
      </w:tr>
      <w:tr w14:paraId="7A49E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3" w:type="dxa"/>
            <w:shd w:val="clear" w:color="auto" w:fill="auto"/>
            <w:noWrap/>
            <w:vAlign w:val="center"/>
          </w:tcPr>
          <w:p w14:paraId="38A2E727">
            <w:pPr>
              <w:widowControl/>
              <w:adjustRightInd w:val="0"/>
              <w:snapToGrid w:val="0"/>
              <w:spacing w:line="500" w:lineRule="exact"/>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23</w:t>
            </w:r>
          </w:p>
        </w:tc>
        <w:tc>
          <w:tcPr>
            <w:tcW w:w="1623" w:type="dxa"/>
            <w:shd w:val="clear" w:color="auto" w:fill="auto"/>
            <w:vAlign w:val="center"/>
          </w:tcPr>
          <w:p w14:paraId="7EBF448E">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财务核算系统和收费系统对接</w:t>
            </w:r>
          </w:p>
        </w:tc>
        <w:tc>
          <w:tcPr>
            <w:tcW w:w="5761" w:type="dxa"/>
            <w:gridSpan w:val="2"/>
            <w:shd w:val="clear" w:color="auto" w:fill="auto"/>
            <w:vAlign w:val="center"/>
          </w:tcPr>
          <w:p w14:paraId="661E770B">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1.本项目建设的新一代认证支付系统须与学校现有财务会计核算系统（品牌：友财，型号：</w:t>
            </w:r>
            <w:r>
              <w:rPr>
                <w:rFonts w:hint="eastAsia" w:ascii="宋体" w:hAnsi="宋体" w:cs="宋体"/>
                <w:color w:val="auto"/>
                <w:kern w:val="0"/>
                <w:szCs w:val="21"/>
                <w:lang w:eastAsia="zh-CN"/>
              </w:rPr>
              <w:t>会计核算软件v7.0</w:t>
            </w:r>
            <w:r>
              <w:rPr>
                <w:rFonts w:hint="eastAsia" w:ascii="宋体" w:hAnsi="宋体" w:cs="宋体"/>
                <w:color w:val="auto"/>
                <w:kern w:val="0"/>
                <w:szCs w:val="21"/>
              </w:rPr>
              <w:t>）无缝对接，实现认证支付系统的交易数据共享至财务会计核算系统自动生成凭证，并支持进行审核、复核、记账、月结操作；支持每个凭证流程设置处理岗位，实现岗位不兼容；支持针对收入类、支出类科目每月或每年做结转凭证；所需费用包含在项目预算内，响应时需提供承诺函。</w:t>
            </w:r>
          </w:p>
          <w:p w14:paraId="5EE64DCB">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w:t>
            </w:r>
            <w:r>
              <w:rPr>
                <w:rFonts w:ascii="宋体" w:hAnsi="宋体" w:cs="宋体"/>
                <w:color w:val="auto"/>
                <w:kern w:val="0"/>
                <w:szCs w:val="21"/>
              </w:rPr>
              <w:t>.</w:t>
            </w:r>
            <w:r>
              <w:rPr>
                <w:rFonts w:hint="eastAsia" w:ascii="宋体" w:hAnsi="宋体" w:cs="宋体"/>
                <w:color w:val="auto"/>
                <w:kern w:val="0"/>
                <w:szCs w:val="21"/>
              </w:rPr>
              <w:t>供应商所投的新一代认证支付系统须与学校现有会计核算系统（品牌：友财，型号：</w:t>
            </w:r>
            <w:r>
              <w:rPr>
                <w:rFonts w:hint="eastAsia" w:ascii="宋体" w:hAnsi="宋体" w:cs="宋体"/>
                <w:color w:val="auto"/>
                <w:kern w:val="0"/>
                <w:szCs w:val="21"/>
                <w:lang w:eastAsia="zh-CN"/>
              </w:rPr>
              <w:t>会计核算软件v7.0</w:t>
            </w:r>
            <w:r>
              <w:rPr>
                <w:rFonts w:hint="eastAsia" w:ascii="宋体" w:hAnsi="宋体" w:cs="宋体"/>
                <w:color w:val="auto"/>
                <w:kern w:val="0"/>
                <w:szCs w:val="21"/>
              </w:rPr>
              <w:t>）对接，实现一卡通系统联动会计核算系统根据一卡通充值金额生成往来凭证，无需人工录入，并能在学校现有会计核算系统查询对应的往来凭证。</w:t>
            </w:r>
          </w:p>
          <w:p w14:paraId="6D890E85">
            <w:pPr>
              <w:widowControl/>
              <w:adjustRightInd w:val="0"/>
              <w:snapToGrid w:val="0"/>
              <w:spacing w:line="500" w:lineRule="exact"/>
              <w:ind w:firstLine="420" w:firstLineChars="200"/>
              <w:jc w:val="left"/>
              <w:rPr>
                <w:rFonts w:ascii="宋体" w:hAnsi="宋体" w:cs="宋体"/>
                <w:color w:val="auto"/>
                <w:kern w:val="0"/>
                <w:szCs w:val="21"/>
              </w:rPr>
            </w:pPr>
            <w:r>
              <w:rPr>
                <w:rFonts w:ascii="宋体" w:hAnsi="宋体" w:cs="宋体"/>
                <w:color w:val="auto"/>
                <w:kern w:val="0"/>
                <w:szCs w:val="21"/>
              </w:rPr>
              <w:t>3</w:t>
            </w:r>
            <w:r>
              <w:rPr>
                <w:rFonts w:hint="eastAsia" w:ascii="宋体" w:hAnsi="宋体" w:cs="宋体"/>
                <w:color w:val="auto"/>
                <w:kern w:val="0"/>
                <w:szCs w:val="21"/>
              </w:rPr>
              <w:t>.本项目建设的新一代认证支付系统须与收费系统（品牌：商联</w:t>
            </w:r>
            <w:r>
              <w:rPr>
                <w:rFonts w:hint="eastAsia" w:ascii="宋体" w:hAnsi="宋体" w:cs="宋体"/>
                <w:color w:val="auto"/>
                <w:kern w:val="0"/>
                <w:szCs w:val="21"/>
                <w:lang w:eastAsia="zh-CN"/>
              </w:rPr>
              <w:t>，</w:t>
            </w:r>
            <w:r>
              <w:rPr>
                <w:rFonts w:hint="eastAsia" w:ascii="宋体" w:hAnsi="宋体" w:cs="宋体"/>
                <w:color w:val="auto"/>
                <w:kern w:val="0"/>
                <w:szCs w:val="21"/>
              </w:rPr>
              <w:t>型号：统一收入结算管理服务平台V2.0）无缝对接，实现数据共享。</w:t>
            </w:r>
            <w:r>
              <w:rPr>
                <w:rFonts w:hint="eastAsia"/>
                <w:color w:val="auto"/>
                <w:lang w:val="en-US" w:eastAsia="zh-CN"/>
              </w:rPr>
              <w:t>在与采购人</w:t>
            </w:r>
            <w:r>
              <w:rPr>
                <w:rFonts w:hint="eastAsia" w:ascii="宋体" w:hAnsi="宋体" w:cs="宋体"/>
                <w:color w:val="auto"/>
                <w:kern w:val="0"/>
                <w:szCs w:val="21"/>
              </w:rPr>
              <w:t>财务核算系统和收费系统</w:t>
            </w:r>
            <w:r>
              <w:rPr>
                <w:rFonts w:hint="eastAsia" w:ascii="宋体" w:hAnsi="宋体" w:cs="宋体"/>
                <w:color w:val="auto"/>
                <w:kern w:val="0"/>
                <w:szCs w:val="21"/>
                <w:lang w:val="en-US" w:eastAsia="zh-CN"/>
              </w:rPr>
              <w:t>无缝对接过程中如需原系统开发商对系统数据接口进行二次开发升级的，所需二次开发费用由本项目成交供应商负责，采购人不额外支付费用。</w:t>
            </w:r>
          </w:p>
        </w:tc>
        <w:tc>
          <w:tcPr>
            <w:tcW w:w="767" w:type="dxa"/>
            <w:shd w:val="clear" w:color="auto" w:fill="auto"/>
            <w:vAlign w:val="center"/>
          </w:tcPr>
          <w:p w14:paraId="1EEF544C">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1</w:t>
            </w:r>
          </w:p>
        </w:tc>
        <w:tc>
          <w:tcPr>
            <w:tcW w:w="764" w:type="dxa"/>
            <w:shd w:val="clear" w:color="000000" w:fill="FFFFFF"/>
            <w:vAlign w:val="center"/>
          </w:tcPr>
          <w:p w14:paraId="0845E933">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项</w:t>
            </w:r>
          </w:p>
        </w:tc>
      </w:tr>
      <w:tr w14:paraId="3466A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3" w:type="dxa"/>
            <w:shd w:val="clear" w:color="auto" w:fill="auto"/>
            <w:noWrap/>
            <w:vAlign w:val="center"/>
          </w:tcPr>
          <w:p w14:paraId="74AF568F">
            <w:pPr>
              <w:widowControl/>
              <w:adjustRightInd w:val="0"/>
              <w:snapToGrid w:val="0"/>
              <w:spacing w:line="500" w:lineRule="exact"/>
              <w:jc w:val="center"/>
              <w:rPr>
                <w:rFonts w:hint="default" w:ascii="宋体" w:hAnsi="宋体" w:cs="宋体"/>
                <w:color w:val="auto"/>
                <w:kern w:val="0"/>
                <w:szCs w:val="21"/>
                <w:lang w:val="en-US"/>
              </w:rPr>
            </w:pPr>
            <w:r>
              <w:rPr>
                <w:rFonts w:hint="eastAsia" w:ascii="宋体" w:hAnsi="宋体" w:cs="宋体"/>
                <w:color w:val="auto"/>
                <w:kern w:val="0"/>
                <w:szCs w:val="21"/>
                <w:lang w:val="en-US" w:eastAsia="zh-CN"/>
              </w:rPr>
              <w:t>24</w:t>
            </w:r>
          </w:p>
        </w:tc>
        <w:tc>
          <w:tcPr>
            <w:tcW w:w="1623" w:type="dxa"/>
            <w:shd w:val="clear" w:color="000000" w:fill="FFFFFF"/>
            <w:vAlign w:val="center"/>
          </w:tcPr>
          <w:p w14:paraId="7F9A4C65">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统一认证对接</w:t>
            </w:r>
          </w:p>
        </w:tc>
        <w:tc>
          <w:tcPr>
            <w:tcW w:w="5761" w:type="dxa"/>
            <w:gridSpan w:val="2"/>
            <w:shd w:val="clear" w:color="000000" w:fill="FFFFFF"/>
            <w:vAlign w:val="center"/>
          </w:tcPr>
          <w:p w14:paraId="42A8BCE7">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统一认证对接，通过数字化校园统一认证接口，实现单点登录。</w:t>
            </w:r>
          </w:p>
        </w:tc>
        <w:tc>
          <w:tcPr>
            <w:tcW w:w="767" w:type="dxa"/>
            <w:shd w:val="clear" w:color="000000" w:fill="FFFFFF"/>
            <w:vAlign w:val="center"/>
          </w:tcPr>
          <w:p w14:paraId="023D710B">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1</w:t>
            </w:r>
          </w:p>
        </w:tc>
        <w:tc>
          <w:tcPr>
            <w:tcW w:w="764" w:type="dxa"/>
            <w:shd w:val="clear" w:color="000000" w:fill="FFFFFF"/>
            <w:vAlign w:val="center"/>
          </w:tcPr>
          <w:p w14:paraId="1506F2BB">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项</w:t>
            </w:r>
          </w:p>
        </w:tc>
      </w:tr>
      <w:tr w14:paraId="6A14B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3" w:type="dxa"/>
            <w:shd w:val="clear" w:color="auto" w:fill="auto"/>
            <w:noWrap/>
            <w:vAlign w:val="center"/>
          </w:tcPr>
          <w:p w14:paraId="748B0D6F">
            <w:pPr>
              <w:widowControl/>
              <w:adjustRightInd w:val="0"/>
              <w:snapToGrid w:val="0"/>
              <w:spacing w:line="500" w:lineRule="exact"/>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25</w:t>
            </w:r>
          </w:p>
        </w:tc>
        <w:tc>
          <w:tcPr>
            <w:tcW w:w="1623" w:type="dxa"/>
            <w:shd w:val="clear" w:color="000000" w:fill="FFFFFF"/>
            <w:vAlign w:val="center"/>
          </w:tcPr>
          <w:p w14:paraId="5E25C249">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统一数据对接</w:t>
            </w:r>
          </w:p>
        </w:tc>
        <w:tc>
          <w:tcPr>
            <w:tcW w:w="5761" w:type="dxa"/>
            <w:gridSpan w:val="2"/>
            <w:shd w:val="clear" w:color="000000" w:fill="FFFFFF"/>
            <w:vAlign w:val="center"/>
          </w:tcPr>
          <w:p w14:paraId="7E51D2B4">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数据集成-身份信息、消费数据、部门结构与数字化校园共享数据中心进行交换。</w:t>
            </w:r>
          </w:p>
          <w:p w14:paraId="179A483F">
            <w:pPr>
              <w:widowControl/>
              <w:adjustRightInd w:val="0"/>
              <w:snapToGrid w:val="0"/>
              <w:spacing w:line="500" w:lineRule="exact"/>
              <w:ind w:firstLine="420" w:firstLineChars="200"/>
              <w:jc w:val="left"/>
              <w:rPr>
                <w:rFonts w:ascii="宋体" w:hAnsi="宋体" w:cs="宋体"/>
                <w:b w:val="0"/>
                <w:bCs w:val="0"/>
                <w:color w:val="auto"/>
                <w:kern w:val="0"/>
                <w:szCs w:val="21"/>
              </w:rPr>
            </w:pPr>
            <w:r>
              <w:rPr>
                <w:rFonts w:hint="eastAsia" w:ascii="宋体" w:hAnsi="宋体" w:cs="宋体"/>
                <w:b w:val="0"/>
                <w:bCs w:val="0"/>
                <w:color w:val="auto"/>
                <w:kern w:val="0"/>
                <w:szCs w:val="21"/>
              </w:rPr>
              <w:t>与门禁系统对接：对接后，支持刷卡进出门禁区域；</w:t>
            </w:r>
          </w:p>
          <w:p w14:paraId="6A6EB4A9">
            <w:pPr>
              <w:widowControl/>
              <w:adjustRightInd w:val="0"/>
              <w:snapToGrid w:val="0"/>
              <w:spacing w:line="500" w:lineRule="exact"/>
              <w:jc w:val="left"/>
              <w:rPr>
                <w:rFonts w:hint="default" w:ascii="宋体" w:hAnsi="宋体" w:eastAsia="宋体" w:cs="宋体"/>
                <w:color w:val="auto"/>
                <w:kern w:val="0"/>
                <w:szCs w:val="21"/>
                <w:lang w:val="en-US" w:eastAsia="zh-CN"/>
              </w:rPr>
            </w:pPr>
            <w:r>
              <w:rPr>
                <w:rFonts w:hint="eastAsia" w:ascii="宋体" w:hAnsi="宋体" w:cs="宋体"/>
                <w:b w:val="0"/>
                <w:bCs w:val="0"/>
                <w:color w:val="auto"/>
                <w:kern w:val="0"/>
                <w:szCs w:val="21"/>
              </w:rPr>
              <w:t>与后勤水电系统</w:t>
            </w:r>
            <w:r>
              <w:rPr>
                <w:rFonts w:hint="eastAsia" w:ascii="宋体" w:hAnsi="宋体" w:cs="宋体"/>
                <w:b w:val="0"/>
                <w:bCs w:val="0"/>
                <w:color w:val="auto"/>
                <w:kern w:val="0"/>
                <w:szCs w:val="21"/>
                <w:lang w:eastAsia="zh-CN"/>
              </w:rPr>
              <w:t>（</w:t>
            </w:r>
            <w:r>
              <w:rPr>
                <w:rFonts w:hint="eastAsia" w:ascii="宋体" w:hAnsi="宋体" w:cs="宋体"/>
                <w:b w:val="0"/>
                <w:bCs w:val="0"/>
                <w:color w:val="auto"/>
                <w:kern w:val="0"/>
                <w:szCs w:val="21"/>
                <w:lang w:val="en-US" w:eastAsia="zh-CN"/>
              </w:rPr>
              <w:t>含：水、电及热水系统）</w:t>
            </w:r>
            <w:r>
              <w:rPr>
                <w:rFonts w:hint="eastAsia" w:ascii="宋体" w:hAnsi="宋体" w:cs="宋体"/>
                <w:b w:val="0"/>
                <w:bCs w:val="0"/>
                <w:color w:val="auto"/>
                <w:kern w:val="0"/>
                <w:szCs w:val="21"/>
              </w:rPr>
              <w:t>对接：对接后，支持使用认证支付系统进行水电</w:t>
            </w:r>
            <w:r>
              <w:rPr>
                <w:rFonts w:hint="eastAsia" w:ascii="宋体" w:hAnsi="宋体" w:cs="宋体"/>
                <w:b w:val="0"/>
                <w:bCs w:val="0"/>
                <w:color w:val="auto"/>
                <w:kern w:val="0"/>
                <w:szCs w:val="21"/>
                <w:lang w:val="en-US" w:eastAsia="zh-CN"/>
              </w:rPr>
              <w:t>充</w:t>
            </w:r>
            <w:r>
              <w:rPr>
                <w:rFonts w:hint="eastAsia" w:ascii="宋体" w:hAnsi="宋体" w:cs="宋体"/>
                <w:b w:val="0"/>
                <w:bCs w:val="0"/>
                <w:color w:val="auto"/>
                <w:kern w:val="0"/>
                <w:szCs w:val="21"/>
              </w:rPr>
              <w:t>值；</w:t>
            </w:r>
          </w:p>
        </w:tc>
        <w:tc>
          <w:tcPr>
            <w:tcW w:w="767" w:type="dxa"/>
            <w:shd w:val="clear" w:color="000000" w:fill="FFFFFF"/>
            <w:vAlign w:val="center"/>
          </w:tcPr>
          <w:p w14:paraId="2C957057">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1</w:t>
            </w:r>
          </w:p>
        </w:tc>
        <w:tc>
          <w:tcPr>
            <w:tcW w:w="764" w:type="dxa"/>
            <w:shd w:val="clear" w:color="000000" w:fill="FFFFFF"/>
            <w:vAlign w:val="center"/>
          </w:tcPr>
          <w:p w14:paraId="38F0292B">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项</w:t>
            </w:r>
          </w:p>
        </w:tc>
      </w:tr>
      <w:tr w14:paraId="3269F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3" w:type="dxa"/>
            <w:shd w:val="clear" w:color="auto" w:fill="auto"/>
            <w:noWrap/>
            <w:vAlign w:val="center"/>
          </w:tcPr>
          <w:p w14:paraId="245E5286">
            <w:pPr>
              <w:widowControl/>
              <w:adjustRightInd w:val="0"/>
              <w:snapToGrid w:val="0"/>
              <w:spacing w:line="500" w:lineRule="exact"/>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26</w:t>
            </w:r>
          </w:p>
        </w:tc>
        <w:tc>
          <w:tcPr>
            <w:tcW w:w="1623" w:type="dxa"/>
            <w:shd w:val="clear" w:color="000000" w:fill="FFFFFF"/>
            <w:vAlign w:val="center"/>
          </w:tcPr>
          <w:p w14:paraId="5B470126">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统一门户对接</w:t>
            </w:r>
          </w:p>
        </w:tc>
        <w:tc>
          <w:tcPr>
            <w:tcW w:w="5761" w:type="dxa"/>
            <w:gridSpan w:val="2"/>
            <w:shd w:val="clear" w:color="000000" w:fill="FFFFFF"/>
            <w:vAlign w:val="center"/>
          </w:tcPr>
          <w:p w14:paraId="372A52CC">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对接后，实现一卡通系统与数字化校园的门户集成。</w:t>
            </w:r>
          </w:p>
        </w:tc>
        <w:tc>
          <w:tcPr>
            <w:tcW w:w="767" w:type="dxa"/>
            <w:shd w:val="clear" w:color="000000" w:fill="FFFFFF"/>
            <w:vAlign w:val="center"/>
          </w:tcPr>
          <w:p w14:paraId="543FFA21">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1</w:t>
            </w:r>
          </w:p>
        </w:tc>
        <w:tc>
          <w:tcPr>
            <w:tcW w:w="764" w:type="dxa"/>
            <w:shd w:val="clear" w:color="000000" w:fill="FFFFFF"/>
            <w:vAlign w:val="center"/>
          </w:tcPr>
          <w:p w14:paraId="60E2A79E">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项</w:t>
            </w:r>
          </w:p>
        </w:tc>
      </w:tr>
      <w:tr w14:paraId="5AD9B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3" w:type="dxa"/>
            <w:shd w:val="clear" w:color="auto" w:fill="auto"/>
            <w:noWrap/>
            <w:vAlign w:val="center"/>
          </w:tcPr>
          <w:p w14:paraId="7B2D4FC5">
            <w:pPr>
              <w:widowControl/>
              <w:adjustRightInd w:val="0"/>
              <w:snapToGrid w:val="0"/>
              <w:spacing w:line="500" w:lineRule="exact"/>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27</w:t>
            </w:r>
          </w:p>
        </w:tc>
        <w:tc>
          <w:tcPr>
            <w:tcW w:w="1623" w:type="dxa"/>
            <w:shd w:val="clear" w:color="auto" w:fill="auto"/>
            <w:vAlign w:val="center"/>
          </w:tcPr>
          <w:p w14:paraId="132ACBA9">
            <w:pPr>
              <w:widowControl/>
              <w:adjustRightInd w:val="0"/>
              <w:snapToGrid w:val="0"/>
              <w:spacing w:line="500" w:lineRule="exact"/>
              <w:jc w:val="center"/>
              <w:rPr>
                <w:rFonts w:hint="eastAsia" w:ascii="宋体" w:hAnsi="宋体" w:cs="宋体"/>
                <w:color w:val="auto"/>
                <w:kern w:val="0"/>
                <w:szCs w:val="21"/>
              </w:rPr>
            </w:pPr>
            <w:r>
              <w:rPr>
                <w:rFonts w:hint="eastAsia" w:ascii="宋体" w:hAnsi="宋体" w:cs="宋体"/>
                <w:color w:val="auto"/>
                <w:kern w:val="0"/>
                <w:szCs w:val="21"/>
              </w:rPr>
              <w:t>图书馆系统</w:t>
            </w:r>
          </w:p>
          <w:p w14:paraId="652EA2F6">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对接</w:t>
            </w:r>
          </w:p>
        </w:tc>
        <w:tc>
          <w:tcPr>
            <w:tcW w:w="5761" w:type="dxa"/>
            <w:gridSpan w:val="2"/>
            <w:shd w:val="clear" w:color="auto" w:fill="auto"/>
            <w:vAlign w:val="center"/>
          </w:tcPr>
          <w:p w14:paraId="431C0318">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与图书馆系统对接，实现一卡通借还书。</w:t>
            </w:r>
          </w:p>
        </w:tc>
        <w:tc>
          <w:tcPr>
            <w:tcW w:w="767" w:type="dxa"/>
            <w:shd w:val="clear" w:color="auto" w:fill="auto"/>
            <w:vAlign w:val="center"/>
          </w:tcPr>
          <w:p w14:paraId="65A18746">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1</w:t>
            </w:r>
          </w:p>
        </w:tc>
        <w:tc>
          <w:tcPr>
            <w:tcW w:w="764" w:type="dxa"/>
            <w:shd w:val="clear" w:color="000000" w:fill="FFFFFF"/>
            <w:vAlign w:val="center"/>
          </w:tcPr>
          <w:p w14:paraId="22710991">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项</w:t>
            </w:r>
          </w:p>
        </w:tc>
      </w:tr>
      <w:tr w14:paraId="7C7BE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3" w:type="dxa"/>
            <w:shd w:val="clear" w:color="auto" w:fill="auto"/>
            <w:noWrap/>
            <w:vAlign w:val="center"/>
          </w:tcPr>
          <w:p w14:paraId="04FE4A36">
            <w:pPr>
              <w:widowControl/>
              <w:adjustRightInd w:val="0"/>
              <w:snapToGrid w:val="0"/>
              <w:spacing w:line="500" w:lineRule="exact"/>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28</w:t>
            </w:r>
          </w:p>
        </w:tc>
        <w:tc>
          <w:tcPr>
            <w:tcW w:w="1623" w:type="dxa"/>
            <w:shd w:val="clear" w:color="auto" w:fill="auto"/>
            <w:vAlign w:val="center"/>
          </w:tcPr>
          <w:p w14:paraId="3CD90F36">
            <w:pPr>
              <w:widowControl/>
              <w:adjustRightInd w:val="0"/>
              <w:snapToGrid w:val="0"/>
              <w:spacing w:line="500" w:lineRule="exact"/>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两校区新一代认证支付系统专用物理网络的建设与对接</w:t>
            </w:r>
          </w:p>
        </w:tc>
        <w:tc>
          <w:tcPr>
            <w:tcW w:w="5761" w:type="dxa"/>
            <w:gridSpan w:val="2"/>
            <w:shd w:val="clear" w:color="auto" w:fill="auto"/>
            <w:vAlign w:val="center"/>
          </w:tcPr>
          <w:p w14:paraId="4CCD31EB">
            <w:pPr>
              <w:widowControl/>
              <w:adjustRightInd w:val="0"/>
              <w:snapToGrid w:val="0"/>
              <w:spacing w:line="500" w:lineRule="exact"/>
              <w:ind w:firstLine="420" w:firstLineChars="200"/>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为保障新一代认证支付系统的安全、稳定运行，需要在罗文校区和相思湖校区组建本项目专用的物理网络，不与学校现有的办公网络、监控网络、宿舍网络等任何网络混用（不允许通过划分VLAN的方式复用其它网络的线路）。同时实现两校区新一代认证支付系统的互联互通，需要不低于两芯的单独光纤线路进行两校区互联（不允许通过划分VLAN的方式复用其它网络的线路）。专用物理网络的所有建设费用由供应商承担。</w:t>
            </w:r>
          </w:p>
        </w:tc>
        <w:tc>
          <w:tcPr>
            <w:tcW w:w="767" w:type="dxa"/>
            <w:shd w:val="clear" w:color="auto" w:fill="auto"/>
            <w:vAlign w:val="center"/>
          </w:tcPr>
          <w:p w14:paraId="1BC6B6A7">
            <w:pPr>
              <w:widowControl/>
              <w:adjustRightInd w:val="0"/>
              <w:snapToGrid w:val="0"/>
              <w:spacing w:line="500" w:lineRule="exact"/>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1</w:t>
            </w:r>
          </w:p>
        </w:tc>
        <w:tc>
          <w:tcPr>
            <w:tcW w:w="764" w:type="dxa"/>
            <w:shd w:val="clear" w:color="000000" w:fill="FFFFFF"/>
            <w:vAlign w:val="center"/>
          </w:tcPr>
          <w:p w14:paraId="5488F94D">
            <w:pPr>
              <w:widowControl/>
              <w:adjustRightInd w:val="0"/>
              <w:snapToGrid w:val="0"/>
              <w:spacing w:line="500" w:lineRule="exact"/>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项</w:t>
            </w:r>
          </w:p>
        </w:tc>
      </w:tr>
      <w:tr w14:paraId="08C39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3" w:type="dxa"/>
            <w:shd w:val="clear" w:color="auto" w:fill="auto"/>
            <w:noWrap/>
            <w:vAlign w:val="center"/>
          </w:tcPr>
          <w:p w14:paraId="747C6CBB">
            <w:pPr>
              <w:widowControl/>
              <w:adjustRightInd w:val="0"/>
              <w:snapToGrid w:val="0"/>
              <w:spacing w:line="500" w:lineRule="exact"/>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29</w:t>
            </w:r>
          </w:p>
        </w:tc>
        <w:tc>
          <w:tcPr>
            <w:tcW w:w="1623" w:type="dxa"/>
            <w:shd w:val="clear" w:color="auto" w:fill="auto"/>
            <w:vAlign w:val="center"/>
          </w:tcPr>
          <w:p w14:paraId="03AA484A">
            <w:pPr>
              <w:widowControl/>
              <w:adjustRightInd w:val="0"/>
              <w:snapToGrid w:val="0"/>
              <w:spacing w:line="500" w:lineRule="exact"/>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银行（或者第三方）对接服务</w:t>
            </w:r>
          </w:p>
        </w:tc>
        <w:tc>
          <w:tcPr>
            <w:tcW w:w="5761" w:type="dxa"/>
            <w:gridSpan w:val="2"/>
            <w:shd w:val="clear" w:color="auto" w:fill="auto"/>
            <w:vAlign w:val="center"/>
          </w:tcPr>
          <w:p w14:paraId="1C85D807">
            <w:pPr>
              <w:widowControl/>
              <w:adjustRightInd w:val="0"/>
              <w:snapToGrid w:val="0"/>
              <w:spacing w:line="500" w:lineRule="exact"/>
              <w:ind w:firstLine="420" w:firstLineChars="200"/>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采购需求中涉及与银行（或者第三方）对接部分，由成交供应商负责与对应的银行（或者第三方）对接，由此产生的一切费用由成交供应商承担。</w:t>
            </w:r>
          </w:p>
        </w:tc>
        <w:tc>
          <w:tcPr>
            <w:tcW w:w="767" w:type="dxa"/>
            <w:shd w:val="clear" w:color="auto" w:fill="auto"/>
            <w:vAlign w:val="center"/>
          </w:tcPr>
          <w:p w14:paraId="292DFBF5">
            <w:pPr>
              <w:widowControl/>
              <w:adjustRightInd w:val="0"/>
              <w:snapToGrid w:val="0"/>
              <w:spacing w:line="500" w:lineRule="exact"/>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1</w:t>
            </w:r>
          </w:p>
        </w:tc>
        <w:tc>
          <w:tcPr>
            <w:tcW w:w="764" w:type="dxa"/>
            <w:shd w:val="clear" w:color="000000" w:fill="FFFFFF"/>
            <w:vAlign w:val="center"/>
          </w:tcPr>
          <w:p w14:paraId="1164B61F">
            <w:pPr>
              <w:widowControl/>
              <w:adjustRightInd w:val="0"/>
              <w:snapToGrid w:val="0"/>
              <w:spacing w:line="500" w:lineRule="exact"/>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项</w:t>
            </w:r>
          </w:p>
        </w:tc>
      </w:tr>
      <w:tr w14:paraId="42EA2BA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0" w:hRule="atLeast"/>
          <w:jc w:val="center"/>
        </w:trPr>
        <w:tc>
          <w:tcPr>
            <w:tcW w:w="9458" w:type="dxa"/>
            <w:gridSpan w:val="6"/>
            <w:tcBorders>
              <w:top w:val="single" w:color="000000" w:sz="4" w:space="0"/>
              <w:left w:val="single" w:color="000000" w:sz="4" w:space="0"/>
              <w:bottom w:val="single" w:color="000000" w:sz="4" w:space="0"/>
              <w:right w:val="single" w:color="000000" w:sz="4" w:space="0"/>
            </w:tcBorders>
            <w:shd w:val="clear" w:color="auto" w:fill="auto"/>
            <w:vAlign w:val="bottom"/>
          </w:tcPr>
          <w:p w14:paraId="6F7B43AC">
            <w:pPr>
              <w:widowControl/>
              <w:adjustRightInd w:val="0"/>
              <w:snapToGrid w:val="0"/>
              <w:spacing w:line="500" w:lineRule="exact"/>
              <w:jc w:val="left"/>
              <w:rPr>
                <w:rFonts w:ascii="宋体" w:hAnsi="宋体" w:cs="宋体"/>
                <w:b/>
                <w:bCs/>
                <w:color w:val="auto"/>
                <w:kern w:val="0"/>
                <w:szCs w:val="21"/>
              </w:rPr>
            </w:pPr>
            <w:r>
              <w:rPr>
                <w:rFonts w:hint="eastAsia" w:ascii="宋体" w:hAnsi="宋体" w:cs="宋体"/>
                <w:b/>
                <w:bCs/>
                <w:color w:val="auto"/>
                <w:kern w:val="0"/>
                <w:szCs w:val="21"/>
              </w:rPr>
              <w:t>商务要求</w:t>
            </w:r>
          </w:p>
        </w:tc>
      </w:tr>
      <w:tr w14:paraId="324A3FB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606" w:hRule="atLeast"/>
          <w:jc w:val="center"/>
        </w:trPr>
        <w:tc>
          <w:tcPr>
            <w:tcW w:w="29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FEDB5D">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项目交付时间以及地点</w:t>
            </w:r>
          </w:p>
        </w:tc>
        <w:tc>
          <w:tcPr>
            <w:tcW w:w="65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D54148">
            <w:pPr>
              <w:widowControl/>
              <w:numPr>
                <w:ilvl w:val="0"/>
                <w:numId w:val="0"/>
              </w:numPr>
              <w:adjustRightInd w:val="0"/>
              <w:snapToGrid w:val="0"/>
              <w:spacing w:line="500" w:lineRule="exact"/>
              <w:ind w:firstLine="420" w:firstLineChars="200"/>
              <w:jc w:val="left"/>
              <w:rPr>
                <w:color w:val="auto"/>
              </w:rPr>
            </w:pPr>
            <w:r>
              <w:rPr>
                <w:rFonts w:hint="eastAsia" w:ascii="宋体" w:hAnsi="宋体" w:cs="宋体"/>
                <w:color w:val="auto"/>
                <w:kern w:val="0"/>
                <w:szCs w:val="21"/>
                <w:lang w:val="en-US" w:eastAsia="zh-CN"/>
              </w:rPr>
              <w:t>1.</w:t>
            </w:r>
            <w:r>
              <w:rPr>
                <w:rFonts w:hint="eastAsia" w:ascii="宋体" w:hAnsi="宋体" w:cs="宋体"/>
                <w:color w:val="auto"/>
                <w:kern w:val="0"/>
                <w:szCs w:val="21"/>
              </w:rPr>
              <w:t>交货时间要求：合同生效后180天内（包括供货、安装、调试、验收工作），除双方对推迟工期书面达成一致外，成交供应商必须在规定的工期内完工。</w:t>
            </w:r>
          </w:p>
          <w:p w14:paraId="53BA3F01">
            <w:pPr>
              <w:widowControl/>
              <w:numPr>
                <w:ilvl w:val="0"/>
                <w:numId w:val="0"/>
              </w:numPr>
              <w:adjustRightInd w:val="0"/>
              <w:snapToGrid w:val="0"/>
              <w:spacing w:line="500" w:lineRule="exact"/>
              <w:ind w:firstLine="420" w:firstLineChars="200"/>
              <w:jc w:val="left"/>
              <w:rPr>
                <w:rFonts w:hint="eastAsia" w:ascii="宋体" w:hAnsi="宋体" w:cs="宋体"/>
                <w:color w:val="auto"/>
                <w:szCs w:val="21"/>
              </w:rPr>
            </w:pPr>
            <w:r>
              <w:rPr>
                <w:rFonts w:hint="eastAsia" w:ascii="宋体" w:hAnsi="宋体" w:cs="宋体"/>
                <w:b w:val="0"/>
                <w:bCs w:val="0"/>
                <w:color w:val="auto"/>
                <w:szCs w:val="21"/>
                <w:lang w:val="en-US" w:eastAsia="zh-CN"/>
              </w:rPr>
              <w:t>2.</w:t>
            </w:r>
            <w:r>
              <w:rPr>
                <w:rFonts w:hint="eastAsia" w:ascii="宋体" w:hAnsi="宋体" w:cs="宋体"/>
                <w:b w:val="0"/>
                <w:bCs w:val="0"/>
                <w:color w:val="auto"/>
                <w:szCs w:val="21"/>
              </w:rPr>
              <w:t>合同签订期：自</w:t>
            </w:r>
            <w:r>
              <w:rPr>
                <w:rFonts w:hint="eastAsia" w:ascii="宋体" w:hAnsi="宋体" w:cs="宋体"/>
                <w:color w:val="auto"/>
                <w:szCs w:val="21"/>
              </w:rPr>
              <w:t>成交通知书发出之日起25日内（注：成交通知书发出之日起25日内必须签订合同）</w:t>
            </w:r>
          </w:p>
          <w:p w14:paraId="30FB5907">
            <w:pPr>
              <w:widowControl/>
              <w:numPr>
                <w:ilvl w:val="0"/>
                <w:numId w:val="0"/>
              </w:numPr>
              <w:adjustRightInd w:val="0"/>
              <w:snapToGrid w:val="0"/>
              <w:spacing w:line="5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lang w:val="en-US" w:eastAsia="zh-CN"/>
              </w:rPr>
              <w:t>3</w:t>
            </w:r>
            <w:r>
              <w:rPr>
                <w:rFonts w:hint="eastAsia" w:ascii="宋体" w:hAnsi="宋体" w:cs="宋体"/>
                <w:color w:val="auto"/>
                <w:kern w:val="0"/>
                <w:szCs w:val="21"/>
              </w:rPr>
              <w:t>.交货地点要求：供应商须将设备、产品运送到指定地点，其运送的所有费用由供应商承担。</w:t>
            </w:r>
          </w:p>
          <w:p w14:paraId="3A32A6B9">
            <w:pPr>
              <w:widowControl/>
              <w:numPr>
                <w:ilvl w:val="0"/>
                <w:numId w:val="0"/>
              </w:numPr>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lang w:val="en-US" w:eastAsia="zh-CN"/>
              </w:rPr>
              <w:t>4</w:t>
            </w:r>
            <w:r>
              <w:rPr>
                <w:rFonts w:hint="eastAsia" w:ascii="宋体" w:hAnsi="宋体" w:cs="宋体"/>
                <w:color w:val="auto"/>
                <w:kern w:val="0"/>
                <w:szCs w:val="21"/>
              </w:rPr>
              <w:t>.交货地点：</w:t>
            </w:r>
            <w:r>
              <w:rPr>
                <w:rFonts w:hint="eastAsia"/>
                <w:color w:val="auto"/>
              </w:rPr>
              <w:t>广西南宁市采购人指定地点</w:t>
            </w:r>
            <w:r>
              <w:rPr>
                <w:rFonts w:hint="eastAsia" w:ascii="宋体" w:hAnsi="宋体" w:cs="宋体"/>
                <w:color w:val="auto"/>
                <w:kern w:val="0"/>
                <w:szCs w:val="21"/>
              </w:rPr>
              <w:t>。</w:t>
            </w:r>
          </w:p>
        </w:tc>
      </w:tr>
      <w:tr w14:paraId="69AFF84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0" w:hRule="atLeast"/>
          <w:jc w:val="center"/>
        </w:trPr>
        <w:tc>
          <w:tcPr>
            <w:tcW w:w="29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5D0ADA">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售后服务要求</w:t>
            </w:r>
          </w:p>
        </w:tc>
        <w:tc>
          <w:tcPr>
            <w:tcW w:w="6512"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1CEAFCE7">
            <w:pPr>
              <w:widowControl/>
              <w:numPr>
                <w:ilvl w:val="0"/>
                <w:numId w:val="3"/>
              </w:numPr>
              <w:adjustRightInd w:val="0"/>
              <w:snapToGrid w:val="0"/>
              <w:spacing w:line="5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供应商应提供完善的售后服务方案，方案中必须明确以下内容:</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1）</w:t>
            </w:r>
            <w:r>
              <w:rPr>
                <w:rFonts w:hint="eastAsia" w:ascii="宋体" w:hAnsi="宋体" w:cs="宋体"/>
                <w:color w:val="auto"/>
                <w:kern w:val="0"/>
                <w:szCs w:val="21"/>
              </w:rPr>
              <w:t>详细的运行维护保障措施，包括但不限于故障响应时间、问题处理流程、定期巡检计划、远程技术支持等。</w:t>
            </w:r>
            <w:r>
              <w:rPr>
                <w:rFonts w:hint="eastAsia" w:ascii="宋体" w:hAnsi="宋体" w:cs="宋体"/>
                <w:color w:val="auto"/>
                <w:kern w:val="0"/>
                <w:szCs w:val="21"/>
                <w:lang w:val="en-US" w:eastAsia="zh-CN"/>
              </w:rPr>
              <w:t>(2)</w:t>
            </w:r>
            <w:r>
              <w:rPr>
                <w:rFonts w:hint="eastAsia" w:ascii="宋体" w:hAnsi="宋体" w:cs="宋体"/>
                <w:color w:val="auto"/>
                <w:kern w:val="0"/>
                <w:szCs w:val="21"/>
              </w:rPr>
              <w:t>完善的售后服务体系，建立健全的服务组织架构、服务流程、服务标准。</w:t>
            </w:r>
          </w:p>
          <w:p w14:paraId="4F73B51A">
            <w:pPr>
              <w:widowControl/>
              <w:numPr>
                <w:ilvl w:val="-1"/>
                <w:numId w:val="0"/>
              </w:numPr>
              <w:adjustRightInd w:val="0"/>
              <w:snapToGrid w:val="0"/>
              <w:spacing w:line="500" w:lineRule="exact"/>
              <w:ind w:firstLine="420" w:firstLineChars="200"/>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2.硬件质保期3年，质保期内免费现场服务</w:t>
            </w:r>
            <w:r>
              <w:rPr>
                <w:rFonts w:hint="eastAsia"/>
                <w:color w:val="auto"/>
                <w:lang w:eastAsia="zh-CN"/>
              </w:rPr>
              <w:t>（</w:t>
            </w:r>
            <w:r>
              <w:rPr>
                <w:rFonts w:hint="eastAsia" w:ascii="宋体" w:hAnsi="宋体" w:cs="宋体"/>
                <w:color w:val="auto"/>
                <w:szCs w:val="21"/>
              </w:rPr>
              <w:t>分项有要求的按分项服务要求</w:t>
            </w:r>
            <w:r>
              <w:rPr>
                <w:rFonts w:hint="eastAsia"/>
                <w:color w:val="auto"/>
                <w:lang w:eastAsia="zh-CN"/>
              </w:rPr>
              <w:t>）</w:t>
            </w:r>
            <w:r>
              <w:rPr>
                <w:rFonts w:hint="eastAsia"/>
                <w:color w:val="auto"/>
                <w:lang w:val="en-US" w:eastAsia="zh-CN"/>
              </w:rPr>
              <w:t>；</w:t>
            </w:r>
            <w:r>
              <w:rPr>
                <w:rFonts w:hint="eastAsia" w:ascii="宋体" w:hAnsi="宋体" w:cs="宋体"/>
                <w:color w:val="auto"/>
                <w:kern w:val="0"/>
                <w:szCs w:val="21"/>
                <w:lang w:val="en-US" w:eastAsia="zh-CN"/>
              </w:rPr>
              <w:t>软件3年免费升级、免费现场服务。</w:t>
            </w:r>
          </w:p>
          <w:p w14:paraId="24E6EB90">
            <w:pPr>
              <w:widowControl/>
              <w:adjustRightInd w:val="0"/>
              <w:snapToGrid w:val="0"/>
              <w:spacing w:line="500" w:lineRule="exact"/>
              <w:ind w:firstLine="420" w:firstLineChars="200"/>
              <w:jc w:val="left"/>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3</w:t>
            </w:r>
            <w:r>
              <w:rPr>
                <w:rFonts w:hint="eastAsia" w:ascii="宋体" w:hAnsi="宋体" w:cs="宋体"/>
                <w:color w:val="auto"/>
                <w:kern w:val="0"/>
                <w:szCs w:val="21"/>
              </w:rPr>
              <w:t>.自项目验收合格之日起，提供不少于</w:t>
            </w:r>
            <w:r>
              <w:rPr>
                <w:rFonts w:hint="eastAsia" w:ascii="宋体" w:hAnsi="宋体" w:cs="宋体"/>
                <w:color w:val="auto"/>
                <w:kern w:val="0"/>
                <w:szCs w:val="21"/>
                <w:lang w:val="en-US" w:eastAsia="zh-CN"/>
              </w:rPr>
              <w:t>3</w:t>
            </w:r>
            <w:r>
              <w:rPr>
                <w:rFonts w:hint="eastAsia" w:ascii="宋体" w:hAnsi="宋体" w:cs="宋体"/>
                <w:color w:val="auto"/>
                <w:kern w:val="0"/>
                <w:szCs w:val="21"/>
              </w:rPr>
              <w:t>年的免费售后服务</w:t>
            </w:r>
            <w:r>
              <w:rPr>
                <w:rFonts w:hint="eastAsia"/>
                <w:color w:val="auto"/>
                <w:lang w:eastAsia="zh-CN"/>
              </w:rPr>
              <w:t>（</w:t>
            </w:r>
            <w:r>
              <w:rPr>
                <w:rFonts w:hint="eastAsia" w:ascii="宋体" w:hAnsi="宋体" w:cs="宋体"/>
                <w:color w:val="auto"/>
                <w:szCs w:val="21"/>
              </w:rPr>
              <w:t>分项有要求的按分项服务要求</w:t>
            </w:r>
            <w:r>
              <w:rPr>
                <w:rFonts w:hint="eastAsia"/>
                <w:color w:val="auto"/>
                <w:lang w:eastAsia="zh-CN"/>
              </w:rPr>
              <w:t>）</w:t>
            </w:r>
            <w:r>
              <w:rPr>
                <w:rFonts w:hint="eastAsia" w:ascii="宋体" w:hAnsi="宋体" w:cs="宋体"/>
                <w:color w:val="auto"/>
                <w:kern w:val="0"/>
                <w:szCs w:val="21"/>
                <w:lang w:eastAsia="zh-CN"/>
              </w:rPr>
              <w:t>。</w:t>
            </w:r>
          </w:p>
          <w:p w14:paraId="1B4AD8B3">
            <w:pPr>
              <w:widowControl/>
              <w:adjustRightInd w:val="0"/>
              <w:snapToGrid w:val="0"/>
              <w:spacing w:line="5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lang w:val="en-US" w:eastAsia="zh-CN"/>
              </w:rPr>
              <w:t>4</w:t>
            </w:r>
            <w:r>
              <w:rPr>
                <w:rFonts w:hint="eastAsia" w:ascii="宋体" w:hAnsi="宋体" w:cs="宋体"/>
                <w:color w:val="auto"/>
                <w:kern w:val="0"/>
                <w:szCs w:val="21"/>
              </w:rPr>
              <w:t>.在免费售后服务期内，提供软硬件设备故障修复，漏洞修复、技术培训、巡检服务。</w:t>
            </w:r>
          </w:p>
          <w:p w14:paraId="01397CE1">
            <w:pPr>
              <w:widowControl/>
              <w:adjustRightInd w:val="0"/>
              <w:snapToGrid w:val="0"/>
              <w:spacing w:line="5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lang w:val="en-US" w:eastAsia="zh-CN"/>
              </w:rPr>
              <w:t>5</w:t>
            </w:r>
            <w:r>
              <w:rPr>
                <w:rFonts w:hint="eastAsia" w:ascii="宋体" w:hAnsi="宋体" w:cs="宋体"/>
                <w:color w:val="auto"/>
                <w:kern w:val="0"/>
                <w:szCs w:val="21"/>
              </w:rPr>
              <w:t>.在免费售后服务期内，在接到用户报障反馈后，1小时内响应，8小时内初步回复及确认故障信息，并根据故障等级安排相应处理；轻微故障在3个工作日内解决，一般故障在2个工作</w:t>
            </w:r>
            <w:r>
              <w:rPr>
                <w:rFonts w:hint="eastAsia" w:ascii="宋体" w:hAnsi="宋体" w:cs="宋体"/>
                <w:color w:val="auto"/>
                <w:kern w:val="0"/>
                <w:szCs w:val="21"/>
                <w:lang w:val="en-US" w:eastAsia="zh-CN"/>
              </w:rPr>
              <w:t>日内解</w:t>
            </w:r>
            <w:r>
              <w:rPr>
                <w:rFonts w:hint="eastAsia" w:ascii="宋体" w:hAnsi="宋体" w:cs="宋体"/>
                <w:color w:val="auto"/>
                <w:kern w:val="0"/>
                <w:szCs w:val="21"/>
              </w:rPr>
              <w:t>决，严重故障在8小时内给出解决方案，并持续跟进直至故障解决。</w:t>
            </w:r>
          </w:p>
          <w:p w14:paraId="3587BE37">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lang w:val="en-US" w:eastAsia="zh-CN"/>
              </w:rPr>
              <w:t>6</w:t>
            </w:r>
            <w:r>
              <w:rPr>
                <w:rFonts w:hint="eastAsia" w:ascii="宋体" w:hAnsi="宋体" w:cs="宋体"/>
                <w:color w:val="auto"/>
                <w:kern w:val="0"/>
                <w:szCs w:val="21"/>
              </w:rPr>
              <w:t xml:space="preserve">.供应商需设有专门的服务咨询中心，提供免费的服务热线电话，便于采购人进行故障保障、技术咨询和服务投诉。所提供的服务热线电话7×24小时全天候运行，并配备足够的咨询人员或技术工程师，确保服务热线电话的拨通率达到95%以上。 </w:t>
            </w:r>
          </w:p>
        </w:tc>
      </w:tr>
      <w:tr w14:paraId="71E22D7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0" w:hRule="atLeast"/>
          <w:jc w:val="center"/>
        </w:trPr>
        <w:tc>
          <w:tcPr>
            <w:tcW w:w="29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71B82E">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 xml:space="preserve"> 包装和发运</w:t>
            </w:r>
          </w:p>
        </w:tc>
        <w:tc>
          <w:tcPr>
            <w:tcW w:w="6512"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72732E34">
            <w:pPr>
              <w:widowControl/>
              <w:numPr>
                <w:ilvl w:val="0"/>
                <w:numId w:val="0"/>
              </w:numPr>
              <w:adjustRightInd w:val="0"/>
              <w:snapToGrid w:val="0"/>
              <w:spacing w:line="5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lang w:val="en-US" w:eastAsia="zh-CN"/>
              </w:rPr>
              <w:t>1.</w:t>
            </w:r>
            <w:r>
              <w:rPr>
                <w:rFonts w:hint="eastAsia" w:ascii="宋体" w:hAnsi="宋体" w:cs="宋体"/>
                <w:color w:val="auto"/>
                <w:kern w:val="0"/>
                <w:szCs w:val="21"/>
              </w:rPr>
              <w:t>货物的包装和发运必须符合货物特性要求。</w:t>
            </w:r>
          </w:p>
          <w:p w14:paraId="58A79C74">
            <w:pPr>
              <w:widowControl/>
              <w:numPr>
                <w:ilvl w:val="0"/>
                <w:numId w:val="0"/>
              </w:numPr>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2.为了保证货物在长途运输和装卸过程中的安全，货物包装应符合国家或行业标准规定。由于包装不善导致货物锈蚀、失缺或损坏，由供应商承担一切责任。</w:t>
            </w:r>
          </w:p>
        </w:tc>
      </w:tr>
      <w:tr w14:paraId="4532F0A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0" w:hRule="atLeast"/>
          <w:jc w:val="center"/>
        </w:trPr>
        <w:tc>
          <w:tcPr>
            <w:tcW w:w="29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8FD188">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整体实施要求</w:t>
            </w:r>
          </w:p>
        </w:tc>
        <w:tc>
          <w:tcPr>
            <w:tcW w:w="6512"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0F6CE8CE">
            <w:pPr>
              <w:widowControl/>
              <w:adjustRightInd w:val="0"/>
              <w:snapToGrid w:val="0"/>
              <w:spacing w:line="5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1.设备安装：供应商必须向采购人提供本项目采购的所有产品的安装和维护服务的全部内容。</w:t>
            </w:r>
          </w:p>
          <w:p w14:paraId="698CF90D">
            <w:pPr>
              <w:widowControl/>
              <w:adjustRightInd w:val="0"/>
              <w:snapToGrid w:val="0"/>
              <w:spacing w:line="5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2.测试和验收：供应商应根据本项目要求进行测试及验收，测试及验收过程须在使用单位委派人员的监督下现场进行。</w:t>
            </w:r>
          </w:p>
          <w:p w14:paraId="032E725D">
            <w:pPr>
              <w:widowControl/>
              <w:adjustRightInd w:val="0"/>
              <w:snapToGrid w:val="0"/>
              <w:spacing w:line="5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（1）设备测试：</w:t>
            </w:r>
          </w:p>
          <w:p w14:paraId="6A298458">
            <w:pPr>
              <w:widowControl/>
              <w:adjustRightInd w:val="0"/>
              <w:snapToGrid w:val="0"/>
              <w:spacing w:line="5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产品安装完成后，按照系统要求的基本功能逐一测试。</w:t>
            </w:r>
          </w:p>
          <w:p w14:paraId="5DE68A48">
            <w:pPr>
              <w:widowControl/>
              <w:adjustRightInd w:val="0"/>
              <w:snapToGrid w:val="0"/>
              <w:spacing w:line="5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①系统运行正常，联机测试通过。</w:t>
            </w:r>
          </w:p>
          <w:p w14:paraId="19BD160F">
            <w:pPr>
              <w:widowControl/>
              <w:adjustRightInd w:val="0"/>
              <w:snapToGrid w:val="0"/>
              <w:spacing w:line="5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②如商检或设备测试中发现设备性能指标或功能上不符合招标文件和合同时，将被看作性能不合格，设备使用单位有权拒收并要求赔偿。</w:t>
            </w:r>
          </w:p>
          <w:p w14:paraId="5E9E8215">
            <w:pPr>
              <w:widowControl/>
              <w:adjustRightInd w:val="0"/>
              <w:snapToGrid w:val="0"/>
              <w:spacing w:line="500" w:lineRule="exact"/>
              <w:ind w:firstLine="420" w:firstLineChars="200"/>
              <w:jc w:val="left"/>
              <w:rPr>
                <w:color w:val="auto"/>
              </w:rPr>
            </w:pPr>
            <w:r>
              <w:rPr>
                <w:rFonts w:hint="eastAsia" w:ascii="宋体" w:hAnsi="宋体" w:cs="宋体"/>
                <w:color w:val="auto"/>
                <w:kern w:val="0"/>
                <w:szCs w:val="21"/>
              </w:rPr>
              <w:t>（2）</w:t>
            </w:r>
            <w:r>
              <w:rPr>
                <w:rFonts w:hint="eastAsia" w:ascii="宋体" w:hAnsi="宋体" w:cs="宋体"/>
                <w:color w:val="auto"/>
                <w:kern w:val="0"/>
                <w:szCs w:val="21"/>
                <w:lang w:val="en-US" w:eastAsia="zh-CN"/>
              </w:rPr>
              <w:t>设备及</w:t>
            </w:r>
            <w:r>
              <w:rPr>
                <w:rFonts w:hint="eastAsia" w:ascii="宋体" w:hAnsi="宋体" w:cs="宋体"/>
                <w:color w:val="auto"/>
                <w:kern w:val="0"/>
                <w:szCs w:val="21"/>
              </w:rPr>
              <w:t>产品验收要求：供应商应负责在项目验收时将系统的全部有关产品说明书、原厂家安装手册、技术文件、资料、安装、验收报告文档</w:t>
            </w:r>
            <w:r>
              <w:rPr>
                <w:rFonts w:hint="eastAsia" w:ascii="宋体" w:hAnsi="宋体" w:cs="宋体"/>
                <w:color w:val="auto"/>
                <w:kern w:val="0"/>
                <w:szCs w:val="21"/>
                <w:lang w:val="en-US" w:eastAsia="zh-CN"/>
              </w:rPr>
              <w:t>及采购需求文件要求提供的各种检测报告、承诺书</w:t>
            </w:r>
            <w:r>
              <w:rPr>
                <w:rFonts w:hint="eastAsia" w:ascii="宋体" w:hAnsi="宋体" w:cs="宋体"/>
                <w:color w:val="auto"/>
                <w:kern w:val="0"/>
                <w:szCs w:val="21"/>
              </w:rPr>
              <w:t>汇集成册交付设备使用单位。</w:t>
            </w:r>
          </w:p>
        </w:tc>
      </w:tr>
      <w:tr w14:paraId="11B90E1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28" w:hRule="atLeast"/>
          <w:jc w:val="center"/>
        </w:trPr>
        <w:tc>
          <w:tcPr>
            <w:tcW w:w="29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676933">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lang w:val="en-US" w:eastAsia="zh-CN"/>
              </w:rPr>
              <w:t>采购人</w:t>
            </w:r>
            <w:r>
              <w:rPr>
                <w:rFonts w:hint="eastAsia" w:ascii="宋体" w:hAnsi="宋体" w:cs="宋体"/>
                <w:color w:val="auto"/>
                <w:kern w:val="0"/>
                <w:szCs w:val="21"/>
              </w:rPr>
              <w:t>的配合条件</w:t>
            </w:r>
          </w:p>
        </w:tc>
        <w:tc>
          <w:tcPr>
            <w:tcW w:w="6512"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6EA1A10E">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在合同履行过程中，</w:t>
            </w:r>
            <w:r>
              <w:rPr>
                <w:rFonts w:hint="eastAsia" w:ascii="宋体" w:hAnsi="宋体" w:cs="宋体"/>
                <w:color w:val="auto"/>
                <w:kern w:val="0"/>
                <w:szCs w:val="21"/>
                <w:lang w:val="en-US" w:eastAsia="zh-CN"/>
              </w:rPr>
              <w:t>采购人</w:t>
            </w:r>
            <w:r>
              <w:rPr>
                <w:rFonts w:hint="eastAsia" w:ascii="宋体" w:hAnsi="宋体" w:cs="宋体"/>
                <w:color w:val="auto"/>
                <w:kern w:val="0"/>
                <w:szCs w:val="21"/>
              </w:rPr>
              <w:t>将提供必要的配合及协调，如根据合同规定及时付款、及时签署有关确认证书、与供</w:t>
            </w:r>
            <w:r>
              <w:rPr>
                <w:rFonts w:hint="eastAsia" w:ascii="宋体" w:hAnsi="宋体" w:cs="宋体"/>
                <w:color w:val="auto"/>
                <w:kern w:val="0"/>
                <w:szCs w:val="21"/>
                <w:lang w:val="en-US" w:eastAsia="zh-CN"/>
              </w:rPr>
              <w:t>应</w:t>
            </w:r>
            <w:r>
              <w:rPr>
                <w:rFonts w:hint="eastAsia" w:ascii="宋体" w:hAnsi="宋体" w:cs="宋体"/>
                <w:color w:val="auto"/>
                <w:kern w:val="0"/>
                <w:szCs w:val="21"/>
              </w:rPr>
              <w:t>商一起确认进场安装条件、提供安装调试所需的相关工作条件。</w:t>
            </w:r>
          </w:p>
        </w:tc>
      </w:tr>
      <w:tr w14:paraId="3A465AD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29" w:hRule="atLeast"/>
          <w:jc w:val="center"/>
        </w:trPr>
        <w:tc>
          <w:tcPr>
            <w:tcW w:w="29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8AE1A1">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培训要求</w:t>
            </w:r>
          </w:p>
        </w:tc>
        <w:tc>
          <w:tcPr>
            <w:tcW w:w="6512"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36B490C6">
            <w:pPr>
              <w:widowControl/>
              <w:adjustRightInd w:val="0"/>
              <w:snapToGrid w:val="0"/>
              <w:spacing w:line="5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为保障系统的正常实施、运行，供应商应制定相关的培训计划，对系统运行维护人员、工程技术人员和管理人员进行分类培训。运行维护技术人员经过培训应能进行日常设备运行维护工作，掌握软件、硬件的操作，熟悉硬件基本功能。能熟练地分析软件、硬件信息工作，并能有效</w:t>
            </w:r>
            <w:r>
              <w:rPr>
                <w:rFonts w:hint="eastAsia" w:ascii="宋体" w:hAnsi="宋体" w:cs="宋体"/>
                <w:color w:val="auto"/>
                <w:kern w:val="0"/>
                <w:szCs w:val="21"/>
                <w:lang w:val="en-US" w:eastAsia="zh-CN"/>
              </w:rPr>
              <w:t>地</w:t>
            </w:r>
            <w:r>
              <w:rPr>
                <w:rFonts w:hint="eastAsia" w:ascii="宋体" w:hAnsi="宋体" w:cs="宋体"/>
                <w:color w:val="auto"/>
                <w:kern w:val="0"/>
                <w:szCs w:val="21"/>
              </w:rPr>
              <w:t>组织、开展业务应用能力。高级工程技术人员培训后，能够处理一般维护人员不能处理的技术问题。管理人员经培训后，应能负责全面的技术管理工作，了解系统建设的过程，系统功能及未来建设的规划。</w:t>
            </w:r>
          </w:p>
          <w:p w14:paraId="127E5D4B">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 xml:space="preserve">2.对采购人的技术人员进行系统的使用、维护和保养培训，所有培训以中文进行。该培训将教会学院在日常和紧急情况下如何操作系统。培训教员对所提供的系统和产品具有五年以上的操作和维修经验。培训授课人员都是经过厂家认证的工程师、技术员。培训教员的简历连同培训计划一并提交采购人，采购人认为培训教员不合格可要求更换。在系统完工测试之前为采购人技术人员进行现场培训，该培训包括正常操作程序和怎样处理紧急情况。在培训工作开始前向采购人免费提供所有中文培训资料，包括中文操作、维修手册，要求受训人员能够了解系统及设备的基本结构、工作原理及操作程序，能进行实际操作和日常维护、排除一般故障。   </w:t>
            </w:r>
          </w:p>
        </w:tc>
      </w:tr>
      <w:tr w14:paraId="526C3C0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2" w:hRule="atLeast"/>
          <w:jc w:val="center"/>
        </w:trPr>
        <w:tc>
          <w:tcPr>
            <w:tcW w:w="29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7AB374">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付款方式</w:t>
            </w:r>
          </w:p>
        </w:tc>
        <w:tc>
          <w:tcPr>
            <w:tcW w:w="6512"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08D5C72D">
            <w:pPr>
              <w:widowControl/>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根据合同要求，全部货物到达采购人指定地点后，采购人确认后，3个工作日内，成交供应商按合同总金额的50%金额开具增值税专用发票给采购人，采购人收到票据后，</w:t>
            </w:r>
            <w:r>
              <w:rPr>
                <w:rFonts w:hint="eastAsia" w:ascii="宋体" w:hAnsi="宋体" w:cs="宋体"/>
                <w:color w:val="auto"/>
                <w:kern w:val="0"/>
                <w:szCs w:val="21"/>
                <w:lang w:val="en-US" w:eastAsia="zh-CN"/>
              </w:rPr>
              <w:t>15</w:t>
            </w:r>
            <w:r>
              <w:rPr>
                <w:rFonts w:hint="eastAsia" w:ascii="宋体" w:hAnsi="宋体" w:cs="宋体"/>
                <w:color w:val="auto"/>
                <w:kern w:val="0"/>
                <w:szCs w:val="21"/>
              </w:rPr>
              <w:t>个工作日内以转账方式</w:t>
            </w:r>
            <w:r>
              <w:rPr>
                <w:rFonts w:hint="eastAsia" w:ascii="宋体" w:hAnsi="宋体" w:cs="宋体"/>
                <w:color w:val="auto"/>
                <w:kern w:val="0"/>
                <w:szCs w:val="21"/>
                <w:lang w:val="en-US" w:eastAsia="zh-CN"/>
              </w:rPr>
              <w:t>支付</w:t>
            </w:r>
            <w:r>
              <w:rPr>
                <w:rFonts w:hint="eastAsia" w:ascii="宋体" w:hAnsi="宋体" w:cs="宋体"/>
                <w:color w:val="auto"/>
                <w:kern w:val="0"/>
                <w:szCs w:val="21"/>
              </w:rPr>
              <w:t>合同金额的50%货款给成交供应商；完成安装并验收合格后，成交供应商3个工作日内向采购人开具合同余款的增值税专用发票，采购人在收到发票后15个工作日内支付合同余款给成交供应商。</w:t>
            </w:r>
          </w:p>
        </w:tc>
      </w:tr>
      <w:tr w14:paraId="0B79EEE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15" w:hRule="atLeast"/>
          <w:jc w:val="center"/>
        </w:trPr>
        <w:tc>
          <w:tcPr>
            <w:tcW w:w="29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30F122">
            <w:pPr>
              <w:widowControl/>
              <w:adjustRightInd w:val="0"/>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其他要求</w:t>
            </w:r>
          </w:p>
        </w:tc>
        <w:tc>
          <w:tcPr>
            <w:tcW w:w="6512"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65B9F3BB">
            <w:pPr>
              <w:pStyle w:val="53"/>
              <w:adjustRightInd w:val="0"/>
              <w:snapToGrid w:val="0"/>
              <w:spacing w:line="500" w:lineRule="exact"/>
              <w:rPr>
                <w:rFonts w:hint="eastAsia" w:ascii="宋体" w:hAnsi="宋体" w:cs="宋体"/>
                <w:color w:val="auto"/>
                <w:szCs w:val="21"/>
              </w:rPr>
            </w:pPr>
            <w:r>
              <w:rPr>
                <w:rFonts w:hint="eastAsia" w:ascii="宋体" w:hAnsi="宋体" w:cs="宋体"/>
                <w:color w:val="auto"/>
                <w:szCs w:val="21"/>
              </w:rPr>
              <w:t>1.本项目核心产品为序号</w:t>
            </w:r>
            <w:r>
              <w:rPr>
                <w:rFonts w:hint="eastAsia" w:ascii="宋体" w:hAnsi="宋体" w:cs="宋体"/>
                <w:color w:val="auto"/>
                <w:szCs w:val="21"/>
                <w:u w:val="single"/>
              </w:rPr>
              <w:t>1：</w:t>
            </w:r>
            <w:r>
              <w:rPr>
                <w:rFonts w:hint="eastAsia" w:ascii="宋体" w:hAnsi="宋体" w:cs="宋体"/>
                <w:color w:val="auto"/>
                <w:kern w:val="0"/>
                <w:szCs w:val="21"/>
                <w:u w:val="single"/>
              </w:rPr>
              <w:t>认证平台</w:t>
            </w:r>
            <w:r>
              <w:rPr>
                <w:rFonts w:hint="eastAsia" w:ascii="宋体" w:hAnsi="宋体" w:cs="宋体"/>
                <w:color w:val="auto"/>
                <w:szCs w:val="21"/>
              </w:rPr>
              <w:t>；多家有效</w:t>
            </w:r>
            <w:r>
              <w:rPr>
                <w:rFonts w:hint="eastAsia" w:ascii="宋体" w:hAnsi="宋体" w:cs="宋体"/>
                <w:color w:val="auto"/>
                <w:kern w:val="0"/>
                <w:szCs w:val="21"/>
              </w:rPr>
              <w:t>供应商</w:t>
            </w:r>
            <w:r>
              <w:rPr>
                <w:rFonts w:hint="eastAsia" w:ascii="宋体" w:hAnsi="宋体" w:cs="宋体"/>
                <w:color w:val="auto"/>
                <w:szCs w:val="21"/>
              </w:rPr>
              <w:t>提供相同品牌产品，以核心产品为准；多个核心产品的，若有一种产品品牌相同，即视为提供相同品牌产品，则按一家</w:t>
            </w:r>
            <w:r>
              <w:rPr>
                <w:rFonts w:hint="eastAsia" w:ascii="宋体" w:hAnsi="宋体" w:cs="宋体"/>
                <w:color w:val="auto"/>
                <w:kern w:val="0"/>
                <w:szCs w:val="21"/>
              </w:rPr>
              <w:t>供应商</w:t>
            </w:r>
            <w:r>
              <w:rPr>
                <w:rFonts w:hint="eastAsia" w:ascii="宋体" w:hAnsi="宋体" w:cs="宋体"/>
                <w:color w:val="auto"/>
                <w:szCs w:val="21"/>
              </w:rPr>
              <w:t>计算；非核心产品多家</w:t>
            </w:r>
            <w:r>
              <w:rPr>
                <w:rFonts w:hint="eastAsia" w:ascii="宋体" w:hAnsi="宋体" w:cs="宋体"/>
                <w:color w:val="auto"/>
                <w:kern w:val="0"/>
                <w:szCs w:val="21"/>
              </w:rPr>
              <w:t>供应商</w:t>
            </w:r>
            <w:r>
              <w:rPr>
                <w:rFonts w:hint="eastAsia" w:ascii="宋体" w:hAnsi="宋体" w:cs="宋体"/>
                <w:color w:val="auto"/>
                <w:szCs w:val="21"/>
              </w:rPr>
              <w:t>提供相同品牌产品，则按多家</w:t>
            </w:r>
            <w:r>
              <w:rPr>
                <w:rFonts w:hint="eastAsia" w:ascii="宋体" w:hAnsi="宋体" w:cs="宋体"/>
                <w:color w:val="auto"/>
                <w:kern w:val="0"/>
                <w:szCs w:val="21"/>
              </w:rPr>
              <w:t>供应商</w:t>
            </w:r>
            <w:r>
              <w:rPr>
                <w:rFonts w:hint="eastAsia" w:ascii="宋体" w:hAnsi="宋体" w:cs="宋体"/>
                <w:color w:val="auto"/>
                <w:szCs w:val="21"/>
              </w:rPr>
              <w:t>计算。</w:t>
            </w:r>
          </w:p>
          <w:p w14:paraId="2D2B9898">
            <w:pPr>
              <w:pStyle w:val="53"/>
              <w:adjustRightInd w:val="0"/>
              <w:snapToGrid w:val="0"/>
              <w:spacing w:line="500" w:lineRule="exact"/>
              <w:rPr>
                <w:rFonts w:hint="eastAsia" w:ascii="宋体" w:hAnsi="宋体" w:cs="宋体"/>
                <w:color w:val="auto"/>
                <w:kern w:val="0"/>
                <w:szCs w:val="21"/>
              </w:rPr>
            </w:pPr>
            <w:r>
              <w:rPr>
                <w:rFonts w:ascii="宋体" w:hAnsi="宋体" w:cs="宋体"/>
                <w:color w:val="auto"/>
                <w:kern w:val="0"/>
                <w:szCs w:val="21"/>
              </w:rPr>
              <w:t>2</w:t>
            </w:r>
            <w:r>
              <w:rPr>
                <w:rFonts w:hint="eastAsia" w:ascii="宋体" w:hAnsi="宋体" w:cs="宋体"/>
                <w:color w:val="auto"/>
                <w:kern w:val="0"/>
                <w:szCs w:val="21"/>
              </w:rPr>
              <w:t>.成交供应商须承诺：凡在</w:t>
            </w:r>
            <w:r>
              <w:rPr>
                <w:rFonts w:hint="eastAsia" w:ascii="宋体" w:hAnsi="宋体" w:cs="宋体"/>
                <w:color w:val="auto"/>
                <w:kern w:val="0"/>
                <w:szCs w:val="21"/>
                <w:lang w:val="en-US" w:eastAsia="zh-CN"/>
              </w:rPr>
              <w:t>响应</w:t>
            </w:r>
            <w:r>
              <w:rPr>
                <w:rFonts w:hint="eastAsia" w:ascii="宋体" w:hAnsi="宋体" w:cs="宋体"/>
                <w:color w:val="auto"/>
                <w:kern w:val="0"/>
                <w:szCs w:val="21"/>
              </w:rPr>
              <w:t>文件中体现“满足”的性能指标，须确实满足；采购人有权在</w:t>
            </w:r>
            <w:r>
              <w:rPr>
                <w:rFonts w:hint="eastAsia" w:ascii="宋体" w:hAnsi="宋体" w:cs="宋体"/>
                <w:color w:val="auto"/>
                <w:kern w:val="0"/>
                <w:szCs w:val="21"/>
                <w:lang w:val="en-US" w:eastAsia="zh-CN"/>
              </w:rPr>
              <w:t>验收时</w:t>
            </w:r>
            <w:r>
              <w:rPr>
                <w:rFonts w:hint="eastAsia" w:ascii="宋体" w:hAnsi="宋体" w:cs="宋体"/>
                <w:color w:val="auto"/>
                <w:kern w:val="0"/>
                <w:szCs w:val="21"/>
              </w:rPr>
              <w:t>要求成交供应商在规定时间提供系统进行测试，若测试中发现不满足</w:t>
            </w:r>
            <w:r>
              <w:rPr>
                <w:rFonts w:hint="eastAsia" w:ascii="宋体" w:hAnsi="宋体" w:cs="宋体"/>
                <w:color w:val="auto"/>
                <w:kern w:val="0"/>
                <w:szCs w:val="21"/>
                <w:lang w:val="en-US" w:eastAsia="zh-CN"/>
              </w:rPr>
              <w:t>谈判</w:t>
            </w:r>
            <w:r>
              <w:rPr>
                <w:rFonts w:hint="eastAsia" w:ascii="宋体" w:hAnsi="宋体" w:cs="宋体"/>
                <w:color w:val="auto"/>
                <w:kern w:val="0"/>
                <w:szCs w:val="21"/>
              </w:rPr>
              <w:t>文件中要求的性能指标，按递交虚假</w:t>
            </w:r>
            <w:r>
              <w:rPr>
                <w:rFonts w:hint="eastAsia" w:ascii="宋体" w:hAnsi="宋体" w:cs="宋体"/>
                <w:color w:val="auto"/>
                <w:kern w:val="0"/>
                <w:szCs w:val="21"/>
                <w:lang w:val="en-US" w:eastAsia="zh-CN"/>
              </w:rPr>
              <w:t>响应</w:t>
            </w:r>
            <w:r>
              <w:rPr>
                <w:rFonts w:hint="eastAsia" w:ascii="宋体" w:hAnsi="宋体" w:cs="宋体"/>
                <w:color w:val="auto"/>
                <w:kern w:val="0"/>
                <w:szCs w:val="21"/>
              </w:rPr>
              <w:t>资料处理，并报请国家相关部门处理（提供承诺函，加盖公章）。</w:t>
            </w:r>
          </w:p>
          <w:p w14:paraId="5B9079D7">
            <w:pPr>
              <w:widowControl/>
              <w:adjustRightInd w:val="0"/>
              <w:snapToGrid w:val="0"/>
              <w:spacing w:line="500" w:lineRule="exact"/>
              <w:ind w:firstLine="420" w:firstLineChars="200"/>
              <w:jc w:val="left"/>
              <w:rPr>
                <w:rFonts w:ascii="宋体" w:hAnsi="宋体" w:cs="宋体"/>
                <w:color w:val="auto"/>
                <w:kern w:val="0"/>
                <w:szCs w:val="21"/>
              </w:rPr>
            </w:pPr>
            <w:r>
              <w:rPr>
                <w:rFonts w:ascii="宋体" w:hAnsi="宋体" w:cs="宋体"/>
                <w:color w:val="auto"/>
                <w:kern w:val="0"/>
                <w:szCs w:val="21"/>
              </w:rPr>
              <w:t>3</w:t>
            </w:r>
            <w:r>
              <w:rPr>
                <w:rFonts w:hint="eastAsia" w:ascii="宋体" w:hAnsi="宋体" w:cs="宋体"/>
                <w:color w:val="auto"/>
                <w:kern w:val="0"/>
                <w:szCs w:val="21"/>
              </w:rPr>
              <w:t>.在合同实施期间，采购人有权要求成交供应商提供成交产品送国家认可</w:t>
            </w:r>
            <w:r>
              <w:rPr>
                <w:rFonts w:hint="eastAsia" w:ascii="宋体" w:hAnsi="宋体" w:cs="宋体"/>
                <w:color w:val="auto"/>
                <w:kern w:val="0"/>
                <w:szCs w:val="21"/>
                <w:lang w:val="en-US" w:eastAsia="zh-CN"/>
              </w:rPr>
              <w:t>的</w:t>
            </w:r>
            <w:r>
              <w:rPr>
                <w:rFonts w:hint="eastAsia" w:ascii="宋体" w:hAnsi="宋体" w:cs="宋体"/>
                <w:color w:val="auto"/>
                <w:kern w:val="0"/>
                <w:szCs w:val="21"/>
              </w:rPr>
              <w:t>第三方专业机构按照</w:t>
            </w:r>
            <w:r>
              <w:rPr>
                <w:rFonts w:hint="eastAsia" w:ascii="宋体" w:hAnsi="宋体" w:cs="宋体"/>
                <w:color w:val="auto"/>
                <w:kern w:val="0"/>
                <w:szCs w:val="21"/>
                <w:lang w:val="en-US" w:eastAsia="zh-CN"/>
              </w:rPr>
              <w:t>响应</w:t>
            </w:r>
            <w:r>
              <w:rPr>
                <w:rFonts w:hint="eastAsia" w:ascii="宋体" w:hAnsi="宋体" w:cs="宋体"/>
                <w:color w:val="auto"/>
                <w:kern w:val="0"/>
                <w:szCs w:val="21"/>
              </w:rPr>
              <w:t>文件的性能参数进行测试，如发现有确实不满足谈判文件要求，而响应文件却回应满足的，按递交虚假响应资料处理，并报请国家相关部门处理；不能提供</w:t>
            </w:r>
            <w:r>
              <w:rPr>
                <w:rFonts w:hint="eastAsia" w:ascii="宋体" w:hAnsi="宋体" w:cs="宋体"/>
                <w:color w:val="auto"/>
                <w:kern w:val="0"/>
                <w:szCs w:val="21"/>
                <w:lang w:val="en-US" w:eastAsia="zh-CN"/>
              </w:rPr>
              <w:t>成交产品送检进行</w:t>
            </w:r>
            <w:r>
              <w:rPr>
                <w:rFonts w:hint="eastAsia" w:ascii="宋体" w:hAnsi="宋体" w:cs="宋体"/>
                <w:color w:val="auto"/>
                <w:kern w:val="0"/>
                <w:szCs w:val="21"/>
              </w:rPr>
              <w:t>测试</w:t>
            </w:r>
            <w:r>
              <w:rPr>
                <w:rFonts w:hint="eastAsia" w:ascii="宋体" w:hAnsi="宋体" w:cs="宋体"/>
                <w:color w:val="auto"/>
                <w:kern w:val="0"/>
                <w:szCs w:val="21"/>
                <w:lang w:val="en-US" w:eastAsia="zh-CN"/>
              </w:rPr>
              <w:t>的</w:t>
            </w:r>
            <w:r>
              <w:rPr>
                <w:rFonts w:hint="eastAsia" w:ascii="宋体" w:hAnsi="宋体" w:cs="宋体"/>
                <w:color w:val="auto"/>
                <w:kern w:val="0"/>
                <w:szCs w:val="21"/>
              </w:rPr>
              <w:t>，按递交虚假响应资料处理，并报请国家相关部门处理；送测费用由成交供应商支付。（成交供应商须提供承诺函，格式自拟，承诺按要求送检测试）。</w:t>
            </w:r>
          </w:p>
        </w:tc>
      </w:tr>
    </w:tbl>
    <w:p w14:paraId="19F591F5">
      <w:pPr>
        <w:rPr>
          <w:rFonts w:ascii="宋体" w:hAnsi="宋体" w:cs="宋体"/>
          <w:color w:val="auto"/>
          <w:sz w:val="30"/>
          <w:szCs w:val="30"/>
        </w:rPr>
      </w:pPr>
    </w:p>
    <w:p w14:paraId="21C46B65">
      <w:pPr>
        <w:rPr>
          <w:rFonts w:ascii="宋体" w:hAnsi="宋体" w:cs="宋体"/>
          <w:color w:val="auto"/>
          <w:sz w:val="30"/>
          <w:szCs w:val="30"/>
        </w:rPr>
      </w:pPr>
    </w:p>
    <w:p w14:paraId="6C82CE7D">
      <w:pPr>
        <w:spacing w:line="240" w:lineRule="auto"/>
        <w:rPr>
          <w:rFonts w:hint="eastAsia" w:ascii="宋体" w:hAnsi="宋体" w:cs="宋体"/>
          <w:color w:val="auto"/>
          <w:sz w:val="30"/>
          <w:szCs w:val="30"/>
        </w:rPr>
      </w:pPr>
      <w:r>
        <w:rPr>
          <w:rFonts w:hint="eastAsia" w:ascii="宋体" w:hAnsi="宋体" w:cs="宋体"/>
          <w:color w:val="auto"/>
          <w:sz w:val="30"/>
          <w:szCs w:val="30"/>
        </w:rPr>
        <w:br w:type="page"/>
      </w:r>
    </w:p>
    <w:p w14:paraId="60FA916A">
      <w:pPr>
        <w:spacing w:line="428" w:lineRule="exact"/>
        <w:rPr>
          <w:rFonts w:ascii="宋体" w:hAnsi="宋体" w:cs="宋体"/>
          <w:color w:val="auto"/>
          <w:sz w:val="17"/>
          <w:szCs w:val="17"/>
        </w:rPr>
      </w:pPr>
      <w:r>
        <w:rPr>
          <w:rFonts w:hint="eastAsia" w:ascii="宋体" w:hAnsi="宋体" w:cs="宋体"/>
          <w:color w:val="auto"/>
          <w:sz w:val="30"/>
          <w:szCs w:val="30"/>
        </w:rPr>
        <w:t>附件1：</w:t>
      </w:r>
    </w:p>
    <w:p w14:paraId="0E658566">
      <w:pPr>
        <w:jc w:val="center"/>
        <w:rPr>
          <w:rFonts w:ascii="宋体" w:hAnsi="宋体" w:cs="宋体"/>
          <w:b/>
          <w:color w:val="auto"/>
          <w:sz w:val="30"/>
          <w:szCs w:val="30"/>
        </w:rPr>
      </w:pPr>
      <w:r>
        <w:rPr>
          <w:rFonts w:hint="eastAsia" w:ascii="宋体" w:hAnsi="宋体" w:cs="宋体"/>
          <w:b/>
          <w:color w:val="auto"/>
          <w:sz w:val="30"/>
          <w:szCs w:val="30"/>
        </w:rPr>
        <w:t>节能产品政府采购品目清单</w:t>
      </w:r>
    </w:p>
    <w:tbl>
      <w:tblPr>
        <w:tblStyle w:val="25"/>
        <w:tblW w:w="9220" w:type="dxa"/>
        <w:tblInd w:w="93" w:type="dxa"/>
        <w:tblLayout w:type="fixed"/>
        <w:tblCellMar>
          <w:top w:w="0" w:type="dxa"/>
          <w:left w:w="108" w:type="dxa"/>
          <w:bottom w:w="0" w:type="dxa"/>
          <w:right w:w="108" w:type="dxa"/>
        </w:tblCellMar>
      </w:tblPr>
      <w:tblGrid>
        <w:gridCol w:w="733"/>
        <w:gridCol w:w="1024"/>
        <w:gridCol w:w="1516"/>
        <w:gridCol w:w="1612"/>
        <w:gridCol w:w="4335"/>
      </w:tblGrid>
      <w:tr w14:paraId="0A557105">
        <w:tblPrEx>
          <w:tblCellMar>
            <w:top w:w="0" w:type="dxa"/>
            <w:left w:w="108" w:type="dxa"/>
            <w:bottom w:w="0" w:type="dxa"/>
            <w:right w:w="108" w:type="dxa"/>
          </w:tblCellMar>
        </w:tblPrEx>
        <w:trPr>
          <w:trHeight w:val="555" w:hRule="atLeast"/>
        </w:trPr>
        <w:tc>
          <w:tcPr>
            <w:tcW w:w="733" w:type="dxa"/>
            <w:tcBorders>
              <w:top w:val="single" w:color="000000" w:sz="8" w:space="0"/>
              <w:left w:val="single" w:color="000000" w:sz="8" w:space="0"/>
              <w:bottom w:val="single" w:color="000000" w:sz="8" w:space="0"/>
              <w:right w:val="single" w:color="000000" w:sz="8" w:space="0"/>
            </w:tcBorders>
          </w:tcPr>
          <w:p w14:paraId="5B443A31">
            <w:pPr>
              <w:widowControl/>
              <w:jc w:val="center"/>
              <w:rPr>
                <w:rFonts w:ascii="宋体" w:hAnsi="宋体" w:cs="宋体"/>
                <w:b/>
                <w:bCs/>
                <w:color w:val="auto"/>
                <w:kern w:val="0"/>
                <w:sz w:val="22"/>
              </w:rPr>
            </w:pPr>
            <w:r>
              <w:rPr>
                <w:rFonts w:hint="eastAsia" w:ascii="宋体" w:hAnsi="宋体" w:cs="宋体"/>
                <w:b/>
                <w:bCs/>
                <w:color w:val="auto"/>
                <w:kern w:val="0"/>
                <w:sz w:val="22"/>
              </w:rPr>
              <w:t>品目序号</w:t>
            </w:r>
          </w:p>
        </w:tc>
        <w:tc>
          <w:tcPr>
            <w:tcW w:w="4152" w:type="dxa"/>
            <w:gridSpan w:val="3"/>
            <w:tcBorders>
              <w:top w:val="single" w:color="000000" w:sz="8" w:space="0"/>
              <w:left w:val="nil"/>
              <w:bottom w:val="single" w:color="000000" w:sz="8" w:space="0"/>
              <w:right w:val="single" w:color="000000" w:sz="8" w:space="0"/>
            </w:tcBorders>
            <w:vAlign w:val="center"/>
          </w:tcPr>
          <w:p w14:paraId="6FDBC208">
            <w:pPr>
              <w:widowControl/>
              <w:jc w:val="center"/>
              <w:rPr>
                <w:rFonts w:ascii="宋体" w:hAnsi="宋体" w:cs="宋体"/>
                <w:b/>
                <w:bCs/>
                <w:color w:val="auto"/>
                <w:kern w:val="0"/>
                <w:sz w:val="22"/>
              </w:rPr>
            </w:pPr>
            <w:r>
              <w:rPr>
                <w:rFonts w:hint="eastAsia" w:ascii="宋体" w:hAnsi="宋体" w:cs="宋体"/>
                <w:b/>
                <w:bCs/>
                <w:color w:val="auto"/>
                <w:kern w:val="0"/>
                <w:sz w:val="22"/>
              </w:rPr>
              <w:t>名称</w:t>
            </w:r>
          </w:p>
        </w:tc>
        <w:tc>
          <w:tcPr>
            <w:tcW w:w="4335" w:type="dxa"/>
            <w:tcBorders>
              <w:top w:val="single" w:color="000000" w:sz="8" w:space="0"/>
              <w:left w:val="nil"/>
              <w:bottom w:val="single" w:color="000000" w:sz="8" w:space="0"/>
              <w:right w:val="single" w:color="000000" w:sz="8" w:space="0"/>
            </w:tcBorders>
            <w:vAlign w:val="center"/>
          </w:tcPr>
          <w:p w14:paraId="0D6E9948">
            <w:pPr>
              <w:widowControl/>
              <w:jc w:val="center"/>
              <w:rPr>
                <w:rFonts w:ascii="宋体" w:hAnsi="宋体" w:cs="宋体"/>
                <w:b/>
                <w:bCs/>
                <w:color w:val="auto"/>
                <w:kern w:val="0"/>
                <w:sz w:val="22"/>
              </w:rPr>
            </w:pPr>
            <w:r>
              <w:rPr>
                <w:rFonts w:hint="eastAsia" w:ascii="宋体" w:hAnsi="宋体" w:cs="宋体"/>
                <w:b/>
                <w:bCs/>
                <w:color w:val="auto"/>
                <w:kern w:val="0"/>
                <w:sz w:val="22"/>
              </w:rPr>
              <w:t>依据的标准</w:t>
            </w:r>
          </w:p>
        </w:tc>
      </w:tr>
      <w:tr w14:paraId="29F19628">
        <w:tblPrEx>
          <w:tblCellMar>
            <w:top w:w="0" w:type="dxa"/>
            <w:left w:w="108" w:type="dxa"/>
            <w:bottom w:w="0" w:type="dxa"/>
            <w:right w:w="108" w:type="dxa"/>
          </w:tblCellMar>
        </w:tblPrEx>
        <w:trPr>
          <w:trHeight w:val="495" w:hRule="atLeast"/>
        </w:trPr>
        <w:tc>
          <w:tcPr>
            <w:tcW w:w="733" w:type="dxa"/>
            <w:vMerge w:val="restart"/>
            <w:tcBorders>
              <w:top w:val="nil"/>
              <w:left w:val="single" w:color="000000" w:sz="8" w:space="0"/>
              <w:bottom w:val="single" w:color="000000" w:sz="8" w:space="0"/>
              <w:right w:val="single" w:color="000000" w:sz="8" w:space="0"/>
            </w:tcBorders>
            <w:vAlign w:val="center"/>
          </w:tcPr>
          <w:p w14:paraId="4E7FF054">
            <w:pPr>
              <w:widowControl/>
              <w:jc w:val="center"/>
              <w:rPr>
                <w:rFonts w:ascii="宋体" w:hAnsi="宋体" w:cs="宋体"/>
                <w:color w:val="auto"/>
                <w:kern w:val="0"/>
                <w:sz w:val="20"/>
                <w:szCs w:val="20"/>
              </w:rPr>
            </w:pPr>
            <w:r>
              <w:rPr>
                <w:rFonts w:hint="eastAsia" w:ascii="宋体" w:hAnsi="宋体" w:cs="宋体"/>
                <w:color w:val="auto"/>
                <w:kern w:val="0"/>
                <w:sz w:val="20"/>
                <w:szCs w:val="20"/>
              </w:rPr>
              <w:t>1</w:t>
            </w:r>
          </w:p>
        </w:tc>
        <w:tc>
          <w:tcPr>
            <w:tcW w:w="1024" w:type="dxa"/>
            <w:vMerge w:val="restart"/>
            <w:tcBorders>
              <w:top w:val="nil"/>
              <w:left w:val="single" w:color="000000" w:sz="8" w:space="0"/>
              <w:bottom w:val="single" w:color="000000" w:sz="8" w:space="0"/>
              <w:right w:val="single" w:color="000000" w:sz="8" w:space="0"/>
            </w:tcBorders>
            <w:vAlign w:val="center"/>
          </w:tcPr>
          <w:p w14:paraId="4089A42B">
            <w:pPr>
              <w:widowControl/>
              <w:jc w:val="center"/>
              <w:rPr>
                <w:rFonts w:ascii="宋体" w:hAnsi="宋体" w:cs="宋体"/>
                <w:color w:val="auto"/>
                <w:kern w:val="0"/>
                <w:sz w:val="20"/>
                <w:szCs w:val="20"/>
              </w:rPr>
            </w:pPr>
            <w:r>
              <w:rPr>
                <w:rFonts w:hint="eastAsia" w:ascii="宋体" w:hAnsi="宋体" w:cs="宋体"/>
                <w:color w:val="auto"/>
                <w:kern w:val="0"/>
                <w:sz w:val="20"/>
                <w:szCs w:val="20"/>
              </w:rPr>
              <w:t>A020101计算机设备</w:t>
            </w:r>
          </w:p>
        </w:tc>
        <w:tc>
          <w:tcPr>
            <w:tcW w:w="1516" w:type="dxa"/>
            <w:tcBorders>
              <w:top w:val="nil"/>
              <w:left w:val="nil"/>
              <w:bottom w:val="single" w:color="000000" w:sz="8" w:space="0"/>
              <w:right w:val="single" w:color="000000" w:sz="8" w:space="0"/>
            </w:tcBorders>
            <w:vAlign w:val="center"/>
          </w:tcPr>
          <w:p w14:paraId="2F76132A">
            <w:pPr>
              <w:widowControl/>
              <w:jc w:val="center"/>
              <w:rPr>
                <w:rFonts w:ascii="宋体" w:hAnsi="宋体" w:cs="宋体"/>
                <w:color w:val="auto"/>
                <w:kern w:val="0"/>
                <w:sz w:val="20"/>
                <w:szCs w:val="20"/>
              </w:rPr>
            </w:pPr>
            <w:r>
              <w:rPr>
                <w:rFonts w:hint="eastAsia" w:ascii="宋体" w:hAnsi="宋体" w:cs="宋体"/>
                <w:color w:val="auto"/>
                <w:kern w:val="0"/>
                <w:sz w:val="20"/>
                <w:szCs w:val="20"/>
              </w:rPr>
              <w:t>★A02010104台式计算机</w:t>
            </w:r>
          </w:p>
        </w:tc>
        <w:tc>
          <w:tcPr>
            <w:tcW w:w="1612" w:type="dxa"/>
            <w:tcBorders>
              <w:top w:val="nil"/>
              <w:left w:val="nil"/>
              <w:bottom w:val="single" w:color="000000" w:sz="8" w:space="0"/>
              <w:right w:val="single" w:color="000000" w:sz="8" w:space="0"/>
            </w:tcBorders>
            <w:vAlign w:val="center"/>
          </w:tcPr>
          <w:p w14:paraId="151D92F6">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335" w:type="dxa"/>
            <w:tcBorders>
              <w:top w:val="nil"/>
              <w:left w:val="nil"/>
              <w:bottom w:val="single" w:color="000000" w:sz="8" w:space="0"/>
              <w:right w:val="single" w:color="000000" w:sz="8" w:space="0"/>
            </w:tcBorders>
            <w:vAlign w:val="center"/>
          </w:tcPr>
          <w:p w14:paraId="0511EF75">
            <w:pPr>
              <w:widowControl/>
              <w:jc w:val="left"/>
              <w:rPr>
                <w:rFonts w:ascii="宋体" w:hAnsi="宋体" w:cs="宋体"/>
                <w:color w:val="auto"/>
                <w:kern w:val="0"/>
                <w:sz w:val="20"/>
                <w:szCs w:val="20"/>
              </w:rPr>
            </w:pPr>
            <w:r>
              <w:rPr>
                <w:rFonts w:hint="eastAsia" w:ascii="宋体" w:hAnsi="宋体" w:cs="宋体"/>
                <w:color w:val="auto"/>
                <w:kern w:val="0"/>
                <w:sz w:val="20"/>
                <w:szCs w:val="20"/>
              </w:rPr>
              <w:t>《微型计算机能效限定值及能效等级》（GB28380）</w:t>
            </w:r>
          </w:p>
        </w:tc>
      </w:tr>
      <w:tr w14:paraId="23544176">
        <w:tblPrEx>
          <w:tblCellMar>
            <w:top w:w="0" w:type="dxa"/>
            <w:left w:w="108" w:type="dxa"/>
            <w:bottom w:w="0" w:type="dxa"/>
            <w:right w:w="108" w:type="dxa"/>
          </w:tblCellMar>
        </w:tblPrEx>
        <w:trPr>
          <w:trHeight w:val="495" w:hRule="atLeast"/>
        </w:trPr>
        <w:tc>
          <w:tcPr>
            <w:tcW w:w="733" w:type="dxa"/>
            <w:vMerge w:val="continue"/>
            <w:tcBorders>
              <w:top w:val="nil"/>
              <w:left w:val="single" w:color="000000" w:sz="8" w:space="0"/>
              <w:bottom w:val="single" w:color="000000" w:sz="8" w:space="0"/>
              <w:right w:val="single" w:color="000000" w:sz="8" w:space="0"/>
            </w:tcBorders>
            <w:vAlign w:val="center"/>
          </w:tcPr>
          <w:p w14:paraId="7300BDC7">
            <w:pPr>
              <w:widowControl/>
              <w:jc w:val="left"/>
              <w:rPr>
                <w:rFonts w:ascii="宋体" w:hAnsi="宋体" w:cs="宋体"/>
                <w:color w:val="auto"/>
                <w:kern w:val="0"/>
                <w:sz w:val="20"/>
                <w:szCs w:val="20"/>
              </w:rPr>
            </w:pPr>
          </w:p>
        </w:tc>
        <w:tc>
          <w:tcPr>
            <w:tcW w:w="1024" w:type="dxa"/>
            <w:vMerge w:val="continue"/>
            <w:tcBorders>
              <w:top w:val="nil"/>
              <w:left w:val="single" w:color="000000" w:sz="8" w:space="0"/>
              <w:bottom w:val="single" w:color="000000" w:sz="8" w:space="0"/>
              <w:right w:val="single" w:color="000000" w:sz="8" w:space="0"/>
            </w:tcBorders>
            <w:vAlign w:val="center"/>
          </w:tcPr>
          <w:p w14:paraId="47D03B7C">
            <w:pPr>
              <w:widowControl/>
              <w:jc w:val="left"/>
              <w:rPr>
                <w:rFonts w:ascii="宋体" w:hAnsi="宋体" w:cs="宋体"/>
                <w:color w:val="auto"/>
                <w:kern w:val="0"/>
                <w:sz w:val="20"/>
                <w:szCs w:val="20"/>
              </w:rPr>
            </w:pPr>
          </w:p>
        </w:tc>
        <w:tc>
          <w:tcPr>
            <w:tcW w:w="1516" w:type="dxa"/>
            <w:tcBorders>
              <w:top w:val="nil"/>
              <w:left w:val="nil"/>
              <w:bottom w:val="single" w:color="000000" w:sz="8" w:space="0"/>
              <w:right w:val="single" w:color="000000" w:sz="8" w:space="0"/>
            </w:tcBorders>
            <w:vAlign w:val="center"/>
          </w:tcPr>
          <w:p w14:paraId="0AC3D365">
            <w:pPr>
              <w:widowControl/>
              <w:jc w:val="center"/>
              <w:rPr>
                <w:rFonts w:ascii="宋体" w:hAnsi="宋体" w:cs="宋体"/>
                <w:color w:val="auto"/>
                <w:kern w:val="0"/>
                <w:sz w:val="20"/>
                <w:szCs w:val="20"/>
              </w:rPr>
            </w:pPr>
            <w:r>
              <w:rPr>
                <w:rFonts w:hint="eastAsia" w:ascii="宋体" w:hAnsi="宋体" w:cs="宋体"/>
                <w:color w:val="auto"/>
                <w:kern w:val="0"/>
                <w:sz w:val="20"/>
                <w:szCs w:val="20"/>
              </w:rPr>
              <w:t>★A02010105便携式计算机</w:t>
            </w:r>
          </w:p>
        </w:tc>
        <w:tc>
          <w:tcPr>
            <w:tcW w:w="1612" w:type="dxa"/>
            <w:tcBorders>
              <w:top w:val="nil"/>
              <w:left w:val="nil"/>
              <w:bottom w:val="single" w:color="000000" w:sz="8" w:space="0"/>
              <w:right w:val="single" w:color="000000" w:sz="8" w:space="0"/>
            </w:tcBorders>
            <w:vAlign w:val="center"/>
          </w:tcPr>
          <w:p w14:paraId="7632CC50">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335" w:type="dxa"/>
            <w:tcBorders>
              <w:top w:val="nil"/>
              <w:left w:val="nil"/>
              <w:bottom w:val="single" w:color="000000" w:sz="8" w:space="0"/>
              <w:right w:val="single" w:color="000000" w:sz="8" w:space="0"/>
            </w:tcBorders>
            <w:vAlign w:val="center"/>
          </w:tcPr>
          <w:p w14:paraId="0A52FD49">
            <w:pPr>
              <w:widowControl/>
              <w:jc w:val="left"/>
              <w:rPr>
                <w:rFonts w:ascii="宋体" w:hAnsi="宋体" w:cs="宋体"/>
                <w:color w:val="auto"/>
                <w:kern w:val="0"/>
                <w:sz w:val="20"/>
                <w:szCs w:val="20"/>
              </w:rPr>
            </w:pPr>
            <w:r>
              <w:rPr>
                <w:rFonts w:hint="eastAsia" w:ascii="宋体" w:hAnsi="宋体" w:cs="宋体"/>
                <w:color w:val="auto"/>
                <w:kern w:val="0"/>
                <w:sz w:val="20"/>
                <w:szCs w:val="20"/>
              </w:rPr>
              <w:t>《微型计算机能效限定值及能效等级》（GB28380）</w:t>
            </w:r>
          </w:p>
        </w:tc>
      </w:tr>
      <w:tr w14:paraId="7AE12D7D">
        <w:tblPrEx>
          <w:tblCellMar>
            <w:top w:w="0" w:type="dxa"/>
            <w:left w:w="108" w:type="dxa"/>
            <w:bottom w:w="0" w:type="dxa"/>
            <w:right w:w="108" w:type="dxa"/>
          </w:tblCellMar>
        </w:tblPrEx>
        <w:trPr>
          <w:trHeight w:val="735" w:hRule="atLeast"/>
        </w:trPr>
        <w:tc>
          <w:tcPr>
            <w:tcW w:w="733" w:type="dxa"/>
            <w:vMerge w:val="continue"/>
            <w:tcBorders>
              <w:top w:val="nil"/>
              <w:left w:val="single" w:color="000000" w:sz="8" w:space="0"/>
              <w:bottom w:val="single" w:color="000000" w:sz="8" w:space="0"/>
              <w:right w:val="single" w:color="000000" w:sz="8" w:space="0"/>
            </w:tcBorders>
            <w:vAlign w:val="center"/>
          </w:tcPr>
          <w:p w14:paraId="184C8374">
            <w:pPr>
              <w:widowControl/>
              <w:jc w:val="left"/>
              <w:rPr>
                <w:rFonts w:ascii="宋体" w:hAnsi="宋体" w:cs="宋体"/>
                <w:color w:val="auto"/>
                <w:kern w:val="0"/>
                <w:sz w:val="20"/>
                <w:szCs w:val="20"/>
              </w:rPr>
            </w:pPr>
          </w:p>
        </w:tc>
        <w:tc>
          <w:tcPr>
            <w:tcW w:w="1024" w:type="dxa"/>
            <w:vMerge w:val="continue"/>
            <w:tcBorders>
              <w:top w:val="nil"/>
              <w:left w:val="single" w:color="000000" w:sz="8" w:space="0"/>
              <w:bottom w:val="single" w:color="000000" w:sz="8" w:space="0"/>
              <w:right w:val="single" w:color="000000" w:sz="8" w:space="0"/>
            </w:tcBorders>
            <w:vAlign w:val="center"/>
          </w:tcPr>
          <w:p w14:paraId="4BA4882E">
            <w:pPr>
              <w:widowControl/>
              <w:jc w:val="left"/>
              <w:rPr>
                <w:rFonts w:ascii="宋体" w:hAnsi="宋体" w:cs="宋体"/>
                <w:color w:val="auto"/>
                <w:kern w:val="0"/>
                <w:sz w:val="20"/>
                <w:szCs w:val="20"/>
              </w:rPr>
            </w:pPr>
          </w:p>
        </w:tc>
        <w:tc>
          <w:tcPr>
            <w:tcW w:w="1516" w:type="dxa"/>
            <w:tcBorders>
              <w:top w:val="nil"/>
              <w:left w:val="nil"/>
              <w:bottom w:val="single" w:color="000000" w:sz="8" w:space="0"/>
              <w:right w:val="single" w:color="000000" w:sz="8" w:space="0"/>
            </w:tcBorders>
            <w:vAlign w:val="center"/>
          </w:tcPr>
          <w:p w14:paraId="38A104B3">
            <w:pPr>
              <w:widowControl/>
              <w:jc w:val="center"/>
              <w:rPr>
                <w:rFonts w:ascii="宋体" w:hAnsi="宋体" w:cs="宋体"/>
                <w:color w:val="auto"/>
                <w:kern w:val="0"/>
                <w:sz w:val="20"/>
                <w:szCs w:val="20"/>
              </w:rPr>
            </w:pPr>
            <w:r>
              <w:rPr>
                <w:rFonts w:hint="eastAsia" w:ascii="宋体" w:hAnsi="宋体" w:cs="宋体"/>
                <w:color w:val="auto"/>
                <w:kern w:val="0"/>
                <w:sz w:val="20"/>
                <w:szCs w:val="20"/>
              </w:rPr>
              <w:t>★A02010107平板式微型计算机</w:t>
            </w:r>
          </w:p>
        </w:tc>
        <w:tc>
          <w:tcPr>
            <w:tcW w:w="1612" w:type="dxa"/>
            <w:tcBorders>
              <w:top w:val="nil"/>
              <w:left w:val="nil"/>
              <w:bottom w:val="single" w:color="000000" w:sz="8" w:space="0"/>
              <w:right w:val="single" w:color="000000" w:sz="8" w:space="0"/>
            </w:tcBorders>
            <w:vAlign w:val="center"/>
          </w:tcPr>
          <w:p w14:paraId="6AA9C5FA">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335" w:type="dxa"/>
            <w:tcBorders>
              <w:top w:val="nil"/>
              <w:left w:val="nil"/>
              <w:bottom w:val="single" w:color="000000" w:sz="8" w:space="0"/>
              <w:right w:val="single" w:color="000000" w:sz="8" w:space="0"/>
            </w:tcBorders>
            <w:vAlign w:val="center"/>
          </w:tcPr>
          <w:p w14:paraId="73E54AD8">
            <w:pPr>
              <w:widowControl/>
              <w:jc w:val="left"/>
              <w:rPr>
                <w:rFonts w:ascii="宋体" w:hAnsi="宋体" w:cs="宋体"/>
                <w:color w:val="auto"/>
                <w:kern w:val="0"/>
                <w:sz w:val="20"/>
                <w:szCs w:val="20"/>
              </w:rPr>
            </w:pPr>
            <w:r>
              <w:rPr>
                <w:rFonts w:hint="eastAsia" w:ascii="宋体" w:hAnsi="宋体" w:cs="宋体"/>
                <w:color w:val="auto"/>
                <w:kern w:val="0"/>
                <w:sz w:val="20"/>
                <w:szCs w:val="20"/>
              </w:rPr>
              <w:t>《微型计算机能效限定值及能效等级》（GB28380）</w:t>
            </w:r>
          </w:p>
        </w:tc>
      </w:tr>
      <w:tr w14:paraId="66BB841B">
        <w:tblPrEx>
          <w:tblCellMar>
            <w:top w:w="0" w:type="dxa"/>
            <w:left w:w="108" w:type="dxa"/>
            <w:bottom w:w="0" w:type="dxa"/>
            <w:right w:w="108" w:type="dxa"/>
          </w:tblCellMar>
        </w:tblPrEx>
        <w:trPr>
          <w:trHeight w:val="495" w:hRule="atLeast"/>
        </w:trPr>
        <w:tc>
          <w:tcPr>
            <w:tcW w:w="733" w:type="dxa"/>
            <w:vMerge w:val="restart"/>
            <w:tcBorders>
              <w:top w:val="nil"/>
              <w:left w:val="single" w:color="000000" w:sz="8" w:space="0"/>
              <w:bottom w:val="single" w:color="000000" w:sz="8" w:space="0"/>
              <w:right w:val="single" w:color="000000" w:sz="8" w:space="0"/>
            </w:tcBorders>
            <w:vAlign w:val="center"/>
          </w:tcPr>
          <w:p w14:paraId="70EAAF5D">
            <w:pPr>
              <w:widowControl/>
              <w:jc w:val="center"/>
              <w:rPr>
                <w:rFonts w:ascii="宋体" w:hAnsi="宋体" w:cs="宋体"/>
                <w:color w:val="auto"/>
                <w:kern w:val="0"/>
                <w:sz w:val="20"/>
                <w:szCs w:val="20"/>
              </w:rPr>
            </w:pPr>
            <w:r>
              <w:rPr>
                <w:rFonts w:hint="eastAsia" w:ascii="宋体" w:hAnsi="宋体" w:cs="宋体"/>
                <w:color w:val="auto"/>
                <w:kern w:val="0"/>
                <w:sz w:val="20"/>
                <w:szCs w:val="20"/>
              </w:rPr>
              <w:t>2</w:t>
            </w:r>
          </w:p>
        </w:tc>
        <w:tc>
          <w:tcPr>
            <w:tcW w:w="1024" w:type="dxa"/>
            <w:vMerge w:val="restart"/>
            <w:tcBorders>
              <w:top w:val="nil"/>
              <w:left w:val="single" w:color="000000" w:sz="8" w:space="0"/>
              <w:bottom w:val="single" w:color="000000" w:sz="8" w:space="0"/>
              <w:right w:val="single" w:color="000000" w:sz="8" w:space="0"/>
            </w:tcBorders>
            <w:vAlign w:val="center"/>
          </w:tcPr>
          <w:p w14:paraId="635B9612">
            <w:pPr>
              <w:widowControl/>
              <w:jc w:val="center"/>
              <w:rPr>
                <w:rFonts w:ascii="宋体" w:hAnsi="宋体" w:cs="宋体"/>
                <w:color w:val="auto"/>
                <w:kern w:val="0"/>
                <w:sz w:val="20"/>
                <w:szCs w:val="20"/>
              </w:rPr>
            </w:pPr>
            <w:r>
              <w:rPr>
                <w:rFonts w:hint="eastAsia" w:ascii="宋体" w:hAnsi="宋体" w:cs="宋体"/>
                <w:color w:val="auto"/>
                <w:kern w:val="0"/>
                <w:sz w:val="20"/>
                <w:szCs w:val="20"/>
              </w:rPr>
              <w:t>A020106输入输出设备</w:t>
            </w:r>
          </w:p>
        </w:tc>
        <w:tc>
          <w:tcPr>
            <w:tcW w:w="1516" w:type="dxa"/>
            <w:vMerge w:val="restart"/>
            <w:tcBorders>
              <w:top w:val="nil"/>
              <w:left w:val="single" w:color="000000" w:sz="8" w:space="0"/>
              <w:bottom w:val="single" w:color="000000" w:sz="8" w:space="0"/>
              <w:right w:val="single" w:color="000000" w:sz="8" w:space="0"/>
            </w:tcBorders>
            <w:vAlign w:val="center"/>
          </w:tcPr>
          <w:p w14:paraId="5F14539E">
            <w:pPr>
              <w:widowControl/>
              <w:jc w:val="center"/>
              <w:rPr>
                <w:rFonts w:ascii="宋体" w:hAnsi="宋体" w:cs="宋体"/>
                <w:color w:val="auto"/>
                <w:kern w:val="0"/>
                <w:sz w:val="20"/>
                <w:szCs w:val="20"/>
              </w:rPr>
            </w:pPr>
            <w:r>
              <w:rPr>
                <w:rFonts w:hint="eastAsia" w:ascii="宋体" w:hAnsi="宋体" w:cs="宋体"/>
                <w:color w:val="auto"/>
                <w:kern w:val="0"/>
                <w:sz w:val="20"/>
                <w:szCs w:val="20"/>
              </w:rPr>
              <w:t>A02010601打印设备</w:t>
            </w:r>
          </w:p>
        </w:tc>
        <w:tc>
          <w:tcPr>
            <w:tcW w:w="1612" w:type="dxa"/>
            <w:tcBorders>
              <w:top w:val="nil"/>
              <w:left w:val="nil"/>
              <w:bottom w:val="single" w:color="000000" w:sz="8" w:space="0"/>
              <w:right w:val="single" w:color="000000" w:sz="8" w:space="0"/>
            </w:tcBorders>
            <w:vAlign w:val="center"/>
          </w:tcPr>
          <w:p w14:paraId="7B2F1DA1">
            <w:pPr>
              <w:widowControl/>
              <w:jc w:val="center"/>
              <w:rPr>
                <w:rFonts w:ascii="宋体" w:hAnsi="宋体" w:cs="宋体"/>
                <w:color w:val="auto"/>
                <w:kern w:val="0"/>
                <w:sz w:val="20"/>
                <w:szCs w:val="20"/>
              </w:rPr>
            </w:pPr>
            <w:r>
              <w:rPr>
                <w:rFonts w:hint="eastAsia" w:ascii="宋体" w:hAnsi="宋体" w:cs="宋体"/>
                <w:color w:val="auto"/>
                <w:kern w:val="0"/>
                <w:sz w:val="20"/>
                <w:szCs w:val="20"/>
              </w:rPr>
              <w:t>A0201060101喷墨打印机</w:t>
            </w:r>
          </w:p>
        </w:tc>
        <w:tc>
          <w:tcPr>
            <w:tcW w:w="4335" w:type="dxa"/>
            <w:tcBorders>
              <w:top w:val="nil"/>
              <w:left w:val="nil"/>
              <w:bottom w:val="single" w:color="000000" w:sz="8" w:space="0"/>
              <w:right w:val="single" w:color="000000" w:sz="8" w:space="0"/>
            </w:tcBorders>
            <w:vAlign w:val="center"/>
          </w:tcPr>
          <w:p w14:paraId="0A13CF46">
            <w:pPr>
              <w:widowControl/>
              <w:jc w:val="left"/>
              <w:rPr>
                <w:rFonts w:ascii="宋体" w:hAnsi="宋体" w:cs="宋体"/>
                <w:color w:val="auto"/>
                <w:kern w:val="0"/>
                <w:sz w:val="20"/>
                <w:szCs w:val="20"/>
              </w:rPr>
            </w:pPr>
            <w:r>
              <w:rPr>
                <w:rFonts w:hint="eastAsia" w:ascii="宋体" w:hAnsi="宋体" w:cs="宋体"/>
                <w:color w:val="auto"/>
                <w:kern w:val="0"/>
                <w:sz w:val="20"/>
                <w:szCs w:val="20"/>
              </w:rPr>
              <w:t>《复印机、打印机和传真机能效限定值及能效等级》（GB21521）</w:t>
            </w:r>
          </w:p>
        </w:tc>
      </w:tr>
      <w:tr w14:paraId="600F33ED">
        <w:tblPrEx>
          <w:tblCellMar>
            <w:top w:w="0" w:type="dxa"/>
            <w:left w:w="108" w:type="dxa"/>
            <w:bottom w:w="0" w:type="dxa"/>
            <w:right w:w="108" w:type="dxa"/>
          </w:tblCellMar>
        </w:tblPrEx>
        <w:trPr>
          <w:trHeight w:val="495" w:hRule="atLeast"/>
        </w:trPr>
        <w:tc>
          <w:tcPr>
            <w:tcW w:w="733" w:type="dxa"/>
            <w:vMerge w:val="continue"/>
            <w:tcBorders>
              <w:top w:val="nil"/>
              <w:left w:val="single" w:color="000000" w:sz="8" w:space="0"/>
              <w:bottom w:val="single" w:color="000000" w:sz="8" w:space="0"/>
              <w:right w:val="single" w:color="000000" w:sz="8" w:space="0"/>
            </w:tcBorders>
            <w:vAlign w:val="center"/>
          </w:tcPr>
          <w:p w14:paraId="1702DB3A">
            <w:pPr>
              <w:widowControl/>
              <w:jc w:val="left"/>
              <w:rPr>
                <w:rFonts w:ascii="宋体" w:hAnsi="宋体" w:cs="宋体"/>
                <w:color w:val="auto"/>
                <w:kern w:val="0"/>
                <w:sz w:val="20"/>
                <w:szCs w:val="20"/>
              </w:rPr>
            </w:pPr>
          </w:p>
        </w:tc>
        <w:tc>
          <w:tcPr>
            <w:tcW w:w="1024" w:type="dxa"/>
            <w:vMerge w:val="continue"/>
            <w:tcBorders>
              <w:top w:val="nil"/>
              <w:left w:val="single" w:color="000000" w:sz="8" w:space="0"/>
              <w:bottom w:val="single" w:color="000000" w:sz="8" w:space="0"/>
              <w:right w:val="single" w:color="000000" w:sz="8" w:space="0"/>
            </w:tcBorders>
            <w:vAlign w:val="center"/>
          </w:tcPr>
          <w:p w14:paraId="040D2766">
            <w:pPr>
              <w:widowControl/>
              <w:jc w:val="left"/>
              <w:rPr>
                <w:rFonts w:ascii="宋体" w:hAnsi="宋体" w:cs="宋体"/>
                <w:color w:val="auto"/>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4F332DE1">
            <w:pPr>
              <w:widowControl/>
              <w:jc w:val="left"/>
              <w:rPr>
                <w:rFonts w:ascii="宋体" w:hAnsi="宋体" w:cs="宋体"/>
                <w:color w:val="auto"/>
                <w:kern w:val="0"/>
                <w:sz w:val="20"/>
                <w:szCs w:val="20"/>
              </w:rPr>
            </w:pPr>
          </w:p>
        </w:tc>
        <w:tc>
          <w:tcPr>
            <w:tcW w:w="1612" w:type="dxa"/>
            <w:tcBorders>
              <w:top w:val="nil"/>
              <w:left w:val="nil"/>
              <w:bottom w:val="single" w:color="000000" w:sz="8" w:space="0"/>
              <w:right w:val="single" w:color="000000" w:sz="8" w:space="0"/>
            </w:tcBorders>
            <w:vAlign w:val="center"/>
          </w:tcPr>
          <w:p w14:paraId="270EB1B5">
            <w:pPr>
              <w:widowControl/>
              <w:jc w:val="center"/>
              <w:rPr>
                <w:rFonts w:ascii="宋体" w:hAnsi="宋体" w:cs="宋体"/>
                <w:color w:val="auto"/>
                <w:kern w:val="0"/>
                <w:sz w:val="20"/>
                <w:szCs w:val="20"/>
              </w:rPr>
            </w:pPr>
            <w:r>
              <w:rPr>
                <w:rFonts w:hint="eastAsia" w:ascii="宋体" w:hAnsi="宋体" w:cs="宋体"/>
                <w:color w:val="auto"/>
                <w:kern w:val="0"/>
                <w:sz w:val="20"/>
                <w:szCs w:val="20"/>
              </w:rPr>
              <w:t>★A0201060102激光打印机</w:t>
            </w:r>
          </w:p>
        </w:tc>
        <w:tc>
          <w:tcPr>
            <w:tcW w:w="4335" w:type="dxa"/>
            <w:tcBorders>
              <w:top w:val="nil"/>
              <w:left w:val="nil"/>
              <w:bottom w:val="single" w:color="000000" w:sz="8" w:space="0"/>
              <w:right w:val="single" w:color="000000" w:sz="8" w:space="0"/>
            </w:tcBorders>
            <w:vAlign w:val="center"/>
          </w:tcPr>
          <w:p w14:paraId="1B4FA604">
            <w:pPr>
              <w:widowControl/>
              <w:jc w:val="left"/>
              <w:rPr>
                <w:rFonts w:ascii="宋体" w:hAnsi="宋体" w:cs="宋体"/>
                <w:color w:val="auto"/>
                <w:kern w:val="0"/>
                <w:sz w:val="20"/>
                <w:szCs w:val="20"/>
              </w:rPr>
            </w:pPr>
            <w:r>
              <w:rPr>
                <w:rFonts w:hint="eastAsia" w:ascii="宋体" w:hAnsi="宋体" w:cs="宋体"/>
                <w:color w:val="auto"/>
                <w:kern w:val="0"/>
                <w:sz w:val="20"/>
                <w:szCs w:val="20"/>
              </w:rPr>
              <w:t>《复印机、打印机和传真机能效限定值及能效等级》（GB21521）</w:t>
            </w:r>
          </w:p>
        </w:tc>
      </w:tr>
      <w:tr w14:paraId="3A5E0667">
        <w:tblPrEx>
          <w:tblCellMar>
            <w:top w:w="0" w:type="dxa"/>
            <w:left w:w="108" w:type="dxa"/>
            <w:bottom w:w="0" w:type="dxa"/>
            <w:right w:w="108" w:type="dxa"/>
          </w:tblCellMar>
        </w:tblPrEx>
        <w:trPr>
          <w:trHeight w:val="495" w:hRule="atLeast"/>
        </w:trPr>
        <w:tc>
          <w:tcPr>
            <w:tcW w:w="733" w:type="dxa"/>
            <w:vMerge w:val="continue"/>
            <w:tcBorders>
              <w:top w:val="nil"/>
              <w:left w:val="single" w:color="000000" w:sz="8" w:space="0"/>
              <w:bottom w:val="single" w:color="000000" w:sz="8" w:space="0"/>
              <w:right w:val="single" w:color="000000" w:sz="8" w:space="0"/>
            </w:tcBorders>
            <w:vAlign w:val="center"/>
          </w:tcPr>
          <w:p w14:paraId="1B0FFA2F">
            <w:pPr>
              <w:widowControl/>
              <w:jc w:val="left"/>
              <w:rPr>
                <w:rFonts w:ascii="宋体" w:hAnsi="宋体" w:cs="宋体"/>
                <w:color w:val="auto"/>
                <w:kern w:val="0"/>
                <w:sz w:val="20"/>
                <w:szCs w:val="20"/>
              </w:rPr>
            </w:pPr>
          </w:p>
        </w:tc>
        <w:tc>
          <w:tcPr>
            <w:tcW w:w="1024" w:type="dxa"/>
            <w:vMerge w:val="continue"/>
            <w:tcBorders>
              <w:top w:val="nil"/>
              <w:left w:val="single" w:color="000000" w:sz="8" w:space="0"/>
              <w:bottom w:val="single" w:color="000000" w:sz="8" w:space="0"/>
              <w:right w:val="single" w:color="000000" w:sz="8" w:space="0"/>
            </w:tcBorders>
            <w:vAlign w:val="center"/>
          </w:tcPr>
          <w:p w14:paraId="692B56A2">
            <w:pPr>
              <w:widowControl/>
              <w:jc w:val="left"/>
              <w:rPr>
                <w:rFonts w:ascii="宋体" w:hAnsi="宋体" w:cs="宋体"/>
                <w:color w:val="auto"/>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7C64A8CE">
            <w:pPr>
              <w:widowControl/>
              <w:jc w:val="left"/>
              <w:rPr>
                <w:rFonts w:ascii="宋体" w:hAnsi="宋体" w:cs="宋体"/>
                <w:color w:val="auto"/>
                <w:kern w:val="0"/>
                <w:sz w:val="20"/>
                <w:szCs w:val="20"/>
              </w:rPr>
            </w:pPr>
          </w:p>
        </w:tc>
        <w:tc>
          <w:tcPr>
            <w:tcW w:w="1612" w:type="dxa"/>
            <w:tcBorders>
              <w:top w:val="nil"/>
              <w:left w:val="nil"/>
              <w:bottom w:val="single" w:color="000000" w:sz="8" w:space="0"/>
              <w:right w:val="single" w:color="000000" w:sz="8" w:space="0"/>
            </w:tcBorders>
            <w:vAlign w:val="center"/>
          </w:tcPr>
          <w:p w14:paraId="39555BA3">
            <w:pPr>
              <w:widowControl/>
              <w:jc w:val="center"/>
              <w:rPr>
                <w:rFonts w:ascii="宋体" w:hAnsi="宋体" w:cs="宋体"/>
                <w:color w:val="auto"/>
                <w:kern w:val="0"/>
                <w:sz w:val="20"/>
                <w:szCs w:val="20"/>
              </w:rPr>
            </w:pPr>
            <w:r>
              <w:rPr>
                <w:rFonts w:hint="eastAsia" w:ascii="宋体" w:hAnsi="宋体" w:cs="宋体"/>
                <w:color w:val="auto"/>
                <w:kern w:val="0"/>
                <w:sz w:val="20"/>
                <w:szCs w:val="20"/>
              </w:rPr>
              <w:t>★A0201060104针式打印机</w:t>
            </w:r>
          </w:p>
        </w:tc>
        <w:tc>
          <w:tcPr>
            <w:tcW w:w="4335" w:type="dxa"/>
            <w:tcBorders>
              <w:top w:val="nil"/>
              <w:left w:val="nil"/>
              <w:bottom w:val="single" w:color="000000" w:sz="8" w:space="0"/>
              <w:right w:val="single" w:color="000000" w:sz="8" w:space="0"/>
            </w:tcBorders>
            <w:vAlign w:val="center"/>
          </w:tcPr>
          <w:p w14:paraId="2B6F34BA">
            <w:pPr>
              <w:widowControl/>
              <w:jc w:val="left"/>
              <w:rPr>
                <w:rFonts w:ascii="宋体" w:hAnsi="宋体" w:cs="宋体"/>
                <w:color w:val="auto"/>
                <w:kern w:val="0"/>
                <w:sz w:val="20"/>
                <w:szCs w:val="20"/>
              </w:rPr>
            </w:pPr>
            <w:r>
              <w:rPr>
                <w:rFonts w:hint="eastAsia" w:ascii="宋体" w:hAnsi="宋体" w:cs="宋体"/>
                <w:color w:val="auto"/>
                <w:kern w:val="0"/>
                <w:sz w:val="20"/>
                <w:szCs w:val="20"/>
              </w:rPr>
              <w:t>《复印机、打印机和传真机能效限定值及能效等级》（GB21521）</w:t>
            </w:r>
          </w:p>
        </w:tc>
      </w:tr>
      <w:tr w14:paraId="1AAF3EF6">
        <w:tblPrEx>
          <w:tblCellMar>
            <w:top w:w="0" w:type="dxa"/>
            <w:left w:w="108" w:type="dxa"/>
            <w:bottom w:w="0" w:type="dxa"/>
            <w:right w:w="108" w:type="dxa"/>
          </w:tblCellMar>
        </w:tblPrEx>
        <w:trPr>
          <w:trHeight w:val="495" w:hRule="atLeast"/>
        </w:trPr>
        <w:tc>
          <w:tcPr>
            <w:tcW w:w="733" w:type="dxa"/>
            <w:vMerge w:val="continue"/>
            <w:tcBorders>
              <w:top w:val="nil"/>
              <w:left w:val="single" w:color="000000" w:sz="8" w:space="0"/>
              <w:bottom w:val="single" w:color="000000" w:sz="8" w:space="0"/>
              <w:right w:val="single" w:color="000000" w:sz="8" w:space="0"/>
            </w:tcBorders>
            <w:vAlign w:val="center"/>
          </w:tcPr>
          <w:p w14:paraId="2CE2D6F0">
            <w:pPr>
              <w:widowControl/>
              <w:jc w:val="left"/>
              <w:rPr>
                <w:rFonts w:ascii="宋体" w:hAnsi="宋体" w:cs="宋体"/>
                <w:color w:val="auto"/>
                <w:kern w:val="0"/>
                <w:sz w:val="20"/>
                <w:szCs w:val="20"/>
              </w:rPr>
            </w:pPr>
          </w:p>
        </w:tc>
        <w:tc>
          <w:tcPr>
            <w:tcW w:w="1024" w:type="dxa"/>
            <w:vMerge w:val="continue"/>
            <w:tcBorders>
              <w:top w:val="nil"/>
              <w:left w:val="single" w:color="000000" w:sz="8" w:space="0"/>
              <w:bottom w:val="single" w:color="000000" w:sz="8" w:space="0"/>
              <w:right w:val="single" w:color="000000" w:sz="8" w:space="0"/>
            </w:tcBorders>
            <w:vAlign w:val="center"/>
          </w:tcPr>
          <w:p w14:paraId="026DE31E">
            <w:pPr>
              <w:widowControl/>
              <w:jc w:val="left"/>
              <w:rPr>
                <w:rFonts w:ascii="宋体" w:hAnsi="宋体" w:cs="宋体"/>
                <w:color w:val="auto"/>
                <w:kern w:val="0"/>
                <w:sz w:val="20"/>
                <w:szCs w:val="20"/>
              </w:rPr>
            </w:pPr>
          </w:p>
        </w:tc>
        <w:tc>
          <w:tcPr>
            <w:tcW w:w="1516" w:type="dxa"/>
            <w:tcBorders>
              <w:top w:val="nil"/>
              <w:left w:val="nil"/>
              <w:bottom w:val="single" w:color="000000" w:sz="8" w:space="0"/>
              <w:right w:val="single" w:color="000000" w:sz="8" w:space="0"/>
            </w:tcBorders>
            <w:vAlign w:val="center"/>
          </w:tcPr>
          <w:p w14:paraId="5F3B0EE2">
            <w:pPr>
              <w:widowControl/>
              <w:jc w:val="center"/>
              <w:rPr>
                <w:rFonts w:ascii="宋体" w:hAnsi="宋体" w:cs="宋体"/>
                <w:color w:val="auto"/>
                <w:kern w:val="0"/>
                <w:sz w:val="20"/>
                <w:szCs w:val="20"/>
              </w:rPr>
            </w:pPr>
            <w:r>
              <w:rPr>
                <w:rFonts w:hint="eastAsia" w:ascii="宋体" w:hAnsi="宋体" w:cs="宋体"/>
                <w:color w:val="auto"/>
                <w:kern w:val="0"/>
                <w:sz w:val="20"/>
                <w:szCs w:val="20"/>
              </w:rPr>
              <w:t>A02010604显示设备</w:t>
            </w:r>
          </w:p>
        </w:tc>
        <w:tc>
          <w:tcPr>
            <w:tcW w:w="1612" w:type="dxa"/>
            <w:tcBorders>
              <w:top w:val="nil"/>
              <w:left w:val="nil"/>
              <w:bottom w:val="single" w:color="000000" w:sz="8" w:space="0"/>
              <w:right w:val="single" w:color="000000" w:sz="8" w:space="0"/>
            </w:tcBorders>
            <w:vAlign w:val="center"/>
          </w:tcPr>
          <w:p w14:paraId="21E5FF92">
            <w:pPr>
              <w:widowControl/>
              <w:jc w:val="center"/>
              <w:rPr>
                <w:rFonts w:ascii="宋体" w:hAnsi="宋体" w:cs="宋体"/>
                <w:color w:val="auto"/>
                <w:kern w:val="0"/>
                <w:sz w:val="20"/>
                <w:szCs w:val="20"/>
              </w:rPr>
            </w:pPr>
            <w:r>
              <w:rPr>
                <w:rFonts w:hint="eastAsia" w:ascii="宋体" w:hAnsi="宋体" w:cs="宋体"/>
                <w:color w:val="auto"/>
                <w:kern w:val="0"/>
                <w:sz w:val="20"/>
                <w:szCs w:val="20"/>
              </w:rPr>
              <w:t>★A0201060401液晶显示器</w:t>
            </w:r>
          </w:p>
        </w:tc>
        <w:tc>
          <w:tcPr>
            <w:tcW w:w="4335" w:type="dxa"/>
            <w:tcBorders>
              <w:top w:val="nil"/>
              <w:left w:val="nil"/>
              <w:bottom w:val="single" w:color="000000" w:sz="8" w:space="0"/>
              <w:right w:val="single" w:color="000000" w:sz="8" w:space="0"/>
            </w:tcBorders>
            <w:vAlign w:val="center"/>
          </w:tcPr>
          <w:p w14:paraId="145EE6CA">
            <w:pPr>
              <w:widowControl/>
              <w:jc w:val="left"/>
              <w:rPr>
                <w:rFonts w:ascii="宋体" w:hAnsi="宋体" w:cs="宋体"/>
                <w:color w:val="auto"/>
                <w:kern w:val="0"/>
                <w:sz w:val="20"/>
                <w:szCs w:val="20"/>
              </w:rPr>
            </w:pPr>
            <w:r>
              <w:rPr>
                <w:rFonts w:hint="eastAsia" w:ascii="宋体" w:hAnsi="宋体" w:cs="宋体"/>
                <w:color w:val="auto"/>
                <w:kern w:val="0"/>
                <w:sz w:val="20"/>
                <w:szCs w:val="20"/>
              </w:rPr>
              <w:t>《计算机显示器能效限定值及能效等级》（GB21520）</w:t>
            </w:r>
          </w:p>
        </w:tc>
      </w:tr>
      <w:tr w14:paraId="5E4D7AE6">
        <w:tblPrEx>
          <w:tblCellMar>
            <w:top w:w="0" w:type="dxa"/>
            <w:left w:w="108" w:type="dxa"/>
            <w:bottom w:w="0" w:type="dxa"/>
            <w:right w:w="108" w:type="dxa"/>
          </w:tblCellMar>
        </w:tblPrEx>
        <w:trPr>
          <w:trHeight w:val="975" w:hRule="atLeast"/>
        </w:trPr>
        <w:tc>
          <w:tcPr>
            <w:tcW w:w="733" w:type="dxa"/>
            <w:vMerge w:val="continue"/>
            <w:tcBorders>
              <w:top w:val="nil"/>
              <w:left w:val="single" w:color="000000" w:sz="8" w:space="0"/>
              <w:bottom w:val="single" w:color="000000" w:sz="8" w:space="0"/>
              <w:right w:val="single" w:color="000000" w:sz="8" w:space="0"/>
            </w:tcBorders>
            <w:vAlign w:val="center"/>
          </w:tcPr>
          <w:p w14:paraId="3E2B35D7">
            <w:pPr>
              <w:widowControl/>
              <w:jc w:val="left"/>
              <w:rPr>
                <w:rFonts w:ascii="宋体" w:hAnsi="宋体" w:cs="宋体"/>
                <w:color w:val="auto"/>
                <w:kern w:val="0"/>
                <w:sz w:val="20"/>
                <w:szCs w:val="20"/>
              </w:rPr>
            </w:pPr>
          </w:p>
        </w:tc>
        <w:tc>
          <w:tcPr>
            <w:tcW w:w="1024" w:type="dxa"/>
            <w:vMerge w:val="continue"/>
            <w:tcBorders>
              <w:top w:val="nil"/>
              <w:left w:val="single" w:color="000000" w:sz="8" w:space="0"/>
              <w:bottom w:val="single" w:color="000000" w:sz="8" w:space="0"/>
              <w:right w:val="single" w:color="000000" w:sz="8" w:space="0"/>
            </w:tcBorders>
            <w:vAlign w:val="center"/>
          </w:tcPr>
          <w:p w14:paraId="55562F5C">
            <w:pPr>
              <w:widowControl/>
              <w:jc w:val="left"/>
              <w:rPr>
                <w:rFonts w:ascii="宋体" w:hAnsi="宋体" w:cs="宋体"/>
                <w:color w:val="auto"/>
                <w:kern w:val="0"/>
                <w:sz w:val="20"/>
                <w:szCs w:val="20"/>
              </w:rPr>
            </w:pPr>
          </w:p>
        </w:tc>
        <w:tc>
          <w:tcPr>
            <w:tcW w:w="1516" w:type="dxa"/>
            <w:tcBorders>
              <w:top w:val="nil"/>
              <w:left w:val="nil"/>
              <w:bottom w:val="single" w:color="000000" w:sz="8" w:space="0"/>
              <w:right w:val="single" w:color="000000" w:sz="8" w:space="0"/>
            </w:tcBorders>
            <w:vAlign w:val="center"/>
          </w:tcPr>
          <w:p w14:paraId="52C53353">
            <w:pPr>
              <w:widowControl/>
              <w:jc w:val="center"/>
              <w:rPr>
                <w:rFonts w:ascii="宋体" w:hAnsi="宋体" w:cs="宋体"/>
                <w:color w:val="auto"/>
                <w:kern w:val="0"/>
                <w:sz w:val="20"/>
                <w:szCs w:val="20"/>
              </w:rPr>
            </w:pPr>
            <w:r>
              <w:rPr>
                <w:rFonts w:hint="eastAsia" w:ascii="宋体" w:hAnsi="宋体" w:cs="宋体"/>
                <w:color w:val="auto"/>
                <w:kern w:val="0"/>
                <w:sz w:val="20"/>
                <w:szCs w:val="20"/>
              </w:rPr>
              <w:t>A02010609图形图像输入设备</w:t>
            </w:r>
          </w:p>
        </w:tc>
        <w:tc>
          <w:tcPr>
            <w:tcW w:w="1612" w:type="dxa"/>
            <w:tcBorders>
              <w:top w:val="nil"/>
              <w:left w:val="nil"/>
              <w:bottom w:val="single" w:color="000000" w:sz="8" w:space="0"/>
              <w:right w:val="single" w:color="000000" w:sz="8" w:space="0"/>
            </w:tcBorders>
            <w:vAlign w:val="center"/>
          </w:tcPr>
          <w:p w14:paraId="6BF4558A">
            <w:pPr>
              <w:widowControl/>
              <w:jc w:val="center"/>
              <w:rPr>
                <w:rFonts w:ascii="宋体" w:hAnsi="宋体" w:cs="宋体"/>
                <w:color w:val="auto"/>
                <w:kern w:val="0"/>
                <w:sz w:val="20"/>
                <w:szCs w:val="20"/>
              </w:rPr>
            </w:pPr>
            <w:r>
              <w:rPr>
                <w:rFonts w:hint="eastAsia" w:ascii="宋体" w:hAnsi="宋体" w:cs="宋体"/>
                <w:color w:val="auto"/>
                <w:kern w:val="0"/>
                <w:sz w:val="20"/>
                <w:szCs w:val="20"/>
              </w:rPr>
              <w:t>A0201060901扫描仪</w:t>
            </w:r>
          </w:p>
        </w:tc>
        <w:tc>
          <w:tcPr>
            <w:tcW w:w="4335" w:type="dxa"/>
            <w:tcBorders>
              <w:top w:val="nil"/>
              <w:left w:val="nil"/>
              <w:bottom w:val="single" w:color="000000" w:sz="8" w:space="0"/>
              <w:right w:val="single" w:color="000000" w:sz="8" w:space="0"/>
            </w:tcBorders>
            <w:vAlign w:val="center"/>
          </w:tcPr>
          <w:p w14:paraId="35AC86F8">
            <w:pPr>
              <w:widowControl/>
              <w:jc w:val="left"/>
              <w:rPr>
                <w:rFonts w:ascii="宋体" w:hAnsi="宋体" w:cs="宋体"/>
                <w:color w:val="auto"/>
                <w:kern w:val="0"/>
                <w:sz w:val="20"/>
                <w:szCs w:val="20"/>
              </w:rPr>
            </w:pPr>
            <w:r>
              <w:rPr>
                <w:rFonts w:hint="eastAsia" w:ascii="宋体" w:hAnsi="宋体" w:cs="宋体"/>
                <w:color w:val="auto"/>
                <w:kern w:val="0"/>
                <w:sz w:val="20"/>
                <w:szCs w:val="20"/>
              </w:rPr>
              <w:t>参照《复印机、打印机和传真机能效限定值及能效等级》GB21521中打印速度为15页/分的针式打印机相关要求中打印速度为15页/分的针式打印机相关要求</w:t>
            </w:r>
          </w:p>
        </w:tc>
      </w:tr>
      <w:tr w14:paraId="53B9D28D">
        <w:tblPrEx>
          <w:tblCellMar>
            <w:top w:w="0" w:type="dxa"/>
            <w:left w:w="108" w:type="dxa"/>
            <w:bottom w:w="0" w:type="dxa"/>
            <w:right w:w="108" w:type="dxa"/>
          </w:tblCellMar>
        </w:tblPrEx>
        <w:trPr>
          <w:trHeight w:val="495" w:hRule="atLeast"/>
        </w:trPr>
        <w:tc>
          <w:tcPr>
            <w:tcW w:w="733" w:type="dxa"/>
            <w:tcBorders>
              <w:top w:val="nil"/>
              <w:left w:val="single" w:color="000000" w:sz="8" w:space="0"/>
              <w:bottom w:val="single" w:color="000000" w:sz="8" w:space="0"/>
              <w:right w:val="single" w:color="000000" w:sz="8" w:space="0"/>
            </w:tcBorders>
            <w:vAlign w:val="center"/>
          </w:tcPr>
          <w:p w14:paraId="6512682D">
            <w:pPr>
              <w:widowControl/>
              <w:jc w:val="center"/>
              <w:rPr>
                <w:rFonts w:ascii="宋体" w:hAnsi="宋体" w:cs="宋体"/>
                <w:color w:val="auto"/>
                <w:kern w:val="0"/>
                <w:sz w:val="20"/>
                <w:szCs w:val="20"/>
              </w:rPr>
            </w:pPr>
            <w:r>
              <w:rPr>
                <w:rFonts w:hint="eastAsia" w:ascii="宋体" w:hAnsi="宋体" w:cs="宋体"/>
                <w:color w:val="auto"/>
                <w:kern w:val="0"/>
                <w:sz w:val="20"/>
                <w:szCs w:val="20"/>
              </w:rPr>
              <w:t>3</w:t>
            </w:r>
          </w:p>
        </w:tc>
        <w:tc>
          <w:tcPr>
            <w:tcW w:w="1024" w:type="dxa"/>
            <w:tcBorders>
              <w:top w:val="nil"/>
              <w:left w:val="nil"/>
              <w:bottom w:val="single" w:color="000000" w:sz="8" w:space="0"/>
              <w:right w:val="single" w:color="000000" w:sz="8" w:space="0"/>
            </w:tcBorders>
            <w:vAlign w:val="center"/>
          </w:tcPr>
          <w:p w14:paraId="327CFC8F">
            <w:pPr>
              <w:widowControl/>
              <w:jc w:val="center"/>
              <w:rPr>
                <w:rFonts w:ascii="宋体" w:hAnsi="宋体" w:cs="宋体"/>
                <w:color w:val="auto"/>
                <w:kern w:val="0"/>
                <w:sz w:val="20"/>
                <w:szCs w:val="20"/>
              </w:rPr>
            </w:pPr>
            <w:r>
              <w:rPr>
                <w:rFonts w:hint="eastAsia" w:ascii="宋体" w:hAnsi="宋体" w:cs="宋体"/>
                <w:color w:val="auto"/>
                <w:kern w:val="0"/>
                <w:sz w:val="20"/>
                <w:szCs w:val="20"/>
              </w:rPr>
              <w:t>A020202投影仪</w:t>
            </w:r>
          </w:p>
        </w:tc>
        <w:tc>
          <w:tcPr>
            <w:tcW w:w="1516" w:type="dxa"/>
            <w:tcBorders>
              <w:top w:val="nil"/>
              <w:left w:val="nil"/>
              <w:bottom w:val="single" w:color="000000" w:sz="8" w:space="0"/>
              <w:right w:val="single" w:color="000000" w:sz="8" w:space="0"/>
            </w:tcBorders>
            <w:vAlign w:val="center"/>
          </w:tcPr>
          <w:p w14:paraId="0FF7F9E3">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612" w:type="dxa"/>
            <w:tcBorders>
              <w:top w:val="nil"/>
              <w:left w:val="nil"/>
              <w:bottom w:val="single" w:color="000000" w:sz="8" w:space="0"/>
              <w:right w:val="single" w:color="000000" w:sz="8" w:space="0"/>
            </w:tcBorders>
            <w:vAlign w:val="center"/>
          </w:tcPr>
          <w:p w14:paraId="62FFFE66">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335" w:type="dxa"/>
            <w:tcBorders>
              <w:top w:val="nil"/>
              <w:left w:val="nil"/>
              <w:bottom w:val="single" w:color="000000" w:sz="8" w:space="0"/>
              <w:right w:val="single" w:color="000000" w:sz="8" w:space="0"/>
            </w:tcBorders>
            <w:vAlign w:val="center"/>
          </w:tcPr>
          <w:p w14:paraId="2B3BF228">
            <w:pPr>
              <w:widowControl/>
              <w:jc w:val="left"/>
              <w:rPr>
                <w:rFonts w:ascii="宋体" w:hAnsi="宋体" w:cs="宋体"/>
                <w:color w:val="auto"/>
                <w:kern w:val="0"/>
                <w:sz w:val="20"/>
                <w:szCs w:val="20"/>
              </w:rPr>
            </w:pPr>
            <w:r>
              <w:rPr>
                <w:rFonts w:hint="eastAsia" w:ascii="宋体" w:hAnsi="宋体" w:cs="宋体"/>
                <w:color w:val="auto"/>
                <w:kern w:val="0"/>
                <w:sz w:val="20"/>
                <w:szCs w:val="20"/>
              </w:rPr>
              <w:t>《投影机能效限定值及能效等级》（GB32028）</w:t>
            </w:r>
          </w:p>
        </w:tc>
      </w:tr>
      <w:tr w14:paraId="3A7247D1">
        <w:tblPrEx>
          <w:tblCellMar>
            <w:top w:w="0" w:type="dxa"/>
            <w:left w:w="108" w:type="dxa"/>
            <w:bottom w:w="0" w:type="dxa"/>
            <w:right w:w="108" w:type="dxa"/>
          </w:tblCellMar>
        </w:tblPrEx>
        <w:trPr>
          <w:trHeight w:val="495" w:hRule="atLeast"/>
        </w:trPr>
        <w:tc>
          <w:tcPr>
            <w:tcW w:w="733" w:type="dxa"/>
            <w:tcBorders>
              <w:top w:val="nil"/>
              <w:left w:val="single" w:color="000000" w:sz="8" w:space="0"/>
              <w:bottom w:val="single" w:color="000000" w:sz="8" w:space="0"/>
              <w:right w:val="single" w:color="000000" w:sz="8" w:space="0"/>
            </w:tcBorders>
            <w:vAlign w:val="center"/>
          </w:tcPr>
          <w:p w14:paraId="5A8C068F">
            <w:pPr>
              <w:widowControl/>
              <w:jc w:val="center"/>
              <w:rPr>
                <w:rFonts w:ascii="宋体" w:hAnsi="宋体" w:cs="宋体"/>
                <w:color w:val="auto"/>
                <w:kern w:val="0"/>
                <w:sz w:val="20"/>
                <w:szCs w:val="20"/>
              </w:rPr>
            </w:pPr>
            <w:r>
              <w:rPr>
                <w:rFonts w:hint="eastAsia" w:ascii="宋体" w:hAnsi="宋体" w:cs="宋体"/>
                <w:color w:val="auto"/>
                <w:kern w:val="0"/>
                <w:sz w:val="20"/>
                <w:szCs w:val="20"/>
              </w:rPr>
              <w:t>4</w:t>
            </w:r>
          </w:p>
        </w:tc>
        <w:tc>
          <w:tcPr>
            <w:tcW w:w="1024" w:type="dxa"/>
            <w:tcBorders>
              <w:top w:val="nil"/>
              <w:left w:val="nil"/>
              <w:bottom w:val="single" w:color="000000" w:sz="8" w:space="0"/>
              <w:right w:val="single" w:color="000000" w:sz="8" w:space="0"/>
            </w:tcBorders>
            <w:vAlign w:val="center"/>
          </w:tcPr>
          <w:p w14:paraId="05C4FA70">
            <w:pPr>
              <w:widowControl/>
              <w:jc w:val="center"/>
              <w:rPr>
                <w:rFonts w:ascii="宋体" w:hAnsi="宋体" w:cs="宋体"/>
                <w:color w:val="auto"/>
                <w:kern w:val="0"/>
                <w:sz w:val="20"/>
                <w:szCs w:val="20"/>
              </w:rPr>
            </w:pPr>
            <w:r>
              <w:rPr>
                <w:rFonts w:hint="eastAsia" w:ascii="宋体" w:hAnsi="宋体" w:cs="宋体"/>
                <w:color w:val="auto"/>
                <w:kern w:val="0"/>
                <w:sz w:val="20"/>
                <w:szCs w:val="20"/>
              </w:rPr>
              <w:t>A020204多功能一体机</w:t>
            </w:r>
          </w:p>
        </w:tc>
        <w:tc>
          <w:tcPr>
            <w:tcW w:w="1516" w:type="dxa"/>
            <w:tcBorders>
              <w:top w:val="nil"/>
              <w:left w:val="nil"/>
              <w:bottom w:val="single" w:color="000000" w:sz="8" w:space="0"/>
              <w:right w:val="single" w:color="000000" w:sz="8" w:space="0"/>
            </w:tcBorders>
            <w:vAlign w:val="center"/>
          </w:tcPr>
          <w:p w14:paraId="1184C469">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612" w:type="dxa"/>
            <w:tcBorders>
              <w:top w:val="nil"/>
              <w:left w:val="nil"/>
              <w:bottom w:val="single" w:color="000000" w:sz="8" w:space="0"/>
              <w:right w:val="single" w:color="000000" w:sz="8" w:space="0"/>
            </w:tcBorders>
            <w:vAlign w:val="center"/>
          </w:tcPr>
          <w:p w14:paraId="2225C549">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335" w:type="dxa"/>
            <w:tcBorders>
              <w:top w:val="nil"/>
              <w:left w:val="nil"/>
              <w:bottom w:val="single" w:color="000000" w:sz="8" w:space="0"/>
              <w:right w:val="single" w:color="000000" w:sz="8" w:space="0"/>
            </w:tcBorders>
            <w:vAlign w:val="center"/>
          </w:tcPr>
          <w:p w14:paraId="6E9A4309">
            <w:pPr>
              <w:widowControl/>
              <w:jc w:val="left"/>
              <w:rPr>
                <w:rFonts w:ascii="宋体" w:hAnsi="宋体" w:cs="宋体"/>
                <w:color w:val="auto"/>
                <w:kern w:val="0"/>
                <w:sz w:val="20"/>
                <w:szCs w:val="20"/>
              </w:rPr>
            </w:pPr>
            <w:r>
              <w:rPr>
                <w:rFonts w:hint="eastAsia" w:ascii="宋体" w:hAnsi="宋体" w:cs="宋体"/>
                <w:color w:val="auto"/>
                <w:kern w:val="0"/>
                <w:sz w:val="20"/>
                <w:szCs w:val="20"/>
              </w:rPr>
              <w:t>《复印机、打印机和传真机能效限定值及能效等级》（GB21521）</w:t>
            </w:r>
          </w:p>
        </w:tc>
      </w:tr>
      <w:tr w14:paraId="58AD547A">
        <w:tblPrEx>
          <w:tblCellMar>
            <w:top w:w="0" w:type="dxa"/>
            <w:left w:w="108" w:type="dxa"/>
            <w:bottom w:w="0" w:type="dxa"/>
            <w:right w:w="108" w:type="dxa"/>
          </w:tblCellMar>
        </w:tblPrEx>
        <w:trPr>
          <w:trHeight w:val="495" w:hRule="atLeast"/>
        </w:trPr>
        <w:tc>
          <w:tcPr>
            <w:tcW w:w="733" w:type="dxa"/>
            <w:tcBorders>
              <w:top w:val="nil"/>
              <w:left w:val="single" w:color="000000" w:sz="8" w:space="0"/>
              <w:bottom w:val="single" w:color="auto" w:sz="4" w:space="0"/>
              <w:right w:val="single" w:color="000000" w:sz="8" w:space="0"/>
            </w:tcBorders>
            <w:vAlign w:val="center"/>
          </w:tcPr>
          <w:p w14:paraId="20C9EDF2">
            <w:pPr>
              <w:widowControl/>
              <w:jc w:val="center"/>
              <w:rPr>
                <w:rFonts w:ascii="宋体" w:hAnsi="宋体" w:cs="宋体"/>
                <w:color w:val="auto"/>
                <w:kern w:val="0"/>
                <w:sz w:val="20"/>
                <w:szCs w:val="20"/>
              </w:rPr>
            </w:pPr>
            <w:r>
              <w:rPr>
                <w:rFonts w:hint="eastAsia" w:ascii="宋体" w:hAnsi="宋体" w:cs="宋体"/>
                <w:color w:val="auto"/>
                <w:kern w:val="0"/>
                <w:sz w:val="20"/>
                <w:szCs w:val="20"/>
              </w:rPr>
              <w:t>5</w:t>
            </w:r>
          </w:p>
        </w:tc>
        <w:tc>
          <w:tcPr>
            <w:tcW w:w="1024" w:type="dxa"/>
            <w:tcBorders>
              <w:top w:val="nil"/>
              <w:left w:val="nil"/>
              <w:bottom w:val="single" w:color="auto" w:sz="4" w:space="0"/>
              <w:right w:val="single" w:color="000000" w:sz="8" w:space="0"/>
            </w:tcBorders>
            <w:vAlign w:val="center"/>
          </w:tcPr>
          <w:p w14:paraId="3BD26481">
            <w:pPr>
              <w:widowControl/>
              <w:jc w:val="center"/>
              <w:rPr>
                <w:rFonts w:ascii="宋体" w:hAnsi="宋体" w:cs="宋体"/>
                <w:color w:val="auto"/>
                <w:kern w:val="0"/>
                <w:sz w:val="20"/>
                <w:szCs w:val="20"/>
              </w:rPr>
            </w:pPr>
            <w:r>
              <w:rPr>
                <w:rFonts w:hint="eastAsia" w:ascii="宋体" w:hAnsi="宋体" w:cs="宋体"/>
                <w:color w:val="auto"/>
                <w:kern w:val="0"/>
                <w:sz w:val="20"/>
                <w:szCs w:val="20"/>
              </w:rPr>
              <w:t>A020519泵</w:t>
            </w:r>
          </w:p>
        </w:tc>
        <w:tc>
          <w:tcPr>
            <w:tcW w:w="1516" w:type="dxa"/>
            <w:tcBorders>
              <w:top w:val="nil"/>
              <w:left w:val="nil"/>
              <w:bottom w:val="single" w:color="auto" w:sz="4" w:space="0"/>
              <w:right w:val="single" w:color="000000" w:sz="8" w:space="0"/>
            </w:tcBorders>
            <w:vAlign w:val="center"/>
          </w:tcPr>
          <w:p w14:paraId="0850118E">
            <w:pPr>
              <w:widowControl/>
              <w:jc w:val="center"/>
              <w:rPr>
                <w:rFonts w:ascii="宋体" w:hAnsi="宋体" w:cs="宋体"/>
                <w:color w:val="auto"/>
                <w:kern w:val="0"/>
                <w:sz w:val="20"/>
                <w:szCs w:val="20"/>
              </w:rPr>
            </w:pPr>
            <w:r>
              <w:rPr>
                <w:rFonts w:hint="eastAsia" w:ascii="宋体" w:hAnsi="宋体" w:cs="宋体"/>
                <w:color w:val="auto"/>
                <w:kern w:val="0"/>
                <w:sz w:val="20"/>
                <w:szCs w:val="20"/>
              </w:rPr>
              <w:t>A02051901离心泵</w:t>
            </w:r>
          </w:p>
        </w:tc>
        <w:tc>
          <w:tcPr>
            <w:tcW w:w="1612" w:type="dxa"/>
            <w:tcBorders>
              <w:top w:val="nil"/>
              <w:left w:val="nil"/>
              <w:bottom w:val="single" w:color="auto" w:sz="4" w:space="0"/>
              <w:right w:val="single" w:color="000000" w:sz="8" w:space="0"/>
            </w:tcBorders>
            <w:vAlign w:val="center"/>
          </w:tcPr>
          <w:p w14:paraId="3A483796">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335" w:type="dxa"/>
            <w:tcBorders>
              <w:top w:val="nil"/>
              <w:left w:val="nil"/>
              <w:bottom w:val="single" w:color="000000" w:sz="8" w:space="0"/>
              <w:right w:val="single" w:color="000000" w:sz="8" w:space="0"/>
            </w:tcBorders>
            <w:vAlign w:val="center"/>
          </w:tcPr>
          <w:p w14:paraId="607B1F85">
            <w:pPr>
              <w:widowControl/>
              <w:jc w:val="left"/>
              <w:rPr>
                <w:rFonts w:ascii="宋体" w:hAnsi="宋体" w:cs="宋体"/>
                <w:color w:val="auto"/>
                <w:kern w:val="0"/>
                <w:sz w:val="20"/>
                <w:szCs w:val="20"/>
              </w:rPr>
            </w:pPr>
            <w:r>
              <w:rPr>
                <w:rFonts w:hint="eastAsia" w:ascii="宋体" w:hAnsi="宋体" w:cs="宋体"/>
                <w:color w:val="auto"/>
                <w:kern w:val="0"/>
                <w:sz w:val="20"/>
                <w:szCs w:val="20"/>
              </w:rPr>
              <w:t>《清水离心泵能效限定值及节能评价值》（GB19762）</w:t>
            </w:r>
          </w:p>
        </w:tc>
      </w:tr>
      <w:tr w14:paraId="6D7AA02C">
        <w:tblPrEx>
          <w:tblCellMar>
            <w:top w:w="0" w:type="dxa"/>
            <w:left w:w="108" w:type="dxa"/>
            <w:bottom w:w="0" w:type="dxa"/>
            <w:right w:w="108" w:type="dxa"/>
          </w:tblCellMar>
        </w:tblPrEx>
        <w:trPr>
          <w:trHeight w:val="735" w:hRule="atLeast"/>
        </w:trPr>
        <w:tc>
          <w:tcPr>
            <w:tcW w:w="733" w:type="dxa"/>
            <w:vMerge w:val="restart"/>
            <w:tcBorders>
              <w:top w:val="single" w:color="auto" w:sz="4" w:space="0"/>
              <w:left w:val="single" w:color="auto" w:sz="4" w:space="0"/>
              <w:bottom w:val="single" w:color="auto" w:sz="4" w:space="0"/>
              <w:right w:val="single" w:color="auto" w:sz="4" w:space="0"/>
            </w:tcBorders>
            <w:vAlign w:val="center"/>
          </w:tcPr>
          <w:p w14:paraId="2716A577">
            <w:pPr>
              <w:widowControl/>
              <w:jc w:val="center"/>
              <w:rPr>
                <w:rFonts w:ascii="宋体" w:hAnsi="宋体" w:cs="宋体"/>
                <w:color w:val="auto"/>
                <w:kern w:val="0"/>
                <w:sz w:val="20"/>
                <w:szCs w:val="20"/>
              </w:rPr>
            </w:pPr>
            <w:r>
              <w:rPr>
                <w:rFonts w:hint="eastAsia" w:ascii="宋体" w:hAnsi="宋体" w:cs="宋体"/>
                <w:color w:val="auto"/>
                <w:kern w:val="0"/>
                <w:sz w:val="20"/>
                <w:szCs w:val="20"/>
              </w:rPr>
              <w:t>6</w:t>
            </w:r>
          </w:p>
        </w:tc>
        <w:tc>
          <w:tcPr>
            <w:tcW w:w="1024" w:type="dxa"/>
            <w:vMerge w:val="restart"/>
            <w:tcBorders>
              <w:top w:val="single" w:color="auto" w:sz="4" w:space="0"/>
              <w:left w:val="single" w:color="auto" w:sz="4" w:space="0"/>
              <w:bottom w:val="single" w:color="auto" w:sz="4" w:space="0"/>
              <w:right w:val="single" w:color="auto" w:sz="4" w:space="0"/>
            </w:tcBorders>
            <w:vAlign w:val="center"/>
          </w:tcPr>
          <w:p w14:paraId="71A2E0B2">
            <w:pPr>
              <w:widowControl/>
              <w:jc w:val="center"/>
              <w:rPr>
                <w:rFonts w:ascii="宋体" w:hAnsi="宋体" w:cs="宋体"/>
                <w:color w:val="auto"/>
                <w:kern w:val="0"/>
                <w:sz w:val="20"/>
                <w:szCs w:val="20"/>
              </w:rPr>
            </w:pPr>
            <w:r>
              <w:rPr>
                <w:rFonts w:hint="eastAsia" w:ascii="宋体" w:hAnsi="宋体" w:cs="宋体"/>
                <w:color w:val="auto"/>
                <w:kern w:val="0"/>
                <w:sz w:val="20"/>
                <w:szCs w:val="20"/>
              </w:rPr>
              <w:t>A020523制冷空调设备</w:t>
            </w:r>
          </w:p>
        </w:tc>
        <w:tc>
          <w:tcPr>
            <w:tcW w:w="1516" w:type="dxa"/>
            <w:vMerge w:val="restart"/>
            <w:tcBorders>
              <w:top w:val="single" w:color="auto" w:sz="4" w:space="0"/>
              <w:left w:val="single" w:color="auto" w:sz="4" w:space="0"/>
              <w:bottom w:val="single" w:color="auto" w:sz="4" w:space="0"/>
              <w:right w:val="single" w:color="auto" w:sz="4" w:space="0"/>
            </w:tcBorders>
            <w:vAlign w:val="center"/>
          </w:tcPr>
          <w:p w14:paraId="60A87F2D">
            <w:pPr>
              <w:widowControl/>
              <w:jc w:val="center"/>
              <w:rPr>
                <w:rFonts w:ascii="宋体" w:hAnsi="宋体" w:cs="宋体"/>
                <w:color w:val="auto"/>
                <w:kern w:val="0"/>
                <w:sz w:val="20"/>
                <w:szCs w:val="20"/>
              </w:rPr>
            </w:pPr>
            <w:r>
              <w:rPr>
                <w:rFonts w:hint="eastAsia" w:ascii="宋体" w:hAnsi="宋体" w:cs="宋体"/>
                <w:color w:val="auto"/>
                <w:kern w:val="0"/>
                <w:sz w:val="20"/>
                <w:szCs w:val="20"/>
              </w:rPr>
              <w:t>★A02052301制冷压缩机</w:t>
            </w:r>
          </w:p>
        </w:tc>
        <w:tc>
          <w:tcPr>
            <w:tcW w:w="1612" w:type="dxa"/>
            <w:tcBorders>
              <w:top w:val="single" w:color="auto" w:sz="4" w:space="0"/>
              <w:left w:val="single" w:color="auto" w:sz="4" w:space="0"/>
              <w:bottom w:val="single" w:color="auto" w:sz="4" w:space="0"/>
              <w:right w:val="single" w:color="auto" w:sz="4" w:space="0"/>
            </w:tcBorders>
            <w:vAlign w:val="center"/>
          </w:tcPr>
          <w:p w14:paraId="35F49618">
            <w:pPr>
              <w:widowControl/>
              <w:jc w:val="center"/>
              <w:rPr>
                <w:rFonts w:ascii="宋体" w:hAnsi="宋体" w:cs="宋体"/>
                <w:color w:val="auto"/>
                <w:kern w:val="0"/>
                <w:sz w:val="20"/>
                <w:szCs w:val="20"/>
              </w:rPr>
            </w:pPr>
            <w:r>
              <w:rPr>
                <w:rFonts w:hint="eastAsia" w:ascii="宋体" w:hAnsi="宋体" w:cs="宋体"/>
                <w:color w:val="auto"/>
                <w:kern w:val="0"/>
                <w:sz w:val="20"/>
                <w:szCs w:val="20"/>
              </w:rPr>
              <w:t>冷水机组</w:t>
            </w:r>
          </w:p>
        </w:tc>
        <w:tc>
          <w:tcPr>
            <w:tcW w:w="4335" w:type="dxa"/>
            <w:tcBorders>
              <w:top w:val="nil"/>
              <w:left w:val="single" w:color="auto" w:sz="4" w:space="0"/>
              <w:bottom w:val="single" w:color="000000" w:sz="8" w:space="0"/>
              <w:right w:val="single" w:color="000000" w:sz="8" w:space="0"/>
            </w:tcBorders>
            <w:vAlign w:val="center"/>
          </w:tcPr>
          <w:p w14:paraId="307CB882">
            <w:pPr>
              <w:widowControl/>
              <w:jc w:val="left"/>
              <w:rPr>
                <w:rFonts w:ascii="宋体" w:hAnsi="宋体" w:cs="宋体"/>
                <w:color w:val="auto"/>
                <w:kern w:val="0"/>
                <w:sz w:val="20"/>
                <w:szCs w:val="20"/>
              </w:rPr>
            </w:pPr>
            <w:r>
              <w:rPr>
                <w:rFonts w:hint="eastAsia" w:ascii="宋体" w:hAnsi="宋体" w:cs="宋体"/>
                <w:color w:val="auto"/>
                <w:kern w:val="0"/>
                <w:sz w:val="20"/>
                <w:szCs w:val="20"/>
              </w:rPr>
              <w:t>《冷水机组能效限定值及能效等级》（GB19577），《低环境温度空气源热泵（冷水）机组能效限定值及能效等级》（GB37480）</w:t>
            </w:r>
          </w:p>
        </w:tc>
      </w:tr>
      <w:tr w14:paraId="02F3F560">
        <w:tblPrEx>
          <w:tblCellMar>
            <w:top w:w="0" w:type="dxa"/>
            <w:left w:w="108" w:type="dxa"/>
            <w:bottom w:w="0" w:type="dxa"/>
            <w:right w:w="108" w:type="dxa"/>
          </w:tblCellMar>
        </w:tblPrEx>
        <w:trPr>
          <w:trHeight w:val="495" w:hRule="atLeast"/>
        </w:trPr>
        <w:tc>
          <w:tcPr>
            <w:tcW w:w="733" w:type="dxa"/>
            <w:vMerge w:val="continue"/>
            <w:tcBorders>
              <w:top w:val="single" w:color="auto" w:sz="4" w:space="0"/>
              <w:left w:val="single" w:color="auto" w:sz="4" w:space="0"/>
              <w:bottom w:val="single" w:color="auto" w:sz="4" w:space="0"/>
              <w:right w:val="single" w:color="auto" w:sz="4" w:space="0"/>
            </w:tcBorders>
            <w:vAlign w:val="center"/>
          </w:tcPr>
          <w:p w14:paraId="67D051A3">
            <w:pPr>
              <w:widowControl/>
              <w:jc w:val="left"/>
              <w:rPr>
                <w:rFonts w:ascii="宋体" w:hAnsi="宋体" w:cs="宋体"/>
                <w:color w:val="auto"/>
                <w:kern w:val="0"/>
                <w:sz w:val="20"/>
                <w:szCs w:val="20"/>
              </w:rPr>
            </w:pPr>
          </w:p>
        </w:tc>
        <w:tc>
          <w:tcPr>
            <w:tcW w:w="1024" w:type="dxa"/>
            <w:vMerge w:val="continue"/>
            <w:tcBorders>
              <w:top w:val="single" w:color="auto" w:sz="4" w:space="0"/>
              <w:left w:val="single" w:color="auto" w:sz="4" w:space="0"/>
              <w:bottom w:val="single" w:color="auto" w:sz="4" w:space="0"/>
              <w:right w:val="single" w:color="auto" w:sz="4" w:space="0"/>
            </w:tcBorders>
            <w:vAlign w:val="center"/>
          </w:tcPr>
          <w:p w14:paraId="34459633">
            <w:pPr>
              <w:widowControl/>
              <w:jc w:val="left"/>
              <w:rPr>
                <w:rFonts w:ascii="宋体" w:hAnsi="宋体" w:cs="宋体"/>
                <w:color w:val="auto"/>
                <w:kern w:val="0"/>
                <w:sz w:val="20"/>
                <w:szCs w:val="20"/>
              </w:rPr>
            </w:pPr>
          </w:p>
        </w:tc>
        <w:tc>
          <w:tcPr>
            <w:tcW w:w="1516" w:type="dxa"/>
            <w:vMerge w:val="continue"/>
            <w:tcBorders>
              <w:top w:val="single" w:color="auto" w:sz="4" w:space="0"/>
              <w:left w:val="single" w:color="auto" w:sz="4" w:space="0"/>
              <w:bottom w:val="single" w:color="auto" w:sz="4" w:space="0"/>
              <w:right w:val="single" w:color="auto" w:sz="4" w:space="0"/>
            </w:tcBorders>
            <w:vAlign w:val="center"/>
          </w:tcPr>
          <w:p w14:paraId="55CF559C">
            <w:pPr>
              <w:widowControl/>
              <w:jc w:val="left"/>
              <w:rPr>
                <w:rFonts w:ascii="宋体" w:hAnsi="宋体" w:cs="宋体"/>
                <w:color w:val="auto"/>
                <w:kern w:val="0"/>
                <w:sz w:val="20"/>
                <w:szCs w:val="20"/>
              </w:rPr>
            </w:pPr>
          </w:p>
        </w:tc>
        <w:tc>
          <w:tcPr>
            <w:tcW w:w="1612" w:type="dxa"/>
            <w:tcBorders>
              <w:top w:val="single" w:color="auto" w:sz="4" w:space="0"/>
              <w:left w:val="single" w:color="auto" w:sz="4" w:space="0"/>
              <w:bottom w:val="single" w:color="auto" w:sz="4" w:space="0"/>
              <w:right w:val="single" w:color="auto" w:sz="4" w:space="0"/>
            </w:tcBorders>
            <w:vAlign w:val="center"/>
          </w:tcPr>
          <w:p w14:paraId="70B5FC4C">
            <w:pPr>
              <w:widowControl/>
              <w:jc w:val="center"/>
              <w:rPr>
                <w:rFonts w:ascii="宋体" w:hAnsi="宋体" w:cs="宋体"/>
                <w:color w:val="auto"/>
                <w:kern w:val="0"/>
                <w:sz w:val="20"/>
                <w:szCs w:val="20"/>
              </w:rPr>
            </w:pPr>
            <w:r>
              <w:rPr>
                <w:rFonts w:hint="eastAsia" w:ascii="宋体" w:hAnsi="宋体" w:cs="宋体"/>
                <w:color w:val="auto"/>
                <w:kern w:val="0"/>
                <w:sz w:val="20"/>
                <w:szCs w:val="20"/>
              </w:rPr>
              <w:t>水源热泵机组</w:t>
            </w:r>
          </w:p>
        </w:tc>
        <w:tc>
          <w:tcPr>
            <w:tcW w:w="4335" w:type="dxa"/>
            <w:tcBorders>
              <w:top w:val="nil"/>
              <w:left w:val="single" w:color="auto" w:sz="4" w:space="0"/>
              <w:bottom w:val="single" w:color="000000" w:sz="8" w:space="0"/>
              <w:right w:val="single" w:color="000000" w:sz="8" w:space="0"/>
            </w:tcBorders>
            <w:vAlign w:val="center"/>
          </w:tcPr>
          <w:p w14:paraId="04869B6B">
            <w:pPr>
              <w:widowControl/>
              <w:jc w:val="left"/>
              <w:rPr>
                <w:rFonts w:ascii="宋体" w:hAnsi="宋体" w:cs="宋体"/>
                <w:color w:val="auto"/>
                <w:kern w:val="0"/>
                <w:sz w:val="20"/>
                <w:szCs w:val="20"/>
              </w:rPr>
            </w:pPr>
            <w:r>
              <w:rPr>
                <w:rFonts w:hint="eastAsia" w:ascii="宋体" w:hAnsi="宋体" w:cs="宋体"/>
                <w:color w:val="auto"/>
                <w:kern w:val="0"/>
                <w:sz w:val="20"/>
                <w:szCs w:val="20"/>
              </w:rPr>
              <w:t>《水（地）源热泵机组能效限定值及能效等级》（GB30721）</w:t>
            </w:r>
          </w:p>
        </w:tc>
      </w:tr>
      <w:tr w14:paraId="27A51A04">
        <w:tblPrEx>
          <w:tblCellMar>
            <w:top w:w="0" w:type="dxa"/>
            <w:left w:w="108" w:type="dxa"/>
            <w:bottom w:w="0" w:type="dxa"/>
            <w:right w:w="108" w:type="dxa"/>
          </w:tblCellMar>
        </w:tblPrEx>
        <w:trPr>
          <w:trHeight w:val="495" w:hRule="atLeast"/>
        </w:trPr>
        <w:tc>
          <w:tcPr>
            <w:tcW w:w="733" w:type="dxa"/>
            <w:vMerge w:val="continue"/>
            <w:tcBorders>
              <w:top w:val="single" w:color="auto" w:sz="4" w:space="0"/>
              <w:left w:val="single" w:color="auto" w:sz="4" w:space="0"/>
              <w:bottom w:val="single" w:color="auto" w:sz="4" w:space="0"/>
              <w:right w:val="single" w:color="auto" w:sz="4" w:space="0"/>
            </w:tcBorders>
            <w:vAlign w:val="center"/>
          </w:tcPr>
          <w:p w14:paraId="7192BE60">
            <w:pPr>
              <w:widowControl/>
              <w:jc w:val="left"/>
              <w:rPr>
                <w:rFonts w:ascii="宋体" w:hAnsi="宋体" w:cs="宋体"/>
                <w:color w:val="auto"/>
                <w:kern w:val="0"/>
                <w:sz w:val="20"/>
                <w:szCs w:val="20"/>
              </w:rPr>
            </w:pPr>
          </w:p>
        </w:tc>
        <w:tc>
          <w:tcPr>
            <w:tcW w:w="1024" w:type="dxa"/>
            <w:vMerge w:val="continue"/>
            <w:tcBorders>
              <w:top w:val="single" w:color="auto" w:sz="4" w:space="0"/>
              <w:left w:val="single" w:color="auto" w:sz="4" w:space="0"/>
              <w:bottom w:val="single" w:color="auto" w:sz="4" w:space="0"/>
              <w:right w:val="single" w:color="auto" w:sz="4" w:space="0"/>
            </w:tcBorders>
            <w:vAlign w:val="center"/>
          </w:tcPr>
          <w:p w14:paraId="199BEB76">
            <w:pPr>
              <w:widowControl/>
              <w:jc w:val="left"/>
              <w:rPr>
                <w:rFonts w:ascii="宋体" w:hAnsi="宋体" w:cs="宋体"/>
                <w:color w:val="auto"/>
                <w:kern w:val="0"/>
                <w:sz w:val="20"/>
                <w:szCs w:val="20"/>
              </w:rPr>
            </w:pPr>
          </w:p>
        </w:tc>
        <w:tc>
          <w:tcPr>
            <w:tcW w:w="1516" w:type="dxa"/>
            <w:vMerge w:val="continue"/>
            <w:tcBorders>
              <w:top w:val="single" w:color="auto" w:sz="4" w:space="0"/>
              <w:left w:val="single" w:color="auto" w:sz="4" w:space="0"/>
              <w:bottom w:val="single" w:color="auto" w:sz="4" w:space="0"/>
              <w:right w:val="single" w:color="auto" w:sz="4" w:space="0"/>
            </w:tcBorders>
            <w:vAlign w:val="center"/>
          </w:tcPr>
          <w:p w14:paraId="3A66E25D">
            <w:pPr>
              <w:widowControl/>
              <w:jc w:val="left"/>
              <w:rPr>
                <w:rFonts w:ascii="宋体" w:hAnsi="宋体" w:cs="宋体"/>
                <w:color w:val="auto"/>
                <w:kern w:val="0"/>
                <w:sz w:val="20"/>
                <w:szCs w:val="20"/>
              </w:rPr>
            </w:pPr>
          </w:p>
        </w:tc>
        <w:tc>
          <w:tcPr>
            <w:tcW w:w="1612" w:type="dxa"/>
            <w:tcBorders>
              <w:top w:val="single" w:color="auto" w:sz="4" w:space="0"/>
              <w:left w:val="single" w:color="auto" w:sz="4" w:space="0"/>
              <w:bottom w:val="single" w:color="auto" w:sz="4" w:space="0"/>
              <w:right w:val="single" w:color="auto" w:sz="4" w:space="0"/>
            </w:tcBorders>
            <w:vAlign w:val="center"/>
          </w:tcPr>
          <w:p w14:paraId="17981759">
            <w:pPr>
              <w:widowControl/>
              <w:jc w:val="center"/>
              <w:rPr>
                <w:rFonts w:ascii="宋体" w:hAnsi="宋体" w:cs="宋体"/>
                <w:color w:val="auto"/>
                <w:kern w:val="0"/>
                <w:sz w:val="20"/>
                <w:szCs w:val="20"/>
              </w:rPr>
            </w:pPr>
            <w:r>
              <w:rPr>
                <w:rFonts w:hint="eastAsia" w:ascii="宋体" w:hAnsi="宋体" w:cs="宋体"/>
                <w:color w:val="auto"/>
                <w:kern w:val="0"/>
                <w:sz w:val="20"/>
                <w:szCs w:val="20"/>
              </w:rPr>
              <w:t>溴化锂吸收式冷水机组</w:t>
            </w:r>
          </w:p>
        </w:tc>
        <w:tc>
          <w:tcPr>
            <w:tcW w:w="4335" w:type="dxa"/>
            <w:tcBorders>
              <w:top w:val="nil"/>
              <w:left w:val="single" w:color="auto" w:sz="4" w:space="0"/>
              <w:bottom w:val="single" w:color="000000" w:sz="8" w:space="0"/>
              <w:right w:val="single" w:color="000000" w:sz="8" w:space="0"/>
            </w:tcBorders>
            <w:vAlign w:val="center"/>
          </w:tcPr>
          <w:p w14:paraId="6FF08FB9">
            <w:pPr>
              <w:widowControl/>
              <w:jc w:val="left"/>
              <w:rPr>
                <w:rFonts w:ascii="宋体" w:hAnsi="宋体" w:cs="宋体"/>
                <w:color w:val="auto"/>
                <w:kern w:val="0"/>
                <w:sz w:val="20"/>
                <w:szCs w:val="20"/>
              </w:rPr>
            </w:pPr>
            <w:r>
              <w:rPr>
                <w:rFonts w:hint="eastAsia" w:ascii="宋体" w:hAnsi="宋体" w:cs="宋体"/>
                <w:color w:val="auto"/>
                <w:kern w:val="0"/>
                <w:sz w:val="20"/>
                <w:szCs w:val="20"/>
              </w:rPr>
              <w:t>《溴化锂吸收式冷水机组能效限定值及能效等级》（GB29540）</w:t>
            </w:r>
          </w:p>
        </w:tc>
      </w:tr>
      <w:tr w14:paraId="401FCE51">
        <w:tblPrEx>
          <w:tblCellMar>
            <w:top w:w="0" w:type="dxa"/>
            <w:left w:w="108" w:type="dxa"/>
            <w:bottom w:w="0" w:type="dxa"/>
            <w:right w:w="108" w:type="dxa"/>
          </w:tblCellMar>
        </w:tblPrEx>
        <w:trPr>
          <w:trHeight w:val="735" w:hRule="atLeast"/>
        </w:trPr>
        <w:tc>
          <w:tcPr>
            <w:tcW w:w="733" w:type="dxa"/>
            <w:vMerge w:val="continue"/>
            <w:tcBorders>
              <w:top w:val="single" w:color="auto" w:sz="4" w:space="0"/>
              <w:left w:val="single" w:color="auto" w:sz="4" w:space="0"/>
              <w:bottom w:val="single" w:color="auto" w:sz="4" w:space="0"/>
              <w:right w:val="single" w:color="auto" w:sz="4" w:space="0"/>
            </w:tcBorders>
            <w:vAlign w:val="center"/>
          </w:tcPr>
          <w:p w14:paraId="1E4BF3B1">
            <w:pPr>
              <w:widowControl/>
              <w:jc w:val="left"/>
              <w:rPr>
                <w:rFonts w:ascii="宋体" w:hAnsi="宋体" w:cs="宋体"/>
                <w:color w:val="auto"/>
                <w:kern w:val="0"/>
                <w:sz w:val="20"/>
                <w:szCs w:val="20"/>
              </w:rPr>
            </w:pPr>
          </w:p>
        </w:tc>
        <w:tc>
          <w:tcPr>
            <w:tcW w:w="1024" w:type="dxa"/>
            <w:vMerge w:val="continue"/>
            <w:tcBorders>
              <w:top w:val="single" w:color="auto" w:sz="4" w:space="0"/>
              <w:left w:val="single" w:color="auto" w:sz="4" w:space="0"/>
              <w:bottom w:val="single" w:color="auto" w:sz="4" w:space="0"/>
              <w:right w:val="single" w:color="auto" w:sz="4" w:space="0"/>
            </w:tcBorders>
            <w:vAlign w:val="center"/>
          </w:tcPr>
          <w:p w14:paraId="765449BD">
            <w:pPr>
              <w:widowControl/>
              <w:jc w:val="left"/>
              <w:rPr>
                <w:rFonts w:ascii="宋体" w:hAnsi="宋体" w:cs="宋体"/>
                <w:color w:val="auto"/>
                <w:kern w:val="0"/>
                <w:sz w:val="20"/>
                <w:szCs w:val="20"/>
              </w:rPr>
            </w:pPr>
          </w:p>
        </w:tc>
        <w:tc>
          <w:tcPr>
            <w:tcW w:w="1516" w:type="dxa"/>
            <w:vMerge w:val="restart"/>
            <w:tcBorders>
              <w:top w:val="single" w:color="auto" w:sz="4" w:space="0"/>
              <w:left w:val="single" w:color="auto" w:sz="4" w:space="0"/>
              <w:bottom w:val="single" w:color="auto" w:sz="4" w:space="0"/>
              <w:right w:val="single" w:color="auto" w:sz="4" w:space="0"/>
            </w:tcBorders>
            <w:vAlign w:val="center"/>
          </w:tcPr>
          <w:p w14:paraId="6ED6D466">
            <w:pPr>
              <w:widowControl/>
              <w:jc w:val="center"/>
              <w:rPr>
                <w:rFonts w:ascii="宋体" w:hAnsi="宋体" w:cs="宋体"/>
                <w:color w:val="auto"/>
                <w:kern w:val="0"/>
                <w:sz w:val="20"/>
                <w:szCs w:val="20"/>
              </w:rPr>
            </w:pPr>
            <w:r>
              <w:rPr>
                <w:rFonts w:hint="eastAsia" w:ascii="宋体" w:hAnsi="宋体" w:cs="宋体"/>
                <w:color w:val="auto"/>
                <w:kern w:val="0"/>
                <w:sz w:val="20"/>
                <w:szCs w:val="20"/>
              </w:rPr>
              <w:t>★A02052305空调机组</w:t>
            </w:r>
          </w:p>
        </w:tc>
        <w:tc>
          <w:tcPr>
            <w:tcW w:w="1612" w:type="dxa"/>
            <w:tcBorders>
              <w:top w:val="single" w:color="auto" w:sz="4" w:space="0"/>
              <w:left w:val="single" w:color="auto" w:sz="4" w:space="0"/>
              <w:bottom w:val="single" w:color="auto" w:sz="4" w:space="0"/>
              <w:right w:val="single" w:color="auto" w:sz="4" w:space="0"/>
            </w:tcBorders>
            <w:vAlign w:val="center"/>
          </w:tcPr>
          <w:p w14:paraId="057A0914">
            <w:pPr>
              <w:widowControl/>
              <w:jc w:val="center"/>
              <w:rPr>
                <w:rFonts w:ascii="宋体" w:hAnsi="宋体" w:cs="宋体"/>
                <w:color w:val="auto"/>
                <w:kern w:val="0"/>
                <w:sz w:val="20"/>
                <w:szCs w:val="20"/>
              </w:rPr>
            </w:pPr>
            <w:r>
              <w:rPr>
                <w:rFonts w:hint="eastAsia" w:ascii="宋体" w:hAnsi="宋体" w:cs="宋体"/>
                <w:color w:val="auto"/>
                <w:kern w:val="0"/>
                <w:sz w:val="20"/>
                <w:szCs w:val="20"/>
              </w:rPr>
              <w:t>多联式空调（热泵）机组（制冷量&gt;14000W）</w:t>
            </w:r>
          </w:p>
        </w:tc>
        <w:tc>
          <w:tcPr>
            <w:tcW w:w="4335" w:type="dxa"/>
            <w:tcBorders>
              <w:top w:val="nil"/>
              <w:left w:val="single" w:color="auto" w:sz="4" w:space="0"/>
              <w:bottom w:val="single" w:color="000000" w:sz="8" w:space="0"/>
              <w:right w:val="single" w:color="000000" w:sz="8" w:space="0"/>
            </w:tcBorders>
            <w:vAlign w:val="center"/>
          </w:tcPr>
          <w:p w14:paraId="60DF0789">
            <w:pPr>
              <w:widowControl/>
              <w:jc w:val="left"/>
              <w:rPr>
                <w:rFonts w:ascii="宋体" w:hAnsi="宋体" w:cs="宋体"/>
                <w:color w:val="auto"/>
                <w:kern w:val="0"/>
                <w:sz w:val="20"/>
                <w:szCs w:val="20"/>
              </w:rPr>
            </w:pPr>
            <w:r>
              <w:rPr>
                <w:rFonts w:hint="eastAsia" w:ascii="宋体" w:hAnsi="宋体" w:cs="宋体"/>
                <w:color w:val="auto"/>
                <w:kern w:val="0"/>
                <w:sz w:val="20"/>
                <w:szCs w:val="20"/>
              </w:rPr>
              <w:t>《多联式空调（热泵）机组能效限定值及能源效率等级》（GB21454）</w:t>
            </w:r>
          </w:p>
        </w:tc>
      </w:tr>
      <w:tr w14:paraId="11818CBD">
        <w:tblPrEx>
          <w:tblCellMar>
            <w:top w:w="0" w:type="dxa"/>
            <w:left w:w="108" w:type="dxa"/>
            <w:bottom w:w="0" w:type="dxa"/>
            <w:right w:w="108" w:type="dxa"/>
          </w:tblCellMar>
        </w:tblPrEx>
        <w:trPr>
          <w:trHeight w:val="735" w:hRule="atLeast"/>
        </w:trPr>
        <w:tc>
          <w:tcPr>
            <w:tcW w:w="733" w:type="dxa"/>
            <w:vMerge w:val="continue"/>
            <w:tcBorders>
              <w:top w:val="single" w:color="auto" w:sz="4" w:space="0"/>
              <w:left w:val="single" w:color="auto" w:sz="4" w:space="0"/>
              <w:bottom w:val="single" w:color="auto" w:sz="4" w:space="0"/>
              <w:right w:val="single" w:color="auto" w:sz="4" w:space="0"/>
            </w:tcBorders>
            <w:vAlign w:val="center"/>
          </w:tcPr>
          <w:p w14:paraId="29C06B33">
            <w:pPr>
              <w:widowControl/>
              <w:jc w:val="left"/>
              <w:rPr>
                <w:rFonts w:ascii="宋体" w:hAnsi="宋体" w:cs="宋体"/>
                <w:color w:val="auto"/>
                <w:kern w:val="0"/>
                <w:sz w:val="20"/>
                <w:szCs w:val="20"/>
              </w:rPr>
            </w:pPr>
          </w:p>
        </w:tc>
        <w:tc>
          <w:tcPr>
            <w:tcW w:w="1024" w:type="dxa"/>
            <w:vMerge w:val="continue"/>
            <w:tcBorders>
              <w:top w:val="single" w:color="auto" w:sz="4" w:space="0"/>
              <w:left w:val="single" w:color="auto" w:sz="4" w:space="0"/>
              <w:bottom w:val="single" w:color="auto" w:sz="4" w:space="0"/>
              <w:right w:val="single" w:color="auto" w:sz="4" w:space="0"/>
            </w:tcBorders>
            <w:vAlign w:val="center"/>
          </w:tcPr>
          <w:p w14:paraId="48E3401E">
            <w:pPr>
              <w:widowControl/>
              <w:jc w:val="left"/>
              <w:rPr>
                <w:rFonts w:ascii="宋体" w:hAnsi="宋体" w:cs="宋体"/>
                <w:color w:val="auto"/>
                <w:kern w:val="0"/>
                <w:sz w:val="20"/>
                <w:szCs w:val="20"/>
              </w:rPr>
            </w:pPr>
          </w:p>
        </w:tc>
        <w:tc>
          <w:tcPr>
            <w:tcW w:w="1516" w:type="dxa"/>
            <w:vMerge w:val="continue"/>
            <w:tcBorders>
              <w:top w:val="single" w:color="auto" w:sz="4" w:space="0"/>
              <w:left w:val="single" w:color="auto" w:sz="4" w:space="0"/>
              <w:bottom w:val="single" w:color="auto" w:sz="4" w:space="0"/>
              <w:right w:val="single" w:color="auto" w:sz="4" w:space="0"/>
            </w:tcBorders>
            <w:vAlign w:val="center"/>
          </w:tcPr>
          <w:p w14:paraId="09584B80">
            <w:pPr>
              <w:widowControl/>
              <w:jc w:val="left"/>
              <w:rPr>
                <w:rFonts w:ascii="宋体" w:hAnsi="宋体" w:cs="宋体"/>
                <w:color w:val="auto"/>
                <w:kern w:val="0"/>
                <w:sz w:val="20"/>
                <w:szCs w:val="20"/>
              </w:rPr>
            </w:pPr>
          </w:p>
        </w:tc>
        <w:tc>
          <w:tcPr>
            <w:tcW w:w="1612" w:type="dxa"/>
            <w:tcBorders>
              <w:top w:val="single" w:color="auto" w:sz="4" w:space="0"/>
              <w:left w:val="single" w:color="auto" w:sz="4" w:space="0"/>
              <w:bottom w:val="single" w:color="auto" w:sz="4" w:space="0"/>
              <w:right w:val="single" w:color="auto" w:sz="4" w:space="0"/>
            </w:tcBorders>
            <w:vAlign w:val="center"/>
          </w:tcPr>
          <w:p w14:paraId="4857BD7A">
            <w:pPr>
              <w:widowControl/>
              <w:jc w:val="center"/>
              <w:rPr>
                <w:rFonts w:ascii="宋体" w:hAnsi="宋体" w:cs="宋体"/>
                <w:color w:val="auto"/>
                <w:kern w:val="0"/>
                <w:sz w:val="20"/>
                <w:szCs w:val="20"/>
              </w:rPr>
            </w:pPr>
            <w:r>
              <w:rPr>
                <w:rFonts w:hint="eastAsia" w:ascii="宋体" w:hAnsi="宋体" w:cs="宋体"/>
                <w:color w:val="auto"/>
                <w:kern w:val="0"/>
                <w:sz w:val="20"/>
                <w:szCs w:val="20"/>
              </w:rPr>
              <w:t>单元式空气调节机（制冷量&gt;14000W）</w:t>
            </w:r>
          </w:p>
        </w:tc>
        <w:tc>
          <w:tcPr>
            <w:tcW w:w="4335" w:type="dxa"/>
            <w:tcBorders>
              <w:top w:val="nil"/>
              <w:left w:val="single" w:color="auto" w:sz="4" w:space="0"/>
              <w:bottom w:val="single" w:color="000000" w:sz="8" w:space="0"/>
              <w:right w:val="single" w:color="000000" w:sz="8" w:space="0"/>
            </w:tcBorders>
            <w:vAlign w:val="center"/>
          </w:tcPr>
          <w:p w14:paraId="4276E42E">
            <w:pPr>
              <w:widowControl/>
              <w:jc w:val="left"/>
              <w:rPr>
                <w:rFonts w:ascii="宋体" w:hAnsi="宋体" w:cs="宋体"/>
                <w:color w:val="auto"/>
                <w:kern w:val="0"/>
                <w:sz w:val="20"/>
                <w:szCs w:val="20"/>
              </w:rPr>
            </w:pPr>
            <w:r>
              <w:rPr>
                <w:rFonts w:hint="eastAsia" w:ascii="宋体" w:hAnsi="宋体" w:cs="宋体"/>
                <w:color w:val="auto"/>
                <w:kern w:val="0"/>
                <w:sz w:val="20"/>
                <w:szCs w:val="20"/>
              </w:rPr>
              <w:t>《单元式空气调节机能效限定值及能效等级》（GB19576）《风管送风式空调机组能效限定值及能效等级》（GB37479）</w:t>
            </w:r>
          </w:p>
        </w:tc>
      </w:tr>
      <w:tr w14:paraId="5E971F23">
        <w:tblPrEx>
          <w:tblCellMar>
            <w:top w:w="0" w:type="dxa"/>
            <w:left w:w="108" w:type="dxa"/>
            <w:bottom w:w="0" w:type="dxa"/>
            <w:right w:w="108" w:type="dxa"/>
          </w:tblCellMar>
        </w:tblPrEx>
        <w:trPr>
          <w:trHeight w:val="735" w:hRule="atLeast"/>
        </w:trPr>
        <w:tc>
          <w:tcPr>
            <w:tcW w:w="733" w:type="dxa"/>
            <w:vMerge w:val="continue"/>
            <w:tcBorders>
              <w:top w:val="single" w:color="auto" w:sz="4" w:space="0"/>
              <w:left w:val="single" w:color="auto" w:sz="4" w:space="0"/>
              <w:bottom w:val="single" w:color="auto" w:sz="4" w:space="0"/>
              <w:right w:val="single" w:color="auto" w:sz="4" w:space="0"/>
            </w:tcBorders>
            <w:vAlign w:val="center"/>
          </w:tcPr>
          <w:p w14:paraId="20B31F47">
            <w:pPr>
              <w:widowControl/>
              <w:jc w:val="left"/>
              <w:rPr>
                <w:rFonts w:ascii="宋体" w:hAnsi="宋体" w:cs="宋体"/>
                <w:color w:val="auto"/>
                <w:kern w:val="0"/>
                <w:sz w:val="20"/>
                <w:szCs w:val="20"/>
              </w:rPr>
            </w:pPr>
          </w:p>
        </w:tc>
        <w:tc>
          <w:tcPr>
            <w:tcW w:w="1024" w:type="dxa"/>
            <w:vMerge w:val="continue"/>
            <w:tcBorders>
              <w:top w:val="single" w:color="auto" w:sz="4" w:space="0"/>
              <w:left w:val="single" w:color="auto" w:sz="4" w:space="0"/>
              <w:bottom w:val="single" w:color="auto" w:sz="4" w:space="0"/>
              <w:right w:val="single" w:color="auto" w:sz="4" w:space="0"/>
            </w:tcBorders>
            <w:vAlign w:val="center"/>
          </w:tcPr>
          <w:p w14:paraId="6C236868">
            <w:pPr>
              <w:widowControl/>
              <w:jc w:val="left"/>
              <w:rPr>
                <w:rFonts w:ascii="宋体" w:hAnsi="宋体" w:cs="宋体"/>
                <w:color w:val="auto"/>
                <w:kern w:val="0"/>
                <w:sz w:val="20"/>
                <w:szCs w:val="20"/>
              </w:rPr>
            </w:pPr>
          </w:p>
        </w:tc>
        <w:tc>
          <w:tcPr>
            <w:tcW w:w="1516" w:type="dxa"/>
            <w:tcBorders>
              <w:top w:val="single" w:color="auto" w:sz="4" w:space="0"/>
              <w:left w:val="single" w:color="auto" w:sz="4" w:space="0"/>
              <w:bottom w:val="single" w:color="auto" w:sz="4" w:space="0"/>
              <w:right w:val="single" w:color="auto" w:sz="4" w:space="0"/>
            </w:tcBorders>
            <w:vAlign w:val="center"/>
          </w:tcPr>
          <w:p w14:paraId="02B81E23">
            <w:pPr>
              <w:widowControl/>
              <w:jc w:val="center"/>
              <w:rPr>
                <w:rFonts w:ascii="宋体" w:hAnsi="宋体" w:cs="宋体"/>
                <w:color w:val="auto"/>
                <w:kern w:val="0"/>
                <w:sz w:val="20"/>
                <w:szCs w:val="20"/>
              </w:rPr>
            </w:pPr>
            <w:r>
              <w:rPr>
                <w:rFonts w:hint="eastAsia" w:ascii="宋体" w:hAnsi="宋体" w:cs="宋体"/>
                <w:color w:val="auto"/>
                <w:kern w:val="0"/>
                <w:sz w:val="20"/>
                <w:szCs w:val="20"/>
              </w:rPr>
              <w:t>★A02052309专用制冷、空调设备</w:t>
            </w:r>
          </w:p>
        </w:tc>
        <w:tc>
          <w:tcPr>
            <w:tcW w:w="1612" w:type="dxa"/>
            <w:tcBorders>
              <w:top w:val="single" w:color="auto" w:sz="4" w:space="0"/>
              <w:left w:val="single" w:color="auto" w:sz="4" w:space="0"/>
              <w:bottom w:val="single" w:color="auto" w:sz="4" w:space="0"/>
              <w:right w:val="single" w:color="auto" w:sz="4" w:space="0"/>
            </w:tcBorders>
            <w:vAlign w:val="center"/>
          </w:tcPr>
          <w:p w14:paraId="528B72EE">
            <w:pPr>
              <w:widowControl/>
              <w:jc w:val="center"/>
              <w:rPr>
                <w:rFonts w:ascii="宋体" w:hAnsi="宋体" w:cs="宋体"/>
                <w:color w:val="auto"/>
                <w:kern w:val="0"/>
                <w:sz w:val="20"/>
                <w:szCs w:val="20"/>
              </w:rPr>
            </w:pPr>
            <w:r>
              <w:rPr>
                <w:rFonts w:hint="eastAsia" w:ascii="宋体" w:hAnsi="宋体" w:cs="宋体"/>
                <w:color w:val="auto"/>
                <w:kern w:val="0"/>
                <w:sz w:val="20"/>
                <w:szCs w:val="20"/>
              </w:rPr>
              <w:t>机房空调</w:t>
            </w:r>
          </w:p>
        </w:tc>
        <w:tc>
          <w:tcPr>
            <w:tcW w:w="4335" w:type="dxa"/>
            <w:tcBorders>
              <w:top w:val="nil"/>
              <w:left w:val="single" w:color="auto" w:sz="4" w:space="0"/>
              <w:bottom w:val="single" w:color="000000" w:sz="8" w:space="0"/>
              <w:right w:val="single" w:color="000000" w:sz="8" w:space="0"/>
            </w:tcBorders>
            <w:vAlign w:val="center"/>
          </w:tcPr>
          <w:p w14:paraId="57ED74BA">
            <w:pPr>
              <w:widowControl/>
              <w:jc w:val="left"/>
              <w:rPr>
                <w:rFonts w:ascii="宋体" w:hAnsi="宋体" w:cs="宋体"/>
                <w:color w:val="auto"/>
                <w:kern w:val="0"/>
                <w:sz w:val="20"/>
                <w:szCs w:val="20"/>
              </w:rPr>
            </w:pPr>
            <w:r>
              <w:rPr>
                <w:rFonts w:hint="eastAsia" w:ascii="宋体" w:hAnsi="宋体" w:cs="宋体"/>
                <w:color w:val="auto"/>
                <w:kern w:val="0"/>
                <w:sz w:val="20"/>
                <w:szCs w:val="20"/>
              </w:rPr>
              <w:t>《单元式空气调节机能效限定值及能效等级》（GB19576）</w:t>
            </w:r>
          </w:p>
        </w:tc>
      </w:tr>
      <w:tr w14:paraId="365F6012">
        <w:tblPrEx>
          <w:tblCellMar>
            <w:top w:w="0" w:type="dxa"/>
            <w:left w:w="108" w:type="dxa"/>
            <w:bottom w:w="0" w:type="dxa"/>
            <w:right w:w="108" w:type="dxa"/>
          </w:tblCellMar>
        </w:tblPrEx>
        <w:trPr>
          <w:trHeight w:val="735" w:hRule="atLeast"/>
        </w:trPr>
        <w:tc>
          <w:tcPr>
            <w:tcW w:w="733" w:type="dxa"/>
            <w:vMerge w:val="continue"/>
            <w:tcBorders>
              <w:top w:val="single" w:color="auto" w:sz="4" w:space="0"/>
              <w:left w:val="single" w:color="auto" w:sz="4" w:space="0"/>
              <w:bottom w:val="single" w:color="auto" w:sz="4" w:space="0"/>
              <w:right w:val="single" w:color="auto" w:sz="4" w:space="0"/>
            </w:tcBorders>
            <w:vAlign w:val="center"/>
          </w:tcPr>
          <w:p w14:paraId="6144645E">
            <w:pPr>
              <w:widowControl/>
              <w:jc w:val="left"/>
              <w:rPr>
                <w:rFonts w:ascii="宋体" w:hAnsi="宋体" w:cs="宋体"/>
                <w:color w:val="auto"/>
                <w:kern w:val="0"/>
                <w:sz w:val="20"/>
                <w:szCs w:val="20"/>
              </w:rPr>
            </w:pPr>
          </w:p>
        </w:tc>
        <w:tc>
          <w:tcPr>
            <w:tcW w:w="1024" w:type="dxa"/>
            <w:vMerge w:val="continue"/>
            <w:tcBorders>
              <w:top w:val="single" w:color="auto" w:sz="4" w:space="0"/>
              <w:left w:val="single" w:color="auto" w:sz="4" w:space="0"/>
              <w:bottom w:val="single" w:color="auto" w:sz="4" w:space="0"/>
              <w:right w:val="single" w:color="auto" w:sz="4" w:space="0"/>
            </w:tcBorders>
            <w:vAlign w:val="center"/>
          </w:tcPr>
          <w:p w14:paraId="62B30FD8">
            <w:pPr>
              <w:widowControl/>
              <w:jc w:val="left"/>
              <w:rPr>
                <w:rFonts w:ascii="宋体" w:hAnsi="宋体" w:cs="宋体"/>
                <w:color w:val="auto"/>
                <w:kern w:val="0"/>
                <w:sz w:val="20"/>
                <w:szCs w:val="20"/>
              </w:rPr>
            </w:pPr>
          </w:p>
        </w:tc>
        <w:tc>
          <w:tcPr>
            <w:tcW w:w="1516" w:type="dxa"/>
            <w:tcBorders>
              <w:top w:val="single" w:color="auto" w:sz="4" w:space="0"/>
              <w:left w:val="single" w:color="auto" w:sz="4" w:space="0"/>
              <w:bottom w:val="single" w:color="auto" w:sz="4" w:space="0"/>
              <w:right w:val="single" w:color="auto" w:sz="4" w:space="0"/>
            </w:tcBorders>
            <w:vAlign w:val="center"/>
          </w:tcPr>
          <w:p w14:paraId="7893A122">
            <w:pPr>
              <w:widowControl/>
              <w:jc w:val="center"/>
              <w:rPr>
                <w:rFonts w:ascii="宋体" w:hAnsi="宋体" w:cs="宋体"/>
                <w:color w:val="auto"/>
                <w:kern w:val="0"/>
                <w:sz w:val="20"/>
                <w:szCs w:val="20"/>
              </w:rPr>
            </w:pPr>
            <w:r>
              <w:rPr>
                <w:rFonts w:hint="eastAsia" w:ascii="宋体" w:hAnsi="宋体" w:cs="宋体"/>
                <w:color w:val="auto"/>
                <w:kern w:val="0"/>
                <w:sz w:val="20"/>
                <w:szCs w:val="20"/>
              </w:rPr>
              <w:t>A02052399其他制冷空调设备</w:t>
            </w:r>
          </w:p>
        </w:tc>
        <w:tc>
          <w:tcPr>
            <w:tcW w:w="1612" w:type="dxa"/>
            <w:tcBorders>
              <w:top w:val="single" w:color="auto" w:sz="4" w:space="0"/>
              <w:left w:val="single" w:color="auto" w:sz="4" w:space="0"/>
              <w:bottom w:val="single" w:color="auto" w:sz="4" w:space="0"/>
              <w:right w:val="single" w:color="auto" w:sz="4" w:space="0"/>
            </w:tcBorders>
            <w:vAlign w:val="center"/>
          </w:tcPr>
          <w:p w14:paraId="6B905BA1">
            <w:pPr>
              <w:widowControl/>
              <w:jc w:val="center"/>
              <w:rPr>
                <w:rFonts w:ascii="宋体" w:hAnsi="宋体" w:cs="宋体"/>
                <w:color w:val="auto"/>
                <w:kern w:val="0"/>
                <w:sz w:val="20"/>
                <w:szCs w:val="20"/>
              </w:rPr>
            </w:pPr>
            <w:r>
              <w:rPr>
                <w:rFonts w:hint="eastAsia" w:ascii="宋体" w:hAnsi="宋体" w:cs="宋体"/>
                <w:color w:val="auto"/>
                <w:kern w:val="0"/>
                <w:sz w:val="20"/>
                <w:szCs w:val="20"/>
              </w:rPr>
              <w:t>冷却塔</w:t>
            </w:r>
          </w:p>
        </w:tc>
        <w:tc>
          <w:tcPr>
            <w:tcW w:w="4335" w:type="dxa"/>
            <w:tcBorders>
              <w:top w:val="nil"/>
              <w:left w:val="single" w:color="auto" w:sz="4" w:space="0"/>
              <w:bottom w:val="single" w:color="000000" w:sz="8" w:space="0"/>
              <w:right w:val="single" w:color="000000" w:sz="8" w:space="0"/>
            </w:tcBorders>
            <w:vAlign w:val="center"/>
          </w:tcPr>
          <w:p w14:paraId="61EE6F79">
            <w:pPr>
              <w:widowControl/>
              <w:jc w:val="left"/>
              <w:rPr>
                <w:rFonts w:ascii="宋体" w:hAnsi="宋体" w:cs="宋体"/>
                <w:color w:val="auto"/>
                <w:kern w:val="0"/>
                <w:sz w:val="20"/>
                <w:szCs w:val="20"/>
              </w:rPr>
            </w:pPr>
            <w:r>
              <w:rPr>
                <w:rFonts w:hint="eastAsia" w:ascii="宋体" w:hAnsi="宋体" w:cs="宋体"/>
                <w:color w:val="auto"/>
                <w:kern w:val="0"/>
                <w:sz w:val="20"/>
                <w:szCs w:val="20"/>
              </w:rPr>
              <w:t>《机械通风冷却塔第1部分：中小型开式冷却塔》（GB/T7190.1）；《机械通风冷却塔第2部分：大型开式冷却塔》（GB/T7190.2）</w:t>
            </w:r>
          </w:p>
        </w:tc>
      </w:tr>
      <w:tr w14:paraId="0CE2F622">
        <w:tblPrEx>
          <w:tblCellMar>
            <w:top w:w="0" w:type="dxa"/>
            <w:left w:w="108" w:type="dxa"/>
            <w:bottom w:w="0" w:type="dxa"/>
            <w:right w:w="108" w:type="dxa"/>
          </w:tblCellMar>
        </w:tblPrEx>
        <w:trPr>
          <w:trHeight w:val="495" w:hRule="atLeast"/>
        </w:trPr>
        <w:tc>
          <w:tcPr>
            <w:tcW w:w="733" w:type="dxa"/>
            <w:tcBorders>
              <w:top w:val="single" w:color="auto" w:sz="4" w:space="0"/>
              <w:left w:val="single" w:color="000000" w:sz="8" w:space="0"/>
              <w:bottom w:val="single" w:color="000000" w:sz="8" w:space="0"/>
              <w:right w:val="single" w:color="000000" w:sz="8" w:space="0"/>
            </w:tcBorders>
            <w:vAlign w:val="center"/>
          </w:tcPr>
          <w:p w14:paraId="68DD5D1B">
            <w:pPr>
              <w:widowControl/>
              <w:jc w:val="center"/>
              <w:rPr>
                <w:rFonts w:ascii="宋体" w:hAnsi="宋体" w:cs="宋体"/>
                <w:color w:val="auto"/>
                <w:kern w:val="0"/>
                <w:sz w:val="20"/>
                <w:szCs w:val="20"/>
              </w:rPr>
            </w:pPr>
            <w:r>
              <w:rPr>
                <w:rFonts w:hint="eastAsia" w:ascii="宋体" w:hAnsi="宋体" w:cs="宋体"/>
                <w:color w:val="auto"/>
                <w:kern w:val="0"/>
                <w:sz w:val="20"/>
                <w:szCs w:val="20"/>
              </w:rPr>
              <w:t>7</w:t>
            </w:r>
          </w:p>
        </w:tc>
        <w:tc>
          <w:tcPr>
            <w:tcW w:w="1024" w:type="dxa"/>
            <w:tcBorders>
              <w:top w:val="single" w:color="auto" w:sz="4" w:space="0"/>
              <w:left w:val="nil"/>
              <w:bottom w:val="single" w:color="000000" w:sz="8" w:space="0"/>
              <w:right w:val="single" w:color="000000" w:sz="8" w:space="0"/>
            </w:tcBorders>
            <w:vAlign w:val="center"/>
          </w:tcPr>
          <w:p w14:paraId="623EBEF6">
            <w:pPr>
              <w:widowControl/>
              <w:jc w:val="center"/>
              <w:rPr>
                <w:rFonts w:ascii="宋体" w:hAnsi="宋体" w:cs="宋体"/>
                <w:color w:val="auto"/>
                <w:kern w:val="0"/>
                <w:sz w:val="20"/>
                <w:szCs w:val="20"/>
              </w:rPr>
            </w:pPr>
            <w:r>
              <w:rPr>
                <w:rFonts w:hint="eastAsia" w:ascii="宋体" w:hAnsi="宋体" w:cs="宋体"/>
                <w:color w:val="auto"/>
                <w:kern w:val="0"/>
                <w:sz w:val="20"/>
                <w:szCs w:val="20"/>
              </w:rPr>
              <w:t>A020601电机</w:t>
            </w:r>
          </w:p>
        </w:tc>
        <w:tc>
          <w:tcPr>
            <w:tcW w:w="1516" w:type="dxa"/>
            <w:tcBorders>
              <w:top w:val="single" w:color="auto" w:sz="4" w:space="0"/>
              <w:left w:val="nil"/>
              <w:bottom w:val="single" w:color="000000" w:sz="8" w:space="0"/>
              <w:right w:val="single" w:color="000000" w:sz="8" w:space="0"/>
            </w:tcBorders>
            <w:vAlign w:val="center"/>
          </w:tcPr>
          <w:p w14:paraId="494487EA">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612" w:type="dxa"/>
            <w:tcBorders>
              <w:top w:val="single" w:color="auto" w:sz="4" w:space="0"/>
              <w:left w:val="nil"/>
              <w:bottom w:val="single" w:color="000000" w:sz="8" w:space="0"/>
              <w:right w:val="single" w:color="000000" w:sz="8" w:space="0"/>
            </w:tcBorders>
            <w:vAlign w:val="center"/>
          </w:tcPr>
          <w:p w14:paraId="28792487">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335" w:type="dxa"/>
            <w:tcBorders>
              <w:top w:val="nil"/>
              <w:left w:val="nil"/>
              <w:bottom w:val="single" w:color="000000" w:sz="8" w:space="0"/>
              <w:right w:val="single" w:color="000000" w:sz="8" w:space="0"/>
            </w:tcBorders>
            <w:vAlign w:val="center"/>
          </w:tcPr>
          <w:p w14:paraId="15F06B6F">
            <w:pPr>
              <w:widowControl/>
              <w:jc w:val="left"/>
              <w:rPr>
                <w:rFonts w:ascii="宋体" w:hAnsi="宋体" w:cs="宋体"/>
                <w:color w:val="auto"/>
                <w:kern w:val="0"/>
                <w:sz w:val="20"/>
                <w:szCs w:val="20"/>
              </w:rPr>
            </w:pPr>
            <w:r>
              <w:rPr>
                <w:rFonts w:hint="eastAsia" w:ascii="宋体" w:hAnsi="宋体" w:cs="宋体"/>
                <w:color w:val="auto"/>
                <w:kern w:val="0"/>
                <w:sz w:val="20"/>
                <w:szCs w:val="20"/>
              </w:rPr>
              <w:t>《中小型三相异步电动机能效限定值及能效等级》（GB18613）</w:t>
            </w:r>
          </w:p>
        </w:tc>
      </w:tr>
      <w:tr w14:paraId="1A5A75D3">
        <w:tblPrEx>
          <w:tblCellMar>
            <w:top w:w="0" w:type="dxa"/>
            <w:left w:w="108" w:type="dxa"/>
            <w:bottom w:w="0" w:type="dxa"/>
            <w:right w:w="108" w:type="dxa"/>
          </w:tblCellMar>
        </w:tblPrEx>
        <w:trPr>
          <w:trHeight w:val="495" w:hRule="atLeast"/>
        </w:trPr>
        <w:tc>
          <w:tcPr>
            <w:tcW w:w="733" w:type="dxa"/>
            <w:tcBorders>
              <w:top w:val="nil"/>
              <w:left w:val="single" w:color="000000" w:sz="8" w:space="0"/>
              <w:bottom w:val="single" w:color="000000" w:sz="8" w:space="0"/>
              <w:right w:val="single" w:color="000000" w:sz="8" w:space="0"/>
            </w:tcBorders>
            <w:vAlign w:val="center"/>
          </w:tcPr>
          <w:p w14:paraId="5317ECB2">
            <w:pPr>
              <w:widowControl/>
              <w:jc w:val="center"/>
              <w:rPr>
                <w:rFonts w:ascii="宋体" w:hAnsi="宋体" w:cs="宋体"/>
                <w:color w:val="auto"/>
                <w:kern w:val="0"/>
                <w:sz w:val="20"/>
                <w:szCs w:val="20"/>
              </w:rPr>
            </w:pPr>
            <w:r>
              <w:rPr>
                <w:rFonts w:hint="eastAsia" w:ascii="宋体" w:hAnsi="宋体" w:cs="宋体"/>
                <w:color w:val="auto"/>
                <w:kern w:val="0"/>
                <w:sz w:val="20"/>
                <w:szCs w:val="20"/>
              </w:rPr>
              <w:t>8</w:t>
            </w:r>
          </w:p>
        </w:tc>
        <w:tc>
          <w:tcPr>
            <w:tcW w:w="1024" w:type="dxa"/>
            <w:tcBorders>
              <w:top w:val="nil"/>
              <w:left w:val="nil"/>
              <w:bottom w:val="single" w:color="000000" w:sz="8" w:space="0"/>
              <w:right w:val="single" w:color="000000" w:sz="8" w:space="0"/>
            </w:tcBorders>
            <w:vAlign w:val="center"/>
          </w:tcPr>
          <w:p w14:paraId="4D9DDC07">
            <w:pPr>
              <w:widowControl/>
              <w:jc w:val="center"/>
              <w:rPr>
                <w:rFonts w:ascii="宋体" w:hAnsi="宋体" w:cs="宋体"/>
                <w:color w:val="auto"/>
                <w:kern w:val="0"/>
                <w:sz w:val="20"/>
                <w:szCs w:val="20"/>
              </w:rPr>
            </w:pPr>
            <w:r>
              <w:rPr>
                <w:rFonts w:hint="eastAsia" w:ascii="宋体" w:hAnsi="宋体" w:cs="宋体"/>
                <w:color w:val="auto"/>
                <w:kern w:val="0"/>
                <w:sz w:val="20"/>
                <w:szCs w:val="20"/>
              </w:rPr>
              <w:t>A020602变压器</w:t>
            </w:r>
          </w:p>
        </w:tc>
        <w:tc>
          <w:tcPr>
            <w:tcW w:w="1516" w:type="dxa"/>
            <w:tcBorders>
              <w:top w:val="nil"/>
              <w:left w:val="nil"/>
              <w:bottom w:val="single" w:color="000000" w:sz="8" w:space="0"/>
              <w:right w:val="single" w:color="000000" w:sz="8" w:space="0"/>
            </w:tcBorders>
            <w:vAlign w:val="center"/>
          </w:tcPr>
          <w:p w14:paraId="45C3658B">
            <w:pPr>
              <w:widowControl/>
              <w:jc w:val="center"/>
              <w:rPr>
                <w:rFonts w:ascii="宋体" w:hAnsi="宋体" w:cs="宋体"/>
                <w:color w:val="auto"/>
                <w:kern w:val="0"/>
                <w:sz w:val="20"/>
                <w:szCs w:val="20"/>
              </w:rPr>
            </w:pPr>
            <w:r>
              <w:rPr>
                <w:rFonts w:hint="eastAsia" w:ascii="宋体" w:hAnsi="宋体" w:cs="宋体"/>
                <w:color w:val="auto"/>
                <w:kern w:val="0"/>
                <w:sz w:val="20"/>
                <w:szCs w:val="20"/>
              </w:rPr>
              <w:t>配电变压器</w:t>
            </w:r>
          </w:p>
        </w:tc>
        <w:tc>
          <w:tcPr>
            <w:tcW w:w="1612" w:type="dxa"/>
            <w:tcBorders>
              <w:top w:val="nil"/>
              <w:left w:val="nil"/>
              <w:bottom w:val="single" w:color="000000" w:sz="8" w:space="0"/>
              <w:right w:val="single" w:color="000000" w:sz="8" w:space="0"/>
            </w:tcBorders>
            <w:vAlign w:val="center"/>
          </w:tcPr>
          <w:p w14:paraId="1BDC933D">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335" w:type="dxa"/>
            <w:tcBorders>
              <w:top w:val="nil"/>
              <w:left w:val="nil"/>
              <w:bottom w:val="single" w:color="000000" w:sz="8" w:space="0"/>
              <w:right w:val="single" w:color="000000" w:sz="8" w:space="0"/>
            </w:tcBorders>
            <w:vAlign w:val="center"/>
          </w:tcPr>
          <w:p w14:paraId="08D2B8B9">
            <w:pPr>
              <w:widowControl/>
              <w:jc w:val="left"/>
              <w:rPr>
                <w:rFonts w:ascii="宋体" w:hAnsi="宋体" w:cs="宋体"/>
                <w:color w:val="auto"/>
                <w:kern w:val="0"/>
                <w:sz w:val="20"/>
                <w:szCs w:val="20"/>
              </w:rPr>
            </w:pPr>
            <w:r>
              <w:rPr>
                <w:rFonts w:hint="eastAsia" w:ascii="宋体" w:hAnsi="宋体" w:cs="宋体"/>
                <w:color w:val="auto"/>
                <w:kern w:val="0"/>
                <w:sz w:val="20"/>
                <w:szCs w:val="20"/>
              </w:rPr>
              <w:t>《三相配电变压器能效限定值及能效等级》（GB20052）</w:t>
            </w:r>
          </w:p>
        </w:tc>
      </w:tr>
      <w:tr w14:paraId="7D70E4B6">
        <w:tblPrEx>
          <w:tblCellMar>
            <w:top w:w="0" w:type="dxa"/>
            <w:left w:w="108" w:type="dxa"/>
            <w:bottom w:w="0" w:type="dxa"/>
            <w:right w:w="108" w:type="dxa"/>
          </w:tblCellMar>
        </w:tblPrEx>
        <w:trPr>
          <w:trHeight w:val="495" w:hRule="atLeast"/>
        </w:trPr>
        <w:tc>
          <w:tcPr>
            <w:tcW w:w="733" w:type="dxa"/>
            <w:tcBorders>
              <w:top w:val="nil"/>
              <w:left w:val="single" w:color="000000" w:sz="8" w:space="0"/>
              <w:bottom w:val="single" w:color="000000" w:sz="8" w:space="0"/>
              <w:right w:val="single" w:color="000000" w:sz="8" w:space="0"/>
            </w:tcBorders>
            <w:vAlign w:val="center"/>
          </w:tcPr>
          <w:p w14:paraId="6F6F29BE">
            <w:pPr>
              <w:widowControl/>
              <w:jc w:val="center"/>
              <w:rPr>
                <w:rFonts w:ascii="宋体" w:hAnsi="宋体" w:cs="宋体"/>
                <w:color w:val="auto"/>
                <w:kern w:val="0"/>
                <w:sz w:val="20"/>
                <w:szCs w:val="20"/>
              </w:rPr>
            </w:pPr>
            <w:r>
              <w:rPr>
                <w:rFonts w:hint="eastAsia" w:ascii="宋体" w:hAnsi="宋体" w:cs="宋体"/>
                <w:color w:val="auto"/>
                <w:kern w:val="0"/>
                <w:sz w:val="20"/>
                <w:szCs w:val="20"/>
              </w:rPr>
              <w:t>9</w:t>
            </w:r>
          </w:p>
        </w:tc>
        <w:tc>
          <w:tcPr>
            <w:tcW w:w="1024" w:type="dxa"/>
            <w:tcBorders>
              <w:top w:val="nil"/>
              <w:left w:val="nil"/>
              <w:bottom w:val="single" w:color="000000" w:sz="8" w:space="0"/>
              <w:right w:val="single" w:color="000000" w:sz="8" w:space="0"/>
            </w:tcBorders>
            <w:vAlign w:val="center"/>
          </w:tcPr>
          <w:p w14:paraId="775C620A">
            <w:pPr>
              <w:widowControl/>
              <w:jc w:val="center"/>
              <w:rPr>
                <w:rFonts w:ascii="宋体" w:hAnsi="宋体" w:cs="宋体"/>
                <w:color w:val="auto"/>
                <w:kern w:val="0"/>
                <w:sz w:val="20"/>
                <w:szCs w:val="20"/>
              </w:rPr>
            </w:pPr>
            <w:r>
              <w:rPr>
                <w:rFonts w:hint="eastAsia" w:ascii="宋体" w:hAnsi="宋体" w:cs="宋体"/>
                <w:color w:val="auto"/>
                <w:kern w:val="0"/>
                <w:sz w:val="20"/>
                <w:szCs w:val="20"/>
              </w:rPr>
              <w:t>★A020609镇流器</w:t>
            </w:r>
          </w:p>
        </w:tc>
        <w:tc>
          <w:tcPr>
            <w:tcW w:w="1516" w:type="dxa"/>
            <w:tcBorders>
              <w:top w:val="nil"/>
              <w:left w:val="nil"/>
              <w:bottom w:val="single" w:color="000000" w:sz="8" w:space="0"/>
              <w:right w:val="single" w:color="000000" w:sz="8" w:space="0"/>
            </w:tcBorders>
            <w:vAlign w:val="center"/>
          </w:tcPr>
          <w:p w14:paraId="6D9AD69C">
            <w:pPr>
              <w:widowControl/>
              <w:jc w:val="center"/>
              <w:rPr>
                <w:rFonts w:ascii="宋体" w:hAnsi="宋体" w:cs="宋体"/>
                <w:color w:val="auto"/>
                <w:kern w:val="0"/>
                <w:sz w:val="20"/>
                <w:szCs w:val="20"/>
              </w:rPr>
            </w:pPr>
            <w:r>
              <w:rPr>
                <w:rFonts w:hint="eastAsia" w:ascii="宋体" w:hAnsi="宋体" w:cs="宋体"/>
                <w:color w:val="auto"/>
                <w:kern w:val="0"/>
                <w:sz w:val="20"/>
                <w:szCs w:val="20"/>
              </w:rPr>
              <w:t>管型荧光灯镇流器</w:t>
            </w:r>
          </w:p>
        </w:tc>
        <w:tc>
          <w:tcPr>
            <w:tcW w:w="1612" w:type="dxa"/>
            <w:tcBorders>
              <w:top w:val="nil"/>
              <w:left w:val="nil"/>
              <w:bottom w:val="single" w:color="000000" w:sz="8" w:space="0"/>
              <w:right w:val="single" w:color="000000" w:sz="8" w:space="0"/>
            </w:tcBorders>
            <w:vAlign w:val="center"/>
          </w:tcPr>
          <w:p w14:paraId="65E18C45">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335" w:type="dxa"/>
            <w:tcBorders>
              <w:top w:val="nil"/>
              <w:left w:val="nil"/>
              <w:bottom w:val="single" w:color="000000" w:sz="8" w:space="0"/>
              <w:right w:val="single" w:color="000000" w:sz="8" w:space="0"/>
            </w:tcBorders>
            <w:vAlign w:val="center"/>
          </w:tcPr>
          <w:p w14:paraId="43F9035A">
            <w:pPr>
              <w:widowControl/>
              <w:jc w:val="left"/>
              <w:rPr>
                <w:rFonts w:ascii="宋体" w:hAnsi="宋体" w:cs="宋体"/>
                <w:color w:val="auto"/>
                <w:kern w:val="0"/>
                <w:sz w:val="20"/>
                <w:szCs w:val="20"/>
              </w:rPr>
            </w:pPr>
            <w:r>
              <w:rPr>
                <w:rFonts w:hint="eastAsia" w:ascii="宋体" w:hAnsi="宋体" w:cs="宋体"/>
                <w:color w:val="auto"/>
                <w:kern w:val="0"/>
                <w:sz w:val="20"/>
                <w:szCs w:val="20"/>
              </w:rPr>
              <w:t>《管形荧光灯镇流器能效限定值及能效等级》（GB17896）</w:t>
            </w:r>
          </w:p>
        </w:tc>
      </w:tr>
      <w:tr w14:paraId="3DF80A2D">
        <w:tblPrEx>
          <w:tblCellMar>
            <w:top w:w="0" w:type="dxa"/>
            <w:left w:w="108" w:type="dxa"/>
            <w:bottom w:w="0" w:type="dxa"/>
            <w:right w:w="108" w:type="dxa"/>
          </w:tblCellMar>
        </w:tblPrEx>
        <w:trPr>
          <w:trHeight w:val="495" w:hRule="atLeast"/>
        </w:trPr>
        <w:tc>
          <w:tcPr>
            <w:tcW w:w="733" w:type="dxa"/>
            <w:vMerge w:val="restart"/>
            <w:tcBorders>
              <w:top w:val="nil"/>
              <w:left w:val="single" w:color="000000" w:sz="8" w:space="0"/>
              <w:bottom w:val="single" w:color="000000" w:sz="8" w:space="0"/>
              <w:right w:val="single" w:color="000000" w:sz="8" w:space="0"/>
            </w:tcBorders>
            <w:vAlign w:val="center"/>
          </w:tcPr>
          <w:p w14:paraId="520551E8">
            <w:pPr>
              <w:widowControl/>
              <w:jc w:val="center"/>
              <w:rPr>
                <w:rFonts w:ascii="宋体" w:hAnsi="宋体" w:cs="宋体"/>
                <w:color w:val="auto"/>
                <w:kern w:val="0"/>
                <w:sz w:val="20"/>
                <w:szCs w:val="20"/>
              </w:rPr>
            </w:pPr>
            <w:r>
              <w:rPr>
                <w:rFonts w:hint="eastAsia" w:ascii="宋体" w:hAnsi="宋体" w:cs="宋体"/>
                <w:color w:val="auto"/>
                <w:kern w:val="0"/>
                <w:sz w:val="20"/>
                <w:szCs w:val="20"/>
              </w:rPr>
              <w:t>10</w:t>
            </w:r>
          </w:p>
        </w:tc>
        <w:tc>
          <w:tcPr>
            <w:tcW w:w="1024" w:type="dxa"/>
            <w:vMerge w:val="restart"/>
            <w:tcBorders>
              <w:top w:val="nil"/>
              <w:left w:val="single" w:color="000000" w:sz="8" w:space="0"/>
              <w:bottom w:val="single" w:color="000000" w:sz="8" w:space="0"/>
              <w:right w:val="single" w:color="000000" w:sz="8" w:space="0"/>
            </w:tcBorders>
            <w:vAlign w:val="center"/>
          </w:tcPr>
          <w:p w14:paraId="00452D29">
            <w:pPr>
              <w:widowControl/>
              <w:jc w:val="center"/>
              <w:rPr>
                <w:rFonts w:ascii="宋体" w:hAnsi="宋体" w:cs="宋体"/>
                <w:color w:val="auto"/>
                <w:kern w:val="0"/>
                <w:sz w:val="20"/>
                <w:szCs w:val="20"/>
              </w:rPr>
            </w:pPr>
            <w:r>
              <w:rPr>
                <w:rFonts w:hint="eastAsia" w:ascii="宋体" w:hAnsi="宋体" w:cs="宋体"/>
                <w:color w:val="auto"/>
                <w:kern w:val="0"/>
                <w:sz w:val="20"/>
                <w:szCs w:val="20"/>
              </w:rPr>
              <w:t>A020618生活用电器</w:t>
            </w:r>
          </w:p>
        </w:tc>
        <w:tc>
          <w:tcPr>
            <w:tcW w:w="1516" w:type="dxa"/>
            <w:tcBorders>
              <w:top w:val="nil"/>
              <w:left w:val="nil"/>
              <w:bottom w:val="single" w:color="000000" w:sz="8" w:space="0"/>
              <w:right w:val="single" w:color="000000" w:sz="8" w:space="0"/>
            </w:tcBorders>
            <w:vAlign w:val="center"/>
          </w:tcPr>
          <w:p w14:paraId="72D69060">
            <w:pPr>
              <w:widowControl/>
              <w:jc w:val="center"/>
              <w:rPr>
                <w:rFonts w:ascii="宋体" w:hAnsi="宋体" w:cs="宋体"/>
                <w:color w:val="auto"/>
                <w:kern w:val="0"/>
                <w:sz w:val="20"/>
                <w:szCs w:val="20"/>
              </w:rPr>
            </w:pPr>
            <w:r>
              <w:rPr>
                <w:rFonts w:hint="eastAsia" w:ascii="宋体" w:hAnsi="宋体" w:cs="宋体"/>
                <w:color w:val="auto"/>
                <w:kern w:val="0"/>
                <w:sz w:val="20"/>
                <w:szCs w:val="20"/>
              </w:rPr>
              <w:t>A0206180101电冰箱</w:t>
            </w:r>
          </w:p>
        </w:tc>
        <w:tc>
          <w:tcPr>
            <w:tcW w:w="1612" w:type="dxa"/>
            <w:tcBorders>
              <w:top w:val="nil"/>
              <w:left w:val="nil"/>
              <w:bottom w:val="single" w:color="000000" w:sz="8" w:space="0"/>
              <w:right w:val="single" w:color="000000" w:sz="8" w:space="0"/>
            </w:tcBorders>
            <w:vAlign w:val="center"/>
          </w:tcPr>
          <w:p w14:paraId="528E1937">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335" w:type="dxa"/>
            <w:tcBorders>
              <w:top w:val="nil"/>
              <w:left w:val="nil"/>
              <w:bottom w:val="single" w:color="000000" w:sz="8" w:space="0"/>
              <w:right w:val="single" w:color="000000" w:sz="8" w:space="0"/>
            </w:tcBorders>
            <w:vAlign w:val="center"/>
          </w:tcPr>
          <w:p w14:paraId="7AC7F4A7">
            <w:pPr>
              <w:widowControl/>
              <w:jc w:val="left"/>
              <w:rPr>
                <w:rFonts w:ascii="宋体" w:hAnsi="宋体" w:cs="宋体"/>
                <w:color w:val="auto"/>
                <w:kern w:val="0"/>
                <w:sz w:val="20"/>
                <w:szCs w:val="20"/>
              </w:rPr>
            </w:pPr>
            <w:r>
              <w:rPr>
                <w:rFonts w:hint="eastAsia" w:ascii="宋体" w:hAnsi="宋体" w:cs="宋体"/>
                <w:color w:val="auto"/>
                <w:kern w:val="0"/>
                <w:sz w:val="20"/>
                <w:szCs w:val="20"/>
              </w:rPr>
              <w:t>《家用电冰箱耗电量限定值及能效等级》（GB 12021.2）</w:t>
            </w:r>
          </w:p>
        </w:tc>
      </w:tr>
      <w:tr w14:paraId="14D9C2C5">
        <w:tblPrEx>
          <w:tblCellMar>
            <w:top w:w="0" w:type="dxa"/>
            <w:left w:w="108" w:type="dxa"/>
            <w:bottom w:w="0" w:type="dxa"/>
            <w:right w:w="108" w:type="dxa"/>
          </w:tblCellMar>
        </w:tblPrEx>
        <w:trPr>
          <w:trHeight w:val="975" w:hRule="atLeast"/>
        </w:trPr>
        <w:tc>
          <w:tcPr>
            <w:tcW w:w="733" w:type="dxa"/>
            <w:vMerge w:val="continue"/>
            <w:tcBorders>
              <w:top w:val="nil"/>
              <w:left w:val="single" w:color="000000" w:sz="8" w:space="0"/>
              <w:bottom w:val="single" w:color="000000" w:sz="8" w:space="0"/>
              <w:right w:val="single" w:color="000000" w:sz="8" w:space="0"/>
            </w:tcBorders>
            <w:vAlign w:val="center"/>
          </w:tcPr>
          <w:p w14:paraId="69BA6043">
            <w:pPr>
              <w:widowControl/>
              <w:jc w:val="left"/>
              <w:rPr>
                <w:rFonts w:ascii="宋体" w:hAnsi="宋体" w:cs="宋体"/>
                <w:color w:val="auto"/>
                <w:kern w:val="0"/>
                <w:sz w:val="20"/>
                <w:szCs w:val="20"/>
              </w:rPr>
            </w:pPr>
          </w:p>
        </w:tc>
        <w:tc>
          <w:tcPr>
            <w:tcW w:w="1024" w:type="dxa"/>
            <w:vMerge w:val="continue"/>
            <w:tcBorders>
              <w:top w:val="nil"/>
              <w:left w:val="single" w:color="000000" w:sz="8" w:space="0"/>
              <w:bottom w:val="single" w:color="000000" w:sz="8" w:space="0"/>
              <w:right w:val="single" w:color="000000" w:sz="8" w:space="0"/>
            </w:tcBorders>
            <w:vAlign w:val="center"/>
          </w:tcPr>
          <w:p w14:paraId="33A44D8A">
            <w:pPr>
              <w:widowControl/>
              <w:jc w:val="left"/>
              <w:rPr>
                <w:rFonts w:ascii="宋体" w:hAnsi="宋体" w:cs="宋体"/>
                <w:color w:val="auto"/>
                <w:kern w:val="0"/>
                <w:sz w:val="20"/>
                <w:szCs w:val="20"/>
              </w:rPr>
            </w:pPr>
          </w:p>
        </w:tc>
        <w:tc>
          <w:tcPr>
            <w:tcW w:w="1516" w:type="dxa"/>
            <w:vMerge w:val="restart"/>
            <w:tcBorders>
              <w:top w:val="nil"/>
              <w:left w:val="single" w:color="000000" w:sz="8" w:space="0"/>
              <w:bottom w:val="single" w:color="000000" w:sz="8" w:space="0"/>
              <w:right w:val="single" w:color="000000" w:sz="8" w:space="0"/>
            </w:tcBorders>
            <w:vAlign w:val="center"/>
          </w:tcPr>
          <w:p w14:paraId="253959CF">
            <w:pPr>
              <w:widowControl/>
              <w:jc w:val="center"/>
              <w:rPr>
                <w:rFonts w:ascii="宋体" w:hAnsi="宋体" w:cs="宋体"/>
                <w:color w:val="auto"/>
                <w:kern w:val="0"/>
                <w:sz w:val="20"/>
                <w:szCs w:val="20"/>
              </w:rPr>
            </w:pPr>
            <w:r>
              <w:rPr>
                <w:rFonts w:hint="eastAsia" w:ascii="宋体" w:hAnsi="宋体" w:cs="宋体"/>
                <w:color w:val="auto"/>
                <w:kern w:val="0"/>
                <w:sz w:val="20"/>
                <w:szCs w:val="20"/>
              </w:rPr>
              <w:t>★A0206180203空调机</w:t>
            </w:r>
          </w:p>
        </w:tc>
        <w:tc>
          <w:tcPr>
            <w:tcW w:w="1612" w:type="dxa"/>
            <w:tcBorders>
              <w:top w:val="nil"/>
              <w:left w:val="nil"/>
              <w:bottom w:val="single" w:color="000000" w:sz="8" w:space="0"/>
              <w:right w:val="single" w:color="000000" w:sz="8" w:space="0"/>
            </w:tcBorders>
            <w:vAlign w:val="center"/>
          </w:tcPr>
          <w:p w14:paraId="6B04F51F">
            <w:pPr>
              <w:widowControl/>
              <w:jc w:val="center"/>
              <w:rPr>
                <w:rFonts w:ascii="宋体" w:hAnsi="宋体" w:cs="宋体"/>
                <w:color w:val="auto"/>
                <w:kern w:val="0"/>
                <w:sz w:val="20"/>
                <w:szCs w:val="20"/>
              </w:rPr>
            </w:pPr>
            <w:r>
              <w:rPr>
                <w:rFonts w:hint="eastAsia" w:ascii="宋体" w:hAnsi="宋体" w:cs="宋体"/>
                <w:color w:val="auto"/>
                <w:kern w:val="0"/>
                <w:sz w:val="20"/>
                <w:szCs w:val="20"/>
              </w:rPr>
              <w:t>房间空气调节器</w:t>
            </w:r>
          </w:p>
        </w:tc>
        <w:tc>
          <w:tcPr>
            <w:tcW w:w="4335" w:type="dxa"/>
            <w:tcBorders>
              <w:top w:val="nil"/>
              <w:left w:val="nil"/>
              <w:bottom w:val="single" w:color="000000" w:sz="8" w:space="0"/>
              <w:right w:val="single" w:color="000000" w:sz="8" w:space="0"/>
            </w:tcBorders>
            <w:vAlign w:val="center"/>
          </w:tcPr>
          <w:p w14:paraId="2499DF52">
            <w:pPr>
              <w:widowControl/>
              <w:jc w:val="left"/>
              <w:rPr>
                <w:rFonts w:ascii="宋体" w:hAnsi="宋体" w:cs="宋体"/>
                <w:color w:val="auto"/>
                <w:kern w:val="0"/>
                <w:sz w:val="20"/>
                <w:szCs w:val="20"/>
              </w:rPr>
            </w:pPr>
            <w:r>
              <w:rPr>
                <w:rFonts w:hint="eastAsia" w:ascii="宋体" w:hAnsi="宋体" w:cs="宋体"/>
                <w:color w:val="auto"/>
                <w:kern w:val="0"/>
                <w:sz w:val="20"/>
                <w:szCs w:val="20"/>
              </w:rPr>
              <w:t>《转速可控型房间空气调节器能效限定值及能效等级》（GB21455-2013），待2019年修订发布后，按《房间空气调节器能效限定值及能效等级》GB21455-2019实施。</w:t>
            </w:r>
          </w:p>
        </w:tc>
      </w:tr>
      <w:tr w14:paraId="77F42311">
        <w:tblPrEx>
          <w:tblCellMar>
            <w:top w:w="0" w:type="dxa"/>
            <w:left w:w="108" w:type="dxa"/>
            <w:bottom w:w="0" w:type="dxa"/>
            <w:right w:w="108" w:type="dxa"/>
          </w:tblCellMar>
        </w:tblPrEx>
        <w:trPr>
          <w:trHeight w:val="735" w:hRule="atLeast"/>
        </w:trPr>
        <w:tc>
          <w:tcPr>
            <w:tcW w:w="733" w:type="dxa"/>
            <w:vMerge w:val="continue"/>
            <w:tcBorders>
              <w:top w:val="nil"/>
              <w:left w:val="single" w:color="000000" w:sz="8" w:space="0"/>
              <w:bottom w:val="single" w:color="000000" w:sz="8" w:space="0"/>
              <w:right w:val="single" w:color="000000" w:sz="8" w:space="0"/>
            </w:tcBorders>
            <w:vAlign w:val="center"/>
          </w:tcPr>
          <w:p w14:paraId="7A2BA460">
            <w:pPr>
              <w:widowControl/>
              <w:jc w:val="left"/>
              <w:rPr>
                <w:rFonts w:ascii="宋体" w:hAnsi="宋体" w:cs="宋体"/>
                <w:color w:val="auto"/>
                <w:kern w:val="0"/>
                <w:sz w:val="20"/>
                <w:szCs w:val="20"/>
              </w:rPr>
            </w:pPr>
          </w:p>
        </w:tc>
        <w:tc>
          <w:tcPr>
            <w:tcW w:w="1024" w:type="dxa"/>
            <w:vMerge w:val="continue"/>
            <w:tcBorders>
              <w:top w:val="nil"/>
              <w:left w:val="single" w:color="000000" w:sz="8" w:space="0"/>
              <w:bottom w:val="single" w:color="000000" w:sz="8" w:space="0"/>
              <w:right w:val="single" w:color="000000" w:sz="8" w:space="0"/>
            </w:tcBorders>
            <w:vAlign w:val="center"/>
          </w:tcPr>
          <w:p w14:paraId="45DB34A3">
            <w:pPr>
              <w:widowControl/>
              <w:jc w:val="left"/>
              <w:rPr>
                <w:rFonts w:ascii="宋体" w:hAnsi="宋体" w:cs="宋体"/>
                <w:color w:val="auto"/>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3F0E8C02">
            <w:pPr>
              <w:widowControl/>
              <w:jc w:val="left"/>
              <w:rPr>
                <w:rFonts w:ascii="宋体" w:hAnsi="宋体" w:cs="宋体"/>
                <w:color w:val="auto"/>
                <w:kern w:val="0"/>
                <w:sz w:val="20"/>
                <w:szCs w:val="20"/>
              </w:rPr>
            </w:pPr>
          </w:p>
        </w:tc>
        <w:tc>
          <w:tcPr>
            <w:tcW w:w="1612" w:type="dxa"/>
            <w:tcBorders>
              <w:top w:val="nil"/>
              <w:left w:val="nil"/>
              <w:bottom w:val="single" w:color="000000" w:sz="8" w:space="0"/>
              <w:right w:val="single" w:color="000000" w:sz="8" w:space="0"/>
            </w:tcBorders>
            <w:vAlign w:val="center"/>
          </w:tcPr>
          <w:p w14:paraId="7F687842">
            <w:pPr>
              <w:widowControl/>
              <w:jc w:val="center"/>
              <w:rPr>
                <w:rFonts w:ascii="宋体" w:hAnsi="宋体" w:cs="宋体"/>
                <w:color w:val="auto"/>
                <w:kern w:val="0"/>
                <w:sz w:val="20"/>
                <w:szCs w:val="20"/>
              </w:rPr>
            </w:pPr>
            <w:r>
              <w:rPr>
                <w:rFonts w:hint="eastAsia" w:ascii="宋体" w:hAnsi="宋体" w:cs="宋体"/>
                <w:color w:val="auto"/>
                <w:kern w:val="0"/>
                <w:sz w:val="20"/>
                <w:szCs w:val="20"/>
              </w:rPr>
              <w:t>多联式空调（热泵）机组（制冷量≤ 14000W）</w:t>
            </w:r>
          </w:p>
        </w:tc>
        <w:tc>
          <w:tcPr>
            <w:tcW w:w="4335" w:type="dxa"/>
            <w:tcBorders>
              <w:top w:val="nil"/>
              <w:left w:val="nil"/>
              <w:bottom w:val="single" w:color="000000" w:sz="8" w:space="0"/>
              <w:right w:val="single" w:color="000000" w:sz="8" w:space="0"/>
            </w:tcBorders>
            <w:vAlign w:val="center"/>
          </w:tcPr>
          <w:p w14:paraId="047E9AEB">
            <w:pPr>
              <w:widowControl/>
              <w:jc w:val="left"/>
              <w:rPr>
                <w:rFonts w:ascii="宋体" w:hAnsi="宋体" w:cs="宋体"/>
                <w:color w:val="auto"/>
                <w:kern w:val="0"/>
                <w:sz w:val="20"/>
                <w:szCs w:val="20"/>
              </w:rPr>
            </w:pPr>
            <w:r>
              <w:rPr>
                <w:rFonts w:hint="eastAsia" w:ascii="宋体" w:hAnsi="宋体" w:cs="宋体"/>
                <w:color w:val="auto"/>
                <w:kern w:val="0"/>
                <w:sz w:val="20"/>
                <w:szCs w:val="20"/>
              </w:rPr>
              <w:t>《多联式空调（热泵）机组能效限定值及能源效率等级》（GB21454）</w:t>
            </w:r>
          </w:p>
        </w:tc>
      </w:tr>
      <w:tr w14:paraId="3B4472A4">
        <w:tblPrEx>
          <w:tblCellMar>
            <w:top w:w="0" w:type="dxa"/>
            <w:left w:w="108" w:type="dxa"/>
            <w:bottom w:w="0" w:type="dxa"/>
            <w:right w:w="108" w:type="dxa"/>
          </w:tblCellMar>
        </w:tblPrEx>
        <w:trPr>
          <w:trHeight w:val="735" w:hRule="atLeast"/>
        </w:trPr>
        <w:tc>
          <w:tcPr>
            <w:tcW w:w="733" w:type="dxa"/>
            <w:vMerge w:val="continue"/>
            <w:tcBorders>
              <w:top w:val="nil"/>
              <w:left w:val="single" w:color="000000" w:sz="8" w:space="0"/>
              <w:bottom w:val="single" w:color="000000" w:sz="8" w:space="0"/>
              <w:right w:val="single" w:color="000000" w:sz="8" w:space="0"/>
            </w:tcBorders>
            <w:vAlign w:val="center"/>
          </w:tcPr>
          <w:p w14:paraId="77511031">
            <w:pPr>
              <w:widowControl/>
              <w:jc w:val="left"/>
              <w:rPr>
                <w:rFonts w:ascii="宋体" w:hAnsi="宋体" w:cs="宋体"/>
                <w:color w:val="auto"/>
                <w:kern w:val="0"/>
                <w:sz w:val="20"/>
                <w:szCs w:val="20"/>
              </w:rPr>
            </w:pPr>
          </w:p>
        </w:tc>
        <w:tc>
          <w:tcPr>
            <w:tcW w:w="1024" w:type="dxa"/>
            <w:vMerge w:val="continue"/>
            <w:tcBorders>
              <w:top w:val="nil"/>
              <w:left w:val="single" w:color="000000" w:sz="8" w:space="0"/>
              <w:bottom w:val="single" w:color="000000" w:sz="8" w:space="0"/>
              <w:right w:val="single" w:color="000000" w:sz="8" w:space="0"/>
            </w:tcBorders>
            <w:vAlign w:val="center"/>
          </w:tcPr>
          <w:p w14:paraId="331BD516">
            <w:pPr>
              <w:widowControl/>
              <w:jc w:val="left"/>
              <w:rPr>
                <w:rFonts w:ascii="宋体" w:hAnsi="宋体" w:cs="宋体"/>
                <w:color w:val="auto"/>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638D3DE9">
            <w:pPr>
              <w:widowControl/>
              <w:jc w:val="left"/>
              <w:rPr>
                <w:rFonts w:ascii="宋体" w:hAnsi="宋体" w:cs="宋体"/>
                <w:color w:val="auto"/>
                <w:kern w:val="0"/>
                <w:sz w:val="20"/>
                <w:szCs w:val="20"/>
              </w:rPr>
            </w:pPr>
          </w:p>
        </w:tc>
        <w:tc>
          <w:tcPr>
            <w:tcW w:w="1612" w:type="dxa"/>
            <w:tcBorders>
              <w:top w:val="nil"/>
              <w:left w:val="nil"/>
              <w:bottom w:val="single" w:color="000000" w:sz="8" w:space="0"/>
              <w:right w:val="single" w:color="000000" w:sz="8" w:space="0"/>
            </w:tcBorders>
            <w:vAlign w:val="center"/>
          </w:tcPr>
          <w:p w14:paraId="6A792D81">
            <w:pPr>
              <w:widowControl/>
              <w:jc w:val="center"/>
              <w:rPr>
                <w:rFonts w:ascii="宋体" w:hAnsi="宋体" w:cs="宋体"/>
                <w:color w:val="auto"/>
                <w:kern w:val="0"/>
                <w:sz w:val="20"/>
                <w:szCs w:val="20"/>
              </w:rPr>
            </w:pPr>
            <w:r>
              <w:rPr>
                <w:rFonts w:hint="eastAsia" w:ascii="宋体" w:hAnsi="宋体" w:cs="宋体"/>
                <w:color w:val="auto"/>
                <w:kern w:val="0"/>
                <w:sz w:val="20"/>
                <w:szCs w:val="20"/>
              </w:rPr>
              <w:t>单元式空气调节机（制冷量≤14000W）</w:t>
            </w:r>
          </w:p>
        </w:tc>
        <w:tc>
          <w:tcPr>
            <w:tcW w:w="4335" w:type="dxa"/>
            <w:tcBorders>
              <w:top w:val="nil"/>
              <w:left w:val="nil"/>
              <w:bottom w:val="single" w:color="000000" w:sz="8" w:space="0"/>
              <w:right w:val="single" w:color="000000" w:sz="8" w:space="0"/>
            </w:tcBorders>
            <w:vAlign w:val="center"/>
          </w:tcPr>
          <w:p w14:paraId="2845D1F6">
            <w:pPr>
              <w:widowControl/>
              <w:jc w:val="left"/>
              <w:rPr>
                <w:rFonts w:ascii="宋体" w:hAnsi="宋体" w:cs="宋体"/>
                <w:color w:val="auto"/>
                <w:kern w:val="0"/>
                <w:sz w:val="20"/>
                <w:szCs w:val="20"/>
              </w:rPr>
            </w:pPr>
            <w:r>
              <w:rPr>
                <w:rFonts w:hint="eastAsia" w:ascii="宋体" w:hAnsi="宋体" w:cs="宋体"/>
                <w:color w:val="auto"/>
                <w:kern w:val="0"/>
                <w:sz w:val="20"/>
                <w:szCs w:val="20"/>
              </w:rPr>
              <w:t>《单元式空气调节机能效限定值及能源效率等级》（GB19576）《风管送风式空调机组能效限定值及能效等级》（GB37479）</w:t>
            </w:r>
          </w:p>
        </w:tc>
      </w:tr>
      <w:tr w14:paraId="717C4174">
        <w:tblPrEx>
          <w:tblCellMar>
            <w:top w:w="0" w:type="dxa"/>
            <w:left w:w="108" w:type="dxa"/>
            <w:bottom w:w="0" w:type="dxa"/>
            <w:right w:w="108" w:type="dxa"/>
          </w:tblCellMar>
        </w:tblPrEx>
        <w:trPr>
          <w:trHeight w:val="495" w:hRule="atLeast"/>
        </w:trPr>
        <w:tc>
          <w:tcPr>
            <w:tcW w:w="733" w:type="dxa"/>
            <w:vMerge w:val="continue"/>
            <w:tcBorders>
              <w:top w:val="nil"/>
              <w:left w:val="single" w:color="000000" w:sz="8" w:space="0"/>
              <w:bottom w:val="single" w:color="000000" w:sz="8" w:space="0"/>
              <w:right w:val="single" w:color="000000" w:sz="8" w:space="0"/>
            </w:tcBorders>
            <w:vAlign w:val="center"/>
          </w:tcPr>
          <w:p w14:paraId="70AB1556">
            <w:pPr>
              <w:widowControl/>
              <w:jc w:val="left"/>
              <w:rPr>
                <w:rFonts w:ascii="宋体" w:hAnsi="宋体" w:cs="宋体"/>
                <w:color w:val="auto"/>
                <w:kern w:val="0"/>
                <w:sz w:val="20"/>
                <w:szCs w:val="20"/>
              </w:rPr>
            </w:pPr>
          </w:p>
        </w:tc>
        <w:tc>
          <w:tcPr>
            <w:tcW w:w="1024" w:type="dxa"/>
            <w:vMerge w:val="continue"/>
            <w:tcBorders>
              <w:top w:val="nil"/>
              <w:left w:val="single" w:color="000000" w:sz="8" w:space="0"/>
              <w:bottom w:val="single" w:color="000000" w:sz="8" w:space="0"/>
              <w:right w:val="single" w:color="000000" w:sz="8" w:space="0"/>
            </w:tcBorders>
            <w:vAlign w:val="center"/>
          </w:tcPr>
          <w:p w14:paraId="4E475BF5">
            <w:pPr>
              <w:widowControl/>
              <w:jc w:val="left"/>
              <w:rPr>
                <w:rFonts w:ascii="宋体" w:hAnsi="宋体" w:cs="宋体"/>
                <w:color w:val="auto"/>
                <w:kern w:val="0"/>
                <w:sz w:val="20"/>
                <w:szCs w:val="20"/>
              </w:rPr>
            </w:pPr>
          </w:p>
        </w:tc>
        <w:tc>
          <w:tcPr>
            <w:tcW w:w="1516" w:type="dxa"/>
            <w:tcBorders>
              <w:top w:val="nil"/>
              <w:left w:val="nil"/>
              <w:bottom w:val="single" w:color="000000" w:sz="8" w:space="0"/>
              <w:right w:val="single" w:color="000000" w:sz="8" w:space="0"/>
            </w:tcBorders>
            <w:vAlign w:val="center"/>
          </w:tcPr>
          <w:p w14:paraId="5B6694EA">
            <w:pPr>
              <w:widowControl/>
              <w:jc w:val="center"/>
              <w:rPr>
                <w:rFonts w:ascii="宋体" w:hAnsi="宋体" w:cs="宋体"/>
                <w:color w:val="auto"/>
                <w:kern w:val="0"/>
                <w:sz w:val="20"/>
                <w:szCs w:val="20"/>
              </w:rPr>
            </w:pPr>
            <w:r>
              <w:rPr>
                <w:rFonts w:hint="eastAsia" w:ascii="宋体" w:hAnsi="宋体" w:cs="宋体"/>
                <w:color w:val="auto"/>
                <w:kern w:val="0"/>
                <w:sz w:val="20"/>
                <w:szCs w:val="20"/>
              </w:rPr>
              <w:t>A0206180301洗衣机</w:t>
            </w:r>
          </w:p>
        </w:tc>
        <w:tc>
          <w:tcPr>
            <w:tcW w:w="1612" w:type="dxa"/>
            <w:tcBorders>
              <w:top w:val="nil"/>
              <w:left w:val="nil"/>
              <w:bottom w:val="single" w:color="000000" w:sz="8" w:space="0"/>
              <w:right w:val="single" w:color="000000" w:sz="8" w:space="0"/>
            </w:tcBorders>
            <w:vAlign w:val="center"/>
          </w:tcPr>
          <w:p w14:paraId="2177021D">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335" w:type="dxa"/>
            <w:tcBorders>
              <w:top w:val="nil"/>
              <w:left w:val="nil"/>
              <w:bottom w:val="single" w:color="000000" w:sz="8" w:space="0"/>
              <w:right w:val="single" w:color="000000" w:sz="8" w:space="0"/>
            </w:tcBorders>
            <w:vAlign w:val="center"/>
          </w:tcPr>
          <w:p w14:paraId="57AABBC7">
            <w:pPr>
              <w:widowControl/>
              <w:jc w:val="left"/>
              <w:rPr>
                <w:rFonts w:ascii="宋体" w:hAnsi="宋体" w:cs="宋体"/>
                <w:color w:val="auto"/>
                <w:kern w:val="0"/>
                <w:sz w:val="20"/>
                <w:szCs w:val="20"/>
              </w:rPr>
            </w:pPr>
            <w:r>
              <w:rPr>
                <w:rFonts w:hint="eastAsia" w:ascii="宋体" w:hAnsi="宋体" w:cs="宋体"/>
                <w:color w:val="auto"/>
                <w:kern w:val="0"/>
                <w:sz w:val="20"/>
                <w:szCs w:val="20"/>
              </w:rPr>
              <w:t>《电动洗衣机能效水效限定值及等级》（GB12021.4）</w:t>
            </w:r>
          </w:p>
        </w:tc>
      </w:tr>
      <w:tr w14:paraId="08641AD9">
        <w:tblPrEx>
          <w:tblCellMar>
            <w:top w:w="0" w:type="dxa"/>
            <w:left w:w="108" w:type="dxa"/>
            <w:bottom w:w="0" w:type="dxa"/>
            <w:right w:w="108" w:type="dxa"/>
          </w:tblCellMar>
        </w:tblPrEx>
        <w:trPr>
          <w:trHeight w:val="495" w:hRule="atLeast"/>
        </w:trPr>
        <w:tc>
          <w:tcPr>
            <w:tcW w:w="733" w:type="dxa"/>
            <w:vMerge w:val="continue"/>
            <w:tcBorders>
              <w:top w:val="nil"/>
              <w:left w:val="single" w:color="000000" w:sz="8" w:space="0"/>
              <w:bottom w:val="single" w:color="000000" w:sz="8" w:space="0"/>
              <w:right w:val="single" w:color="000000" w:sz="8" w:space="0"/>
            </w:tcBorders>
            <w:vAlign w:val="center"/>
          </w:tcPr>
          <w:p w14:paraId="1D8AA29B">
            <w:pPr>
              <w:widowControl/>
              <w:jc w:val="left"/>
              <w:rPr>
                <w:rFonts w:ascii="宋体" w:hAnsi="宋体" w:cs="宋体"/>
                <w:color w:val="auto"/>
                <w:kern w:val="0"/>
                <w:sz w:val="20"/>
                <w:szCs w:val="20"/>
              </w:rPr>
            </w:pPr>
          </w:p>
        </w:tc>
        <w:tc>
          <w:tcPr>
            <w:tcW w:w="1024" w:type="dxa"/>
            <w:vMerge w:val="continue"/>
            <w:tcBorders>
              <w:top w:val="nil"/>
              <w:left w:val="single" w:color="000000" w:sz="8" w:space="0"/>
              <w:bottom w:val="single" w:color="000000" w:sz="8" w:space="0"/>
              <w:right w:val="single" w:color="000000" w:sz="8" w:space="0"/>
            </w:tcBorders>
            <w:vAlign w:val="center"/>
          </w:tcPr>
          <w:p w14:paraId="3EB6CDB4">
            <w:pPr>
              <w:widowControl/>
              <w:jc w:val="left"/>
              <w:rPr>
                <w:rFonts w:ascii="宋体" w:hAnsi="宋体" w:cs="宋体"/>
                <w:color w:val="auto"/>
                <w:kern w:val="0"/>
                <w:sz w:val="20"/>
                <w:szCs w:val="20"/>
              </w:rPr>
            </w:pPr>
          </w:p>
        </w:tc>
        <w:tc>
          <w:tcPr>
            <w:tcW w:w="1516" w:type="dxa"/>
            <w:vMerge w:val="restart"/>
            <w:tcBorders>
              <w:top w:val="nil"/>
              <w:left w:val="single" w:color="000000" w:sz="8" w:space="0"/>
              <w:bottom w:val="single" w:color="000000" w:sz="8" w:space="0"/>
              <w:right w:val="single" w:color="000000" w:sz="8" w:space="0"/>
            </w:tcBorders>
            <w:vAlign w:val="center"/>
          </w:tcPr>
          <w:p w14:paraId="15FCA278">
            <w:pPr>
              <w:widowControl/>
              <w:jc w:val="center"/>
              <w:rPr>
                <w:rFonts w:ascii="宋体" w:hAnsi="宋体" w:cs="宋体"/>
                <w:color w:val="auto"/>
                <w:kern w:val="0"/>
                <w:sz w:val="20"/>
                <w:szCs w:val="20"/>
              </w:rPr>
            </w:pPr>
            <w:r>
              <w:rPr>
                <w:rFonts w:hint="eastAsia" w:ascii="宋体" w:hAnsi="宋体" w:cs="宋体"/>
                <w:color w:val="auto"/>
                <w:kern w:val="0"/>
                <w:sz w:val="20"/>
                <w:szCs w:val="20"/>
              </w:rPr>
              <w:t>A02061808热水器</w:t>
            </w:r>
          </w:p>
        </w:tc>
        <w:tc>
          <w:tcPr>
            <w:tcW w:w="1612" w:type="dxa"/>
            <w:tcBorders>
              <w:top w:val="nil"/>
              <w:left w:val="nil"/>
              <w:bottom w:val="single" w:color="000000" w:sz="8" w:space="0"/>
              <w:right w:val="single" w:color="000000" w:sz="8" w:space="0"/>
            </w:tcBorders>
            <w:vAlign w:val="center"/>
          </w:tcPr>
          <w:p w14:paraId="33329F0B">
            <w:pPr>
              <w:widowControl/>
              <w:jc w:val="center"/>
              <w:rPr>
                <w:rFonts w:ascii="宋体" w:hAnsi="宋体" w:cs="宋体"/>
                <w:color w:val="auto"/>
                <w:kern w:val="0"/>
                <w:sz w:val="20"/>
                <w:szCs w:val="20"/>
              </w:rPr>
            </w:pPr>
            <w:r>
              <w:rPr>
                <w:rFonts w:hint="eastAsia" w:ascii="宋体" w:hAnsi="宋体" w:cs="宋体"/>
                <w:color w:val="auto"/>
                <w:kern w:val="0"/>
                <w:sz w:val="20"/>
                <w:szCs w:val="20"/>
              </w:rPr>
              <w:t>★电热水器</w:t>
            </w:r>
          </w:p>
        </w:tc>
        <w:tc>
          <w:tcPr>
            <w:tcW w:w="4335" w:type="dxa"/>
            <w:tcBorders>
              <w:top w:val="nil"/>
              <w:left w:val="nil"/>
              <w:bottom w:val="single" w:color="000000" w:sz="8" w:space="0"/>
              <w:right w:val="single" w:color="000000" w:sz="8" w:space="0"/>
            </w:tcBorders>
            <w:vAlign w:val="center"/>
          </w:tcPr>
          <w:p w14:paraId="3F4E7984">
            <w:pPr>
              <w:widowControl/>
              <w:jc w:val="left"/>
              <w:rPr>
                <w:rFonts w:ascii="宋体" w:hAnsi="宋体" w:cs="宋体"/>
                <w:color w:val="auto"/>
                <w:kern w:val="0"/>
                <w:sz w:val="20"/>
                <w:szCs w:val="20"/>
              </w:rPr>
            </w:pPr>
            <w:r>
              <w:rPr>
                <w:rFonts w:hint="eastAsia" w:ascii="宋体" w:hAnsi="宋体" w:cs="宋体"/>
                <w:color w:val="auto"/>
                <w:kern w:val="0"/>
                <w:sz w:val="20"/>
                <w:szCs w:val="20"/>
              </w:rPr>
              <w:t>《储水式电热水器能效限定值及能效等级》（GB21519）</w:t>
            </w:r>
          </w:p>
        </w:tc>
      </w:tr>
      <w:tr w14:paraId="3E0B8252">
        <w:tblPrEx>
          <w:tblCellMar>
            <w:top w:w="0" w:type="dxa"/>
            <w:left w:w="108" w:type="dxa"/>
            <w:bottom w:w="0" w:type="dxa"/>
            <w:right w:w="108" w:type="dxa"/>
          </w:tblCellMar>
        </w:tblPrEx>
        <w:trPr>
          <w:trHeight w:val="495" w:hRule="atLeast"/>
        </w:trPr>
        <w:tc>
          <w:tcPr>
            <w:tcW w:w="733" w:type="dxa"/>
            <w:vMerge w:val="continue"/>
            <w:tcBorders>
              <w:top w:val="nil"/>
              <w:left w:val="single" w:color="000000" w:sz="8" w:space="0"/>
              <w:bottom w:val="single" w:color="000000" w:sz="8" w:space="0"/>
              <w:right w:val="single" w:color="000000" w:sz="8" w:space="0"/>
            </w:tcBorders>
            <w:vAlign w:val="center"/>
          </w:tcPr>
          <w:p w14:paraId="3395CA8D">
            <w:pPr>
              <w:widowControl/>
              <w:jc w:val="left"/>
              <w:rPr>
                <w:rFonts w:ascii="宋体" w:hAnsi="宋体" w:cs="宋体"/>
                <w:color w:val="auto"/>
                <w:kern w:val="0"/>
                <w:sz w:val="20"/>
                <w:szCs w:val="20"/>
              </w:rPr>
            </w:pPr>
          </w:p>
        </w:tc>
        <w:tc>
          <w:tcPr>
            <w:tcW w:w="1024" w:type="dxa"/>
            <w:vMerge w:val="continue"/>
            <w:tcBorders>
              <w:top w:val="nil"/>
              <w:left w:val="single" w:color="000000" w:sz="8" w:space="0"/>
              <w:bottom w:val="single" w:color="000000" w:sz="8" w:space="0"/>
              <w:right w:val="single" w:color="000000" w:sz="8" w:space="0"/>
            </w:tcBorders>
            <w:vAlign w:val="center"/>
          </w:tcPr>
          <w:p w14:paraId="5CA6F3B1">
            <w:pPr>
              <w:widowControl/>
              <w:jc w:val="left"/>
              <w:rPr>
                <w:rFonts w:ascii="宋体" w:hAnsi="宋体" w:cs="宋体"/>
                <w:color w:val="auto"/>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07D0152E">
            <w:pPr>
              <w:widowControl/>
              <w:jc w:val="left"/>
              <w:rPr>
                <w:rFonts w:ascii="宋体" w:hAnsi="宋体" w:cs="宋体"/>
                <w:color w:val="auto"/>
                <w:kern w:val="0"/>
                <w:sz w:val="20"/>
                <w:szCs w:val="20"/>
              </w:rPr>
            </w:pPr>
          </w:p>
        </w:tc>
        <w:tc>
          <w:tcPr>
            <w:tcW w:w="1612" w:type="dxa"/>
            <w:tcBorders>
              <w:top w:val="nil"/>
              <w:left w:val="nil"/>
              <w:bottom w:val="single" w:color="000000" w:sz="8" w:space="0"/>
              <w:right w:val="single" w:color="000000" w:sz="8" w:space="0"/>
            </w:tcBorders>
            <w:vAlign w:val="center"/>
          </w:tcPr>
          <w:p w14:paraId="031E7E20">
            <w:pPr>
              <w:widowControl/>
              <w:jc w:val="center"/>
              <w:rPr>
                <w:rFonts w:ascii="宋体" w:hAnsi="宋体" w:cs="宋体"/>
                <w:color w:val="auto"/>
                <w:kern w:val="0"/>
                <w:sz w:val="20"/>
                <w:szCs w:val="20"/>
              </w:rPr>
            </w:pPr>
            <w:r>
              <w:rPr>
                <w:rFonts w:hint="eastAsia" w:ascii="宋体" w:hAnsi="宋体" w:cs="宋体"/>
                <w:color w:val="auto"/>
                <w:kern w:val="0"/>
                <w:sz w:val="20"/>
                <w:szCs w:val="20"/>
              </w:rPr>
              <w:t>燃气热水器</w:t>
            </w:r>
          </w:p>
        </w:tc>
        <w:tc>
          <w:tcPr>
            <w:tcW w:w="4335" w:type="dxa"/>
            <w:tcBorders>
              <w:top w:val="nil"/>
              <w:left w:val="nil"/>
              <w:bottom w:val="single" w:color="000000" w:sz="8" w:space="0"/>
              <w:right w:val="single" w:color="000000" w:sz="8" w:space="0"/>
            </w:tcBorders>
            <w:vAlign w:val="center"/>
          </w:tcPr>
          <w:p w14:paraId="3293A791">
            <w:pPr>
              <w:widowControl/>
              <w:jc w:val="left"/>
              <w:rPr>
                <w:rFonts w:ascii="宋体" w:hAnsi="宋体" w:cs="宋体"/>
                <w:color w:val="auto"/>
                <w:kern w:val="0"/>
                <w:sz w:val="20"/>
                <w:szCs w:val="20"/>
              </w:rPr>
            </w:pPr>
            <w:r>
              <w:rPr>
                <w:rFonts w:hint="eastAsia" w:ascii="宋体" w:hAnsi="宋体" w:cs="宋体"/>
                <w:color w:val="auto"/>
                <w:kern w:val="0"/>
                <w:sz w:val="20"/>
                <w:szCs w:val="20"/>
              </w:rPr>
              <w:t>《家用燃气快速热水器和燃气采暖热水炉能效限定值及能效等级》（GB20665）</w:t>
            </w:r>
          </w:p>
        </w:tc>
      </w:tr>
      <w:tr w14:paraId="092F11C0">
        <w:tblPrEx>
          <w:tblCellMar>
            <w:top w:w="0" w:type="dxa"/>
            <w:left w:w="108" w:type="dxa"/>
            <w:bottom w:w="0" w:type="dxa"/>
            <w:right w:w="108" w:type="dxa"/>
          </w:tblCellMar>
        </w:tblPrEx>
        <w:trPr>
          <w:trHeight w:val="495" w:hRule="atLeast"/>
        </w:trPr>
        <w:tc>
          <w:tcPr>
            <w:tcW w:w="733" w:type="dxa"/>
            <w:vMerge w:val="continue"/>
            <w:tcBorders>
              <w:top w:val="nil"/>
              <w:left w:val="single" w:color="000000" w:sz="8" w:space="0"/>
              <w:bottom w:val="single" w:color="000000" w:sz="8" w:space="0"/>
              <w:right w:val="single" w:color="000000" w:sz="8" w:space="0"/>
            </w:tcBorders>
            <w:vAlign w:val="center"/>
          </w:tcPr>
          <w:p w14:paraId="4F3B6F7A">
            <w:pPr>
              <w:widowControl/>
              <w:jc w:val="left"/>
              <w:rPr>
                <w:rFonts w:ascii="宋体" w:hAnsi="宋体" w:cs="宋体"/>
                <w:color w:val="auto"/>
                <w:kern w:val="0"/>
                <w:sz w:val="20"/>
                <w:szCs w:val="20"/>
              </w:rPr>
            </w:pPr>
          </w:p>
        </w:tc>
        <w:tc>
          <w:tcPr>
            <w:tcW w:w="1024" w:type="dxa"/>
            <w:vMerge w:val="continue"/>
            <w:tcBorders>
              <w:top w:val="nil"/>
              <w:left w:val="single" w:color="000000" w:sz="8" w:space="0"/>
              <w:bottom w:val="single" w:color="000000" w:sz="8" w:space="0"/>
              <w:right w:val="single" w:color="000000" w:sz="8" w:space="0"/>
            </w:tcBorders>
            <w:vAlign w:val="center"/>
          </w:tcPr>
          <w:p w14:paraId="357618E6">
            <w:pPr>
              <w:widowControl/>
              <w:jc w:val="left"/>
              <w:rPr>
                <w:rFonts w:ascii="宋体" w:hAnsi="宋体" w:cs="宋体"/>
                <w:color w:val="auto"/>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77C9C9B5">
            <w:pPr>
              <w:widowControl/>
              <w:jc w:val="left"/>
              <w:rPr>
                <w:rFonts w:ascii="宋体" w:hAnsi="宋体" w:cs="宋体"/>
                <w:color w:val="auto"/>
                <w:kern w:val="0"/>
                <w:sz w:val="20"/>
                <w:szCs w:val="20"/>
              </w:rPr>
            </w:pPr>
          </w:p>
        </w:tc>
        <w:tc>
          <w:tcPr>
            <w:tcW w:w="1612" w:type="dxa"/>
            <w:tcBorders>
              <w:top w:val="nil"/>
              <w:left w:val="nil"/>
              <w:bottom w:val="single" w:color="000000" w:sz="8" w:space="0"/>
              <w:right w:val="single" w:color="000000" w:sz="8" w:space="0"/>
            </w:tcBorders>
            <w:vAlign w:val="center"/>
          </w:tcPr>
          <w:p w14:paraId="757024AD">
            <w:pPr>
              <w:widowControl/>
              <w:jc w:val="center"/>
              <w:rPr>
                <w:rFonts w:ascii="宋体" w:hAnsi="宋体" w:cs="宋体"/>
                <w:color w:val="auto"/>
                <w:kern w:val="0"/>
                <w:sz w:val="20"/>
                <w:szCs w:val="20"/>
              </w:rPr>
            </w:pPr>
            <w:r>
              <w:rPr>
                <w:rFonts w:hint="eastAsia" w:ascii="宋体" w:hAnsi="宋体" w:cs="宋体"/>
                <w:color w:val="auto"/>
                <w:kern w:val="0"/>
                <w:sz w:val="20"/>
                <w:szCs w:val="20"/>
              </w:rPr>
              <w:t>热泵热水器</w:t>
            </w:r>
          </w:p>
        </w:tc>
        <w:tc>
          <w:tcPr>
            <w:tcW w:w="4335" w:type="dxa"/>
            <w:tcBorders>
              <w:top w:val="nil"/>
              <w:left w:val="nil"/>
              <w:bottom w:val="single" w:color="000000" w:sz="8" w:space="0"/>
              <w:right w:val="single" w:color="000000" w:sz="8" w:space="0"/>
            </w:tcBorders>
            <w:vAlign w:val="center"/>
          </w:tcPr>
          <w:p w14:paraId="2FD1AB3A">
            <w:pPr>
              <w:widowControl/>
              <w:jc w:val="left"/>
              <w:rPr>
                <w:rFonts w:ascii="宋体" w:hAnsi="宋体" w:cs="宋体"/>
                <w:color w:val="auto"/>
                <w:kern w:val="0"/>
                <w:sz w:val="20"/>
                <w:szCs w:val="20"/>
              </w:rPr>
            </w:pPr>
            <w:r>
              <w:rPr>
                <w:rFonts w:hint="eastAsia" w:ascii="宋体" w:hAnsi="宋体" w:cs="宋体"/>
                <w:color w:val="auto"/>
                <w:kern w:val="0"/>
                <w:sz w:val="20"/>
                <w:szCs w:val="20"/>
              </w:rPr>
              <w:t>《热泵热水机（器）能效限定值及能效等级》（GB29541）</w:t>
            </w:r>
          </w:p>
        </w:tc>
      </w:tr>
      <w:tr w14:paraId="69710969">
        <w:tblPrEx>
          <w:tblCellMar>
            <w:top w:w="0" w:type="dxa"/>
            <w:left w:w="108" w:type="dxa"/>
            <w:bottom w:w="0" w:type="dxa"/>
            <w:right w:w="108" w:type="dxa"/>
          </w:tblCellMar>
        </w:tblPrEx>
        <w:trPr>
          <w:trHeight w:val="495" w:hRule="atLeast"/>
        </w:trPr>
        <w:tc>
          <w:tcPr>
            <w:tcW w:w="733" w:type="dxa"/>
            <w:vMerge w:val="continue"/>
            <w:tcBorders>
              <w:top w:val="nil"/>
              <w:left w:val="single" w:color="000000" w:sz="8" w:space="0"/>
              <w:bottom w:val="single" w:color="auto" w:sz="4" w:space="0"/>
              <w:right w:val="single" w:color="000000" w:sz="8" w:space="0"/>
            </w:tcBorders>
            <w:vAlign w:val="center"/>
          </w:tcPr>
          <w:p w14:paraId="1904DC2F">
            <w:pPr>
              <w:widowControl/>
              <w:jc w:val="left"/>
              <w:rPr>
                <w:rFonts w:ascii="宋体" w:hAnsi="宋体" w:cs="宋体"/>
                <w:color w:val="auto"/>
                <w:kern w:val="0"/>
                <w:sz w:val="20"/>
                <w:szCs w:val="20"/>
              </w:rPr>
            </w:pPr>
          </w:p>
        </w:tc>
        <w:tc>
          <w:tcPr>
            <w:tcW w:w="1024" w:type="dxa"/>
            <w:vMerge w:val="continue"/>
            <w:tcBorders>
              <w:top w:val="nil"/>
              <w:left w:val="single" w:color="000000" w:sz="8" w:space="0"/>
              <w:bottom w:val="single" w:color="auto" w:sz="4" w:space="0"/>
              <w:right w:val="single" w:color="000000" w:sz="8" w:space="0"/>
            </w:tcBorders>
            <w:vAlign w:val="center"/>
          </w:tcPr>
          <w:p w14:paraId="4CE85EAF">
            <w:pPr>
              <w:widowControl/>
              <w:jc w:val="left"/>
              <w:rPr>
                <w:rFonts w:ascii="宋体" w:hAnsi="宋体" w:cs="宋体"/>
                <w:color w:val="auto"/>
                <w:kern w:val="0"/>
                <w:sz w:val="20"/>
                <w:szCs w:val="20"/>
              </w:rPr>
            </w:pPr>
          </w:p>
        </w:tc>
        <w:tc>
          <w:tcPr>
            <w:tcW w:w="1516" w:type="dxa"/>
            <w:vMerge w:val="continue"/>
            <w:tcBorders>
              <w:top w:val="nil"/>
              <w:left w:val="single" w:color="000000" w:sz="8" w:space="0"/>
              <w:bottom w:val="single" w:color="auto" w:sz="4" w:space="0"/>
              <w:right w:val="single" w:color="000000" w:sz="8" w:space="0"/>
            </w:tcBorders>
            <w:vAlign w:val="center"/>
          </w:tcPr>
          <w:p w14:paraId="2022AF0D">
            <w:pPr>
              <w:widowControl/>
              <w:jc w:val="left"/>
              <w:rPr>
                <w:rFonts w:ascii="宋体" w:hAnsi="宋体" w:cs="宋体"/>
                <w:color w:val="auto"/>
                <w:kern w:val="0"/>
                <w:sz w:val="20"/>
                <w:szCs w:val="20"/>
              </w:rPr>
            </w:pPr>
          </w:p>
        </w:tc>
        <w:tc>
          <w:tcPr>
            <w:tcW w:w="1612" w:type="dxa"/>
            <w:tcBorders>
              <w:top w:val="nil"/>
              <w:left w:val="nil"/>
              <w:bottom w:val="single" w:color="auto" w:sz="4" w:space="0"/>
              <w:right w:val="single" w:color="000000" w:sz="8" w:space="0"/>
            </w:tcBorders>
            <w:vAlign w:val="center"/>
          </w:tcPr>
          <w:p w14:paraId="49CD3907">
            <w:pPr>
              <w:widowControl/>
              <w:jc w:val="center"/>
              <w:rPr>
                <w:rFonts w:ascii="宋体" w:hAnsi="宋体" w:cs="宋体"/>
                <w:color w:val="auto"/>
                <w:kern w:val="0"/>
                <w:sz w:val="20"/>
                <w:szCs w:val="20"/>
              </w:rPr>
            </w:pPr>
            <w:r>
              <w:rPr>
                <w:rFonts w:hint="eastAsia" w:ascii="宋体" w:hAnsi="宋体" w:cs="宋体"/>
                <w:color w:val="auto"/>
                <w:kern w:val="0"/>
                <w:sz w:val="20"/>
                <w:szCs w:val="20"/>
              </w:rPr>
              <w:t>太阳能热水系统</w:t>
            </w:r>
          </w:p>
        </w:tc>
        <w:tc>
          <w:tcPr>
            <w:tcW w:w="4335" w:type="dxa"/>
            <w:tcBorders>
              <w:top w:val="nil"/>
              <w:left w:val="nil"/>
              <w:bottom w:val="single" w:color="auto" w:sz="4" w:space="0"/>
              <w:right w:val="single" w:color="000000" w:sz="8" w:space="0"/>
            </w:tcBorders>
            <w:vAlign w:val="center"/>
          </w:tcPr>
          <w:p w14:paraId="3577903E">
            <w:pPr>
              <w:widowControl/>
              <w:jc w:val="left"/>
              <w:rPr>
                <w:rFonts w:ascii="宋体" w:hAnsi="宋体" w:cs="宋体"/>
                <w:color w:val="auto"/>
                <w:kern w:val="0"/>
                <w:sz w:val="20"/>
                <w:szCs w:val="20"/>
              </w:rPr>
            </w:pPr>
            <w:r>
              <w:rPr>
                <w:rFonts w:hint="eastAsia" w:ascii="宋体" w:hAnsi="宋体" w:cs="宋体"/>
                <w:color w:val="auto"/>
                <w:kern w:val="0"/>
                <w:sz w:val="20"/>
                <w:szCs w:val="20"/>
              </w:rPr>
              <w:t>《家用太阳能热水系统能效限定值及能效等级》（GB26969）</w:t>
            </w:r>
          </w:p>
        </w:tc>
      </w:tr>
      <w:tr w14:paraId="68DEDBF3">
        <w:tblPrEx>
          <w:tblCellMar>
            <w:top w:w="0" w:type="dxa"/>
            <w:left w:w="108" w:type="dxa"/>
            <w:bottom w:w="0" w:type="dxa"/>
            <w:right w:w="108" w:type="dxa"/>
          </w:tblCellMar>
        </w:tblPrEx>
        <w:trPr>
          <w:trHeight w:val="495" w:hRule="atLeast"/>
        </w:trPr>
        <w:tc>
          <w:tcPr>
            <w:tcW w:w="733" w:type="dxa"/>
            <w:vMerge w:val="restart"/>
            <w:tcBorders>
              <w:top w:val="single" w:color="auto" w:sz="4" w:space="0"/>
              <w:left w:val="single" w:color="auto" w:sz="4" w:space="0"/>
              <w:bottom w:val="single" w:color="auto" w:sz="4" w:space="0"/>
              <w:right w:val="single" w:color="auto" w:sz="4" w:space="0"/>
            </w:tcBorders>
            <w:vAlign w:val="center"/>
          </w:tcPr>
          <w:p w14:paraId="55EBA9F9">
            <w:pPr>
              <w:widowControl/>
              <w:jc w:val="center"/>
              <w:rPr>
                <w:rFonts w:ascii="宋体" w:hAnsi="宋体" w:cs="宋体"/>
                <w:color w:val="auto"/>
                <w:kern w:val="0"/>
                <w:sz w:val="20"/>
                <w:szCs w:val="20"/>
              </w:rPr>
            </w:pPr>
            <w:r>
              <w:rPr>
                <w:rFonts w:hint="eastAsia" w:ascii="宋体" w:hAnsi="宋体" w:cs="宋体"/>
                <w:color w:val="auto"/>
                <w:kern w:val="0"/>
                <w:sz w:val="20"/>
                <w:szCs w:val="20"/>
              </w:rPr>
              <w:t>11</w:t>
            </w:r>
          </w:p>
        </w:tc>
        <w:tc>
          <w:tcPr>
            <w:tcW w:w="1024" w:type="dxa"/>
            <w:vMerge w:val="restart"/>
            <w:tcBorders>
              <w:top w:val="single" w:color="auto" w:sz="4" w:space="0"/>
              <w:left w:val="single" w:color="auto" w:sz="4" w:space="0"/>
              <w:bottom w:val="single" w:color="auto" w:sz="4" w:space="0"/>
              <w:right w:val="single" w:color="auto" w:sz="4" w:space="0"/>
            </w:tcBorders>
            <w:vAlign w:val="center"/>
          </w:tcPr>
          <w:p w14:paraId="77931A0D">
            <w:pPr>
              <w:widowControl/>
              <w:jc w:val="center"/>
              <w:rPr>
                <w:rFonts w:ascii="宋体" w:hAnsi="宋体" w:cs="宋体"/>
                <w:color w:val="auto"/>
                <w:kern w:val="0"/>
                <w:sz w:val="20"/>
                <w:szCs w:val="20"/>
              </w:rPr>
            </w:pPr>
            <w:r>
              <w:rPr>
                <w:rFonts w:hint="eastAsia" w:ascii="宋体" w:hAnsi="宋体" w:cs="宋体"/>
                <w:color w:val="auto"/>
                <w:kern w:val="0"/>
                <w:sz w:val="20"/>
                <w:szCs w:val="20"/>
              </w:rPr>
              <w:t>A020619照明设备</w:t>
            </w:r>
          </w:p>
        </w:tc>
        <w:tc>
          <w:tcPr>
            <w:tcW w:w="1516" w:type="dxa"/>
            <w:tcBorders>
              <w:top w:val="single" w:color="auto" w:sz="4" w:space="0"/>
              <w:left w:val="single" w:color="auto" w:sz="4" w:space="0"/>
              <w:bottom w:val="single" w:color="auto" w:sz="4" w:space="0"/>
              <w:right w:val="single" w:color="auto" w:sz="4" w:space="0"/>
            </w:tcBorders>
            <w:vAlign w:val="center"/>
          </w:tcPr>
          <w:p w14:paraId="593E5997">
            <w:pPr>
              <w:widowControl/>
              <w:jc w:val="center"/>
              <w:rPr>
                <w:rFonts w:ascii="宋体" w:hAnsi="宋体" w:cs="宋体"/>
                <w:color w:val="auto"/>
                <w:kern w:val="0"/>
                <w:sz w:val="20"/>
                <w:szCs w:val="20"/>
              </w:rPr>
            </w:pPr>
            <w:r>
              <w:rPr>
                <w:rFonts w:hint="eastAsia" w:ascii="宋体" w:hAnsi="宋体" w:cs="宋体"/>
                <w:color w:val="auto"/>
                <w:kern w:val="0"/>
                <w:sz w:val="20"/>
                <w:szCs w:val="20"/>
              </w:rPr>
              <w:t>★普通照明用双端荧光灯</w:t>
            </w:r>
          </w:p>
        </w:tc>
        <w:tc>
          <w:tcPr>
            <w:tcW w:w="1612" w:type="dxa"/>
            <w:tcBorders>
              <w:top w:val="single" w:color="auto" w:sz="4" w:space="0"/>
              <w:left w:val="single" w:color="auto" w:sz="4" w:space="0"/>
              <w:bottom w:val="single" w:color="auto" w:sz="4" w:space="0"/>
              <w:right w:val="single" w:color="auto" w:sz="4" w:space="0"/>
            </w:tcBorders>
            <w:vAlign w:val="center"/>
          </w:tcPr>
          <w:p w14:paraId="5FFD63DA">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335" w:type="dxa"/>
            <w:tcBorders>
              <w:top w:val="single" w:color="auto" w:sz="4" w:space="0"/>
              <w:left w:val="single" w:color="auto" w:sz="4" w:space="0"/>
              <w:bottom w:val="single" w:color="auto" w:sz="4" w:space="0"/>
              <w:right w:val="single" w:color="auto" w:sz="4" w:space="0"/>
            </w:tcBorders>
            <w:vAlign w:val="center"/>
          </w:tcPr>
          <w:p w14:paraId="379B09F6">
            <w:pPr>
              <w:widowControl/>
              <w:jc w:val="left"/>
              <w:rPr>
                <w:rFonts w:ascii="宋体" w:hAnsi="宋体" w:cs="宋体"/>
                <w:color w:val="auto"/>
                <w:kern w:val="0"/>
                <w:sz w:val="20"/>
                <w:szCs w:val="20"/>
              </w:rPr>
            </w:pPr>
            <w:r>
              <w:rPr>
                <w:rFonts w:hint="eastAsia" w:ascii="宋体" w:hAnsi="宋体" w:cs="宋体"/>
                <w:color w:val="auto"/>
                <w:kern w:val="0"/>
                <w:sz w:val="20"/>
                <w:szCs w:val="20"/>
              </w:rPr>
              <w:t>《普通照明用双端荧光灯能效限定值及能效等级》（GB19043）</w:t>
            </w:r>
          </w:p>
        </w:tc>
      </w:tr>
      <w:tr w14:paraId="39ACD2EC">
        <w:tblPrEx>
          <w:tblCellMar>
            <w:top w:w="0" w:type="dxa"/>
            <w:left w:w="108" w:type="dxa"/>
            <w:bottom w:w="0" w:type="dxa"/>
            <w:right w:w="108" w:type="dxa"/>
          </w:tblCellMar>
        </w:tblPrEx>
        <w:trPr>
          <w:trHeight w:val="495" w:hRule="atLeast"/>
        </w:trPr>
        <w:tc>
          <w:tcPr>
            <w:tcW w:w="733" w:type="dxa"/>
            <w:vMerge w:val="continue"/>
            <w:tcBorders>
              <w:top w:val="single" w:color="auto" w:sz="4" w:space="0"/>
              <w:left w:val="single" w:color="auto" w:sz="4" w:space="0"/>
              <w:bottom w:val="single" w:color="auto" w:sz="4" w:space="0"/>
              <w:right w:val="single" w:color="auto" w:sz="4" w:space="0"/>
            </w:tcBorders>
            <w:vAlign w:val="center"/>
          </w:tcPr>
          <w:p w14:paraId="20E07875">
            <w:pPr>
              <w:widowControl/>
              <w:jc w:val="left"/>
              <w:rPr>
                <w:rFonts w:ascii="宋体" w:hAnsi="宋体" w:cs="宋体"/>
                <w:color w:val="auto"/>
                <w:kern w:val="0"/>
                <w:sz w:val="20"/>
                <w:szCs w:val="20"/>
              </w:rPr>
            </w:pPr>
          </w:p>
        </w:tc>
        <w:tc>
          <w:tcPr>
            <w:tcW w:w="1024" w:type="dxa"/>
            <w:vMerge w:val="continue"/>
            <w:tcBorders>
              <w:top w:val="single" w:color="auto" w:sz="4" w:space="0"/>
              <w:left w:val="single" w:color="auto" w:sz="4" w:space="0"/>
              <w:bottom w:val="single" w:color="auto" w:sz="4" w:space="0"/>
              <w:right w:val="single" w:color="auto" w:sz="4" w:space="0"/>
            </w:tcBorders>
            <w:vAlign w:val="center"/>
          </w:tcPr>
          <w:p w14:paraId="603031B3">
            <w:pPr>
              <w:widowControl/>
              <w:jc w:val="left"/>
              <w:rPr>
                <w:rFonts w:ascii="宋体" w:hAnsi="宋体" w:cs="宋体"/>
                <w:color w:val="auto"/>
                <w:kern w:val="0"/>
                <w:sz w:val="20"/>
                <w:szCs w:val="20"/>
              </w:rPr>
            </w:pPr>
          </w:p>
        </w:tc>
        <w:tc>
          <w:tcPr>
            <w:tcW w:w="1516" w:type="dxa"/>
            <w:tcBorders>
              <w:top w:val="single" w:color="auto" w:sz="4" w:space="0"/>
              <w:left w:val="single" w:color="auto" w:sz="4" w:space="0"/>
              <w:bottom w:val="single" w:color="auto" w:sz="4" w:space="0"/>
              <w:right w:val="single" w:color="auto" w:sz="4" w:space="0"/>
            </w:tcBorders>
            <w:vAlign w:val="center"/>
          </w:tcPr>
          <w:p w14:paraId="12CB5618">
            <w:pPr>
              <w:widowControl/>
              <w:jc w:val="center"/>
              <w:rPr>
                <w:rFonts w:ascii="宋体" w:hAnsi="宋体" w:cs="宋体"/>
                <w:color w:val="auto"/>
                <w:kern w:val="0"/>
                <w:sz w:val="20"/>
                <w:szCs w:val="20"/>
              </w:rPr>
            </w:pPr>
            <w:r>
              <w:rPr>
                <w:rFonts w:hint="eastAsia" w:ascii="宋体" w:hAnsi="宋体" w:cs="宋体"/>
                <w:color w:val="auto"/>
                <w:kern w:val="0"/>
                <w:sz w:val="20"/>
                <w:szCs w:val="20"/>
              </w:rPr>
              <w:t>LED道路/隧道照明产品</w:t>
            </w:r>
          </w:p>
        </w:tc>
        <w:tc>
          <w:tcPr>
            <w:tcW w:w="1612" w:type="dxa"/>
            <w:tcBorders>
              <w:top w:val="single" w:color="auto" w:sz="4" w:space="0"/>
              <w:left w:val="single" w:color="auto" w:sz="4" w:space="0"/>
              <w:bottom w:val="single" w:color="auto" w:sz="4" w:space="0"/>
              <w:right w:val="single" w:color="auto" w:sz="4" w:space="0"/>
            </w:tcBorders>
            <w:vAlign w:val="center"/>
          </w:tcPr>
          <w:p w14:paraId="41ED8692">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335" w:type="dxa"/>
            <w:tcBorders>
              <w:top w:val="single" w:color="auto" w:sz="4" w:space="0"/>
              <w:left w:val="single" w:color="auto" w:sz="4" w:space="0"/>
              <w:bottom w:val="single" w:color="auto" w:sz="4" w:space="0"/>
              <w:right w:val="single" w:color="auto" w:sz="4" w:space="0"/>
            </w:tcBorders>
            <w:vAlign w:val="center"/>
          </w:tcPr>
          <w:p w14:paraId="188327B4">
            <w:pPr>
              <w:widowControl/>
              <w:jc w:val="left"/>
              <w:rPr>
                <w:rFonts w:ascii="宋体" w:hAnsi="宋体" w:cs="宋体"/>
                <w:color w:val="auto"/>
                <w:kern w:val="0"/>
                <w:sz w:val="20"/>
                <w:szCs w:val="20"/>
              </w:rPr>
            </w:pPr>
            <w:r>
              <w:rPr>
                <w:rFonts w:hint="eastAsia" w:ascii="宋体" w:hAnsi="宋体" w:cs="宋体"/>
                <w:color w:val="auto"/>
                <w:kern w:val="0"/>
                <w:sz w:val="20"/>
                <w:szCs w:val="20"/>
              </w:rPr>
              <w:t>《道路和隧道照明用LED灯具能效限定值及能效等级》（GB37478）</w:t>
            </w:r>
          </w:p>
        </w:tc>
      </w:tr>
      <w:tr w14:paraId="417DC2DA">
        <w:tblPrEx>
          <w:tblCellMar>
            <w:top w:w="0" w:type="dxa"/>
            <w:left w:w="108" w:type="dxa"/>
            <w:bottom w:w="0" w:type="dxa"/>
            <w:right w:w="108" w:type="dxa"/>
          </w:tblCellMar>
        </w:tblPrEx>
        <w:trPr>
          <w:trHeight w:val="495" w:hRule="atLeast"/>
        </w:trPr>
        <w:tc>
          <w:tcPr>
            <w:tcW w:w="733" w:type="dxa"/>
            <w:vMerge w:val="continue"/>
            <w:tcBorders>
              <w:top w:val="single" w:color="auto" w:sz="4" w:space="0"/>
              <w:left w:val="single" w:color="auto" w:sz="4" w:space="0"/>
              <w:bottom w:val="single" w:color="auto" w:sz="4" w:space="0"/>
              <w:right w:val="single" w:color="auto" w:sz="4" w:space="0"/>
            </w:tcBorders>
            <w:vAlign w:val="center"/>
          </w:tcPr>
          <w:p w14:paraId="410C2503">
            <w:pPr>
              <w:widowControl/>
              <w:jc w:val="left"/>
              <w:rPr>
                <w:rFonts w:ascii="宋体" w:hAnsi="宋体" w:cs="宋体"/>
                <w:color w:val="auto"/>
                <w:kern w:val="0"/>
                <w:sz w:val="20"/>
                <w:szCs w:val="20"/>
              </w:rPr>
            </w:pPr>
          </w:p>
        </w:tc>
        <w:tc>
          <w:tcPr>
            <w:tcW w:w="1024" w:type="dxa"/>
            <w:vMerge w:val="continue"/>
            <w:tcBorders>
              <w:top w:val="single" w:color="auto" w:sz="4" w:space="0"/>
              <w:left w:val="single" w:color="auto" w:sz="4" w:space="0"/>
              <w:bottom w:val="single" w:color="auto" w:sz="4" w:space="0"/>
              <w:right w:val="single" w:color="auto" w:sz="4" w:space="0"/>
            </w:tcBorders>
            <w:vAlign w:val="center"/>
          </w:tcPr>
          <w:p w14:paraId="3103687B">
            <w:pPr>
              <w:widowControl/>
              <w:jc w:val="left"/>
              <w:rPr>
                <w:rFonts w:ascii="宋体" w:hAnsi="宋体" w:cs="宋体"/>
                <w:color w:val="auto"/>
                <w:kern w:val="0"/>
                <w:sz w:val="20"/>
                <w:szCs w:val="20"/>
              </w:rPr>
            </w:pPr>
          </w:p>
        </w:tc>
        <w:tc>
          <w:tcPr>
            <w:tcW w:w="1516" w:type="dxa"/>
            <w:tcBorders>
              <w:top w:val="single" w:color="auto" w:sz="4" w:space="0"/>
              <w:left w:val="single" w:color="auto" w:sz="4" w:space="0"/>
              <w:bottom w:val="single" w:color="auto" w:sz="4" w:space="0"/>
              <w:right w:val="single" w:color="auto" w:sz="4" w:space="0"/>
            </w:tcBorders>
            <w:vAlign w:val="center"/>
          </w:tcPr>
          <w:p w14:paraId="316F9C06">
            <w:pPr>
              <w:widowControl/>
              <w:jc w:val="center"/>
              <w:rPr>
                <w:rFonts w:ascii="宋体" w:hAnsi="宋体" w:cs="宋体"/>
                <w:color w:val="auto"/>
                <w:kern w:val="0"/>
                <w:sz w:val="20"/>
                <w:szCs w:val="20"/>
              </w:rPr>
            </w:pPr>
            <w:r>
              <w:rPr>
                <w:rFonts w:hint="eastAsia" w:ascii="宋体" w:hAnsi="宋体" w:cs="宋体"/>
                <w:color w:val="auto"/>
                <w:kern w:val="0"/>
                <w:sz w:val="20"/>
                <w:szCs w:val="20"/>
              </w:rPr>
              <w:t>LED筒灯</w:t>
            </w:r>
          </w:p>
        </w:tc>
        <w:tc>
          <w:tcPr>
            <w:tcW w:w="1612" w:type="dxa"/>
            <w:tcBorders>
              <w:top w:val="single" w:color="auto" w:sz="4" w:space="0"/>
              <w:left w:val="single" w:color="auto" w:sz="4" w:space="0"/>
              <w:bottom w:val="single" w:color="auto" w:sz="4" w:space="0"/>
              <w:right w:val="single" w:color="auto" w:sz="4" w:space="0"/>
            </w:tcBorders>
            <w:vAlign w:val="center"/>
          </w:tcPr>
          <w:p w14:paraId="05616AE9">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335" w:type="dxa"/>
            <w:tcBorders>
              <w:top w:val="single" w:color="auto" w:sz="4" w:space="0"/>
              <w:left w:val="single" w:color="auto" w:sz="4" w:space="0"/>
              <w:bottom w:val="single" w:color="auto" w:sz="4" w:space="0"/>
              <w:right w:val="single" w:color="auto" w:sz="4" w:space="0"/>
            </w:tcBorders>
            <w:vAlign w:val="center"/>
          </w:tcPr>
          <w:p w14:paraId="2D8F8F0E">
            <w:pPr>
              <w:widowControl/>
              <w:jc w:val="left"/>
              <w:rPr>
                <w:rFonts w:ascii="宋体" w:hAnsi="宋体" w:cs="宋体"/>
                <w:color w:val="auto"/>
                <w:kern w:val="0"/>
                <w:sz w:val="20"/>
                <w:szCs w:val="20"/>
              </w:rPr>
            </w:pPr>
            <w:r>
              <w:rPr>
                <w:rFonts w:hint="eastAsia" w:ascii="宋体" w:hAnsi="宋体" w:cs="宋体"/>
                <w:color w:val="auto"/>
                <w:kern w:val="0"/>
                <w:sz w:val="20"/>
                <w:szCs w:val="20"/>
              </w:rPr>
              <w:t>《室内照明用LED产品能效限定值及能效等级》（GB30255）</w:t>
            </w:r>
          </w:p>
        </w:tc>
      </w:tr>
      <w:tr w14:paraId="42C3D9C5">
        <w:tblPrEx>
          <w:tblCellMar>
            <w:top w:w="0" w:type="dxa"/>
            <w:left w:w="108" w:type="dxa"/>
            <w:bottom w:w="0" w:type="dxa"/>
            <w:right w:w="108" w:type="dxa"/>
          </w:tblCellMar>
        </w:tblPrEx>
        <w:trPr>
          <w:trHeight w:val="66" w:hRule="atLeast"/>
        </w:trPr>
        <w:tc>
          <w:tcPr>
            <w:tcW w:w="733" w:type="dxa"/>
            <w:vMerge w:val="continue"/>
            <w:tcBorders>
              <w:top w:val="single" w:color="auto" w:sz="4" w:space="0"/>
              <w:left w:val="single" w:color="auto" w:sz="4" w:space="0"/>
              <w:bottom w:val="single" w:color="auto" w:sz="4" w:space="0"/>
              <w:right w:val="single" w:color="auto" w:sz="4" w:space="0"/>
            </w:tcBorders>
            <w:vAlign w:val="center"/>
          </w:tcPr>
          <w:p w14:paraId="03832EE2">
            <w:pPr>
              <w:widowControl/>
              <w:jc w:val="left"/>
              <w:rPr>
                <w:rFonts w:ascii="宋体" w:hAnsi="宋体" w:cs="宋体"/>
                <w:color w:val="auto"/>
                <w:kern w:val="0"/>
                <w:sz w:val="20"/>
                <w:szCs w:val="20"/>
              </w:rPr>
            </w:pPr>
          </w:p>
        </w:tc>
        <w:tc>
          <w:tcPr>
            <w:tcW w:w="1024" w:type="dxa"/>
            <w:vMerge w:val="continue"/>
            <w:tcBorders>
              <w:top w:val="single" w:color="auto" w:sz="4" w:space="0"/>
              <w:left w:val="single" w:color="auto" w:sz="4" w:space="0"/>
              <w:bottom w:val="single" w:color="auto" w:sz="4" w:space="0"/>
              <w:right w:val="single" w:color="auto" w:sz="4" w:space="0"/>
            </w:tcBorders>
            <w:vAlign w:val="center"/>
          </w:tcPr>
          <w:p w14:paraId="2AF5183F">
            <w:pPr>
              <w:widowControl/>
              <w:jc w:val="left"/>
              <w:rPr>
                <w:rFonts w:ascii="宋体" w:hAnsi="宋体" w:cs="宋体"/>
                <w:color w:val="auto"/>
                <w:kern w:val="0"/>
                <w:sz w:val="20"/>
                <w:szCs w:val="20"/>
              </w:rPr>
            </w:pPr>
          </w:p>
        </w:tc>
        <w:tc>
          <w:tcPr>
            <w:tcW w:w="1516" w:type="dxa"/>
            <w:tcBorders>
              <w:top w:val="single" w:color="auto" w:sz="4" w:space="0"/>
              <w:left w:val="single" w:color="auto" w:sz="4" w:space="0"/>
              <w:bottom w:val="single" w:color="auto" w:sz="4" w:space="0"/>
              <w:right w:val="single" w:color="auto" w:sz="4" w:space="0"/>
            </w:tcBorders>
            <w:vAlign w:val="center"/>
          </w:tcPr>
          <w:p w14:paraId="1045E6A6">
            <w:pPr>
              <w:widowControl/>
              <w:jc w:val="center"/>
              <w:rPr>
                <w:rFonts w:ascii="宋体" w:hAnsi="宋体" w:cs="宋体"/>
                <w:color w:val="auto"/>
                <w:kern w:val="0"/>
                <w:sz w:val="20"/>
                <w:szCs w:val="20"/>
              </w:rPr>
            </w:pPr>
            <w:r>
              <w:rPr>
                <w:rFonts w:hint="eastAsia" w:ascii="宋体" w:hAnsi="宋体" w:cs="宋体"/>
                <w:color w:val="auto"/>
                <w:kern w:val="0"/>
                <w:sz w:val="20"/>
                <w:szCs w:val="20"/>
              </w:rPr>
              <w:t>普通照明用非定向自镇流LED灯</w:t>
            </w:r>
          </w:p>
        </w:tc>
        <w:tc>
          <w:tcPr>
            <w:tcW w:w="1612" w:type="dxa"/>
            <w:tcBorders>
              <w:top w:val="single" w:color="auto" w:sz="4" w:space="0"/>
              <w:left w:val="single" w:color="auto" w:sz="4" w:space="0"/>
              <w:bottom w:val="single" w:color="auto" w:sz="4" w:space="0"/>
              <w:right w:val="single" w:color="auto" w:sz="4" w:space="0"/>
            </w:tcBorders>
            <w:vAlign w:val="center"/>
          </w:tcPr>
          <w:p w14:paraId="78305E27">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335" w:type="dxa"/>
            <w:tcBorders>
              <w:top w:val="single" w:color="auto" w:sz="4" w:space="0"/>
              <w:left w:val="single" w:color="auto" w:sz="4" w:space="0"/>
              <w:bottom w:val="single" w:color="auto" w:sz="4" w:space="0"/>
              <w:right w:val="single" w:color="auto" w:sz="4" w:space="0"/>
            </w:tcBorders>
            <w:vAlign w:val="center"/>
          </w:tcPr>
          <w:p w14:paraId="382964EA">
            <w:pPr>
              <w:widowControl/>
              <w:jc w:val="left"/>
              <w:rPr>
                <w:rFonts w:ascii="宋体" w:hAnsi="宋体" w:cs="宋体"/>
                <w:color w:val="auto"/>
                <w:kern w:val="0"/>
                <w:sz w:val="20"/>
                <w:szCs w:val="20"/>
              </w:rPr>
            </w:pPr>
            <w:r>
              <w:rPr>
                <w:rFonts w:hint="eastAsia" w:ascii="宋体" w:hAnsi="宋体" w:cs="宋体"/>
                <w:color w:val="auto"/>
                <w:kern w:val="0"/>
                <w:sz w:val="20"/>
                <w:szCs w:val="20"/>
              </w:rPr>
              <w:t>《室内照明用LED产品能效限定值及能效等级》（GB30255）</w:t>
            </w:r>
          </w:p>
        </w:tc>
      </w:tr>
      <w:tr w14:paraId="1B425DCB">
        <w:tblPrEx>
          <w:tblCellMar>
            <w:top w:w="0" w:type="dxa"/>
            <w:left w:w="108" w:type="dxa"/>
            <w:bottom w:w="0" w:type="dxa"/>
            <w:right w:w="108" w:type="dxa"/>
          </w:tblCellMar>
        </w:tblPrEx>
        <w:trPr>
          <w:trHeight w:val="735" w:hRule="atLeast"/>
        </w:trPr>
        <w:tc>
          <w:tcPr>
            <w:tcW w:w="733" w:type="dxa"/>
            <w:tcBorders>
              <w:top w:val="single" w:color="auto" w:sz="4" w:space="0"/>
              <w:left w:val="single" w:color="000000" w:sz="8" w:space="0"/>
              <w:bottom w:val="single" w:color="000000" w:sz="8" w:space="0"/>
              <w:right w:val="single" w:color="000000" w:sz="8" w:space="0"/>
            </w:tcBorders>
            <w:vAlign w:val="center"/>
          </w:tcPr>
          <w:p w14:paraId="7CF47524">
            <w:pPr>
              <w:widowControl/>
              <w:jc w:val="center"/>
              <w:rPr>
                <w:rFonts w:ascii="宋体" w:hAnsi="宋体" w:cs="宋体"/>
                <w:color w:val="auto"/>
                <w:kern w:val="0"/>
                <w:sz w:val="20"/>
                <w:szCs w:val="20"/>
              </w:rPr>
            </w:pPr>
            <w:r>
              <w:rPr>
                <w:rFonts w:hint="eastAsia" w:ascii="宋体" w:hAnsi="宋体" w:cs="宋体"/>
                <w:color w:val="auto"/>
                <w:kern w:val="0"/>
                <w:sz w:val="20"/>
                <w:szCs w:val="20"/>
              </w:rPr>
              <w:t>12</w:t>
            </w:r>
          </w:p>
        </w:tc>
        <w:tc>
          <w:tcPr>
            <w:tcW w:w="1024" w:type="dxa"/>
            <w:tcBorders>
              <w:top w:val="single" w:color="auto" w:sz="4" w:space="0"/>
              <w:left w:val="nil"/>
              <w:bottom w:val="single" w:color="000000" w:sz="8" w:space="0"/>
              <w:right w:val="single" w:color="000000" w:sz="8" w:space="0"/>
            </w:tcBorders>
            <w:vAlign w:val="center"/>
          </w:tcPr>
          <w:p w14:paraId="43D1935B">
            <w:pPr>
              <w:widowControl/>
              <w:jc w:val="center"/>
              <w:rPr>
                <w:rFonts w:ascii="宋体" w:hAnsi="宋体" w:cs="宋体"/>
                <w:color w:val="auto"/>
                <w:kern w:val="0"/>
                <w:sz w:val="20"/>
                <w:szCs w:val="20"/>
              </w:rPr>
            </w:pPr>
            <w:r>
              <w:rPr>
                <w:rFonts w:hint="eastAsia" w:ascii="宋体" w:hAnsi="宋体" w:cs="宋体"/>
                <w:color w:val="auto"/>
                <w:kern w:val="0"/>
                <w:sz w:val="20"/>
                <w:szCs w:val="20"/>
              </w:rPr>
              <w:t>★A020910电视设备</w:t>
            </w:r>
          </w:p>
        </w:tc>
        <w:tc>
          <w:tcPr>
            <w:tcW w:w="1516" w:type="dxa"/>
            <w:tcBorders>
              <w:top w:val="single" w:color="auto" w:sz="4" w:space="0"/>
              <w:left w:val="nil"/>
              <w:bottom w:val="single" w:color="000000" w:sz="8" w:space="0"/>
              <w:right w:val="single" w:color="000000" w:sz="8" w:space="0"/>
            </w:tcBorders>
            <w:vAlign w:val="center"/>
          </w:tcPr>
          <w:p w14:paraId="2C2520A4">
            <w:pPr>
              <w:widowControl/>
              <w:jc w:val="center"/>
              <w:rPr>
                <w:rFonts w:ascii="宋体" w:hAnsi="宋体" w:cs="宋体"/>
                <w:color w:val="auto"/>
                <w:kern w:val="0"/>
                <w:sz w:val="20"/>
                <w:szCs w:val="20"/>
              </w:rPr>
            </w:pPr>
            <w:r>
              <w:rPr>
                <w:rFonts w:hint="eastAsia" w:ascii="宋体" w:hAnsi="宋体" w:cs="宋体"/>
                <w:color w:val="auto"/>
                <w:kern w:val="0"/>
                <w:sz w:val="20"/>
                <w:szCs w:val="20"/>
              </w:rPr>
              <w:t>A02091001普通电视设备（电视机）</w:t>
            </w:r>
          </w:p>
        </w:tc>
        <w:tc>
          <w:tcPr>
            <w:tcW w:w="1612" w:type="dxa"/>
            <w:tcBorders>
              <w:top w:val="single" w:color="auto" w:sz="4" w:space="0"/>
              <w:left w:val="nil"/>
              <w:bottom w:val="single" w:color="000000" w:sz="8" w:space="0"/>
              <w:right w:val="single" w:color="000000" w:sz="8" w:space="0"/>
            </w:tcBorders>
            <w:vAlign w:val="center"/>
          </w:tcPr>
          <w:p w14:paraId="685F7DA2">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335" w:type="dxa"/>
            <w:tcBorders>
              <w:top w:val="single" w:color="auto" w:sz="4" w:space="0"/>
              <w:left w:val="nil"/>
              <w:bottom w:val="single" w:color="000000" w:sz="8" w:space="0"/>
              <w:right w:val="single" w:color="000000" w:sz="8" w:space="0"/>
            </w:tcBorders>
            <w:vAlign w:val="center"/>
          </w:tcPr>
          <w:p w14:paraId="488E2A00">
            <w:pPr>
              <w:widowControl/>
              <w:jc w:val="left"/>
              <w:rPr>
                <w:rFonts w:ascii="宋体" w:hAnsi="宋体" w:cs="宋体"/>
                <w:color w:val="auto"/>
                <w:kern w:val="0"/>
                <w:sz w:val="20"/>
                <w:szCs w:val="20"/>
              </w:rPr>
            </w:pPr>
            <w:r>
              <w:rPr>
                <w:rFonts w:hint="eastAsia" w:ascii="宋体" w:hAnsi="宋体" w:cs="宋体"/>
                <w:color w:val="auto"/>
                <w:kern w:val="0"/>
                <w:sz w:val="20"/>
                <w:szCs w:val="20"/>
              </w:rPr>
              <w:t>《平板电视能效限定值及能效等级》（GB24850）</w:t>
            </w:r>
          </w:p>
        </w:tc>
      </w:tr>
      <w:tr w14:paraId="3CE22FCE">
        <w:tblPrEx>
          <w:tblCellMar>
            <w:top w:w="0" w:type="dxa"/>
            <w:left w:w="108" w:type="dxa"/>
            <w:bottom w:w="0" w:type="dxa"/>
            <w:right w:w="108" w:type="dxa"/>
          </w:tblCellMar>
        </w:tblPrEx>
        <w:trPr>
          <w:trHeight w:val="975" w:hRule="atLeast"/>
        </w:trPr>
        <w:tc>
          <w:tcPr>
            <w:tcW w:w="733" w:type="dxa"/>
            <w:tcBorders>
              <w:top w:val="nil"/>
              <w:left w:val="single" w:color="000000" w:sz="8" w:space="0"/>
              <w:bottom w:val="single" w:color="000000" w:sz="8" w:space="0"/>
              <w:right w:val="single" w:color="000000" w:sz="8" w:space="0"/>
            </w:tcBorders>
            <w:vAlign w:val="center"/>
          </w:tcPr>
          <w:p w14:paraId="7AF9D625">
            <w:pPr>
              <w:widowControl/>
              <w:jc w:val="center"/>
              <w:rPr>
                <w:rFonts w:ascii="宋体" w:hAnsi="宋体" w:cs="宋体"/>
                <w:color w:val="auto"/>
                <w:kern w:val="0"/>
                <w:sz w:val="20"/>
                <w:szCs w:val="20"/>
              </w:rPr>
            </w:pPr>
            <w:r>
              <w:rPr>
                <w:rFonts w:hint="eastAsia" w:ascii="宋体" w:hAnsi="宋体" w:cs="宋体"/>
                <w:color w:val="auto"/>
                <w:kern w:val="0"/>
                <w:sz w:val="20"/>
                <w:szCs w:val="20"/>
              </w:rPr>
              <w:t>13</w:t>
            </w:r>
          </w:p>
        </w:tc>
        <w:tc>
          <w:tcPr>
            <w:tcW w:w="1024" w:type="dxa"/>
            <w:tcBorders>
              <w:top w:val="nil"/>
              <w:left w:val="nil"/>
              <w:bottom w:val="single" w:color="000000" w:sz="8" w:space="0"/>
              <w:right w:val="single" w:color="000000" w:sz="8" w:space="0"/>
            </w:tcBorders>
            <w:vAlign w:val="center"/>
          </w:tcPr>
          <w:p w14:paraId="13ACFC4A">
            <w:pPr>
              <w:widowControl/>
              <w:jc w:val="center"/>
              <w:rPr>
                <w:rFonts w:ascii="宋体" w:hAnsi="宋体" w:cs="宋体"/>
                <w:color w:val="auto"/>
                <w:kern w:val="0"/>
                <w:sz w:val="20"/>
                <w:szCs w:val="20"/>
              </w:rPr>
            </w:pPr>
            <w:r>
              <w:rPr>
                <w:rFonts w:hint="eastAsia" w:ascii="宋体" w:hAnsi="宋体" w:cs="宋体"/>
                <w:color w:val="auto"/>
                <w:kern w:val="0"/>
                <w:sz w:val="20"/>
                <w:szCs w:val="20"/>
              </w:rPr>
              <w:t>★A020911视频设备</w:t>
            </w:r>
          </w:p>
        </w:tc>
        <w:tc>
          <w:tcPr>
            <w:tcW w:w="1516" w:type="dxa"/>
            <w:tcBorders>
              <w:top w:val="nil"/>
              <w:left w:val="nil"/>
              <w:bottom w:val="single" w:color="000000" w:sz="8" w:space="0"/>
              <w:right w:val="single" w:color="000000" w:sz="8" w:space="0"/>
            </w:tcBorders>
            <w:vAlign w:val="center"/>
          </w:tcPr>
          <w:p w14:paraId="4127D8ED">
            <w:pPr>
              <w:widowControl/>
              <w:jc w:val="center"/>
              <w:rPr>
                <w:rFonts w:ascii="宋体" w:hAnsi="宋体" w:cs="宋体"/>
                <w:color w:val="auto"/>
                <w:kern w:val="0"/>
                <w:sz w:val="20"/>
                <w:szCs w:val="20"/>
              </w:rPr>
            </w:pPr>
            <w:r>
              <w:rPr>
                <w:rFonts w:hint="eastAsia" w:ascii="宋体" w:hAnsi="宋体" w:cs="宋体"/>
                <w:color w:val="auto"/>
                <w:kern w:val="0"/>
                <w:sz w:val="20"/>
                <w:szCs w:val="20"/>
              </w:rPr>
              <w:t>A02091107视频监控设备</w:t>
            </w:r>
          </w:p>
        </w:tc>
        <w:tc>
          <w:tcPr>
            <w:tcW w:w="1612" w:type="dxa"/>
            <w:tcBorders>
              <w:top w:val="nil"/>
              <w:left w:val="nil"/>
              <w:bottom w:val="single" w:color="000000" w:sz="8" w:space="0"/>
              <w:right w:val="single" w:color="000000" w:sz="8" w:space="0"/>
            </w:tcBorders>
            <w:vAlign w:val="center"/>
          </w:tcPr>
          <w:p w14:paraId="10D969FB">
            <w:pPr>
              <w:widowControl/>
              <w:jc w:val="center"/>
              <w:rPr>
                <w:rFonts w:ascii="宋体" w:hAnsi="宋体" w:cs="宋体"/>
                <w:color w:val="auto"/>
                <w:kern w:val="0"/>
                <w:sz w:val="20"/>
                <w:szCs w:val="20"/>
              </w:rPr>
            </w:pPr>
            <w:r>
              <w:rPr>
                <w:rFonts w:hint="eastAsia" w:ascii="宋体" w:hAnsi="宋体" w:cs="宋体"/>
                <w:color w:val="auto"/>
                <w:kern w:val="0"/>
                <w:sz w:val="20"/>
                <w:szCs w:val="20"/>
              </w:rPr>
              <w:t>监视器</w:t>
            </w:r>
          </w:p>
        </w:tc>
        <w:tc>
          <w:tcPr>
            <w:tcW w:w="4335" w:type="dxa"/>
            <w:tcBorders>
              <w:top w:val="nil"/>
              <w:left w:val="nil"/>
              <w:bottom w:val="single" w:color="000000" w:sz="8" w:space="0"/>
              <w:right w:val="single" w:color="000000" w:sz="8" w:space="0"/>
            </w:tcBorders>
            <w:vAlign w:val="center"/>
          </w:tcPr>
          <w:p w14:paraId="0E272D12">
            <w:pPr>
              <w:widowControl/>
              <w:jc w:val="left"/>
              <w:rPr>
                <w:rFonts w:ascii="宋体" w:hAnsi="宋体" w:cs="宋体"/>
                <w:color w:val="auto"/>
                <w:kern w:val="0"/>
                <w:sz w:val="20"/>
                <w:szCs w:val="20"/>
              </w:rPr>
            </w:pPr>
            <w:r>
              <w:rPr>
                <w:rFonts w:hint="eastAsia" w:ascii="宋体" w:hAnsi="宋体" w:cs="宋体"/>
                <w:color w:val="auto"/>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14:paraId="20BDA90D">
        <w:tblPrEx>
          <w:tblCellMar>
            <w:top w:w="0" w:type="dxa"/>
            <w:left w:w="108" w:type="dxa"/>
            <w:bottom w:w="0" w:type="dxa"/>
            <w:right w:w="108" w:type="dxa"/>
          </w:tblCellMar>
        </w:tblPrEx>
        <w:trPr>
          <w:trHeight w:val="495" w:hRule="atLeast"/>
        </w:trPr>
        <w:tc>
          <w:tcPr>
            <w:tcW w:w="733" w:type="dxa"/>
            <w:tcBorders>
              <w:top w:val="nil"/>
              <w:left w:val="single" w:color="000000" w:sz="8" w:space="0"/>
              <w:bottom w:val="single" w:color="000000" w:sz="8" w:space="0"/>
              <w:right w:val="single" w:color="000000" w:sz="8" w:space="0"/>
            </w:tcBorders>
            <w:vAlign w:val="center"/>
          </w:tcPr>
          <w:p w14:paraId="383EE757">
            <w:pPr>
              <w:widowControl/>
              <w:jc w:val="center"/>
              <w:rPr>
                <w:rFonts w:ascii="宋体" w:hAnsi="宋体" w:cs="宋体"/>
                <w:color w:val="auto"/>
                <w:kern w:val="0"/>
                <w:sz w:val="20"/>
                <w:szCs w:val="20"/>
              </w:rPr>
            </w:pPr>
            <w:r>
              <w:rPr>
                <w:rFonts w:hint="eastAsia" w:ascii="宋体" w:hAnsi="宋体" w:cs="宋体"/>
                <w:color w:val="auto"/>
                <w:kern w:val="0"/>
                <w:sz w:val="20"/>
                <w:szCs w:val="20"/>
              </w:rPr>
              <w:t>14</w:t>
            </w:r>
          </w:p>
        </w:tc>
        <w:tc>
          <w:tcPr>
            <w:tcW w:w="1024" w:type="dxa"/>
            <w:tcBorders>
              <w:top w:val="nil"/>
              <w:left w:val="nil"/>
              <w:bottom w:val="single" w:color="000000" w:sz="8" w:space="0"/>
              <w:right w:val="single" w:color="000000" w:sz="8" w:space="0"/>
            </w:tcBorders>
            <w:vAlign w:val="center"/>
          </w:tcPr>
          <w:p w14:paraId="29797EDF">
            <w:pPr>
              <w:widowControl/>
              <w:jc w:val="center"/>
              <w:rPr>
                <w:rFonts w:ascii="宋体" w:hAnsi="宋体" w:cs="宋体"/>
                <w:color w:val="auto"/>
                <w:kern w:val="0"/>
                <w:sz w:val="20"/>
                <w:szCs w:val="20"/>
              </w:rPr>
            </w:pPr>
            <w:r>
              <w:rPr>
                <w:rFonts w:hint="eastAsia" w:ascii="宋体" w:hAnsi="宋体" w:cs="宋体"/>
                <w:color w:val="auto"/>
                <w:kern w:val="0"/>
                <w:sz w:val="20"/>
                <w:szCs w:val="20"/>
              </w:rPr>
              <w:t>A031210饮食炊事机械</w:t>
            </w:r>
          </w:p>
        </w:tc>
        <w:tc>
          <w:tcPr>
            <w:tcW w:w="1516" w:type="dxa"/>
            <w:tcBorders>
              <w:top w:val="nil"/>
              <w:left w:val="nil"/>
              <w:bottom w:val="single" w:color="000000" w:sz="8" w:space="0"/>
              <w:right w:val="single" w:color="000000" w:sz="8" w:space="0"/>
            </w:tcBorders>
            <w:vAlign w:val="center"/>
          </w:tcPr>
          <w:p w14:paraId="51D0EB78">
            <w:pPr>
              <w:widowControl/>
              <w:jc w:val="center"/>
              <w:rPr>
                <w:rFonts w:ascii="宋体" w:hAnsi="宋体" w:cs="宋体"/>
                <w:color w:val="auto"/>
                <w:kern w:val="0"/>
                <w:sz w:val="20"/>
                <w:szCs w:val="20"/>
              </w:rPr>
            </w:pPr>
            <w:r>
              <w:rPr>
                <w:rFonts w:hint="eastAsia" w:ascii="宋体" w:hAnsi="宋体" w:cs="宋体"/>
                <w:color w:val="auto"/>
                <w:kern w:val="0"/>
                <w:sz w:val="20"/>
                <w:szCs w:val="20"/>
              </w:rPr>
              <w:t>商用燃气灶具</w:t>
            </w:r>
          </w:p>
        </w:tc>
        <w:tc>
          <w:tcPr>
            <w:tcW w:w="1612" w:type="dxa"/>
            <w:tcBorders>
              <w:top w:val="nil"/>
              <w:left w:val="nil"/>
              <w:bottom w:val="single" w:color="000000" w:sz="8" w:space="0"/>
              <w:right w:val="single" w:color="000000" w:sz="8" w:space="0"/>
            </w:tcBorders>
            <w:vAlign w:val="center"/>
          </w:tcPr>
          <w:p w14:paraId="1276CA56">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335" w:type="dxa"/>
            <w:tcBorders>
              <w:top w:val="nil"/>
              <w:left w:val="nil"/>
              <w:bottom w:val="single" w:color="000000" w:sz="8" w:space="0"/>
              <w:right w:val="single" w:color="000000" w:sz="8" w:space="0"/>
            </w:tcBorders>
            <w:vAlign w:val="center"/>
          </w:tcPr>
          <w:p w14:paraId="4678C34F">
            <w:pPr>
              <w:widowControl/>
              <w:jc w:val="left"/>
              <w:rPr>
                <w:rFonts w:ascii="宋体" w:hAnsi="宋体" w:cs="宋体"/>
                <w:color w:val="auto"/>
                <w:kern w:val="0"/>
                <w:sz w:val="20"/>
                <w:szCs w:val="20"/>
              </w:rPr>
            </w:pPr>
            <w:r>
              <w:rPr>
                <w:rFonts w:hint="eastAsia" w:ascii="宋体" w:hAnsi="宋体" w:cs="宋体"/>
                <w:color w:val="auto"/>
                <w:kern w:val="0"/>
                <w:sz w:val="20"/>
                <w:szCs w:val="20"/>
              </w:rPr>
              <w:t>《商用燃气灶具能效限定值及能效等级》（GB30531）</w:t>
            </w:r>
          </w:p>
        </w:tc>
      </w:tr>
      <w:tr w14:paraId="05CD1F84">
        <w:tblPrEx>
          <w:tblCellMar>
            <w:top w:w="0" w:type="dxa"/>
            <w:left w:w="108" w:type="dxa"/>
            <w:bottom w:w="0" w:type="dxa"/>
            <w:right w:w="108" w:type="dxa"/>
          </w:tblCellMar>
        </w:tblPrEx>
        <w:trPr>
          <w:trHeight w:val="285" w:hRule="atLeast"/>
        </w:trPr>
        <w:tc>
          <w:tcPr>
            <w:tcW w:w="733" w:type="dxa"/>
            <w:vMerge w:val="restart"/>
            <w:tcBorders>
              <w:top w:val="nil"/>
              <w:left w:val="single" w:color="000000" w:sz="8" w:space="0"/>
              <w:bottom w:val="single" w:color="000000" w:sz="8" w:space="0"/>
              <w:right w:val="single" w:color="000000" w:sz="8" w:space="0"/>
            </w:tcBorders>
            <w:vAlign w:val="center"/>
          </w:tcPr>
          <w:p w14:paraId="29BCD7BB">
            <w:pPr>
              <w:widowControl/>
              <w:jc w:val="center"/>
              <w:rPr>
                <w:rFonts w:ascii="宋体" w:hAnsi="宋体" w:cs="宋体"/>
                <w:color w:val="auto"/>
                <w:kern w:val="0"/>
                <w:sz w:val="20"/>
                <w:szCs w:val="20"/>
              </w:rPr>
            </w:pPr>
            <w:r>
              <w:rPr>
                <w:rFonts w:hint="eastAsia" w:ascii="宋体" w:hAnsi="宋体" w:cs="宋体"/>
                <w:color w:val="auto"/>
                <w:kern w:val="0"/>
                <w:sz w:val="20"/>
                <w:szCs w:val="20"/>
              </w:rPr>
              <w:t>15</w:t>
            </w:r>
          </w:p>
        </w:tc>
        <w:tc>
          <w:tcPr>
            <w:tcW w:w="1024" w:type="dxa"/>
            <w:vMerge w:val="restart"/>
            <w:tcBorders>
              <w:top w:val="nil"/>
              <w:left w:val="single" w:color="000000" w:sz="8" w:space="0"/>
              <w:bottom w:val="single" w:color="000000" w:sz="8" w:space="0"/>
              <w:right w:val="single" w:color="000000" w:sz="8" w:space="0"/>
            </w:tcBorders>
            <w:vAlign w:val="center"/>
          </w:tcPr>
          <w:p w14:paraId="2AEA8FB4">
            <w:pPr>
              <w:widowControl/>
              <w:jc w:val="center"/>
              <w:rPr>
                <w:rFonts w:ascii="宋体" w:hAnsi="宋体" w:cs="宋体"/>
                <w:color w:val="auto"/>
                <w:kern w:val="0"/>
                <w:sz w:val="20"/>
                <w:szCs w:val="20"/>
              </w:rPr>
            </w:pPr>
            <w:r>
              <w:rPr>
                <w:rFonts w:hint="eastAsia" w:ascii="宋体" w:hAnsi="宋体" w:cs="宋体"/>
                <w:color w:val="auto"/>
                <w:kern w:val="0"/>
                <w:sz w:val="20"/>
                <w:szCs w:val="20"/>
              </w:rPr>
              <w:t>★A060805便器</w:t>
            </w:r>
          </w:p>
        </w:tc>
        <w:tc>
          <w:tcPr>
            <w:tcW w:w="1516" w:type="dxa"/>
            <w:tcBorders>
              <w:top w:val="nil"/>
              <w:left w:val="nil"/>
              <w:bottom w:val="single" w:color="000000" w:sz="8" w:space="0"/>
              <w:right w:val="single" w:color="000000" w:sz="8" w:space="0"/>
            </w:tcBorders>
            <w:vAlign w:val="center"/>
          </w:tcPr>
          <w:p w14:paraId="0F401CA2">
            <w:pPr>
              <w:widowControl/>
              <w:jc w:val="center"/>
              <w:rPr>
                <w:rFonts w:ascii="宋体" w:hAnsi="宋体" w:cs="宋体"/>
                <w:color w:val="auto"/>
                <w:kern w:val="0"/>
                <w:sz w:val="20"/>
                <w:szCs w:val="20"/>
              </w:rPr>
            </w:pPr>
            <w:r>
              <w:rPr>
                <w:rFonts w:hint="eastAsia" w:ascii="宋体" w:hAnsi="宋体" w:cs="宋体"/>
                <w:color w:val="auto"/>
                <w:kern w:val="0"/>
                <w:sz w:val="20"/>
                <w:szCs w:val="20"/>
              </w:rPr>
              <w:t>坐便器</w:t>
            </w:r>
          </w:p>
        </w:tc>
        <w:tc>
          <w:tcPr>
            <w:tcW w:w="1612" w:type="dxa"/>
            <w:tcBorders>
              <w:top w:val="nil"/>
              <w:left w:val="nil"/>
              <w:bottom w:val="single" w:color="000000" w:sz="8" w:space="0"/>
              <w:right w:val="single" w:color="000000" w:sz="8" w:space="0"/>
            </w:tcBorders>
            <w:vAlign w:val="center"/>
          </w:tcPr>
          <w:p w14:paraId="3E054934">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335" w:type="dxa"/>
            <w:tcBorders>
              <w:top w:val="nil"/>
              <w:left w:val="nil"/>
              <w:bottom w:val="single" w:color="000000" w:sz="8" w:space="0"/>
              <w:right w:val="single" w:color="000000" w:sz="8" w:space="0"/>
            </w:tcBorders>
            <w:vAlign w:val="center"/>
          </w:tcPr>
          <w:p w14:paraId="486A3EE8">
            <w:pPr>
              <w:widowControl/>
              <w:jc w:val="left"/>
              <w:rPr>
                <w:rFonts w:ascii="宋体" w:hAnsi="宋体" w:cs="宋体"/>
                <w:color w:val="auto"/>
                <w:kern w:val="0"/>
                <w:sz w:val="20"/>
                <w:szCs w:val="20"/>
              </w:rPr>
            </w:pPr>
            <w:r>
              <w:rPr>
                <w:rFonts w:hint="eastAsia" w:ascii="宋体" w:hAnsi="宋体" w:cs="宋体"/>
                <w:color w:val="auto"/>
                <w:kern w:val="0"/>
                <w:sz w:val="20"/>
                <w:szCs w:val="20"/>
              </w:rPr>
              <w:t>《坐便器水效限定值及水效等级》（GB25502）</w:t>
            </w:r>
          </w:p>
        </w:tc>
      </w:tr>
      <w:tr w14:paraId="6DCC8840">
        <w:tblPrEx>
          <w:tblCellMar>
            <w:top w:w="0" w:type="dxa"/>
            <w:left w:w="108" w:type="dxa"/>
            <w:bottom w:w="0" w:type="dxa"/>
            <w:right w:w="108" w:type="dxa"/>
          </w:tblCellMar>
        </w:tblPrEx>
        <w:trPr>
          <w:trHeight w:val="495" w:hRule="atLeast"/>
        </w:trPr>
        <w:tc>
          <w:tcPr>
            <w:tcW w:w="733" w:type="dxa"/>
            <w:vMerge w:val="continue"/>
            <w:tcBorders>
              <w:top w:val="nil"/>
              <w:left w:val="single" w:color="000000" w:sz="8" w:space="0"/>
              <w:bottom w:val="single" w:color="000000" w:sz="8" w:space="0"/>
              <w:right w:val="single" w:color="000000" w:sz="8" w:space="0"/>
            </w:tcBorders>
            <w:vAlign w:val="center"/>
          </w:tcPr>
          <w:p w14:paraId="7C20151C">
            <w:pPr>
              <w:widowControl/>
              <w:jc w:val="left"/>
              <w:rPr>
                <w:rFonts w:ascii="宋体" w:hAnsi="宋体" w:cs="宋体"/>
                <w:color w:val="auto"/>
                <w:kern w:val="0"/>
                <w:sz w:val="20"/>
                <w:szCs w:val="20"/>
              </w:rPr>
            </w:pPr>
          </w:p>
        </w:tc>
        <w:tc>
          <w:tcPr>
            <w:tcW w:w="1024" w:type="dxa"/>
            <w:vMerge w:val="continue"/>
            <w:tcBorders>
              <w:top w:val="nil"/>
              <w:left w:val="single" w:color="000000" w:sz="8" w:space="0"/>
              <w:bottom w:val="single" w:color="000000" w:sz="8" w:space="0"/>
              <w:right w:val="single" w:color="000000" w:sz="8" w:space="0"/>
            </w:tcBorders>
            <w:vAlign w:val="center"/>
          </w:tcPr>
          <w:p w14:paraId="7B8820B6">
            <w:pPr>
              <w:widowControl/>
              <w:jc w:val="left"/>
              <w:rPr>
                <w:rFonts w:ascii="宋体" w:hAnsi="宋体" w:cs="宋体"/>
                <w:color w:val="auto"/>
                <w:kern w:val="0"/>
                <w:sz w:val="20"/>
                <w:szCs w:val="20"/>
              </w:rPr>
            </w:pPr>
          </w:p>
        </w:tc>
        <w:tc>
          <w:tcPr>
            <w:tcW w:w="1516" w:type="dxa"/>
            <w:tcBorders>
              <w:top w:val="nil"/>
              <w:left w:val="nil"/>
              <w:bottom w:val="single" w:color="000000" w:sz="8" w:space="0"/>
              <w:right w:val="single" w:color="000000" w:sz="8" w:space="0"/>
            </w:tcBorders>
            <w:vAlign w:val="center"/>
          </w:tcPr>
          <w:p w14:paraId="639A4AEE">
            <w:pPr>
              <w:widowControl/>
              <w:jc w:val="center"/>
              <w:rPr>
                <w:rFonts w:ascii="宋体" w:hAnsi="宋体" w:cs="宋体"/>
                <w:color w:val="auto"/>
                <w:kern w:val="0"/>
                <w:sz w:val="20"/>
                <w:szCs w:val="20"/>
              </w:rPr>
            </w:pPr>
            <w:r>
              <w:rPr>
                <w:rFonts w:hint="eastAsia" w:ascii="宋体" w:hAnsi="宋体" w:cs="宋体"/>
                <w:color w:val="auto"/>
                <w:kern w:val="0"/>
                <w:sz w:val="20"/>
                <w:szCs w:val="20"/>
              </w:rPr>
              <w:t>蹲便器</w:t>
            </w:r>
          </w:p>
        </w:tc>
        <w:tc>
          <w:tcPr>
            <w:tcW w:w="1612" w:type="dxa"/>
            <w:tcBorders>
              <w:top w:val="nil"/>
              <w:left w:val="nil"/>
              <w:bottom w:val="single" w:color="000000" w:sz="8" w:space="0"/>
              <w:right w:val="single" w:color="000000" w:sz="8" w:space="0"/>
            </w:tcBorders>
            <w:vAlign w:val="center"/>
          </w:tcPr>
          <w:p w14:paraId="044D5C65">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335" w:type="dxa"/>
            <w:tcBorders>
              <w:top w:val="nil"/>
              <w:left w:val="nil"/>
              <w:bottom w:val="single" w:color="000000" w:sz="8" w:space="0"/>
              <w:right w:val="single" w:color="000000" w:sz="8" w:space="0"/>
            </w:tcBorders>
            <w:vAlign w:val="center"/>
          </w:tcPr>
          <w:p w14:paraId="2FD8E4A4">
            <w:pPr>
              <w:widowControl/>
              <w:jc w:val="left"/>
              <w:rPr>
                <w:rFonts w:ascii="宋体" w:hAnsi="宋体" w:cs="宋体"/>
                <w:color w:val="auto"/>
                <w:kern w:val="0"/>
                <w:sz w:val="20"/>
                <w:szCs w:val="20"/>
              </w:rPr>
            </w:pPr>
            <w:r>
              <w:rPr>
                <w:rFonts w:hint="eastAsia" w:ascii="宋体" w:hAnsi="宋体" w:cs="宋体"/>
                <w:color w:val="auto"/>
                <w:kern w:val="0"/>
                <w:sz w:val="20"/>
                <w:szCs w:val="20"/>
              </w:rPr>
              <w:t>《蹲便器用水效率限定值及用水效率等级》（GB30717）</w:t>
            </w:r>
          </w:p>
        </w:tc>
      </w:tr>
      <w:tr w14:paraId="03D44A02">
        <w:tblPrEx>
          <w:tblCellMar>
            <w:top w:w="0" w:type="dxa"/>
            <w:left w:w="108" w:type="dxa"/>
            <w:bottom w:w="0" w:type="dxa"/>
            <w:right w:w="108" w:type="dxa"/>
          </w:tblCellMar>
        </w:tblPrEx>
        <w:trPr>
          <w:trHeight w:val="495" w:hRule="atLeast"/>
        </w:trPr>
        <w:tc>
          <w:tcPr>
            <w:tcW w:w="733" w:type="dxa"/>
            <w:vMerge w:val="continue"/>
            <w:tcBorders>
              <w:top w:val="nil"/>
              <w:left w:val="single" w:color="000000" w:sz="8" w:space="0"/>
              <w:bottom w:val="single" w:color="000000" w:sz="8" w:space="0"/>
              <w:right w:val="single" w:color="000000" w:sz="8" w:space="0"/>
            </w:tcBorders>
            <w:vAlign w:val="center"/>
          </w:tcPr>
          <w:p w14:paraId="6FD725B7">
            <w:pPr>
              <w:widowControl/>
              <w:jc w:val="left"/>
              <w:rPr>
                <w:rFonts w:ascii="宋体" w:hAnsi="宋体" w:cs="宋体"/>
                <w:color w:val="auto"/>
                <w:kern w:val="0"/>
                <w:sz w:val="20"/>
                <w:szCs w:val="20"/>
              </w:rPr>
            </w:pPr>
          </w:p>
        </w:tc>
        <w:tc>
          <w:tcPr>
            <w:tcW w:w="1024" w:type="dxa"/>
            <w:vMerge w:val="continue"/>
            <w:tcBorders>
              <w:top w:val="nil"/>
              <w:left w:val="single" w:color="000000" w:sz="8" w:space="0"/>
              <w:bottom w:val="single" w:color="000000" w:sz="8" w:space="0"/>
              <w:right w:val="single" w:color="000000" w:sz="8" w:space="0"/>
            </w:tcBorders>
            <w:vAlign w:val="center"/>
          </w:tcPr>
          <w:p w14:paraId="73A863DB">
            <w:pPr>
              <w:widowControl/>
              <w:jc w:val="left"/>
              <w:rPr>
                <w:rFonts w:ascii="宋体" w:hAnsi="宋体" w:cs="宋体"/>
                <w:color w:val="auto"/>
                <w:kern w:val="0"/>
                <w:sz w:val="20"/>
                <w:szCs w:val="20"/>
              </w:rPr>
            </w:pPr>
          </w:p>
        </w:tc>
        <w:tc>
          <w:tcPr>
            <w:tcW w:w="1516" w:type="dxa"/>
            <w:tcBorders>
              <w:top w:val="nil"/>
              <w:left w:val="nil"/>
              <w:bottom w:val="single" w:color="000000" w:sz="8" w:space="0"/>
              <w:right w:val="single" w:color="000000" w:sz="8" w:space="0"/>
            </w:tcBorders>
            <w:vAlign w:val="center"/>
          </w:tcPr>
          <w:p w14:paraId="4029C8DA">
            <w:pPr>
              <w:widowControl/>
              <w:jc w:val="center"/>
              <w:rPr>
                <w:rFonts w:ascii="宋体" w:hAnsi="宋体" w:cs="宋体"/>
                <w:color w:val="auto"/>
                <w:kern w:val="0"/>
                <w:sz w:val="20"/>
                <w:szCs w:val="20"/>
              </w:rPr>
            </w:pPr>
            <w:r>
              <w:rPr>
                <w:rFonts w:hint="eastAsia" w:ascii="宋体" w:hAnsi="宋体" w:cs="宋体"/>
                <w:color w:val="auto"/>
                <w:kern w:val="0"/>
                <w:sz w:val="20"/>
                <w:szCs w:val="20"/>
              </w:rPr>
              <w:t>小便器</w:t>
            </w:r>
          </w:p>
        </w:tc>
        <w:tc>
          <w:tcPr>
            <w:tcW w:w="1612" w:type="dxa"/>
            <w:tcBorders>
              <w:top w:val="nil"/>
              <w:left w:val="nil"/>
              <w:bottom w:val="single" w:color="000000" w:sz="8" w:space="0"/>
              <w:right w:val="single" w:color="000000" w:sz="8" w:space="0"/>
            </w:tcBorders>
            <w:vAlign w:val="center"/>
          </w:tcPr>
          <w:p w14:paraId="6AA0BCE3">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335" w:type="dxa"/>
            <w:tcBorders>
              <w:top w:val="nil"/>
              <w:left w:val="nil"/>
              <w:bottom w:val="single" w:color="000000" w:sz="8" w:space="0"/>
              <w:right w:val="single" w:color="000000" w:sz="8" w:space="0"/>
            </w:tcBorders>
            <w:vAlign w:val="center"/>
          </w:tcPr>
          <w:p w14:paraId="668A7DA4">
            <w:pPr>
              <w:widowControl/>
              <w:jc w:val="left"/>
              <w:rPr>
                <w:rFonts w:ascii="宋体" w:hAnsi="宋体" w:cs="宋体"/>
                <w:color w:val="auto"/>
                <w:kern w:val="0"/>
                <w:sz w:val="20"/>
                <w:szCs w:val="20"/>
              </w:rPr>
            </w:pPr>
            <w:r>
              <w:rPr>
                <w:rFonts w:hint="eastAsia" w:ascii="宋体" w:hAnsi="宋体" w:cs="宋体"/>
                <w:color w:val="auto"/>
                <w:kern w:val="0"/>
                <w:sz w:val="20"/>
                <w:szCs w:val="20"/>
              </w:rPr>
              <w:t>《小便器用水效率限定值及用水效率等级》（GB28377）</w:t>
            </w:r>
          </w:p>
        </w:tc>
      </w:tr>
      <w:tr w14:paraId="64626C31">
        <w:tblPrEx>
          <w:tblCellMar>
            <w:top w:w="0" w:type="dxa"/>
            <w:left w:w="108" w:type="dxa"/>
            <w:bottom w:w="0" w:type="dxa"/>
            <w:right w:w="108" w:type="dxa"/>
          </w:tblCellMar>
        </w:tblPrEx>
        <w:trPr>
          <w:trHeight w:val="495" w:hRule="atLeast"/>
        </w:trPr>
        <w:tc>
          <w:tcPr>
            <w:tcW w:w="733" w:type="dxa"/>
            <w:tcBorders>
              <w:top w:val="nil"/>
              <w:left w:val="single" w:color="000000" w:sz="8" w:space="0"/>
              <w:bottom w:val="single" w:color="000000" w:sz="8" w:space="0"/>
              <w:right w:val="single" w:color="000000" w:sz="8" w:space="0"/>
            </w:tcBorders>
            <w:vAlign w:val="center"/>
          </w:tcPr>
          <w:p w14:paraId="70D1D28C">
            <w:pPr>
              <w:widowControl/>
              <w:jc w:val="center"/>
              <w:rPr>
                <w:rFonts w:ascii="宋体" w:hAnsi="宋体" w:cs="宋体"/>
                <w:color w:val="auto"/>
                <w:kern w:val="0"/>
                <w:sz w:val="20"/>
                <w:szCs w:val="20"/>
              </w:rPr>
            </w:pPr>
            <w:r>
              <w:rPr>
                <w:rFonts w:hint="eastAsia" w:ascii="宋体" w:hAnsi="宋体" w:cs="宋体"/>
                <w:color w:val="auto"/>
                <w:kern w:val="0"/>
                <w:sz w:val="20"/>
                <w:szCs w:val="20"/>
              </w:rPr>
              <w:t>16</w:t>
            </w:r>
          </w:p>
        </w:tc>
        <w:tc>
          <w:tcPr>
            <w:tcW w:w="1024" w:type="dxa"/>
            <w:tcBorders>
              <w:top w:val="nil"/>
              <w:left w:val="nil"/>
              <w:bottom w:val="single" w:color="000000" w:sz="8" w:space="0"/>
              <w:right w:val="single" w:color="000000" w:sz="8" w:space="0"/>
            </w:tcBorders>
            <w:vAlign w:val="center"/>
          </w:tcPr>
          <w:p w14:paraId="7C8EAF8A">
            <w:pPr>
              <w:widowControl/>
              <w:jc w:val="center"/>
              <w:rPr>
                <w:rFonts w:ascii="宋体" w:hAnsi="宋体" w:cs="宋体"/>
                <w:color w:val="auto"/>
                <w:kern w:val="0"/>
                <w:sz w:val="20"/>
                <w:szCs w:val="20"/>
              </w:rPr>
            </w:pPr>
            <w:r>
              <w:rPr>
                <w:rFonts w:hint="eastAsia" w:ascii="宋体" w:hAnsi="宋体" w:cs="宋体"/>
                <w:color w:val="auto"/>
                <w:kern w:val="0"/>
                <w:sz w:val="20"/>
                <w:szCs w:val="20"/>
              </w:rPr>
              <w:t>★A060806水嘴</w:t>
            </w:r>
          </w:p>
        </w:tc>
        <w:tc>
          <w:tcPr>
            <w:tcW w:w="1516" w:type="dxa"/>
            <w:tcBorders>
              <w:top w:val="nil"/>
              <w:left w:val="nil"/>
              <w:bottom w:val="single" w:color="000000" w:sz="8" w:space="0"/>
              <w:right w:val="single" w:color="000000" w:sz="8" w:space="0"/>
            </w:tcBorders>
            <w:vAlign w:val="center"/>
          </w:tcPr>
          <w:p w14:paraId="1F3099E8">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612" w:type="dxa"/>
            <w:tcBorders>
              <w:top w:val="nil"/>
              <w:left w:val="nil"/>
              <w:bottom w:val="single" w:color="000000" w:sz="8" w:space="0"/>
              <w:right w:val="single" w:color="000000" w:sz="8" w:space="0"/>
            </w:tcBorders>
            <w:vAlign w:val="center"/>
          </w:tcPr>
          <w:p w14:paraId="2800F1D9">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335" w:type="dxa"/>
            <w:tcBorders>
              <w:top w:val="nil"/>
              <w:left w:val="nil"/>
              <w:bottom w:val="single" w:color="000000" w:sz="8" w:space="0"/>
              <w:right w:val="single" w:color="000000" w:sz="8" w:space="0"/>
            </w:tcBorders>
            <w:vAlign w:val="center"/>
          </w:tcPr>
          <w:p w14:paraId="55F8066E">
            <w:pPr>
              <w:widowControl/>
              <w:jc w:val="left"/>
              <w:rPr>
                <w:rFonts w:ascii="宋体" w:hAnsi="宋体" w:cs="宋体"/>
                <w:color w:val="auto"/>
                <w:kern w:val="0"/>
                <w:sz w:val="20"/>
                <w:szCs w:val="20"/>
              </w:rPr>
            </w:pPr>
            <w:r>
              <w:rPr>
                <w:rFonts w:hint="eastAsia" w:ascii="宋体" w:hAnsi="宋体" w:cs="宋体"/>
                <w:color w:val="auto"/>
                <w:kern w:val="0"/>
                <w:sz w:val="20"/>
                <w:szCs w:val="20"/>
              </w:rPr>
              <w:t>《水嘴用水效率限定值及用水效率等级》（GB 25501）</w:t>
            </w:r>
          </w:p>
        </w:tc>
      </w:tr>
      <w:tr w14:paraId="1F905583">
        <w:tblPrEx>
          <w:tblCellMar>
            <w:top w:w="0" w:type="dxa"/>
            <w:left w:w="108" w:type="dxa"/>
            <w:bottom w:w="0" w:type="dxa"/>
            <w:right w:w="108" w:type="dxa"/>
          </w:tblCellMar>
        </w:tblPrEx>
        <w:trPr>
          <w:trHeight w:val="495" w:hRule="atLeast"/>
        </w:trPr>
        <w:tc>
          <w:tcPr>
            <w:tcW w:w="733" w:type="dxa"/>
            <w:tcBorders>
              <w:top w:val="nil"/>
              <w:left w:val="single" w:color="000000" w:sz="8" w:space="0"/>
              <w:bottom w:val="single" w:color="000000" w:sz="8" w:space="0"/>
              <w:right w:val="single" w:color="000000" w:sz="8" w:space="0"/>
            </w:tcBorders>
            <w:vAlign w:val="center"/>
          </w:tcPr>
          <w:p w14:paraId="0F8444F1">
            <w:pPr>
              <w:widowControl/>
              <w:jc w:val="center"/>
              <w:rPr>
                <w:rFonts w:ascii="宋体" w:hAnsi="宋体" w:cs="宋体"/>
                <w:color w:val="auto"/>
                <w:kern w:val="0"/>
                <w:sz w:val="20"/>
                <w:szCs w:val="20"/>
              </w:rPr>
            </w:pPr>
            <w:r>
              <w:rPr>
                <w:rFonts w:hint="eastAsia" w:ascii="宋体" w:hAnsi="宋体" w:cs="宋体"/>
                <w:color w:val="auto"/>
                <w:kern w:val="0"/>
                <w:sz w:val="20"/>
                <w:szCs w:val="20"/>
              </w:rPr>
              <w:t>17</w:t>
            </w:r>
          </w:p>
        </w:tc>
        <w:tc>
          <w:tcPr>
            <w:tcW w:w="1024" w:type="dxa"/>
            <w:tcBorders>
              <w:top w:val="nil"/>
              <w:left w:val="nil"/>
              <w:bottom w:val="single" w:color="000000" w:sz="8" w:space="0"/>
              <w:right w:val="single" w:color="000000" w:sz="8" w:space="0"/>
            </w:tcBorders>
            <w:vAlign w:val="center"/>
          </w:tcPr>
          <w:p w14:paraId="227AE3DE">
            <w:pPr>
              <w:widowControl/>
              <w:jc w:val="center"/>
              <w:rPr>
                <w:rFonts w:ascii="宋体" w:hAnsi="宋体" w:cs="宋体"/>
                <w:color w:val="auto"/>
                <w:kern w:val="0"/>
                <w:sz w:val="20"/>
                <w:szCs w:val="20"/>
              </w:rPr>
            </w:pPr>
            <w:r>
              <w:rPr>
                <w:rFonts w:hint="eastAsia" w:ascii="宋体" w:hAnsi="宋体" w:cs="宋体"/>
                <w:color w:val="auto"/>
                <w:kern w:val="0"/>
                <w:sz w:val="20"/>
                <w:szCs w:val="20"/>
              </w:rPr>
              <w:t>A060807便器冲洗阀</w:t>
            </w:r>
          </w:p>
        </w:tc>
        <w:tc>
          <w:tcPr>
            <w:tcW w:w="1516" w:type="dxa"/>
            <w:tcBorders>
              <w:top w:val="nil"/>
              <w:left w:val="nil"/>
              <w:bottom w:val="single" w:color="000000" w:sz="8" w:space="0"/>
              <w:right w:val="single" w:color="000000" w:sz="8" w:space="0"/>
            </w:tcBorders>
            <w:vAlign w:val="center"/>
          </w:tcPr>
          <w:p w14:paraId="63659DE1">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612" w:type="dxa"/>
            <w:tcBorders>
              <w:top w:val="nil"/>
              <w:left w:val="nil"/>
              <w:bottom w:val="single" w:color="000000" w:sz="8" w:space="0"/>
              <w:right w:val="single" w:color="000000" w:sz="8" w:space="0"/>
            </w:tcBorders>
            <w:vAlign w:val="center"/>
          </w:tcPr>
          <w:p w14:paraId="004C7C56">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335" w:type="dxa"/>
            <w:tcBorders>
              <w:top w:val="nil"/>
              <w:left w:val="nil"/>
              <w:bottom w:val="single" w:color="000000" w:sz="8" w:space="0"/>
              <w:right w:val="single" w:color="000000" w:sz="8" w:space="0"/>
            </w:tcBorders>
            <w:vAlign w:val="center"/>
          </w:tcPr>
          <w:p w14:paraId="1E1828E3">
            <w:pPr>
              <w:widowControl/>
              <w:jc w:val="left"/>
              <w:rPr>
                <w:rFonts w:ascii="宋体" w:hAnsi="宋体" w:cs="宋体"/>
                <w:color w:val="auto"/>
                <w:kern w:val="0"/>
                <w:sz w:val="20"/>
                <w:szCs w:val="20"/>
              </w:rPr>
            </w:pPr>
            <w:r>
              <w:rPr>
                <w:rFonts w:hint="eastAsia" w:ascii="宋体" w:hAnsi="宋体" w:cs="宋体"/>
                <w:color w:val="auto"/>
                <w:kern w:val="0"/>
                <w:sz w:val="20"/>
                <w:szCs w:val="20"/>
              </w:rPr>
              <w:t>《便器冲洗阀用水效率限定值及用水效率等级》（GB28379）</w:t>
            </w:r>
          </w:p>
        </w:tc>
      </w:tr>
      <w:tr w14:paraId="64205D41">
        <w:tblPrEx>
          <w:tblCellMar>
            <w:top w:w="0" w:type="dxa"/>
            <w:left w:w="108" w:type="dxa"/>
            <w:bottom w:w="0" w:type="dxa"/>
            <w:right w:w="108" w:type="dxa"/>
          </w:tblCellMar>
        </w:tblPrEx>
        <w:trPr>
          <w:trHeight w:val="495" w:hRule="atLeast"/>
        </w:trPr>
        <w:tc>
          <w:tcPr>
            <w:tcW w:w="733" w:type="dxa"/>
            <w:tcBorders>
              <w:top w:val="nil"/>
              <w:left w:val="single" w:color="000000" w:sz="8" w:space="0"/>
              <w:bottom w:val="single" w:color="000000" w:sz="8" w:space="0"/>
              <w:right w:val="single" w:color="000000" w:sz="8" w:space="0"/>
            </w:tcBorders>
            <w:vAlign w:val="center"/>
          </w:tcPr>
          <w:p w14:paraId="55E0AF5C">
            <w:pPr>
              <w:widowControl/>
              <w:jc w:val="center"/>
              <w:rPr>
                <w:rFonts w:ascii="宋体" w:hAnsi="宋体" w:cs="宋体"/>
                <w:color w:val="auto"/>
                <w:kern w:val="0"/>
                <w:sz w:val="20"/>
                <w:szCs w:val="20"/>
              </w:rPr>
            </w:pPr>
            <w:r>
              <w:rPr>
                <w:rFonts w:hint="eastAsia" w:ascii="宋体" w:hAnsi="宋体" w:cs="宋体"/>
                <w:color w:val="auto"/>
                <w:kern w:val="0"/>
                <w:sz w:val="20"/>
                <w:szCs w:val="20"/>
              </w:rPr>
              <w:t>18</w:t>
            </w:r>
          </w:p>
        </w:tc>
        <w:tc>
          <w:tcPr>
            <w:tcW w:w="1024" w:type="dxa"/>
            <w:tcBorders>
              <w:top w:val="nil"/>
              <w:left w:val="nil"/>
              <w:bottom w:val="single" w:color="000000" w:sz="8" w:space="0"/>
              <w:right w:val="single" w:color="000000" w:sz="8" w:space="0"/>
            </w:tcBorders>
            <w:vAlign w:val="center"/>
          </w:tcPr>
          <w:p w14:paraId="7D335E34">
            <w:pPr>
              <w:widowControl/>
              <w:jc w:val="center"/>
              <w:rPr>
                <w:rFonts w:ascii="宋体" w:hAnsi="宋体" w:cs="宋体"/>
                <w:color w:val="auto"/>
                <w:kern w:val="0"/>
                <w:sz w:val="20"/>
                <w:szCs w:val="20"/>
              </w:rPr>
            </w:pPr>
            <w:r>
              <w:rPr>
                <w:rFonts w:hint="eastAsia" w:ascii="宋体" w:hAnsi="宋体" w:cs="宋体"/>
                <w:color w:val="auto"/>
                <w:kern w:val="0"/>
                <w:sz w:val="20"/>
                <w:szCs w:val="20"/>
              </w:rPr>
              <w:t>A060810淋浴器</w:t>
            </w:r>
          </w:p>
        </w:tc>
        <w:tc>
          <w:tcPr>
            <w:tcW w:w="1516" w:type="dxa"/>
            <w:tcBorders>
              <w:top w:val="nil"/>
              <w:left w:val="nil"/>
              <w:bottom w:val="single" w:color="000000" w:sz="8" w:space="0"/>
              <w:right w:val="single" w:color="000000" w:sz="8" w:space="0"/>
            </w:tcBorders>
            <w:vAlign w:val="center"/>
          </w:tcPr>
          <w:p w14:paraId="0E8EBB64">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612" w:type="dxa"/>
            <w:tcBorders>
              <w:top w:val="nil"/>
              <w:left w:val="nil"/>
              <w:bottom w:val="single" w:color="000000" w:sz="8" w:space="0"/>
              <w:right w:val="single" w:color="000000" w:sz="8" w:space="0"/>
            </w:tcBorders>
            <w:vAlign w:val="center"/>
          </w:tcPr>
          <w:p w14:paraId="59466B22">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335" w:type="dxa"/>
            <w:tcBorders>
              <w:top w:val="nil"/>
              <w:left w:val="nil"/>
              <w:bottom w:val="single" w:color="000000" w:sz="8" w:space="0"/>
              <w:right w:val="single" w:color="000000" w:sz="8" w:space="0"/>
            </w:tcBorders>
            <w:vAlign w:val="center"/>
          </w:tcPr>
          <w:p w14:paraId="02A0A591">
            <w:pPr>
              <w:widowControl/>
              <w:jc w:val="left"/>
              <w:rPr>
                <w:rFonts w:ascii="宋体" w:hAnsi="宋体" w:cs="宋体"/>
                <w:color w:val="auto"/>
                <w:kern w:val="0"/>
                <w:sz w:val="20"/>
                <w:szCs w:val="20"/>
              </w:rPr>
            </w:pPr>
            <w:r>
              <w:rPr>
                <w:rFonts w:hint="eastAsia" w:ascii="宋体" w:hAnsi="宋体" w:cs="宋体"/>
                <w:color w:val="auto"/>
                <w:kern w:val="0"/>
                <w:sz w:val="20"/>
                <w:szCs w:val="20"/>
              </w:rPr>
              <w:t>《淋浴器用水效率限定值及用水效率等级》（GB28378）</w:t>
            </w:r>
          </w:p>
        </w:tc>
      </w:tr>
    </w:tbl>
    <w:p w14:paraId="6A05CB06">
      <w:pPr>
        <w:spacing w:after="120" w:line="360" w:lineRule="auto"/>
        <w:rPr>
          <w:rFonts w:ascii="宋体" w:hAnsi="宋体" w:cs="宋体"/>
          <w:color w:val="auto"/>
          <w:szCs w:val="21"/>
        </w:rPr>
      </w:pPr>
      <w:r>
        <w:rPr>
          <w:rFonts w:hint="eastAsia" w:ascii="宋体" w:hAnsi="宋体" w:cs="宋体"/>
          <w:color w:val="auto"/>
          <w:spacing w:val="-3"/>
          <w:szCs w:val="21"/>
        </w:rPr>
        <w:t>注：1.节能产品认证应依据相关国家标准的最新版本，依据国家标准中二级能效（水效）</w:t>
      </w:r>
      <w:r>
        <w:rPr>
          <w:rFonts w:hint="eastAsia" w:ascii="宋体" w:hAnsi="宋体" w:cs="宋体"/>
          <w:color w:val="auto"/>
          <w:szCs w:val="21"/>
        </w:rPr>
        <w:t>指标。</w:t>
      </w:r>
    </w:p>
    <w:p w14:paraId="5A287B75">
      <w:pPr>
        <w:jc w:val="left"/>
        <w:rPr>
          <w:rFonts w:ascii="宋体" w:hAnsi="宋体" w:cs="宋体"/>
          <w:color w:val="auto"/>
          <w:kern w:val="0"/>
          <w:sz w:val="32"/>
          <w:szCs w:val="32"/>
        </w:rPr>
      </w:pPr>
      <w:r>
        <w:rPr>
          <w:rFonts w:hint="eastAsia" w:ascii="宋体" w:hAnsi="宋体" w:cs="宋体"/>
          <w:color w:val="auto"/>
          <w:kern w:val="0"/>
          <w:sz w:val="20"/>
          <w:szCs w:val="21"/>
        </w:rPr>
        <w:t xml:space="preserve">    2.以“★”标注的为政府强制采购产品。</w:t>
      </w:r>
      <w:r>
        <w:rPr>
          <w:rFonts w:hint="eastAsia" w:ascii="宋体" w:hAnsi="宋体" w:cs="宋体"/>
          <w:color w:val="auto"/>
          <w:kern w:val="0"/>
          <w:sz w:val="20"/>
          <w:szCs w:val="21"/>
        </w:rPr>
        <w:br w:type="page"/>
      </w:r>
      <w:r>
        <w:rPr>
          <w:rFonts w:hint="eastAsia" w:ascii="宋体" w:hAnsi="宋体" w:cs="宋体"/>
          <w:color w:val="auto"/>
          <w:kern w:val="0"/>
          <w:sz w:val="30"/>
          <w:szCs w:val="30"/>
        </w:rPr>
        <w:t>附件2：</w:t>
      </w:r>
    </w:p>
    <w:p w14:paraId="31F0B9B0">
      <w:pPr>
        <w:jc w:val="center"/>
        <w:rPr>
          <w:rFonts w:ascii="宋体" w:hAnsi="宋体" w:cs="宋体"/>
          <w:b/>
          <w:color w:val="auto"/>
          <w:sz w:val="30"/>
          <w:szCs w:val="30"/>
        </w:rPr>
      </w:pPr>
      <w:r>
        <w:rPr>
          <w:rFonts w:hint="eastAsia" w:ascii="宋体" w:hAnsi="宋体" w:cs="宋体"/>
          <w:b/>
          <w:color w:val="auto"/>
          <w:sz w:val="30"/>
          <w:szCs w:val="30"/>
        </w:rPr>
        <w:t>中小微企业划型标准</w:t>
      </w:r>
    </w:p>
    <w:tbl>
      <w:tblPr>
        <w:tblStyle w:val="25"/>
        <w:tblW w:w="9437" w:type="dxa"/>
        <w:tblInd w:w="250" w:type="dxa"/>
        <w:tblLayout w:type="fixed"/>
        <w:tblCellMar>
          <w:top w:w="0" w:type="dxa"/>
          <w:left w:w="108" w:type="dxa"/>
          <w:bottom w:w="0" w:type="dxa"/>
          <w:right w:w="108" w:type="dxa"/>
        </w:tblCellMar>
      </w:tblPr>
      <w:tblGrid>
        <w:gridCol w:w="1973"/>
        <w:gridCol w:w="1972"/>
        <w:gridCol w:w="845"/>
        <w:gridCol w:w="1830"/>
        <w:gridCol w:w="1690"/>
        <w:gridCol w:w="1127"/>
      </w:tblGrid>
      <w:tr w14:paraId="5CAF6F93">
        <w:tblPrEx>
          <w:tblCellMar>
            <w:top w:w="0" w:type="dxa"/>
            <w:left w:w="108" w:type="dxa"/>
            <w:bottom w:w="0" w:type="dxa"/>
            <w:right w:w="108" w:type="dxa"/>
          </w:tblCellMar>
        </w:tblPrEx>
        <w:trPr>
          <w:trHeight w:val="665" w:hRule="atLeast"/>
        </w:trPr>
        <w:tc>
          <w:tcPr>
            <w:tcW w:w="1973" w:type="dxa"/>
            <w:tcBorders>
              <w:top w:val="single" w:color="auto" w:sz="4" w:space="0"/>
              <w:left w:val="single" w:color="auto" w:sz="4" w:space="0"/>
              <w:bottom w:val="single" w:color="auto" w:sz="4" w:space="0"/>
              <w:right w:val="single" w:color="auto" w:sz="4" w:space="0"/>
            </w:tcBorders>
            <w:vAlign w:val="center"/>
          </w:tcPr>
          <w:p w14:paraId="78AC73C1">
            <w:pPr>
              <w:widowControl/>
              <w:jc w:val="center"/>
              <w:rPr>
                <w:rFonts w:ascii="宋体" w:hAnsi="宋体" w:cs="宋体"/>
                <w:b/>
                <w:color w:val="auto"/>
                <w:kern w:val="0"/>
                <w:sz w:val="24"/>
              </w:rPr>
            </w:pPr>
            <w:r>
              <w:rPr>
                <w:rFonts w:hint="eastAsia" w:ascii="宋体" w:hAnsi="宋体" w:cs="宋体"/>
                <w:b/>
                <w:color w:val="auto"/>
                <w:kern w:val="0"/>
                <w:sz w:val="24"/>
              </w:rPr>
              <w:t>行业名称</w:t>
            </w:r>
          </w:p>
        </w:tc>
        <w:tc>
          <w:tcPr>
            <w:tcW w:w="1972" w:type="dxa"/>
            <w:tcBorders>
              <w:top w:val="single" w:color="auto" w:sz="4" w:space="0"/>
              <w:left w:val="nil"/>
              <w:bottom w:val="single" w:color="auto" w:sz="4" w:space="0"/>
              <w:right w:val="single" w:color="auto" w:sz="4" w:space="0"/>
            </w:tcBorders>
            <w:vAlign w:val="center"/>
          </w:tcPr>
          <w:p w14:paraId="117CBD0C">
            <w:pPr>
              <w:widowControl/>
              <w:jc w:val="center"/>
              <w:rPr>
                <w:rFonts w:ascii="宋体" w:hAnsi="宋体" w:cs="宋体"/>
                <w:b/>
                <w:color w:val="auto"/>
                <w:kern w:val="0"/>
                <w:sz w:val="24"/>
              </w:rPr>
            </w:pPr>
            <w:r>
              <w:rPr>
                <w:rFonts w:hint="eastAsia" w:ascii="宋体" w:hAnsi="宋体" w:cs="宋体"/>
                <w:b/>
                <w:color w:val="auto"/>
                <w:kern w:val="0"/>
                <w:sz w:val="24"/>
              </w:rPr>
              <w:t>指标名称</w:t>
            </w:r>
          </w:p>
        </w:tc>
        <w:tc>
          <w:tcPr>
            <w:tcW w:w="845" w:type="dxa"/>
            <w:tcBorders>
              <w:top w:val="single" w:color="auto" w:sz="4" w:space="0"/>
              <w:left w:val="nil"/>
              <w:bottom w:val="single" w:color="auto" w:sz="4" w:space="0"/>
              <w:right w:val="single" w:color="auto" w:sz="4" w:space="0"/>
            </w:tcBorders>
            <w:vAlign w:val="center"/>
          </w:tcPr>
          <w:p w14:paraId="403915AA">
            <w:pPr>
              <w:widowControl/>
              <w:jc w:val="center"/>
              <w:rPr>
                <w:rFonts w:ascii="宋体" w:hAnsi="宋体" w:cs="宋体"/>
                <w:b/>
                <w:color w:val="auto"/>
                <w:kern w:val="0"/>
                <w:sz w:val="24"/>
              </w:rPr>
            </w:pPr>
            <w:r>
              <w:rPr>
                <w:rFonts w:hint="eastAsia" w:ascii="宋体" w:hAnsi="宋体" w:cs="宋体"/>
                <w:b/>
                <w:color w:val="auto"/>
                <w:kern w:val="0"/>
                <w:sz w:val="24"/>
              </w:rPr>
              <w:t>计量单位</w:t>
            </w:r>
          </w:p>
        </w:tc>
        <w:tc>
          <w:tcPr>
            <w:tcW w:w="1830" w:type="dxa"/>
            <w:tcBorders>
              <w:top w:val="single" w:color="auto" w:sz="4" w:space="0"/>
              <w:left w:val="nil"/>
              <w:bottom w:val="single" w:color="auto" w:sz="4" w:space="0"/>
              <w:right w:val="single" w:color="auto" w:sz="4" w:space="0"/>
            </w:tcBorders>
            <w:vAlign w:val="center"/>
          </w:tcPr>
          <w:p w14:paraId="1203566C">
            <w:pPr>
              <w:widowControl/>
              <w:jc w:val="center"/>
              <w:rPr>
                <w:rFonts w:ascii="宋体" w:hAnsi="宋体" w:cs="宋体"/>
                <w:b/>
                <w:color w:val="auto"/>
                <w:kern w:val="0"/>
                <w:sz w:val="24"/>
              </w:rPr>
            </w:pPr>
            <w:r>
              <w:rPr>
                <w:rFonts w:hint="eastAsia" w:ascii="宋体" w:hAnsi="宋体" w:cs="宋体"/>
                <w:b/>
                <w:color w:val="auto"/>
                <w:kern w:val="0"/>
                <w:sz w:val="24"/>
              </w:rPr>
              <w:t>中型</w:t>
            </w:r>
          </w:p>
        </w:tc>
        <w:tc>
          <w:tcPr>
            <w:tcW w:w="1690" w:type="dxa"/>
            <w:tcBorders>
              <w:top w:val="single" w:color="auto" w:sz="4" w:space="0"/>
              <w:left w:val="nil"/>
              <w:bottom w:val="single" w:color="auto" w:sz="4" w:space="0"/>
              <w:right w:val="single" w:color="auto" w:sz="4" w:space="0"/>
            </w:tcBorders>
            <w:vAlign w:val="center"/>
          </w:tcPr>
          <w:p w14:paraId="6C13B510">
            <w:pPr>
              <w:widowControl/>
              <w:jc w:val="center"/>
              <w:rPr>
                <w:rFonts w:ascii="宋体" w:hAnsi="宋体" w:cs="宋体"/>
                <w:b/>
                <w:color w:val="auto"/>
                <w:kern w:val="0"/>
                <w:sz w:val="24"/>
              </w:rPr>
            </w:pPr>
            <w:r>
              <w:rPr>
                <w:rFonts w:hint="eastAsia" w:ascii="宋体" w:hAnsi="宋体" w:cs="宋体"/>
                <w:b/>
                <w:color w:val="auto"/>
                <w:kern w:val="0"/>
                <w:sz w:val="24"/>
              </w:rPr>
              <w:t>小型</w:t>
            </w:r>
          </w:p>
        </w:tc>
        <w:tc>
          <w:tcPr>
            <w:tcW w:w="1127" w:type="dxa"/>
            <w:tcBorders>
              <w:top w:val="single" w:color="auto" w:sz="4" w:space="0"/>
              <w:left w:val="nil"/>
              <w:bottom w:val="single" w:color="auto" w:sz="4" w:space="0"/>
              <w:right w:val="single" w:color="auto" w:sz="4" w:space="0"/>
            </w:tcBorders>
            <w:vAlign w:val="center"/>
          </w:tcPr>
          <w:p w14:paraId="21FF3894">
            <w:pPr>
              <w:widowControl/>
              <w:jc w:val="center"/>
              <w:rPr>
                <w:rFonts w:ascii="宋体" w:hAnsi="宋体" w:cs="宋体"/>
                <w:b/>
                <w:color w:val="auto"/>
                <w:kern w:val="0"/>
                <w:sz w:val="24"/>
              </w:rPr>
            </w:pPr>
            <w:r>
              <w:rPr>
                <w:rFonts w:hint="eastAsia" w:ascii="宋体" w:hAnsi="宋体" w:cs="宋体"/>
                <w:b/>
                <w:color w:val="auto"/>
                <w:kern w:val="0"/>
                <w:sz w:val="24"/>
              </w:rPr>
              <w:t>微型</w:t>
            </w:r>
          </w:p>
        </w:tc>
      </w:tr>
      <w:tr w14:paraId="502BFF66">
        <w:tblPrEx>
          <w:tblCellMar>
            <w:top w:w="0" w:type="dxa"/>
            <w:left w:w="108" w:type="dxa"/>
            <w:bottom w:w="0" w:type="dxa"/>
            <w:right w:w="108" w:type="dxa"/>
          </w:tblCellMar>
        </w:tblPrEx>
        <w:trPr>
          <w:trHeight w:val="337" w:hRule="atLeast"/>
        </w:trPr>
        <w:tc>
          <w:tcPr>
            <w:tcW w:w="1973" w:type="dxa"/>
            <w:tcBorders>
              <w:top w:val="nil"/>
              <w:left w:val="single" w:color="auto" w:sz="4" w:space="0"/>
              <w:bottom w:val="single" w:color="auto" w:sz="4" w:space="0"/>
              <w:right w:val="single" w:color="auto" w:sz="4" w:space="0"/>
            </w:tcBorders>
            <w:vAlign w:val="center"/>
          </w:tcPr>
          <w:p w14:paraId="7C6559DD">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农、林、牧、渔</w:t>
            </w:r>
          </w:p>
        </w:tc>
        <w:tc>
          <w:tcPr>
            <w:tcW w:w="1972" w:type="dxa"/>
            <w:tcBorders>
              <w:top w:val="nil"/>
              <w:left w:val="nil"/>
              <w:bottom w:val="single" w:color="auto" w:sz="4" w:space="0"/>
              <w:right w:val="single" w:color="auto" w:sz="4" w:space="0"/>
            </w:tcBorders>
            <w:vAlign w:val="center"/>
          </w:tcPr>
          <w:p w14:paraId="2CD29DC6">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845" w:type="dxa"/>
            <w:tcBorders>
              <w:top w:val="nil"/>
              <w:left w:val="nil"/>
              <w:bottom w:val="single" w:color="auto" w:sz="4" w:space="0"/>
              <w:right w:val="single" w:color="auto" w:sz="4" w:space="0"/>
            </w:tcBorders>
            <w:vAlign w:val="center"/>
          </w:tcPr>
          <w:p w14:paraId="53799564">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830" w:type="dxa"/>
            <w:tcBorders>
              <w:top w:val="nil"/>
              <w:left w:val="nil"/>
              <w:bottom w:val="single" w:color="auto" w:sz="4" w:space="0"/>
              <w:right w:val="single" w:color="auto" w:sz="4" w:space="0"/>
            </w:tcBorders>
            <w:vAlign w:val="center"/>
          </w:tcPr>
          <w:p w14:paraId="2B4F4004">
            <w:pPr>
              <w:widowControl/>
              <w:jc w:val="center"/>
              <w:rPr>
                <w:rFonts w:ascii="宋体" w:hAnsi="宋体" w:cs="宋体"/>
                <w:color w:val="auto"/>
                <w:kern w:val="0"/>
                <w:sz w:val="18"/>
                <w:szCs w:val="18"/>
              </w:rPr>
            </w:pPr>
            <w:r>
              <w:rPr>
                <w:rFonts w:hint="eastAsia" w:ascii="宋体" w:hAnsi="宋体" w:cs="宋体"/>
                <w:color w:val="auto"/>
                <w:kern w:val="0"/>
                <w:sz w:val="18"/>
                <w:szCs w:val="18"/>
              </w:rPr>
              <w:t>500≤Y＜20000</w:t>
            </w:r>
          </w:p>
        </w:tc>
        <w:tc>
          <w:tcPr>
            <w:tcW w:w="1690" w:type="dxa"/>
            <w:tcBorders>
              <w:top w:val="nil"/>
              <w:left w:val="nil"/>
              <w:bottom w:val="single" w:color="auto" w:sz="4" w:space="0"/>
              <w:right w:val="single" w:color="auto" w:sz="4" w:space="0"/>
            </w:tcBorders>
            <w:vAlign w:val="center"/>
          </w:tcPr>
          <w:p w14:paraId="45166C38">
            <w:pPr>
              <w:widowControl/>
              <w:jc w:val="center"/>
              <w:rPr>
                <w:rFonts w:ascii="宋体" w:hAnsi="宋体" w:cs="宋体"/>
                <w:color w:val="auto"/>
                <w:kern w:val="0"/>
                <w:sz w:val="18"/>
                <w:szCs w:val="18"/>
              </w:rPr>
            </w:pPr>
            <w:r>
              <w:rPr>
                <w:rFonts w:hint="eastAsia" w:ascii="宋体" w:hAnsi="宋体" w:cs="宋体"/>
                <w:color w:val="auto"/>
                <w:kern w:val="0"/>
                <w:sz w:val="18"/>
                <w:szCs w:val="18"/>
              </w:rPr>
              <w:t>50≤Y＜500</w:t>
            </w:r>
          </w:p>
        </w:tc>
        <w:tc>
          <w:tcPr>
            <w:tcW w:w="1127" w:type="dxa"/>
            <w:tcBorders>
              <w:top w:val="nil"/>
              <w:left w:val="nil"/>
              <w:bottom w:val="single" w:color="auto" w:sz="4" w:space="0"/>
              <w:right w:val="single" w:color="auto" w:sz="4" w:space="0"/>
            </w:tcBorders>
            <w:vAlign w:val="center"/>
          </w:tcPr>
          <w:p w14:paraId="69D617E3">
            <w:pPr>
              <w:widowControl/>
              <w:jc w:val="center"/>
              <w:rPr>
                <w:rFonts w:ascii="宋体" w:hAnsi="宋体" w:cs="宋体"/>
                <w:color w:val="auto"/>
                <w:kern w:val="0"/>
                <w:sz w:val="18"/>
                <w:szCs w:val="18"/>
              </w:rPr>
            </w:pPr>
            <w:r>
              <w:rPr>
                <w:rFonts w:hint="eastAsia" w:ascii="宋体" w:hAnsi="宋体" w:cs="宋体"/>
                <w:color w:val="auto"/>
                <w:kern w:val="0"/>
                <w:sz w:val="18"/>
                <w:szCs w:val="18"/>
              </w:rPr>
              <w:t>Y＜50</w:t>
            </w:r>
          </w:p>
        </w:tc>
      </w:tr>
      <w:tr w14:paraId="48DA044D">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752130A0">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工业</w:t>
            </w:r>
          </w:p>
        </w:tc>
        <w:tc>
          <w:tcPr>
            <w:tcW w:w="1972" w:type="dxa"/>
            <w:tcBorders>
              <w:top w:val="nil"/>
              <w:left w:val="nil"/>
              <w:bottom w:val="single" w:color="auto" w:sz="4" w:space="0"/>
              <w:right w:val="single" w:color="auto" w:sz="4" w:space="0"/>
            </w:tcBorders>
            <w:vAlign w:val="center"/>
          </w:tcPr>
          <w:p w14:paraId="775E866F">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845" w:type="dxa"/>
            <w:tcBorders>
              <w:top w:val="nil"/>
              <w:left w:val="nil"/>
              <w:bottom w:val="single" w:color="auto" w:sz="4" w:space="0"/>
              <w:right w:val="single" w:color="auto" w:sz="4" w:space="0"/>
            </w:tcBorders>
            <w:vAlign w:val="center"/>
          </w:tcPr>
          <w:p w14:paraId="7EB6A7B9">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830" w:type="dxa"/>
            <w:tcBorders>
              <w:top w:val="nil"/>
              <w:left w:val="nil"/>
              <w:bottom w:val="single" w:color="auto" w:sz="4" w:space="0"/>
              <w:right w:val="single" w:color="auto" w:sz="4" w:space="0"/>
            </w:tcBorders>
            <w:vAlign w:val="center"/>
          </w:tcPr>
          <w:p w14:paraId="492B9FCF">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690" w:type="dxa"/>
            <w:tcBorders>
              <w:top w:val="nil"/>
              <w:left w:val="nil"/>
              <w:bottom w:val="single" w:color="auto" w:sz="4" w:space="0"/>
              <w:right w:val="single" w:color="auto" w:sz="4" w:space="0"/>
            </w:tcBorders>
            <w:vAlign w:val="center"/>
          </w:tcPr>
          <w:p w14:paraId="3FD8EEC0">
            <w:pPr>
              <w:widowControl/>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1127" w:type="dxa"/>
            <w:tcBorders>
              <w:top w:val="nil"/>
              <w:left w:val="nil"/>
              <w:bottom w:val="single" w:color="auto" w:sz="4" w:space="0"/>
              <w:right w:val="single" w:color="auto" w:sz="4" w:space="0"/>
            </w:tcBorders>
            <w:vAlign w:val="center"/>
          </w:tcPr>
          <w:p w14:paraId="6A072FF2">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4F361569">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340C3FFE">
            <w:pPr>
              <w:widowControl/>
              <w:jc w:val="center"/>
              <w:rPr>
                <w:rFonts w:ascii="宋体" w:hAnsi="宋体" w:cs="宋体"/>
                <w:b/>
                <w:bCs/>
                <w:color w:val="auto"/>
                <w:kern w:val="0"/>
                <w:sz w:val="18"/>
                <w:szCs w:val="18"/>
              </w:rPr>
            </w:pPr>
          </w:p>
        </w:tc>
        <w:tc>
          <w:tcPr>
            <w:tcW w:w="1972" w:type="dxa"/>
            <w:tcBorders>
              <w:top w:val="nil"/>
              <w:left w:val="nil"/>
              <w:bottom w:val="single" w:color="auto" w:sz="4" w:space="0"/>
              <w:right w:val="single" w:color="auto" w:sz="4" w:space="0"/>
            </w:tcBorders>
            <w:vAlign w:val="center"/>
          </w:tcPr>
          <w:p w14:paraId="0315891A">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845" w:type="dxa"/>
            <w:tcBorders>
              <w:top w:val="nil"/>
              <w:left w:val="nil"/>
              <w:bottom w:val="single" w:color="auto" w:sz="4" w:space="0"/>
              <w:right w:val="single" w:color="auto" w:sz="4" w:space="0"/>
            </w:tcBorders>
            <w:vAlign w:val="center"/>
          </w:tcPr>
          <w:p w14:paraId="59C4CFA8">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830" w:type="dxa"/>
            <w:tcBorders>
              <w:top w:val="nil"/>
              <w:left w:val="nil"/>
              <w:bottom w:val="single" w:color="auto" w:sz="4" w:space="0"/>
              <w:right w:val="single" w:color="auto" w:sz="4" w:space="0"/>
            </w:tcBorders>
            <w:vAlign w:val="center"/>
          </w:tcPr>
          <w:p w14:paraId="12FF6405">
            <w:pPr>
              <w:widowControl/>
              <w:jc w:val="center"/>
              <w:rPr>
                <w:rFonts w:ascii="宋体" w:hAnsi="宋体" w:cs="宋体"/>
                <w:color w:val="auto"/>
                <w:kern w:val="0"/>
                <w:sz w:val="18"/>
                <w:szCs w:val="18"/>
              </w:rPr>
            </w:pPr>
            <w:r>
              <w:rPr>
                <w:rFonts w:hint="eastAsia" w:ascii="宋体" w:hAnsi="宋体" w:cs="宋体"/>
                <w:color w:val="auto"/>
                <w:kern w:val="0"/>
                <w:sz w:val="18"/>
                <w:szCs w:val="18"/>
              </w:rPr>
              <w:t>2000≤Y＜40000</w:t>
            </w:r>
          </w:p>
        </w:tc>
        <w:tc>
          <w:tcPr>
            <w:tcW w:w="1690" w:type="dxa"/>
            <w:tcBorders>
              <w:top w:val="nil"/>
              <w:left w:val="nil"/>
              <w:bottom w:val="single" w:color="auto" w:sz="4" w:space="0"/>
              <w:right w:val="single" w:color="auto" w:sz="4" w:space="0"/>
            </w:tcBorders>
            <w:vAlign w:val="center"/>
          </w:tcPr>
          <w:p w14:paraId="32D32155">
            <w:pPr>
              <w:widowControl/>
              <w:jc w:val="center"/>
              <w:rPr>
                <w:rFonts w:ascii="宋体" w:hAnsi="宋体" w:cs="宋体"/>
                <w:color w:val="auto"/>
                <w:kern w:val="0"/>
                <w:sz w:val="18"/>
                <w:szCs w:val="18"/>
              </w:rPr>
            </w:pPr>
            <w:r>
              <w:rPr>
                <w:rFonts w:hint="eastAsia" w:ascii="宋体" w:hAnsi="宋体" w:cs="宋体"/>
                <w:color w:val="auto"/>
                <w:kern w:val="0"/>
                <w:sz w:val="18"/>
                <w:szCs w:val="18"/>
              </w:rPr>
              <w:t>300≤Y＜2000</w:t>
            </w:r>
          </w:p>
        </w:tc>
        <w:tc>
          <w:tcPr>
            <w:tcW w:w="1127" w:type="dxa"/>
            <w:tcBorders>
              <w:top w:val="nil"/>
              <w:left w:val="nil"/>
              <w:bottom w:val="single" w:color="auto" w:sz="4" w:space="0"/>
              <w:right w:val="single" w:color="auto" w:sz="4" w:space="0"/>
            </w:tcBorders>
            <w:vAlign w:val="center"/>
          </w:tcPr>
          <w:p w14:paraId="69E5D086">
            <w:pPr>
              <w:widowControl/>
              <w:jc w:val="center"/>
              <w:rPr>
                <w:rFonts w:ascii="宋体" w:hAnsi="宋体" w:cs="宋体"/>
                <w:color w:val="auto"/>
                <w:kern w:val="0"/>
                <w:sz w:val="18"/>
                <w:szCs w:val="18"/>
              </w:rPr>
            </w:pPr>
            <w:r>
              <w:rPr>
                <w:rFonts w:hint="eastAsia" w:ascii="宋体" w:hAnsi="宋体" w:cs="宋体"/>
                <w:color w:val="auto"/>
                <w:kern w:val="0"/>
                <w:sz w:val="18"/>
                <w:szCs w:val="18"/>
              </w:rPr>
              <w:t>Y＜300</w:t>
            </w:r>
          </w:p>
        </w:tc>
      </w:tr>
      <w:tr w14:paraId="0395E0F2">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258AC153">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建筑业</w:t>
            </w:r>
          </w:p>
        </w:tc>
        <w:tc>
          <w:tcPr>
            <w:tcW w:w="1972" w:type="dxa"/>
            <w:tcBorders>
              <w:top w:val="nil"/>
              <w:left w:val="nil"/>
              <w:bottom w:val="single" w:color="auto" w:sz="4" w:space="0"/>
              <w:right w:val="single" w:color="auto" w:sz="4" w:space="0"/>
            </w:tcBorders>
            <w:vAlign w:val="center"/>
          </w:tcPr>
          <w:p w14:paraId="7B983738">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845" w:type="dxa"/>
            <w:tcBorders>
              <w:top w:val="nil"/>
              <w:left w:val="nil"/>
              <w:bottom w:val="single" w:color="auto" w:sz="4" w:space="0"/>
              <w:right w:val="single" w:color="auto" w:sz="4" w:space="0"/>
            </w:tcBorders>
            <w:vAlign w:val="center"/>
          </w:tcPr>
          <w:p w14:paraId="4346B75D">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830" w:type="dxa"/>
            <w:tcBorders>
              <w:top w:val="nil"/>
              <w:left w:val="nil"/>
              <w:bottom w:val="single" w:color="auto" w:sz="4" w:space="0"/>
              <w:right w:val="single" w:color="auto" w:sz="4" w:space="0"/>
            </w:tcBorders>
            <w:vAlign w:val="center"/>
          </w:tcPr>
          <w:p w14:paraId="3BFB25A3">
            <w:pPr>
              <w:widowControl/>
              <w:jc w:val="center"/>
              <w:rPr>
                <w:rFonts w:ascii="宋体" w:hAnsi="宋体" w:cs="宋体"/>
                <w:color w:val="auto"/>
                <w:kern w:val="0"/>
                <w:sz w:val="18"/>
                <w:szCs w:val="18"/>
              </w:rPr>
            </w:pPr>
            <w:r>
              <w:rPr>
                <w:rFonts w:hint="eastAsia" w:ascii="宋体" w:hAnsi="宋体" w:cs="宋体"/>
                <w:color w:val="auto"/>
                <w:kern w:val="0"/>
                <w:sz w:val="18"/>
                <w:szCs w:val="18"/>
              </w:rPr>
              <w:t>6000≤Y＜80000</w:t>
            </w:r>
          </w:p>
        </w:tc>
        <w:tc>
          <w:tcPr>
            <w:tcW w:w="1690" w:type="dxa"/>
            <w:tcBorders>
              <w:top w:val="nil"/>
              <w:left w:val="nil"/>
              <w:bottom w:val="single" w:color="auto" w:sz="4" w:space="0"/>
              <w:right w:val="single" w:color="auto" w:sz="4" w:space="0"/>
            </w:tcBorders>
            <w:vAlign w:val="center"/>
          </w:tcPr>
          <w:p w14:paraId="0A22A154">
            <w:pPr>
              <w:widowControl/>
              <w:jc w:val="center"/>
              <w:rPr>
                <w:rFonts w:ascii="宋体" w:hAnsi="宋体" w:cs="宋体"/>
                <w:color w:val="auto"/>
                <w:kern w:val="0"/>
                <w:sz w:val="18"/>
                <w:szCs w:val="18"/>
              </w:rPr>
            </w:pPr>
            <w:r>
              <w:rPr>
                <w:rFonts w:hint="eastAsia" w:ascii="宋体" w:hAnsi="宋体" w:cs="宋体"/>
                <w:color w:val="auto"/>
                <w:kern w:val="0"/>
                <w:sz w:val="18"/>
                <w:szCs w:val="18"/>
              </w:rPr>
              <w:t>300≤Y＜6000</w:t>
            </w:r>
          </w:p>
        </w:tc>
        <w:tc>
          <w:tcPr>
            <w:tcW w:w="1127" w:type="dxa"/>
            <w:tcBorders>
              <w:top w:val="nil"/>
              <w:left w:val="nil"/>
              <w:bottom w:val="single" w:color="auto" w:sz="4" w:space="0"/>
              <w:right w:val="single" w:color="auto" w:sz="4" w:space="0"/>
            </w:tcBorders>
            <w:vAlign w:val="center"/>
          </w:tcPr>
          <w:p w14:paraId="6E2C3F91">
            <w:pPr>
              <w:widowControl/>
              <w:jc w:val="center"/>
              <w:rPr>
                <w:rFonts w:ascii="宋体" w:hAnsi="宋体" w:cs="宋体"/>
                <w:color w:val="auto"/>
                <w:kern w:val="0"/>
                <w:sz w:val="18"/>
                <w:szCs w:val="18"/>
              </w:rPr>
            </w:pPr>
            <w:r>
              <w:rPr>
                <w:rFonts w:hint="eastAsia" w:ascii="宋体" w:hAnsi="宋体" w:cs="宋体"/>
                <w:color w:val="auto"/>
                <w:kern w:val="0"/>
                <w:sz w:val="18"/>
                <w:szCs w:val="18"/>
              </w:rPr>
              <w:t>Y＜300</w:t>
            </w:r>
          </w:p>
        </w:tc>
      </w:tr>
      <w:tr w14:paraId="67860293">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580FB227">
            <w:pPr>
              <w:widowControl/>
              <w:jc w:val="center"/>
              <w:rPr>
                <w:rFonts w:ascii="宋体" w:hAnsi="宋体" w:cs="宋体"/>
                <w:b/>
                <w:bCs/>
                <w:color w:val="auto"/>
                <w:kern w:val="0"/>
                <w:sz w:val="18"/>
                <w:szCs w:val="18"/>
              </w:rPr>
            </w:pPr>
          </w:p>
        </w:tc>
        <w:tc>
          <w:tcPr>
            <w:tcW w:w="1972" w:type="dxa"/>
            <w:tcBorders>
              <w:top w:val="nil"/>
              <w:left w:val="nil"/>
              <w:bottom w:val="single" w:color="auto" w:sz="4" w:space="0"/>
              <w:right w:val="single" w:color="auto" w:sz="4" w:space="0"/>
            </w:tcBorders>
            <w:vAlign w:val="center"/>
          </w:tcPr>
          <w:p w14:paraId="4D871236">
            <w:pPr>
              <w:widowControl/>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845" w:type="dxa"/>
            <w:tcBorders>
              <w:top w:val="nil"/>
              <w:left w:val="nil"/>
              <w:bottom w:val="single" w:color="auto" w:sz="4" w:space="0"/>
              <w:right w:val="single" w:color="auto" w:sz="4" w:space="0"/>
            </w:tcBorders>
            <w:vAlign w:val="center"/>
          </w:tcPr>
          <w:p w14:paraId="4B60AAA2">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830" w:type="dxa"/>
            <w:tcBorders>
              <w:top w:val="nil"/>
              <w:left w:val="nil"/>
              <w:bottom w:val="single" w:color="auto" w:sz="4" w:space="0"/>
              <w:right w:val="single" w:color="auto" w:sz="4" w:space="0"/>
            </w:tcBorders>
            <w:vAlign w:val="center"/>
          </w:tcPr>
          <w:p w14:paraId="1A4ED17E">
            <w:pPr>
              <w:widowControl/>
              <w:jc w:val="center"/>
              <w:rPr>
                <w:rFonts w:ascii="宋体" w:hAnsi="宋体" w:cs="宋体"/>
                <w:color w:val="auto"/>
                <w:kern w:val="0"/>
                <w:sz w:val="18"/>
                <w:szCs w:val="18"/>
              </w:rPr>
            </w:pPr>
            <w:r>
              <w:rPr>
                <w:rFonts w:hint="eastAsia" w:ascii="宋体" w:hAnsi="宋体" w:cs="宋体"/>
                <w:color w:val="auto"/>
                <w:kern w:val="0"/>
                <w:sz w:val="18"/>
                <w:szCs w:val="18"/>
              </w:rPr>
              <w:t>5000≤Z＜80000</w:t>
            </w:r>
          </w:p>
        </w:tc>
        <w:tc>
          <w:tcPr>
            <w:tcW w:w="1690" w:type="dxa"/>
            <w:tcBorders>
              <w:top w:val="nil"/>
              <w:left w:val="nil"/>
              <w:bottom w:val="single" w:color="auto" w:sz="4" w:space="0"/>
              <w:right w:val="single" w:color="auto" w:sz="4" w:space="0"/>
            </w:tcBorders>
            <w:vAlign w:val="center"/>
          </w:tcPr>
          <w:p w14:paraId="5FDE19A2">
            <w:pPr>
              <w:widowControl/>
              <w:jc w:val="center"/>
              <w:rPr>
                <w:rFonts w:ascii="宋体" w:hAnsi="宋体" w:cs="宋体"/>
                <w:color w:val="auto"/>
                <w:kern w:val="0"/>
                <w:sz w:val="18"/>
                <w:szCs w:val="18"/>
              </w:rPr>
            </w:pPr>
            <w:r>
              <w:rPr>
                <w:rFonts w:hint="eastAsia" w:ascii="宋体" w:hAnsi="宋体" w:cs="宋体"/>
                <w:color w:val="auto"/>
                <w:kern w:val="0"/>
                <w:sz w:val="18"/>
                <w:szCs w:val="18"/>
              </w:rPr>
              <w:t>300≤Z＜5000</w:t>
            </w:r>
          </w:p>
        </w:tc>
        <w:tc>
          <w:tcPr>
            <w:tcW w:w="1127" w:type="dxa"/>
            <w:tcBorders>
              <w:top w:val="nil"/>
              <w:left w:val="nil"/>
              <w:bottom w:val="single" w:color="auto" w:sz="4" w:space="0"/>
              <w:right w:val="single" w:color="auto" w:sz="4" w:space="0"/>
            </w:tcBorders>
            <w:vAlign w:val="center"/>
          </w:tcPr>
          <w:p w14:paraId="5EAA253D">
            <w:pPr>
              <w:widowControl/>
              <w:jc w:val="center"/>
              <w:rPr>
                <w:rFonts w:ascii="宋体" w:hAnsi="宋体" w:cs="宋体"/>
                <w:color w:val="auto"/>
                <w:kern w:val="0"/>
                <w:sz w:val="18"/>
                <w:szCs w:val="18"/>
              </w:rPr>
            </w:pPr>
            <w:r>
              <w:rPr>
                <w:rFonts w:hint="eastAsia" w:ascii="宋体" w:hAnsi="宋体" w:cs="宋体"/>
                <w:color w:val="auto"/>
                <w:kern w:val="0"/>
                <w:sz w:val="18"/>
                <w:szCs w:val="18"/>
              </w:rPr>
              <w:t>Z＜300</w:t>
            </w:r>
          </w:p>
        </w:tc>
      </w:tr>
      <w:tr w14:paraId="4DCC08E2">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521EC2A4">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批发业</w:t>
            </w:r>
          </w:p>
        </w:tc>
        <w:tc>
          <w:tcPr>
            <w:tcW w:w="1972" w:type="dxa"/>
            <w:tcBorders>
              <w:top w:val="nil"/>
              <w:left w:val="nil"/>
              <w:bottom w:val="single" w:color="auto" w:sz="4" w:space="0"/>
              <w:right w:val="single" w:color="auto" w:sz="4" w:space="0"/>
            </w:tcBorders>
            <w:vAlign w:val="center"/>
          </w:tcPr>
          <w:p w14:paraId="0142E6A8">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845" w:type="dxa"/>
            <w:tcBorders>
              <w:top w:val="nil"/>
              <w:left w:val="nil"/>
              <w:bottom w:val="single" w:color="auto" w:sz="4" w:space="0"/>
              <w:right w:val="single" w:color="auto" w:sz="4" w:space="0"/>
            </w:tcBorders>
            <w:vAlign w:val="center"/>
          </w:tcPr>
          <w:p w14:paraId="5D2834D6">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830" w:type="dxa"/>
            <w:tcBorders>
              <w:top w:val="nil"/>
              <w:left w:val="nil"/>
              <w:bottom w:val="single" w:color="auto" w:sz="4" w:space="0"/>
              <w:right w:val="single" w:color="auto" w:sz="4" w:space="0"/>
            </w:tcBorders>
            <w:vAlign w:val="center"/>
          </w:tcPr>
          <w:p w14:paraId="45F091CC">
            <w:pPr>
              <w:widowControl/>
              <w:jc w:val="center"/>
              <w:rPr>
                <w:rFonts w:ascii="宋体" w:hAnsi="宋体" w:cs="宋体"/>
                <w:color w:val="auto"/>
                <w:kern w:val="0"/>
                <w:sz w:val="18"/>
                <w:szCs w:val="18"/>
              </w:rPr>
            </w:pPr>
            <w:r>
              <w:rPr>
                <w:rFonts w:hint="eastAsia" w:ascii="宋体" w:hAnsi="宋体" w:cs="宋体"/>
                <w:color w:val="auto"/>
                <w:kern w:val="0"/>
                <w:sz w:val="18"/>
                <w:szCs w:val="18"/>
              </w:rPr>
              <w:t>20≤X＜200</w:t>
            </w:r>
          </w:p>
        </w:tc>
        <w:tc>
          <w:tcPr>
            <w:tcW w:w="1690" w:type="dxa"/>
            <w:tcBorders>
              <w:top w:val="nil"/>
              <w:left w:val="nil"/>
              <w:bottom w:val="single" w:color="auto" w:sz="4" w:space="0"/>
              <w:right w:val="single" w:color="auto" w:sz="4" w:space="0"/>
            </w:tcBorders>
            <w:vAlign w:val="center"/>
          </w:tcPr>
          <w:p w14:paraId="663B697E">
            <w:pPr>
              <w:widowControl/>
              <w:jc w:val="center"/>
              <w:rPr>
                <w:rFonts w:ascii="宋体" w:hAnsi="宋体" w:cs="宋体"/>
                <w:color w:val="auto"/>
                <w:kern w:val="0"/>
                <w:sz w:val="18"/>
                <w:szCs w:val="18"/>
              </w:rPr>
            </w:pPr>
            <w:r>
              <w:rPr>
                <w:rFonts w:hint="eastAsia" w:ascii="宋体" w:hAnsi="宋体" w:cs="宋体"/>
                <w:color w:val="auto"/>
                <w:kern w:val="0"/>
                <w:sz w:val="18"/>
                <w:szCs w:val="18"/>
              </w:rPr>
              <w:t>5≤X＜20</w:t>
            </w:r>
          </w:p>
        </w:tc>
        <w:tc>
          <w:tcPr>
            <w:tcW w:w="1127" w:type="dxa"/>
            <w:tcBorders>
              <w:top w:val="nil"/>
              <w:left w:val="nil"/>
              <w:bottom w:val="single" w:color="auto" w:sz="4" w:space="0"/>
              <w:right w:val="single" w:color="auto" w:sz="4" w:space="0"/>
            </w:tcBorders>
            <w:vAlign w:val="center"/>
          </w:tcPr>
          <w:p w14:paraId="669CB6BF">
            <w:pPr>
              <w:widowControl/>
              <w:jc w:val="center"/>
              <w:rPr>
                <w:rFonts w:ascii="宋体" w:hAnsi="宋体" w:cs="宋体"/>
                <w:color w:val="auto"/>
                <w:kern w:val="0"/>
                <w:sz w:val="18"/>
                <w:szCs w:val="18"/>
              </w:rPr>
            </w:pPr>
            <w:r>
              <w:rPr>
                <w:rFonts w:hint="eastAsia" w:ascii="宋体" w:hAnsi="宋体" w:cs="宋体"/>
                <w:color w:val="auto"/>
                <w:kern w:val="0"/>
                <w:sz w:val="18"/>
                <w:szCs w:val="18"/>
              </w:rPr>
              <w:t>X＜5</w:t>
            </w:r>
          </w:p>
        </w:tc>
      </w:tr>
      <w:tr w14:paraId="58A752A8">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57FD0C0E">
            <w:pPr>
              <w:widowControl/>
              <w:jc w:val="center"/>
              <w:rPr>
                <w:rFonts w:ascii="宋体" w:hAnsi="宋体" w:cs="宋体"/>
                <w:b/>
                <w:bCs/>
                <w:color w:val="auto"/>
                <w:kern w:val="0"/>
                <w:sz w:val="18"/>
                <w:szCs w:val="18"/>
              </w:rPr>
            </w:pPr>
          </w:p>
        </w:tc>
        <w:tc>
          <w:tcPr>
            <w:tcW w:w="1972" w:type="dxa"/>
            <w:tcBorders>
              <w:top w:val="nil"/>
              <w:left w:val="nil"/>
              <w:bottom w:val="single" w:color="auto" w:sz="4" w:space="0"/>
              <w:right w:val="single" w:color="auto" w:sz="4" w:space="0"/>
            </w:tcBorders>
            <w:vAlign w:val="center"/>
          </w:tcPr>
          <w:p w14:paraId="3A1E18BC">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845" w:type="dxa"/>
            <w:tcBorders>
              <w:top w:val="nil"/>
              <w:left w:val="nil"/>
              <w:bottom w:val="single" w:color="auto" w:sz="4" w:space="0"/>
              <w:right w:val="single" w:color="auto" w:sz="4" w:space="0"/>
            </w:tcBorders>
            <w:vAlign w:val="center"/>
          </w:tcPr>
          <w:p w14:paraId="4ED2C6B0">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830" w:type="dxa"/>
            <w:tcBorders>
              <w:top w:val="nil"/>
              <w:left w:val="nil"/>
              <w:bottom w:val="single" w:color="auto" w:sz="4" w:space="0"/>
              <w:right w:val="single" w:color="auto" w:sz="4" w:space="0"/>
            </w:tcBorders>
            <w:vAlign w:val="center"/>
          </w:tcPr>
          <w:p w14:paraId="00307D24">
            <w:pPr>
              <w:widowControl/>
              <w:jc w:val="center"/>
              <w:rPr>
                <w:rFonts w:ascii="宋体" w:hAnsi="宋体" w:cs="宋体"/>
                <w:color w:val="auto"/>
                <w:kern w:val="0"/>
                <w:sz w:val="18"/>
                <w:szCs w:val="18"/>
              </w:rPr>
            </w:pPr>
            <w:r>
              <w:rPr>
                <w:rFonts w:hint="eastAsia" w:ascii="宋体" w:hAnsi="宋体" w:cs="宋体"/>
                <w:color w:val="auto"/>
                <w:kern w:val="0"/>
                <w:sz w:val="18"/>
                <w:szCs w:val="18"/>
              </w:rPr>
              <w:t>5000≤Y＜40000</w:t>
            </w:r>
          </w:p>
        </w:tc>
        <w:tc>
          <w:tcPr>
            <w:tcW w:w="1690" w:type="dxa"/>
            <w:tcBorders>
              <w:top w:val="nil"/>
              <w:left w:val="nil"/>
              <w:bottom w:val="single" w:color="auto" w:sz="4" w:space="0"/>
              <w:right w:val="single" w:color="auto" w:sz="4" w:space="0"/>
            </w:tcBorders>
            <w:vAlign w:val="center"/>
          </w:tcPr>
          <w:p w14:paraId="51B6B16F">
            <w:pPr>
              <w:widowControl/>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1127" w:type="dxa"/>
            <w:tcBorders>
              <w:top w:val="nil"/>
              <w:left w:val="nil"/>
              <w:bottom w:val="single" w:color="auto" w:sz="4" w:space="0"/>
              <w:right w:val="single" w:color="auto" w:sz="4" w:space="0"/>
            </w:tcBorders>
            <w:vAlign w:val="center"/>
          </w:tcPr>
          <w:p w14:paraId="6DE39FAF">
            <w:pPr>
              <w:widowControl/>
              <w:jc w:val="center"/>
              <w:rPr>
                <w:rFonts w:ascii="宋体" w:hAnsi="宋体" w:cs="宋体"/>
                <w:color w:val="auto"/>
                <w:kern w:val="0"/>
                <w:sz w:val="18"/>
                <w:szCs w:val="18"/>
              </w:rPr>
            </w:pPr>
            <w:r>
              <w:rPr>
                <w:rFonts w:hint="eastAsia" w:ascii="宋体" w:hAnsi="宋体" w:cs="宋体"/>
                <w:color w:val="auto"/>
                <w:kern w:val="0"/>
                <w:sz w:val="18"/>
                <w:szCs w:val="18"/>
              </w:rPr>
              <w:t>Y＜1000</w:t>
            </w:r>
          </w:p>
        </w:tc>
      </w:tr>
      <w:tr w14:paraId="3FFCE148">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4DBCA4E3">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零售业</w:t>
            </w:r>
          </w:p>
        </w:tc>
        <w:tc>
          <w:tcPr>
            <w:tcW w:w="1972" w:type="dxa"/>
            <w:tcBorders>
              <w:top w:val="nil"/>
              <w:left w:val="nil"/>
              <w:bottom w:val="single" w:color="auto" w:sz="4" w:space="0"/>
              <w:right w:val="single" w:color="auto" w:sz="4" w:space="0"/>
            </w:tcBorders>
            <w:vAlign w:val="center"/>
          </w:tcPr>
          <w:p w14:paraId="71C77F1B">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845" w:type="dxa"/>
            <w:tcBorders>
              <w:top w:val="nil"/>
              <w:left w:val="nil"/>
              <w:bottom w:val="single" w:color="auto" w:sz="4" w:space="0"/>
              <w:right w:val="single" w:color="auto" w:sz="4" w:space="0"/>
            </w:tcBorders>
            <w:vAlign w:val="center"/>
          </w:tcPr>
          <w:p w14:paraId="47080B4C">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830" w:type="dxa"/>
            <w:tcBorders>
              <w:top w:val="nil"/>
              <w:left w:val="nil"/>
              <w:bottom w:val="single" w:color="auto" w:sz="4" w:space="0"/>
              <w:right w:val="single" w:color="auto" w:sz="4" w:space="0"/>
            </w:tcBorders>
            <w:vAlign w:val="center"/>
          </w:tcPr>
          <w:p w14:paraId="24D7D042">
            <w:pPr>
              <w:widowControl/>
              <w:jc w:val="center"/>
              <w:rPr>
                <w:rFonts w:ascii="宋体" w:hAnsi="宋体" w:cs="宋体"/>
                <w:color w:val="auto"/>
                <w:kern w:val="0"/>
                <w:sz w:val="18"/>
                <w:szCs w:val="18"/>
              </w:rPr>
            </w:pPr>
            <w:r>
              <w:rPr>
                <w:rFonts w:hint="eastAsia" w:ascii="宋体" w:hAnsi="宋体" w:cs="宋体"/>
                <w:color w:val="auto"/>
                <w:kern w:val="0"/>
                <w:sz w:val="18"/>
                <w:szCs w:val="18"/>
              </w:rPr>
              <w:t>50≤X＜300</w:t>
            </w:r>
          </w:p>
        </w:tc>
        <w:tc>
          <w:tcPr>
            <w:tcW w:w="1690" w:type="dxa"/>
            <w:tcBorders>
              <w:top w:val="nil"/>
              <w:left w:val="nil"/>
              <w:bottom w:val="single" w:color="auto" w:sz="4" w:space="0"/>
              <w:right w:val="single" w:color="auto" w:sz="4" w:space="0"/>
            </w:tcBorders>
            <w:vAlign w:val="center"/>
          </w:tcPr>
          <w:p w14:paraId="231137D0">
            <w:pPr>
              <w:widowControl/>
              <w:jc w:val="center"/>
              <w:rPr>
                <w:rFonts w:ascii="宋体" w:hAnsi="宋体" w:cs="宋体"/>
                <w:color w:val="auto"/>
                <w:kern w:val="0"/>
                <w:sz w:val="18"/>
                <w:szCs w:val="18"/>
              </w:rPr>
            </w:pPr>
            <w:r>
              <w:rPr>
                <w:rFonts w:hint="eastAsia" w:ascii="宋体" w:hAnsi="宋体" w:cs="宋体"/>
                <w:color w:val="auto"/>
                <w:kern w:val="0"/>
                <w:sz w:val="18"/>
                <w:szCs w:val="18"/>
              </w:rPr>
              <w:t>10≤X＜50</w:t>
            </w:r>
          </w:p>
        </w:tc>
        <w:tc>
          <w:tcPr>
            <w:tcW w:w="1127" w:type="dxa"/>
            <w:tcBorders>
              <w:top w:val="nil"/>
              <w:left w:val="nil"/>
              <w:bottom w:val="single" w:color="auto" w:sz="4" w:space="0"/>
              <w:right w:val="single" w:color="auto" w:sz="4" w:space="0"/>
            </w:tcBorders>
            <w:vAlign w:val="center"/>
          </w:tcPr>
          <w:p w14:paraId="012ED5AE">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42DB5E6F">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2C855DE7">
            <w:pPr>
              <w:widowControl/>
              <w:jc w:val="center"/>
              <w:rPr>
                <w:rFonts w:ascii="宋体" w:hAnsi="宋体" w:cs="宋体"/>
                <w:b/>
                <w:bCs/>
                <w:color w:val="auto"/>
                <w:kern w:val="0"/>
                <w:sz w:val="18"/>
                <w:szCs w:val="18"/>
              </w:rPr>
            </w:pPr>
          </w:p>
        </w:tc>
        <w:tc>
          <w:tcPr>
            <w:tcW w:w="1972" w:type="dxa"/>
            <w:tcBorders>
              <w:top w:val="nil"/>
              <w:left w:val="nil"/>
              <w:bottom w:val="single" w:color="auto" w:sz="4" w:space="0"/>
              <w:right w:val="single" w:color="auto" w:sz="4" w:space="0"/>
            </w:tcBorders>
            <w:vAlign w:val="center"/>
          </w:tcPr>
          <w:p w14:paraId="589574B2">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845" w:type="dxa"/>
            <w:tcBorders>
              <w:top w:val="nil"/>
              <w:left w:val="nil"/>
              <w:bottom w:val="single" w:color="auto" w:sz="4" w:space="0"/>
              <w:right w:val="single" w:color="auto" w:sz="4" w:space="0"/>
            </w:tcBorders>
            <w:vAlign w:val="center"/>
          </w:tcPr>
          <w:p w14:paraId="2DD4E170">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830" w:type="dxa"/>
            <w:tcBorders>
              <w:top w:val="nil"/>
              <w:left w:val="nil"/>
              <w:bottom w:val="single" w:color="auto" w:sz="4" w:space="0"/>
              <w:right w:val="single" w:color="auto" w:sz="4" w:space="0"/>
            </w:tcBorders>
            <w:vAlign w:val="center"/>
          </w:tcPr>
          <w:p w14:paraId="0021DDDC">
            <w:pPr>
              <w:widowControl/>
              <w:jc w:val="center"/>
              <w:rPr>
                <w:rFonts w:ascii="宋体" w:hAnsi="宋体" w:cs="宋体"/>
                <w:color w:val="auto"/>
                <w:kern w:val="0"/>
                <w:sz w:val="18"/>
                <w:szCs w:val="18"/>
              </w:rPr>
            </w:pPr>
            <w:r>
              <w:rPr>
                <w:rFonts w:hint="eastAsia" w:ascii="宋体" w:hAnsi="宋体" w:cs="宋体"/>
                <w:color w:val="auto"/>
                <w:kern w:val="0"/>
                <w:sz w:val="18"/>
                <w:szCs w:val="18"/>
              </w:rPr>
              <w:t>500≤Y＜20000</w:t>
            </w:r>
          </w:p>
        </w:tc>
        <w:tc>
          <w:tcPr>
            <w:tcW w:w="1690" w:type="dxa"/>
            <w:tcBorders>
              <w:top w:val="nil"/>
              <w:left w:val="nil"/>
              <w:bottom w:val="single" w:color="auto" w:sz="4" w:space="0"/>
              <w:right w:val="single" w:color="auto" w:sz="4" w:space="0"/>
            </w:tcBorders>
            <w:vAlign w:val="center"/>
          </w:tcPr>
          <w:p w14:paraId="5CA6DC87">
            <w:pPr>
              <w:widowControl/>
              <w:jc w:val="center"/>
              <w:rPr>
                <w:rFonts w:ascii="宋体" w:hAnsi="宋体" w:cs="宋体"/>
                <w:color w:val="auto"/>
                <w:kern w:val="0"/>
                <w:sz w:val="18"/>
                <w:szCs w:val="18"/>
              </w:rPr>
            </w:pPr>
            <w:r>
              <w:rPr>
                <w:rFonts w:hint="eastAsia" w:ascii="宋体" w:hAnsi="宋体" w:cs="宋体"/>
                <w:color w:val="auto"/>
                <w:kern w:val="0"/>
                <w:sz w:val="18"/>
                <w:szCs w:val="18"/>
              </w:rPr>
              <w:t>100≤Y＜500</w:t>
            </w:r>
          </w:p>
        </w:tc>
        <w:tc>
          <w:tcPr>
            <w:tcW w:w="1127" w:type="dxa"/>
            <w:tcBorders>
              <w:top w:val="nil"/>
              <w:left w:val="nil"/>
              <w:bottom w:val="single" w:color="auto" w:sz="4" w:space="0"/>
              <w:right w:val="single" w:color="auto" w:sz="4" w:space="0"/>
            </w:tcBorders>
            <w:vAlign w:val="center"/>
          </w:tcPr>
          <w:p w14:paraId="67E6720A">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227B93EC">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050E5D44">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交通运输业</w:t>
            </w:r>
          </w:p>
        </w:tc>
        <w:tc>
          <w:tcPr>
            <w:tcW w:w="1972" w:type="dxa"/>
            <w:tcBorders>
              <w:top w:val="nil"/>
              <w:left w:val="nil"/>
              <w:bottom w:val="single" w:color="auto" w:sz="4" w:space="0"/>
              <w:right w:val="single" w:color="auto" w:sz="4" w:space="0"/>
            </w:tcBorders>
            <w:vAlign w:val="center"/>
          </w:tcPr>
          <w:p w14:paraId="5D836743">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845" w:type="dxa"/>
            <w:tcBorders>
              <w:top w:val="nil"/>
              <w:left w:val="nil"/>
              <w:bottom w:val="single" w:color="auto" w:sz="4" w:space="0"/>
              <w:right w:val="single" w:color="auto" w:sz="4" w:space="0"/>
            </w:tcBorders>
            <w:vAlign w:val="center"/>
          </w:tcPr>
          <w:p w14:paraId="0DC98C6C">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830" w:type="dxa"/>
            <w:tcBorders>
              <w:top w:val="nil"/>
              <w:left w:val="nil"/>
              <w:bottom w:val="single" w:color="auto" w:sz="4" w:space="0"/>
              <w:right w:val="single" w:color="auto" w:sz="4" w:space="0"/>
            </w:tcBorders>
            <w:vAlign w:val="center"/>
          </w:tcPr>
          <w:p w14:paraId="0DDFDBC4">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690" w:type="dxa"/>
            <w:tcBorders>
              <w:top w:val="nil"/>
              <w:left w:val="nil"/>
              <w:bottom w:val="single" w:color="auto" w:sz="4" w:space="0"/>
              <w:right w:val="single" w:color="auto" w:sz="4" w:space="0"/>
            </w:tcBorders>
            <w:vAlign w:val="center"/>
          </w:tcPr>
          <w:p w14:paraId="75CE100E">
            <w:pPr>
              <w:widowControl/>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1127" w:type="dxa"/>
            <w:tcBorders>
              <w:top w:val="nil"/>
              <w:left w:val="nil"/>
              <w:bottom w:val="single" w:color="auto" w:sz="4" w:space="0"/>
              <w:right w:val="single" w:color="auto" w:sz="4" w:space="0"/>
            </w:tcBorders>
            <w:vAlign w:val="center"/>
          </w:tcPr>
          <w:p w14:paraId="710F885B">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03BCA207">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72435956">
            <w:pPr>
              <w:widowControl/>
              <w:jc w:val="center"/>
              <w:rPr>
                <w:rFonts w:ascii="宋体" w:hAnsi="宋体" w:cs="宋体"/>
                <w:b/>
                <w:bCs/>
                <w:color w:val="auto"/>
                <w:kern w:val="0"/>
                <w:sz w:val="18"/>
                <w:szCs w:val="18"/>
              </w:rPr>
            </w:pPr>
          </w:p>
        </w:tc>
        <w:tc>
          <w:tcPr>
            <w:tcW w:w="1972" w:type="dxa"/>
            <w:tcBorders>
              <w:top w:val="nil"/>
              <w:left w:val="nil"/>
              <w:bottom w:val="single" w:color="auto" w:sz="4" w:space="0"/>
              <w:right w:val="single" w:color="auto" w:sz="4" w:space="0"/>
            </w:tcBorders>
            <w:vAlign w:val="center"/>
          </w:tcPr>
          <w:p w14:paraId="00A1771D">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845" w:type="dxa"/>
            <w:tcBorders>
              <w:top w:val="nil"/>
              <w:left w:val="nil"/>
              <w:bottom w:val="single" w:color="auto" w:sz="4" w:space="0"/>
              <w:right w:val="single" w:color="auto" w:sz="4" w:space="0"/>
            </w:tcBorders>
            <w:vAlign w:val="center"/>
          </w:tcPr>
          <w:p w14:paraId="67418D96">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830" w:type="dxa"/>
            <w:tcBorders>
              <w:top w:val="nil"/>
              <w:left w:val="nil"/>
              <w:bottom w:val="single" w:color="auto" w:sz="4" w:space="0"/>
              <w:right w:val="single" w:color="auto" w:sz="4" w:space="0"/>
            </w:tcBorders>
            <w:vAlign w:val="center"/>
          </w:tcPr>
          <w:p w14:paraId="0D78FC84">
            <w:pPr>
              <w:widowControl/>
              <w:jc w:val="center"/>
              <w:rPr>
                <w:rFonts w:ascii="宋体" w:hAnsi="宋体" w:cs="宋体"/>
                <w:color w:val="auto"/>
                <w:kern w:val="0"/>
                <w:sz w:val="18"/>
                <w:szCs w:val="18"/>
              </w:rPr>
            </w:pPr>
            <w:r>
              <w:rPr>
                <w:rFonts w:hint="eastAsia" w:ascii="宋体" w:hAnsi="宋体" w:cs="宋体"/>
                <w:color w:val="auto"/>
                <w:kern w:val="0"/>
                <w:sz w:val="18"/>
                <w:szCs w:val="18"/>
              </w:rPr>
              <w:t>3000≤Y＜30000</w:t>
            </w:r>
          </w:p>
        </w:tc>
        <w:tc>
          <w:tcPr>
            <w:tcW w:w="1690" w:type="dxa"/>
            <w:tcBorders>
              <w:top w:val="nil"/>
              <w:left w:val="nil"/>
              <w:bottom w:val="single" w:color="auto" w:sz="4" w:space="0"/>
              <w:right w:val="single" w:color="auto" w:sz="4" w:space="0"/>
            </w:tcBorders>
            <w:vAlign w:val="center"/>
          </w:tcPr>
          <w:p w14:paraId="107C45B0">
            <w:pPr>
              <w:widowControl/>
              <w:jc w:val="center"/>
              <w:rPr>
                <w:rFonts w:ascii="宋体" w:hAnsi="宋体" w:cs="宋体"/>
                <w:color w:val="auto"/>
                <w:kern w:val="0"/>
                <w:sz w:val="18"/>
                <w:szCs w:val="18"/>
              </w:rPr>
            </w:pPr>
            <w:r>
              <w:rPr>
                <w:rFonts w:hint="eastAsia" w:ascii="宋体" w:hAnsi="宋体" w:cs="宋体"/>
                <w:color w:val="auto"/>
                <w:kern w:val="0"/>
                <w:sz w:val="18"/>
                <w:szCs w:val="18"/>
              </w:rPr>
              <w:t>200≤Y＜3000</w:t>
            </w:r>
          </w:p>
        </w:tc>
        <w:tc>
          <w:tcPr>
            <w:tcW w:w="1127" w:type="dxa"/>
            <w:tcBorders>
              <w:top w:val="nil"/>
              <w:left w:val="nil"/>
              <w:bottom w:val="single" w:color="auto" w:sz="4" w:space="0"/>
              <w:right w:val="single" w:color="auto" w:sz="4" w:space="0"/>
            </w:tcBorders>
            <w:vAlign w:val="center"/>
          </w:tcPr>
          <w:p w14:paraId="3DC8EE58">
            <w:pPr>
              <w:widowControl/>
              <w:jc w:val="center"/>
              <w:rPr>
                <w:rFonts w:ascii="宋体" w:hAnsi="宋体" w:cs="宋体"/>
                <w:color w:val="auto"/>
                <w:kern w:val="0"/>
                <w:sz w:val="18"/>
                <w:szCs w:val="18"/>
              </w:rPr>
            </w:pPr>
            <w:r>
              <w:rPr>
                <w:rFonts w:hint="eastAsia" w:ascii="宋体" w:hAnsi="宋体" w:cs="宋体"/>
                <w:color w:val="auto"/>
                <w:kern w:val="0"/>
                <w:sz w:val="18"/>
                <w:szCs w:val="18"/>
              </w:rPr>
              <w:t>Y＜200</w:t>
            </w:r>
          </w:p>
        </w:tc>
      </w:tr>
      <w:tr w14:paraId="03D7C26D">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126C4B09">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仓储业</w:t>
            </w:r>
          </w:p>
        </w:tc>
        <w:tc>
          <w:tcPr>
            <w:tcW w:w="1972" w:type="dxa"/>
            <w:tcBorders>
              <w:top w:val="nil"/>
              <w:left w:val="nil"/>
              <w:bottom w:val="single" w:color="auto" w:sz="4" w:space="0"/>
              <w:right w:val="single" w:color="auto" w:sz="4" w:space="0"/>
            </w:tcBorders>
            <w:vAlign w:val="center"/>
          </w:tcPr>
          <w:p w14:paraId="2994546D">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845" w:type="dxa"/>
            <w:tcBorders>
              <w:top w:val="nil"/>
              <w:left w:val="nil"/>
              <w:bottom w:val="single" w:color="auto" w:sz="4" w:space="0"/>
              <w:right w:val="single" w:color="auto" w:sz="4" w:space="0"/>
            </w:tcBorders>
            <w:vAlign w:val="center"/>
          </w:tcPr>
          <w:p w14:paraId="54C4159C">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830" w:type="dxa"/>
            <w:tcBorders>
              <w:top w:val="nil"/>
              <w:left w:val="nil"/>
              <w:bottom w:val="single" w:color="auto" w:sz="4" w:space="0"/>
              <w:right w:val="single" w:color="auto" w:sz="4" w:space="0"/>
            </w:tcBorders>
            <w:vAlign w:val="center"/>
          </w:tcPr>
          <w:p w14:paraId="12DDE394">
            <w:pPr>
              <w:widowControl/>
              <w:jc w:val="center"/>
              <w:rPr>
                <w:rFonts w:ascii="宋体" w:hAnsi="宋体" w:cs="宋体"/>
                <w:color w:val="auto"/>
                <w:kern w:val="0"/>
                <w:sz w:val="18"/>
                <w:szCs w:val="18"/>
              </w:rPr>
            </w:pPr>
            <w:r>
              <w:rPr>
                <w:rFonts w:hint="eastAsia" w:ascii="宋体" w:hAnsi="宋体" w:cs="宋体"/>
                <w:color w:val="auto"/>
                <w:kern w:val="0"/>
                <w:sz w:val="18"/>
                <w:szCs w:val="18"/>
              </w:rPr>
              <w:t>100≤X＜200</w:t>
            </w:r>
          </w:p>
        </w:tc>
        <w:tc>
          <w:tcPr>
            <w:tcW w:w="1690" w:type="dxa"/>
            <w:tcBorders>
              <w:top w:val="nil"/>
              <w:left w:val="nil"/>
              <w:bottom w:val="single" w:color="auto" w:sz="4" w:space="0"/>
              <w:right w:val="single" w:color="auto" w:sz="4" w:space="0"/>
            </w:tcBorders>
            <w:vAlign w:val="center"/>
          </w:tcPr>
          <w:p w14:paraId="0E071E88">
            <w:pPr>
              <w:widowControl/>
              <w:jc w:val="center"/>
              <w:rPr>
                <w:rFonts w:ascii="宋体" w:hAnsi="宋体" w:cs="宋体"/>
                <w:color w:val="auto"/>
                <w:kern w:val="0"/>
                <w:sz w:val="18"/>
                <w:szCs w:val="18"/>
              </w:rPr>
            </w:pPr>
            <w:r>
              <w:rPr>
                <w:rFonts w:hint="eastAsia" w:ascii="宋体" w:hAnsi="宋体" w:cs="宋体"/>
                <w:color w:val="auto"/>
                <w:kern w:val="0"/>
                <w:sz w:val="18"/>
                <w:szCs w:val="18"/>
              </w:rPr>
              <w:t>20≤X＜100</w:t>
            </w:r>
          </w:p>
        </w:tc>
        <w:tc>
          <w:tcPr>
            <w:tcW w:w="1127" w:type="dxa"/>
            <w:tcBorders>
              <w:top w:val="nil"/>
              <w:left w:val="nil"/>
              <w:bottom w:val="single" w:color="auto" w:sz="4" w:space="0"/>
              <w:right w:val="single" w:color="auto" w:sz="4" w:space="0"/>
            </w:tcBorders>
            <w:vAlign w:val="center"/>
          </w:tcPr>
          <w:p w14:paraId="158480D1">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3FC18219">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3CC19CB3">
            <w:pPr>
              <w:widowControl/>
              <w:jc w:val="center"/>
              <w:rPr>
                <w:rFonts w:ascii="宋体" w:hAnsi="宋体" w:cs="宋体"/>
                <w:b/>
                <w:bCs/>
                <w:color w:val="auto"/>
                <w:kern w:val="0"/>
                <w:sz w:val="18"/>
                <w:szCs w:val="18"/>
              </w:rPr>
            </w:pPr>
          </w:p>
        </w:tc>
        <w:tc>
          <w:tcPr>
            <w:tcW w:w="1972" w:type="dxa"/>
            <w:tcBorders>
              <w:top w:val="nil"/>
              <w:left w:val="nil"/>
              <w:bottom w:val="single" w:color="auto" w:sz="4" w:space="0"/>
              <w:right w:val="single" w:color="auto" w:sz="4" w:space="0"/>
            </w:tcBorders>
            <w:vAlign w:val="center"/>
          </w:tcPr>
          <w:p w14:paraId="01F6D1B6">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845" w:type="dxa"/>
            <w:tcBorders>
              <w:top w:val="nil"/>
              <w:left w:val="nil"/>
              <w:bottom w:val="single" w:color="auto" w:sz="4" w:space="0"/>
              <w:right w:val="single" w:color="auto" w:sz="4" w:space="0"/>
            </w:tcBorders>
            <w:vAlign w:val="center"/>
          </w:tcPr>
          <w:p w14:paraId="5F96DF5E">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830" w:type="dxa"/>
            <w:tcBorders>
              <w:top w:val="nil"/>
              <w:left w:val="nil"/>
              <w:bottom w:val="single" w:color="auto" w:sz="4" w:space="0"/>
              <w:right w:val="single" w:color="auto" w:sz="4" w:space="0"/>
            </w:tcBorders>
            <w:vAlign w:val="center"/>
          </w:tcPr>
          <w:p w14:paraId="6981AC09">
            <w:pPr>
              <w:widowControl/>
              <w:jc w:val="center"/>
              <w:rPr>
                <w:rFonts w:ascii="宋体" w:hAnsi="宋体" w:cs="宋体"/>
                <w:color w:val="auto"/>
                <w:kern w:val="0"/>
                <w:sz w:val="18"/>
                <w:szCs w:val="18"/>
              </w:rPr>
            </w:pPr>
            <w:r>
              <w:rPr>
                <w:rFonts w:hint="eastAsia" w:ascii="宋体" w:hAnsi="宋体" w:cs="宋体"/>
                <w:color w:val="auto"/>
                <w:kern w:val="0"/>
                <w:sz w:val="18"/>
                <w:szCs w:val="18"/>
              </w:rPr>
              <w:t>1000≤Y＜30000</w:t>
            </w:r>
          </w:p>
        </w:tc>
        <w:tc>
          <w:tcPr>
            <w:tcW w:w="1690" w:type="dxa"/>
            <w:tcBorders>
              <w:top w:val="nil"/>
              <w:left w:val="nil"/>
              <w:bottom w:val="single" w:color="auto" w:sz="4" w:space="0"/>
              <w:right w:val="single" w:color="auto" w:sz="4" w:space="0"/>
            </w:tcBorders>
            <w:vAlign w:val="center"/>
          </w:tcPr>
          <w:p w14:paraId="13696A11">
            <w:pPr>
              <w:widowControl/>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1127" w:type="dxa"/>
            <w:tcBorders>
              <w:top w:val="nil"/>
              <w:left w:val="nil"/>
              <w:bottom w:val="single" w:color="auto" w:sz="4" w:space="0"/>
              <w:right w:val="single" w:color="auto" w:sz="4" w:space="0"/>
            </w:tcBorders>
            <w:vAlign w:val="center"/>
          </w:tcPr>
          <w:p w14:paraId="09F40A35">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21D06B97">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206137CD">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邮政业</w:t>
            </w:r>
          </w:p>
        </w:tc>
        <w:tc>
          <w:tcPr>
            <w:tcW w:w="1972" w:type="dxa"/>
            <w:tcBorders>
              <w:top w:val="nil"/>
              <w:left w:val="nil"/>
              <w:bottom w:val="single" w:color="auto" w:sz="4" w:space="0"/>
              <w:right w:val="single" w:color="auto" w:sz="4" w:space="0"/>
            </w:tcBorders>
            <w:vAlign w:val="center"/>
          </w:tcPr>
          <w:p w14:paraId="357791F5">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845" w:type="dxa"/>
            <w:tcBorders>
              <w:top w:val="nil"/>
              <w:left w:val="nil"/>
              <w:bottom w:val="single" w:color="auto" w:sz="4" w:space="0"/>
              <w:right w:val="single" w:color="auto" w:sz="4" w:space="0"/>
            </w:tcBorders>
            <w:vAlign w:val="center"/>
          </w:tcPr>
          <w:p w14:paraId="465432B7">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830" w:type="dxa"/>
            <w:tcBorders>
              <w:top w:val="nil"/>
              <w:left w:val="nil"/>
              <w:bottom w:val="single" w:color="auto" w:sz="4" w:space="0"/>
              <w:right w:val="single" w:color="auto" w:sz="4" w:space="0"/>
            </w:tcBorders>
            <w:vAlign w:val="center"/>
          </w:tcPr>
          <w:p w14:paraId="51B33BC8">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690" w:type="dxa"/>
            <w:tcBorders>
              <w:top w:val="nil"/>
              <w:left w:val="nil"/>
              <w:bottom w:val="single" w:color="auto" w:sz="4" w:space="0"/>
              <w:right w:val="single" w:color="auto" w:sz="4" w:space="0"/>
            </w:tcBorders>
            <w:vAlign w:val="center"/>
          </w:tcPr>
          <w:p w14:paraId="4DAEC096">
            <w:pPr>
              <w:widowControl/>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1127" w:type="dxa"/>
            <w:tcBorders>
              <w:top w:val="nil"/>
              <w:left w:val="nil"/>
              <w:bottom w:val="single" w:color="auto" w:sz="4" w:space="0"/>
              <w:right w:val="single" w:color="auto" w:sz="4" w:space="0"/>
            </w:tcBorders>
            <w:vAlign w:val="center"/>
          </w:tcPr>
          <w:p w14:paraId="0203C3C0">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6EA73029">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6D9ED450">
            <w:pPr>
              <w:widowControl/>
              <w:jc w:val="center"/>
              <w:rPr>
                <w:rFonts w:ascii="宋体" w:hAnsi="宋体" w:cs="宋体"/>
                <w:b/>
                <w:bCs/>
                <w:color w:val="auto"/>
                <w:kern w:val="0"/>
                <w:sz w:val="18"/>
                <w:szCs w:val="18"/>
              </w:rPr>
            </w:pPr>
          </w:p>
        </w:tc>
        <w:tc>
          <w:tcPr>
            <w:tcW w:w="1972" w:type="dxa"/>
            <w:tcBorders>
              <w:top w:val="nil"/>
              <w:left w:val="nil"/>
              <w:bottom w:val="single" w:color="auto" w:sz="4" w:space="0"/>
              <w:right w:val="single" w:color="auto" w:sz="4" w:space="0"/>
            </w:tcBorders>
            <w:vAlign w:val="center"/>
          </w:tcPr>
          <w:p w14:paraId="169BBFDB">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845" w:type="dxa"/>
            <w:tcBorders>
              <w:top w:val="nil"/>
              <w:left w:val="nil"/>
              <w:bottom w:val="single" w:color="auto" w:sz="4" w:space="0"/>
              <w:right w:val="single" w:color="auto" w:sz="4" w:space="0"/>
            </w:tcBorders>
            <w:vAlign w:val="center"/>
          </w:tcPr>
          <w:p w14:paraId="5394A50B">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830" w:type="dxa"/>
            <w:tcBorders>
              <w:top w:val="nil"/>
              <w:left w:val="nil"/>
              <w:bottom w:val="single" w:color="auto" w:sz="4" w:space="0"/>
              <w:right w:val="single" w:color="auto" w:sz="4" w:space="0"/>
            </w:tcBorders>
            <w:vAlign w:val="center"/>
          </w:tcPr>
          <w:p w14:paraId="039BD396">
            <w:pPr>
              <w:widowControl/>
              <w:jc w:val="center"/>
              <w:rPr>
                <w:rFonts w:ascii="宋体" w:hAnsi="宋体" w:cs="宋体"/>
                <w:color w:val="auto"/>
                <w:kern w:val="0"/>
                <w:sz w:val="18"/>
                <w:szCs w:val="18"/>
              </w:rPr>
            </w:pPr>
            <w:r>
              <w:rPr>
                <w:rFonts w:hint="eastAsia" w:ascii="宋体" w:hAnsi="宋体" w:cs="宋体"/>
                <w:color w:val="auto"/>
                <w:kern w:val="0"/>
                <w:sz w:val="18"/>
                <w:szCs w:val="18"/>
              </w:rPr>
              <w:t>2000≤Y＜30000</w:t>
            </w:r>
          </w:p>
        </w:tc>
        <w:tc>
          <w:tcPr>
            <w:tcW w:w="1690" w:type="dxa"/>
            <w:tcBorders>
              <w:top w:val="nil"/>
              <w:left w:val="nil"/>
              <w:bottom w:val="single" w:color="auto" w:sz="4" w:space="0"/>
              <w:right w:val="single" w:color="auto" w:sz="4" w:space="0"/>
            </w:tcBorders>
            <w:vAlign w:val="center"/>
          </w:tcPr>
          <w:p w14:paraId="623CEF9E">
            <w:pPr>
              <w:widowControl/>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1127" w:type="dxa"/>
            <w:tcBorders>
              <w:top w:val="nil"/>
              <w:left w:val="nil"/>
              <w:bottom w:val="single" w:color="auto" w:sz="4" w:space="0"/>
              <w:right w:val="single" w:color="auto" w:sz="4" w:space="0"/>
            </w:tcBorders>
            <w:vAlign w:val="center"/>
          </w:tcPr>
          <w:p w14:paraId="1506106A">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6B87E575">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0079C0A9">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住宿业</w:t>
            </w:r>
          </w:p>
        </w:tc>
        <w:tc>
          <w:tcPr>
            <w:tcW w:w="1972" w:type="dxa"/>
            <w:tcBorders>
              <w:top w:val="nil"/>
              <w:left w:val="nil"/>
              <w:bottom w:val="single" w:color="auto" w:sz="4" w:space="0"/>
              <w:right w:val="single" w:color="auto" w:sz="4" w:space="0"/>
            </w:tcBorders>
            <w:vAlign w:val="center"/>
          </w:tcPr>
          <w:p w14:paraId="20397295">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845" w:type="dxa"/>
            <w:tcBorders>
              <w:top w:val="nil"/>
              <w:left w:val="nil"/>
              <w:bottom w:val="single" w:color="auto" w:sz="4" w:space="0"/>
              <w:right w:val="single" w:color="auto" w:sz="4" w:space="0"/>
            </w:tcBorders>
            <w:vAlign w:val="center"/>
          </w:tcPr>
          <w:p w14:paraId="04093B60">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830" w:type="dxa"/>
            <w:tcBorders>
              <w:top w:val="nil"/>
              <w:left w:val="nil"/>
              <w:bottom w:val="single" w:color="auto" w:sz="4" w:space="0"/>
              <w:right w:val="single" w:color="auto" w:sz="4" w:space="0"/>
            </w:tcBorders>
            <w:vAlign w:val="center"/>
          </w:tcPr>
          <w:p w14:paraId="35DAE088">
            <w:pPr>
              <w:widowControl/>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690" w:type="dxa"/>
            <w:tcBorders>
              <w:top w:val="nil"/>
              <w:left w:val="nil"/>
              <w:bottom w:val="single" w:color="auto" w:sz="4" w:space="0"/>
              <w:right w:val="single" w:color="auto" w:sz="4" w:space="0"/>
            </w:tcBorders>
            <w:vAlign w:val="center"/>
          </w:tcPr>
          <w:p w14:paraId="4281E2FC">
            <w:pPr>
              <w:widowControl/>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1127" w:type="dxa"/>
            <w:tcBorders>
              <w:top w:val="nil"/>
              <w:left w:val="nil"/>
              <w:bottom w:val="single" w:color="auto" w:sz="4" w:space="0"/>
              <w:right w:val="single" w:color="auto" w:sz="4" w:space="0"/>
            </w:tcBorders>
            <w:vAlign w:val="center"/>
          </w:tcPr>
          <w:p w14:paraId="0C2FA389">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25C0B4FA">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0B137257">
            <w:pPr>
              <w:widowControl/>
              <w:jc w:val="center"/>
              <w:rPr>
                <w:rFonts w:ascii="宋体" w:hAnsi="宋体" w:cs="宋体"/>
                <w:b/>
                <w:bCs/>
                <w:color w:val="auto"/>
                <w:kern w:val="0"/>
                <w:sz w:val="18"/>
                <w:szCs w:val="18"/>
              </w:rPr>
            </w:pPr>
          </w:p>
        </w:tc>
        <w:tc>
          <w:tcPr>
            <w:tcW w:w="1972" w:type="dxa"/>
            <w:tcBorders>
              <w:top w:val="nil"/>
              <w:left w:val="nil"/>
              <w:bottom w:val="single" w:color="auto" w:sz="4" w:space="0"/>
              <w:right w:val="single" w:color="auto" w:sz="4" w:space="0"/>
            </w:tcBorders>
            <w:vAlign w:val="center"/>
          </w:tcPr>
          <w:p w14:paraId="3B43D852">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845" w:type="dxa"/>
            <w:tcBorders>
              <w:top w:val="nil"/>
              <w:left w:val="nil"/>
              <w:bottom w:val="single" w:color="auto" w:sz="4" w:space="0"/>
              <w:right w:val="single" w:color="auto" w:sz="4" w:space="0"/>
            </w:tcBorders>
            <w:vAlign w:val="center"/>
          </w:tcPr>
          <w:p w14:paraId="371C2817">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830" w:type="dxa"/>
            <w:tcBorders>
              <w:top w:val="nil"/>
              <w:left w:val="nil"/>
              <w:bottom w:val="single" w:color="auto" w:sz="4" w:space="0"/>
              <w:right w:val="single" w:color="auto" w:sz="4" w:space="0"/>
            </w:tcBorders>
            <w:vAlign w:val="center"/>
          </w:tcPr>
          <w:p w14:paraId="5C19209A">
            <w:pPr>
              <w:widowControl/>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690" w:type="dxa"/>
            <w:tcBorders>
              <w:top w:val="nil"/>
              <w:left w:val="nil"/>
              <w:bottom w:val="single" w:color="auto" w:sz="4" w:space="0"/>
              <w:right w:val="single" w:color="auto" w:sz="4" w:space="0"/>
            </w:tcBorders>
            <w:vAlign w:val="center"/>
          </w:tcPr>
          <w:p w14:paraId="4E3181E8">
            <w:pPr>
              <w:widowControl/>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1127" w:type="dxa"/>
            <w:tcBorders>
              <w:top w:val="nil"/>
              <w:left w:val="nil"/>
              <w:bottom w:val="single" w:color="auto" w:sz="4" w:space="0"/>
              <w:right w:val="single" w:color="auto" w:sz="4" w:space="0"/>
            </w:tcBorders>
            <w:vAlign w:val="center"/>
          </w:tcPr>
          <w:p w14:paraId="4CB91E6B">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72C88148">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0200C2D5">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餐饮业</w:t>
            </w:r>
          </w:p>
        </w:tc>
        <w:tc>
          <w:tcPr>
            <w:tcW w:w="1972" w:type="dxa"/>
            <w:tcBorders>
              <w:top w:val="nil"/>
              <w:left w:val="nil"/>
              <w:bottom w:val="single" w:color="auto" w:sz="4" w:space="0"/>
              <w:right w:val="single" w:color="auto" w:sz="4" w:space="0"/>
            </w:tcBorders>
            <w:vAlign w:val="center"/>
          </w:tcPr>
          <w:p w14:paraId="27E209F7">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845" w:type="dxa"/>
            <w:tcBorders>
              <w:top w:val="nil"/>
              <w:left w:val="nil"/>
              <w:bottom w:val="single" w:color="auto" w:sz="4" w:space="0"/>
              <w:right w:val="single" w:color="auto" w:sz="4" w:space="0"/>
            </w:tcBorders>
            <w:vAlign w:val="center"/>
          </w:tcPr>
          <w:p w14:paraId="4EABAE64">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830" w:type="dxa"/>
            <w:tcBorders>
              <w:top w:val="nil"/>
              <w:left w:val="nil"/>
              <w:bottom w:val="single" w:color="auto" w:sz="4" w:space="0"/>
              <w:right w:val="single" w:color="auto" w:sz="4" w:space="0"/>
            </w:tcBorders>
            <w:vAlign w:val="center"/>
          </w:tcPr>
          <w:p w14:paraId="7076A5BC">
            <w:pPr>
              <w:widowControl/>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690" w:type="dxa"/>
            <w:tcBorders>
              <w:top w:val="nil"/>
              <w:left w:val="nil"/>
              <w:bottom w:val="single" w:color="auto" w:sz="4" w:space="0"/>
              <w:right w:val="single" w:color="auto" w:sz="4" w:space="0"/>
            </w:tcBorders>
            <w:vAlign w:val="center"/>
          </w:tcPr>
          <w:p w14:paraId="313866EF">
            <w:pPr>
              <w:widowControl/>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1127" w:type="dxa"/>
            <w:tcBorders>
              <w:top w:val="nil"/>
              <w:left w:val="nil"/>
              <w:bottom w:val="single" w:color="auto" w:sz="4" w:space="0"/>
              <w:right w:val="single" w:color="auto" w:sz="4" w:space="0"/>
            </w:tcBorders>
            <w:vAlign w:val="center"/>
          </w:tcPr>
          <w:p w14:paraId="6A866455">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3F2675ED">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273343CB">
            <w:pPr>
              <w:widowControl/>
              <w:jc w:val="center"/>
              <w:rPr>
                <w:rFonts w:ascii="宋体" w:hAnsi="宋体" w:cs="宋体"/>
                <w:b/>
                <w:bCs/>
                <w:color w:val="auto"/>
                <w:kern w:val="0"/>
                <w:sz w:val="18"/>
                <w:szCs w:val="18"/>
              </w:rPr>
            </w:pPr>
          </w:p>
        </w:tc>
        <w:tc>
          <w:tcPr>
            <w:tcW w:w="1972" w:type="dxa"/>
            <w:tcBorders>
              <w:top w:val="nil"/>
              <w:left w:val="nil"/>
              <w:bottom w:val="single" w:color="auto" w:sz="4" w:space="0"/>
              <w:right w:val="single" w:color="auto" w:sz="4" w:space="0"/>
            </w:tcBorders>
            <w:vAlign w:val="center"/>
          </w:tcPr>
          <w:p w14:paraId="7804A954">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845" w:type="dxa"/>
            <w:tcBorders>
              <w:top w:val="nil"/>
              <w:left w:val="nil"/>
              <w:bottom w:val="single" w:color="auto" w:sz="4" w:space="0"/>
              <w:right w:val="single" w:color="auto" w:sz="4" w:space="0"/>
            </w:tcBorders>
            <w:vAlign w:val="center"/>
          </w:tcPr>
          <w:p w14:paraId="0BCB61F7">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830" w:type="dxa"/>
            <w:tcBorders>
              <w:top w:val="nil"/>
              <w:left w:val="nil"/>
              <w:bottom w:val="single" w:color="auto" w:sz="4" w:space="0"/>
              <w:right w:val="single" w:color="auto" w:sz="4" w:space="0"/>
            </w:tcBorders>
            <w:vAlign w:val="center"/>
          </w:tcPr>
          <w:p w14:paraId="4775A390">
            <w:pPr>
              <w:widowControl/>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690" w:type="dxa"/>
            <w:tcBorders>
              <w:top w:val="nil"/>
              <w:left w:val="nil"/>
              <w:bottom w:val="single" w:color="auto" w:sz="4" w:space="0"/>
              <w:right w:val="single" w:color="auto" w:sz="4" w:space="0"/>
            </w:tcBorders>
            <w:vAlign w:val="center"/>
          </w:tcPr>
          <w:p w14:paraId="0754F3C4">
            <w:pPr>
              <w:widowControl/>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1127" w:type="dxa"/>
            <w:tcBorders>
              <w:top w:val="nil"/>
              <w:left w:val="nil"/>
              <w:bottom w:val="single" w:color="auto" w:sz="4" w:space="0"/>
              <w:right w:val="single" w:color="auto" w:sz="4" w:space="0"/>
            </w:tcBorders>
            <w:vAlign w:val="center"/>
          </w:tcPr>
          <w:p w14:paraId="3FD8393D">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7E88E415">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4105C492">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信息传输业</w:t>
            </w:r>
          </w:p>
        </w:tc>
        <w:tc>
          <w:tcPr>
            <w:tcW w:w="1972" w:type="dxa"/>
            <w:tcBorders>
              <w:top w:val="nil"/>
              <w:left w:val="nil"/>
              <w:bottom w:val="single" w:color="auto" w:sz="4" w:space="0"/>
              <w:right w:val="single" w:color="auto" w:sz="4" w:space="0"/>
            </w:tcBorders>
            <w:vAlign w:val="center"/>
          </w:tcPr>
          <w:p w14:paraId="31AB998F">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845" w:type="dxa"/>
            <w:tcBorders>
              <w:top w:val="nil"/>
              <w:left w:val="nil"/>
              <w:bottom w:val="single" w:color="auto" w:sz="4" w:space="0"/>
              <w:right w:val="single" w:color="auto" w:sz="4" w:space="0"/>
            </w:tcBorders>
            <w:vAlign w:val="center"/>
          </w:tcPr>
          <w:p w14:paraId="36025D0F">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830" w:type="dxa"/>
            <w:tcBorders>
              <w:top w:val="nil"/>
              <w:left w:val="nil"/>
              <w:bottom w:val="single" w:color="auto" w:sz="4" w:space="0"/>
              <w:right w:val="single" w:color="auto" w:sz="4" w:space="0"/>
            </w:tcBorders>
            <w:vAlign w:val="center"/>
          </w:tcPr>
          <w:p w14:paraId="1B9A0DA4">
            <w:pPr>
              <w:widowControl/>
              <w:jc w:val="center"/>
              <w:rPr>
                <w:rFonts w:ascii="宋体" w:hAnsi="宋体" w:cs="宋体"/>
                <w:color w:val="auto"/>
                <w:kern w:val="0"/>
                <w:sz w:val="18"/>
                <w:szCs w:val="18"/>
              </w:rPr>
            </w:pPr>
            <w:r>
              <w:rPr>
                <w:rFonts w:hint="eastAsia" w:ascii="宋体" w:hAnsi="宋体" w:cs="宋体"/>
                <w:color w:val="auto"/>
                <w:kern w:val="0"/>
                <w:sz w:val="18"/>
                <w:szCs w:val="18"/>
              </w:rPr>
              <w:t>100≤X＜2000</w:t>
            </w:r>
          </w:p>
        </w:tc>
        <w:tc>
          <w:tcPr>
            <w:tcW w:w="1690" w:type="dxa"/>
            <w:tcBorders>
              <w:top w:val="nil"/>
              <w:left w:val="nil"/>
              <w:bottom w:val="single" w:color="auto" w:sz="4" w:space="0"/>
              <w:right w:val="single" w:color="auto" w:sz="4" w:space="0"/>
            </w:tcBorders>
            <w:vAlign w:val="center"/>
          </w:tcPr>
          <w:p w14:paraId="51DB974E">
            <w:pPr>
              <w:widowControl/>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1127" w:type="dxa"/>
            <w:tcBorders>
              <w:top w:val="nil"/>
              <w:left w:val="nil"/>
              <w:bottom w:val="single" w:color="auto" w:sz="4" w:space="0"/>
              <w:right w:val="single" w:color="auto" w:sz="4" w:space="0"/>
            </w:tcBorders>
            <w:vAlign w:val="center"/>
          </w:tcPr>
          <w:p w14:paraId="571585DD">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6527E01C">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06D3D4EA">
            <w:pPr>
              <w:widowControl/>
              <w:jc w:val="center"/>
              <w:rPr>
                <w:rFonts w:ascii="宋体" w:hAnsi="宋体" w:cs="宋体"/>
                <w:b/>
                <w:bCs/>
                <w:color w:val="auto"/>
                <w:kern w:val="0"/>
                <w:sz w:val="18"/>
                <w:szCs w:val="18"/>
              </w:rPr>
            </w:pPr>
          </w:p>
        </w:tc>
        <w:tc>
          <w:tcPr>
            <w:tcW w:w="1972" w:type="dxa"/>
            <w:tcBorders>
              <w:top w:val="nil"/>
              <w:left w:val="nil"/>
              <w:bottom w:val="single" w:color="auto" w:sz="4" w:space="0"/>
              <w:right w:val="single" w:color="auto" w:sz="4" w:space="0"/>
            </w:tcBorders>
            <w:vAlign w:val="center"/>
          </w:tcPr>
          <w:p w14:paraId="411A1BA7">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845" w:type="dxa"/>
            <w:tcBorders>
              <w:top w:val="nil"/>
              <w:left w:val="nil"/>
              <w:bottom w:val="single" w:color="auto" w:sz="4" w:space="0"/>
              <w:right w:val="single" w:color="auto" w:sz="4" w:space="0"/>
            </w:tcBorders>
            <w:vAlign w:val="center"/>
          </w:tcPr>
          <w:p w14:paraId="50A97107">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830" w:type="dxa"/>
            <w:tcBorders>
              <w:top w:val="nil"/>
              <w:left w:val="nil"/>
              <w:bottom w:val="single" w:color="auto" w:sz="4" w:space="0"/>
              <w:right w:val="single" w:color="auto" w:sz="4" w:space="0"/>
            </w:tcBorders>
            <w:vAlign w:val="center"/>
          </w:tcPr>
          <w:p w14:paraId="7E25998C">
            <w:pPr>
              <w:widowControl/>
              <w:jc w:val="center"/>
              <w:rPr>
                <w:rFonts w:ascii="宋体" w:hAnsi="宋体" w:cs="宋体"/>
                <w:color w:val="auto"/>
                <w:kern w:val="0"/>
                <w:sz w:val="18"/>
                <w:szCs w:val="18"/>
              </w:rPr>
            </w:pPr>
            <w:r>
              <w:rPr>
                <w:rFonts w:hint="eastAsia" w:ascii="宋体" w:hAnsi="宋体" w:cs="宋体"/>
                <w:color w:val="auto"/>
                <w:kern w:val="0"/>
                <w:sz w:val="18"/>
                <w:szCs w:val="18"/>
              </w:rPr>
              <w:t>1000≤Y＜100000</w:t>
            </w:r>
          </w:p>
        </w:tc>
        <w:tc>
          <w:tcPr>
            <w:tcW w:w="1690" w:type="dxa"/>
            <w:tcBorders>
              <w:top w:val="nil"/>
              <w:left w:val="nil"/>
              <w:bottom w:val="single" w:color="auto" w:sz="4" w:space="0"/>
              <w:right w:val="single" w:color="auto" w:sz="4" w:space="0"/>
            </w:tcBorders>
            <w:vAlign w:val="center"/>
          </w:tcPr>
          <w:p w14:paraId="016E5C79">
            <w:pPr>
              <w:widowControl/>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1127" w:type="dxa"/>
            <w:tcBorders>
              <w:top w:val="nil"/>
              <w:left w:val="nil"/>
              <w:bottom w:val="single" w:color="auto" w:sz="4" w:space="0"/>
              <w:right w:val="single" w:color="auto" w:sz="4" w:space="0"/>
            </w:tcBorders>
            <w:vAlign w:val="center"/>
          </w:tcPr>
          <w:p w14:paraId="21871CC3">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77C25B55">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5717D43E">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软件和信息技术服务业</w:t>
            </w:r>
          </w:p>
        </w:tc>
        <w:tc>
          <w:tcPr>
            <w:tcW w:w="1972" w:type="dxa"/>
            <w:tcBorders>
              <w:top w:val="nil"/>
              <w:left w:val="nil"/>
              <w:bottom w:val="single" w:color="auto" w:sz="4" w:space="0"/>
              <w:right w:val="single" w:color="auto" w:sz="4" w:space="0"/>
            </w:tcBorders>
            <w:vAlign w:val="center"/>
          </w:tcPr>
          <w:p w14:paraId="38906B33">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845" w:type="dxa"/>
            <w:tcBorders>
              <w:top w:val="nil"/>
              <w:left w:val="nil"/>
              <w:bottom w:val="single" w:color="auto" w:sz="4" w:space="0"/>
              <w:right w:val="single" w:color="auto" w:sz="4" w:space="0"/>
            </w:tcBorders>
            <w:vAlign w:val="center"/>
          </w:tcPr>
          <w:p w14:paraId="6D1E1101">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830" w:type="dxa"/>
            <w:tcBorders>
              <w:top w:val="nil"/>
              <w:left w:val="nil"/>
              <w:bottom w:val="single" w:color="auto" w:sz="4" w:space="0"/>
              <w:right w:val="single" w:color="auto" w:sz="4" w:space="0"/>
            </w:tcBorders>
            <w:vAlign w:val="center"/>
          </w:tcPr>
          <w:p w14:paraId="2F2B886B">
            <w:pPr>
              <w:widowControl/>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690" w:type="dxa"/>
            <w:tcBorders>
              <w:top w:val="nil"/>
              <w:left w:val="nil"/>
              <w:bottom w:val="single" w:color="auto" w:sz="4" w:space="0"/>
              <w:right w:val="single" w:color="auto" w:sz="4" w:space="0"/>
            </w:tcBorders>
            <w:vAlign w:val="center"/>
          </w:tcPr>
          <w:p w14:paraId="7282A972">
            <w:pPr>
              <w:widowControl/>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1127" w:type="dxa"/>
            <w:tcBorders>
              <w:top w:val="nil"/>
              <w:left w:val="nil"/>
              <w:bottom w:val="single" w:color="auto" w:sz="4" w:space="0"/>
              <w:right w:val="single" w:color="auto" w:sz="4" w:space="0"/>
            </w:tcBorders>
            <w:vAlign w:val="center"/>
          </w:tcPr>
          <w:p w14:paraId="6E929CE8">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2F044FFA">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0A8E4C00">
            <w:pPr>
              <w:widowControl/>
              <w:jc w:val="center"/>
              <w:rPr>
                <w:rFonts w:ascii="宋体" w:hAnsi="宋体" w:cs="宋体"/>
                <w:b/>
                <w:bCs/>
                <w:color w:val="auto"/>
                <w:kern w:val="0"/>
                <w:sz w:val="18"/>
                <w:szCs w:val="18"/>
              </w:rPr>
            </w:pPr>
          </w:p>
        </w:tc>
        <w:tc>
          <w:tcPr>
            <w:tcW w:w="1972" w:type="dxa"/>
            <w:tcBorders>
              <w:top w:val="nil"/>
              <w:left w:val="nil"/>
              <w:bottom w:val="single" w:color="auto" w:sz="4" w:space="0"/>
              <w:right w:val="single" w:color="auto" w:sz="4" w:space="0"/>
            </w:tcBorders>
            <w:vAlign w:val="center"/>
          </w:tcPr>
          <w:p w14:paraId="62EBF56E">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845" w:type="dxa"/>
            <w:tcBorders>
              <w:top w:val="nil"/>
              <w:left w:val="nil"/>
              <w:bottom w:val="single" w:color="auto" w:sz="4" w:space="0"/>
              <w:right w:val="single" w:color="auto" w:sz="4" w:space="0"/>
            </w:tcBorders>
            <w:vAlign w:val="center"/>
          </w:tcPr>
          <w:p w14:paraId="7DA1B09B">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830" w:type="dxa"/>
            <w:tcBorders>
              <w:top w:val="nil"/>
              <w:left w:val="nil"/>
              <w:bottom w:val="single" w:color="auto" w:sz="4" w:space="0"/>
              <w:right w:val="single" w:color="auto" w:sz="4" w:space="0"/>
            </w:tcBorders>
            <w:vAlign w:val="center"/>
          </w:tcPr>
          <w:p w14:paraId="60F9E5B6">
            <w:pPr>
              <w:widowControl/>
              <w:jc w:val="center"/>
              <w:rPr>
                <w:rFonts w:ascii="宋体" w:hAnsi="宋体" w:cs="宋体"/>
                <w:color w:val="auto"/>
                <w:kern w:val="0"/>
                <w:sz w:val="18"/>
                <w:szCs w:val="18"/>
              </w:rPr>
            </w:pPr>
            <w:r>
              <w:rPr>
                <w:rFonts w:hint="eastAsia" w:ascii="宋体" w:hAnsi="宋体" w:cs="宋体"/>
                <w:color w:val="auto"/>
                <w:kern w:val="0"/>
                <w:sz w:val="18"/>
                <w:szCs w:val="18"/>
              </w:rPr>
              <w:t>1000≤Y＜10000</w:t>
            </w:r>
          </w:p>
        </w:tc>
        <w:tc>
          <w:tcPr>
            <w:tcW w:w="1690" w:type="dxa"/>
            <w:tcBorders>
              <w:top w:val="nil"/>
              <w:left w:val="nil"/>
              <w:bottom w:val="single" w:color="auto" w:sz="4" w:space="0"/>
              <w:right w:val="single" w:color="auto" w:sz="4" w:space="0"/>
            </w:tcBorders>
            <w:vAlign w:val="center"/>
          </w:tcPr>
          <w:p w14:paraId="5BCC3431">
            <w:pPr>
              <w:widowControl/>
              <w:jc w:val="center"/>
              <w:rPr>
                <w:rFonts w:ascii="宋体" w:hAnsi="宋体" w:cs="宋体"/>
                <w:color w:val="auto"/>
                <w:kern w:val="0"/>
                <w:sz w:val="18"/>
                <w:szCs w:val="18"/>
              </w:rPr>
            </w:pPr>
            <w:r>
              <w:rPr>
                <w:rFonts w:hint="eastAsia" w:ascii="宋体" w:hAnsi="宋体" w:cs="宋体"/>
                <w:color w:val="auto"/>
                <w:kern w:val="0"/>
                <w:sz w:val="18"/>
                <w:szCs w:val="18"/>
              </w:rPr>
              <w:t>50≤Y＜1000</w:t>
            </w:r>
          </w:p>
        </w:tc>
        <w:tc>
          <w:tcPr>
            <w:tcW w:w="1127" w:type="dxa"/>
            <w:tcBorders>
              <w:top w:val="nil"/>
              <w:left w:val="nil"/>
              <w:bottom w:val="single" w:color="auto" w:sz="4" w:space="0"/>
              <w:right w:val="single" w:color="auto" w:sz="4" w:space="0"/>
            </w:tcBorders>
            <w:vAlign w:val="center"/>
          </w:tcPr>
          <w:p w14:paraId="672B73BF">
            <w:pPr>
              <w:widowControl/>
              <w:jc w:val="center"/>
              <w:rPr>
                <w:rFonts w:ascii="宋体" w:hAnsi="宋体" w:cs="宋体"/>
                <w:color w:val="auto"/>
                <w:kern w:val="0"/>
                <w:sz w:val="18"/>
                <w:szCs w:val="18"/>
              </w:rPr>
            </w:pPr>
            <w:r>
              <w:rPr>
                <w:rFonts w:hint="eastAsia" w:ascii="宋体" w:hAnsi="宋体" w:cs="宋体"/>
                <w:color w:val="auto"/>
                <w:kern w:val="0"/>
                <w:sz w:val="18"/>
                <w:szCs w:val="18"/>
              </w:rPr>
              <w:t>Y＜50</w:t>
            </w:r>
          </w:p>
        </w:tc>
      </w:tr>
      <w:tr w14:paraId="37ED2CB4">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16755D03">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房地产开发经营</w:t>
            </w:r>
          </w:p>
        </w:tc>
        <w:tc>
          <w:tcPr>
            <w:tcW w:w="1972" w:type="dxa"/>
            <w:tcBorders>
              <w:top w:val="nil"/>
              <w:left w:val="nil"/>
              <w:bottom w:val="single" w:color="auto" w:sz="4" w:space="0"/>
              <w:right w:val="single" w:color="auto" w:sz="4" w:space="0"/>
            </w:tcBorders>
            <w:vAlign w:val="center"/>
          </w:tcPr>
          <w:p w14:paraId="654292D6">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845" w:type="dxa"/>
            <w:tcBorders>
              <w:top w:val="nil"/>
              <w:left w:val="nil"/>
              <w:bottom w:val="single" w:color="auto" w:sz="4" w:space="0"/>
              <w:right w:val="single" w:color="auto" w:sz="4" w:space="0"/>
            </w:tcBorders>
            <w:vAlign w:val="center"/>
          </w:tcPr>
          <w:p w14:paraId="09F01BA3">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830" w:type="dxa"/>
            <w:tcBorders>
              <w:top w:val="nil"/>
              <w:left w:val="nil"/>
              <w:bottom w:val="single" w:color="auto" w:sz="4" w:space="0"/>
              <w:right w:val="single" w:color="auto" w:sz="4" w:space="0"/>
            </w:tcBorders>
            <w:vAlign w:val="center"/>
          </w:tcPr>
          <w:p w14:paraId="423E99B4">
            <w:pPr>
              <w:widowControl/>
              <w:jc w:val="center"/>
              <w:rPr>
                <w:rFonts w:ascii="宋体" w:hAnsi="宋体" w:cs="宋体"/>
                <w:color w:val="auto"/>
                <w:kern w:val="0"/>
                <w:sz w:val="18"/>
                <w:szCs w:val="18"/>
              </w:rPr>
            </w:pPr>
            <w:r>
              <w:rPr>
                <w:rFonts w:hint="eastAsia" w:ascii="宋体" w:hAnsi="宋体" w:cs="宋体"/>
                <w:color w:val="auto"/>
                <w:kern w:val="0"/>
                <w:sz w:val="18"/>
                <w:szCs w:val="18"/>
              </w:rPr>
              <w:t>1000≤Y＜200000</w:t>
            </w:r>
          </w:p>
        </w:tc>
        <w:tc>
          <w:tcPr>
            <w:tcW w:w="1690" w:type="dxa"/>
            <w:tcBorders>
              <w:top w:val="nil"/>
              <w:left w:val="nil"/>
              <w:bottom w:val="single" w:color="auto" w:sz="4" w:space="0"/>
              <w:right w:val="single" w:color="auto" w:sz="4" w:space="0"/>
            </w:tcBorders>
            <w:vAlign w:val="center"/>
          </w:tcPr>
          <w:p w14:paraId="01C8B68B">
            <w:pPr>
              <w:widowControl/>
              <w:jc w:val="center"/>
              <w:rPr>
                <w:rFonts w:ascii="宋体" w:hAnsi="宋体" w:cs="宋体"/>
                <w:color w:val="auto"/>
                <w:kern w:val="0"/>
                <w:sz w:val="18"/>
                <w:szCs w:val="18"/>
              </w:rPr>
            </w:pPr>
            <w:r>
              <w:rPr>
                <w:rFonts w:hint="eastAsia" w:ascii="宋体" w:hAnsi="宋体" w:cs="宋体"/>
                <w:color w:val="auto"/>
                <w:kern w:val="0"/>
                <w:sz w:val="18"/>
                <w:szCs w:val="18"/>
              </w:rPr>
              <w:t>100≤X＜1000</w:t>
            </w:r>
          </w:p>
        </w:tc>
        <w:tc>
          <w:tcPr>
            <w:tcW w:w="1127" w:type="dxa"/>
            <w:tcBorders>
              <w:top w:val="nil"/>
              <w:left w:val="nil"/>
              <w:bottom w:val="single" w:color="auto" w:sz="4" w:space="0"/>
              <w:right w:val="single" w:color="auto" w:sz="4" w:space="0"/>
            </w:tcBorders>
            <w:vAlign w:val="center"/>
          </w:tcPr>
          <w:p w14:paraId="56889C89">
            <w:pPr>
              <w:widowControl/>
              <w:jc w:val="center"/>
              <w:rPr>
                <w:rFonts w:ascii="宋体" w:hAnsi="宋体" w:cs="宋体"/>
                <w:color w:val="auto"/>
                <w:kern w:val="0"/>
                <w:sz w:val="18"/>
                <w:szCs w:val="18"/>
              </w:rPr>
            </w:pPr>
            <w:r>
              <w:rPr>
                <w:rFonts w:hint="eastAsia" w:ascii="宋体" w:hAnsi="宋体" w:cs="宋体"/>
                <w:color w:val="auto"/>
                <w:kern w:val="0"/>
                <w:sz w:val="18"/>
                <w:szCs w:val="18"/>
              </w:rPr>
              <w:t>X＜100</w:t>
            </w:r>
          </w:p>
        </w:tc>
      </w:tr>
      <w:tr w14:paraId="2E20DAEC">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4BD14A30">
            <w:pPr>
              <w:widowControl/>
              <w:jc w:val="center"/>
              <w:rPr>
                <w:rFonts w:ascii="宋体" w:hAnsi="宋体" w:cs="宋体"/>
                <w:b/>
                <w:bCs/>
                <w:color w:val="auto"/>
                <w:kern w:val="0"/>
                <w:sz w:val="18"/>
                <w:szCs w:val="18"/>
              </w:rPr>
            </w:pPr>
          </w:p>
        </w:tc>
        <w:tc>
          <w:tcPr>
            <w:tcW w:w="1972" w:type="dxa"/>
            <w:tcBorders>
              <w:top w:val="nil"/>
              <w:left w:val="nil"/>
              <w:bottom w:val="single" w:color="auto" w:sz="4" w:space="0"/>
              <w:right w:val="single" w:color="auto" w:sz="4" w:space="0"/>
            </w:tcBorders>
            <w:vAlign w:val="center"/>
          </w:tcPr>
          <w:p w14:paraId="5FFAB6E9">
            <w:pPr>
              <w:widowControl/>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845" w:type="dxa"/>
            <w:tcBorders>
              <w:top w:val="nil"/>
              <w:left w:val="nil"/>
              <w:bottom w:val="single" w:color="auto" w:sz="4" w:space="0"/>
              <w:right w:val="single" w:color="auto" w:sz="4" w:space="0"/>
            </w:tcBorders>
            <w:vAlign w:val="center"/>
          </w:tcPr>
          <w:p w14:paraId="71AB1F7E">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830" w:type="dxa"/>
            <w:tcBorders>
              <w:top w:val="nil"/>
              <w:left w:val="nil"/>
              <w:bottom w:val="single" w:color="auto" w:sz="4" w:space="0"/>
              <w:right w:val="single" w:color="auto" w:sz="4" w:space="0"/>
            </w:tcBorders>
            <w:vAlign w:val="center"/>
          </w:tcPr>
          <w:p w14:paraId="60A60F58">
            <w:pPr>
              <w:widowControl/>
              <w:jc w:val="center"/>
              <w:rPr>
                <w:rFonts w:ascii="宋体" w:hAnsi="宋体" w:cs="宋体"/>
                <w:color w:val="auto"/>
                <w:kern w:val="0"/>
                <w:sz w:val="18"/>
                <w:szCs w:val="18"/>
              </w:rPr>
            </w:pPr>
            <w:r>
              <w:rPr>
                <w:rFonts w:hint="eastAsia" w:ascii="宋体" w:hAnsi="宋体" w:cs="宋体"/>
                <w:color w:val="auto"/>
                <w:kern w:val="0"/>
                <w:sz w:val="18"/>
                <w:szCs w:val="18"/>
              </w:rPr>
              <w:t>5000≤Z＜10000</w:t>
            </w:r>
          </w:p>
        </w:tc>
        <w:tc>
          <w:tcPr>
            <w:tcW w:w="1690" w:type="dxa"/>
            <w:tcBorders>
              <w:top w:val="nil"/>
              <w:left w:val="nil"/>
              <w:bottom w:val="single" w:color="auto" w:sz="4" w:space="0"/>
              <w:right w:val="single" w:color="auto" w:sz="4" w:space="0"/>
            </w:tcBorders>
            <w:vAlign w:val="center"/>
          </w:tcPr>
          <w:p w14:paraId="2906436B">
            <w:pPr>
              <w:widowControl/>
              <w:jc w:val="center"/>
              <w:rPr>
                <w:rFonts w:ascii="宋体" w:hAnsi="宋体" w:cs="宋体"/>
                <w:color w:val="auto"/>
                <w:kern w:val="0"/>
                <w:sz w:val="18"/>
                <w:szCs w:val="18"/>
              </w:rPr>
            </w:pPr>
            <w:r>
              <w:rPr>
                <w:rFonts w:hint="eastAsia" w:ascii="宋体" w:hAnsi="宋体" w:cs="宋体"/>
                <w:color w:val="auto"/>
                <w:kern w:val="0"/>
                <w:sz w:val="18"/>
                <w:szCs w:val="18"/>
              </w:rPr>
              <w:t>2000≤Y＜5000</w:t>
            </w:r>
          </w:p>
        </w:tc>
        <w:tc>
          <w:tcPr>
            <w:tcW w:w="1127" w:type="dxa"/>
            <w:tcBorders>
              <w:top w:val="nil"/>
              <w:left w:val="nil"/>
              <w:bottom w:val="single" w:color="auto" w:sz="4" w:space="0"/>
              <w:right w:val="single" w:color="auto" w:sz="4" w:space="0"/>
            </w:tcBorders>
            <w:vAlign w:val="center"/>
          </w:tcPr>
          <w:p w14:paraId="0FA1D982">
            <w:pPr>
              <w:widowControl/>
              <w:jc w:val="center"/>
              <w:rPr>
                <w:rFonts w:ascii="宋体" w:hAnsi="宋体" w:cs="宋体"/>
                <w:color w:val="auto"/>
                <w:kern w:val="0"/>
                <w:sz w:val="18"/>
                <w:szCs w:val="18"/>
              </w:rPr>
            </w:pPr>
            <w:r>
              <w:rPr>
                <w:rFonts w:hint="eastAsia" w:ascii="宋体" w:hAnsi="宋体" w:cs="宋体"/>
                <w:color w:val="auto"/>
                <w:kern w:val="0"/>
                <w:sz w:val="18"/>
                <w:szCs w:val="18"/>
              </w:rPr>
              <w:t>Y＜2000</w:t>
            </w:r>
          </w:p>
        </w:tc>
      </w:tr>
      <w:tr w14:paraId="14DDE03C">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19B6F07B">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物业管理</w:t>
            </w:r>
          </w:p>
        </w:tc>
        <w:tc>
          <w:tcPr>
            <w:tcW w:w="1972" w:type="dxa"/>
            <w:tcBorders>
              <w:top w:val="nil"/>
              <w:left w:val="nil"/>
              <w:bottom w:val="single" w:color="auto" w:sz="4" w:space="0"/>
              <w:right w:val="single" w:color="auto" w:sz="4" w:space="0"/>
            </w:tcBorders>
            <w:vAlign w:val="center"/>
          </w:tcPr>
          <w:p w14:paraId="10266EF1">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845" w:type="dxa"/>
            <w:tcBorders>
              <w:top w:val="nil"/>
              <w:left w:val="nil"/>
              <w:bottom w:val="single" w:color="auto" w:sz="4" w:space="0"/>
              <w:right w:val="single" w:color="auto" w:sz="4" w:space="0"/>
            </w:tcBorders>
            <w:vAlign w:val="center"/>
          </w:tcPr>
          <w:p w14:paraId="45AEF8A0">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830" w:type="dxa"/>
            <w:tcBorders>
              <w:top w:val="nil"/>
              <w:left w:val="nil"/>
              <w:bottom w:val="single" w:color="auto" w:sz="4" w:space="0"/>
              <w:right w:val="single" w:color="auto" w:sz="4" w:space="0"/>
            </w:tcBorders>
            <w:vAlign w:val="center"/>
          </w:tcPr>
          <w:p w14:paraId="673367A0">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690" w:type="dxa"/>
            <w:tcBorders>
              <w:top w:val="nil"/>
              <w:left w:val="nil"/>
              <w:bottom w:val="single" w:color="auto" w:sz="4" w:space="0"/>
              <w:right w:val="single" w:color="auto" w:sz="4" w:space="0"/>
            </w:tcBorders>
            <w:vAlign w:val="center"/>
          </w:tcPr>
          <w:p w14:paraId="6F3F3380">
            <w:pPr>
              <w:widowControl/>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127" w:type="dxa"/>
            <w:tcBorders>
              <w:top w:val="nil"/>
              <w:left w:val="nil"/>
              <w:bottom w:val="single" w:color="auto" w:sz="4" w:space="0"/>
              <w:right w:val="single" w:color="auto" w:sz="4" w:space="0"/>
            </w:tcBorders>
            <w:vAlign w:val="center"/>
          </w:tcPr>
          <w:p w14:paraId="139538E6">
            <w:pPr>
              <w:widowControl/>
              <w:jc w:val="center"/>
              <w:rPr>
                <w:rFonts w:ascii="宋体" w:hAnsi="宋体" w:cs="宋体"/>
                <w:color w:val="auto"/>
                <w:kern w:val="0"/>
                <w:sz w:val="18"/>
                <w:szCs w:val="18"/>
              </w:rPr>
            </w:pPr>
            <w:r>
              <w:rPr>
                <w:rFonts w:hint="eastAsia" w:ascii="宋体" w:hAnsi="宋体" w:cs="宋体"/>
                <w:color w:val="auto"/>
                <w:kern w:val="0"/>
                <w:sz w:val="18"/>
                <w:szCs w:val="18"/>
              </w:rPr>
              <w:t>X＜100</w:t>
            </w:r>
          </w:p>
        </w:tc>
      </w:tr>
      <w:tr w14:paraId="5B2C6A08">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366459C3">
            <w:pPr>
              <w:widowControl/>
              <w:jc w:val="center"/>
              <w:rPr>
                <w:rFonts w:ascii="宋体" w:hAnsi="宋体" w:cs="宋体"/>
                <w:b/>
                <w:bCs/>
                <w:color w:val="auto"/>
                <w:kern w:val="0"/>
                <w:sz w:val="18"/>
                <w:szCs w:val="18"/>
              </w:rPr>
            </w:pPr>
          </w:p>
        </w:tc>
        <w:tc>
          <w:tcPr>
            <w:tcW w:w="1972" w:type="dxa"/>
            <w:tcBorders>
              <w:top w:val="nil"/>
              <w:left w:val="nil"/>
              <w:bottom w:val="single" w:color="auto" w:sz="4" w:space="0"/>
              <w:right w:val="single" w:color="auto" w:sz="4" w:space="0"/>
            </w:tcBorders>
            <w:vAlign w:val="center"/>
          </w:tcPr>
          <w:p w14:paraId="609C9734">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845" w:type="dxa"/>
            <w:tcBorders>
              <w:top w:val="nil"/>
              <w:left w:val="nil"/>
              <w:bottom w:val="single" w:color="auto" w:sz="4" w:space="0"/>
              <w:right w:val="single" w:color="auto" w:sz="4" w:space="0"/>
            </w:tcBorders>
            <w:vAlign w:val="center"/>
          </w:tcPr>
          <w:p w14:paraId="11BAF1FA">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830" w:type="dxa"/>
            <w:tcBorders>
              <w:top w:val="nil"/>
              <w:left w:val="nil"/>
              <w:bottom w:val="single" w:color="auto" w:sz="4" w:space="0"/>
              <w:right w:val="single" w:color="auto" w:sz="4" w:space="0"/>
            </w:tcBorders>
            <w:vAlign w:val="center"/>
          </w:tcPr>
          <w:p w14:paraId="6AE8350A">
            <w:pPr>
              <w:widowControl/>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1690" w:type="dxa"/>
            <w:tcBorders>
              <w:top w:val="nil"/>
              <w:left w:val="nil"/>
              <w:bottom w:val="single" w:color="auto" w:sz="4" w:space="0"/>
              <w:right w:val="single" w:color="auto" w:sz="4" w:space="0"/>
            </w:tcBorders>
            <w:vAlign w:val="center"/>
          </w:tcPr>
          <w:p w14:paraId="6353EBBE">
            <w:pPr>
              <w:widowControl/>
              <w:jc w:val="center"/>
              <w:rPr>
                <w:rFonts w:ascii="宋体" w:hAnsi="宋体" w:cs="宋体"/>
                <w:color w:val="auto"/>
                <w:kern w:val="0"/>
                <w:sz w:val="18"/>
                <w:szCs w:val="18"/>
              </w:rPr>
            </w:pPr>
            <w:r>
              <w:rPr>
                <w:rFonts w:hint="eastAsia" w:ascii="宋体" w:hAnsi="宋体" w:cs="宋体"/>
                <w:color w:val="auto"/>
                <w:kern w:val="0"/>
                <w:sz w:val="18"/>
                <w:szCs w:val="18"/>
              </w:rPr>
              <w:t>500≤Y＜1000</w:t>
            </w:r>
          </w:p>
        </w:tc>
        <w:tc>
          <w:tcPr>
            <w:tcW w:w="1127" w:type="dxa"/>
            <w:tcBorders>
              <w:top w:val="nil"/>
              <w:left w:val="nil"/>
              <w:bottom w:val="single" w:color="auto" w:sz="4" w:space="0"/>
              <w:right w:val="single" w:color="auto" w:sz="4" w:space="0"/>
            </w:tcBorders>
            <w:vAlign w:val="center"/>
          </w:tcPr>
          <w:p w14:paraId="30C84F5A">
            <w:pPr>
              <w:widowControl/>
              <w:jc w:val="center"/>
              <w:rPr>
                <w:rFonts w:ascii="宋体" w:hAnsi="宋体" w:cs="宋体"/>
                <w:color w:val="auto"/>
                <w:kern w:val="0"/>
                <w:sz w:val="18"/>
                <w:szCs w:val="18"/>
              </w:rPr>
            </w:pPr>
            <w:r>
              <w:rPr>
                <w:rFonts w:hint="eastAsia" w:ascii="宋体" w:hAnsi="宋体" w:cs="宋体"/>
                <w:color w:val="auto"/>
                <w:kern w:val="0"/>
                <w:sz w:val="18"/>
                <w:szCs w:val="18"/>
              </w:rPr>
              <w:t>Y＜500</w:t>
            </w:r>
          </w:p>
        </w:tc>
      </w:tr>
      <w:tr w14:paraId="12C00162">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3A7C1831">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租赁和商务服务业</w:t>
            </w:r>
          </w:p>
        </w:tc>
        <w:tc>
          <w:tcPr>
            <w:tcW w:w="1972" w:type="dxa"/>
            <w:tcBorders>
              <w:top w:val="nil"/>
              <w:left w:val="nil"/>
              <w:bottom w:val="single" w:color="auto" w:sz="4" w:space="0"/>
              <w:right w:val="single" w:color="auto" w:sz="4" w:space="0"/>
            </w:tcBorders>
            <w:vAlign w:val="center"/>
          </w:tcPr>
          <w:p w14:paraId="5B3A5DF3">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845" w:type="dxa"/>
            <w:tcBorders>
              <w:top w:val="nil"/>
              <w:left w:val="nil"/>
              <w:bottom w:val="single" w:color="auto" w:sz="4" w:space="0"/>
              <w:right w:val="single" w:color="auto" w:sz="4" w:space="0"/>
            </w:tcBorders>
            <w:vAlign w:val="center"/>
          </w:tcPr>
          <w:p w14:paraId="155E404D">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830" w:type="dxa"/>
            <w:tcBorders>
              <w:top w:val="nil"/>
              <w:left w:val="nil"/>
              <w:bottom w:val="single" w:color="auto" w:sz="4" w:space="0"/>
              <w:right w:val="single" w:color="auto" w:sz="4" w:space="0"/>
            </w:tcBorders>
            <w:vAlign w:val="center"/>
          </w:tcPr>
          <w:p w14:paraId="48AF1D83">
            <w:pPr>
              <w:widowControl/>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690" w:type="dxa"/>
            <w:tcBorders>
              <w:top w:val="nil"/>
              <w:left w:val="nil"/>
              <w:bottom w:val="single" w:color="auto" w:sz="4" w:space="0"/>
              <w:right w:val="single" w:color="auto" w:sz="4" w:space="0"/>
            </w:tcBorders>
            <w:vAlign w:val="center"/>
          </w:tcPr>
          <w:p w14:paraId="2E2B7FAE">
            <w:pPr>
              <w:widowControl/>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1127" w:type="dxa"/>
            <w:tcBorders>
              <w:top w:val="nil"/>
              <w:left w:val="nil"/>
              <w:bottom w:val="single" w:color="auto" w:sz="4" w:space="0"/>
              <w:right w:val="single" w:color="auto" w:sz="4" w:space="0"/>
            </w:tcBorders>
            <w:vAlign w:val="center"/>
          </w:tcPr>
          <w:p w14:paraId="315A939E">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5ADAE44D">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560EB640">
            <w:pPr>
              <w:widowControl/>
              <w:jc w:val="center"/>
              <w:rPr>
                <w:rFonts w:ascii="宋体" w:hAnsi="宋体" w:cs="宋体"/>
                <w:b/>
                <w:bCs/>
                <w:color w:val="auto"/>
                <w:kern w:val="0"/>
                <w:sz w:val="18"/>
                <w:szCs w:val="18"/>
              </w:rPr>
            </w:pPr>
          </w:p>
        </w:tc>
        <w:tc>
          <w:tcPr>
            <w:tcW w:w="1972" w:type="dxa"/>
            <w:tcBorders>
              <w:top w:val="nil"/>
              <w:left w:val="nil"/>
              <w:bottom w:val="single" w:color="auto" w:sz="4" w:space="0"/>
              <w:right w:val="single" w:color="auto" w:sz="4" w:space="0"/>
            </w:tcBorders>
            <w:vAlign w:val="center"/>
          </w:tcPr>
          <w:p w14:paraId="28D78422">
            <w:pPr>
              <w:widowControl/>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845" w:type="dxa"/>
            <w:tcBorders>
              <w:top w:val="nil"/>
              <w:left w:val="nil"/>
              <w:bottom w:val="single" w:color="auto" w:sz="4" w:space="0"/>
              <w:right w:val="single" w:color="auto" w:sz="4" w:space="0"/>
            </w:tcBorders>
            <w:vAlign w:val="center"/>
          </w:tcPr>
          <w:p w14:paraId="3E631EFB">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830" w:type="dxa"/>
            <w:tcBorders>
              <w:top w:val="nil"/>
              <w:left w:val="nil"/>
              <w:bottom w:val="single" w:color="auto" w:sz="4" w:space="0"/>
              <w:right w:val="single" w:color="auto" w:sz="4" w:space="0"/>
            </w:tcBorders>
            <w:vAlign w:val="center"/>
          </w:tcPr>
          <w:p w14:paraId="6C832EDA">
            <w:pPr>
              <w:widowControl/>
              <w:jc w:val="center"/>
              <w:rPr>
                <w:rFonts w:ascii="宋体" w:hAnsi="宋体" w:cs="宋体"/>
                <w:color w:val="auto"/>
                <w:kern w:val="0"/>
                <w:sz w:val="18"/>
                <w:szCs w:val="18"/>
              </w:rPr>
            </w:pPr>
            <w:r>
              <w:rPr>
                <w:rFonts w:hint="eastAsia" w:ascii="宋体" w:hAnsi="宋体" w:cs="宋体"/>
                <w:color w:val="auto"/>
                <w:kern w:val="0"/>
                <w:sz w:val="18"/>
                <w:szCs w:val="18"/>
              </w:rPr>
              <w:t>8000≤Z＜120000</w:t>
            </w:r>
          </w:p>
        </w:tc>
        <w:tc>
          <w:tcPr>
            <w:tcW w:w="1690" w:type="dxa"/>
            <w:tcBorders>
              <w:top w:val="nil"/>
              <w:left w:val="nil"/>
              <w:bottom w:val="single" w:color="auto" w:sz="4" w:space="0"/>
              <w:right w:val="single" w:color="auto" w:sz="4" w:space="0"/>
            </w:tcBorders>
            <w:vAlign w:val="center"/>
          </w:tcPr>
          <w:p w14:paraId="43871A52">
            <w:pPr>
              <w:widowControl/>
              <w:jc w:val="center"/>
              <w:rPr>
                <w:rFonts w:ascii="宋体" w:hAnsi="宋体" w:cs="宋体"/>
                <w:color w:val="auto"/>
                <w:kern w:val="0"/>
                <w:sz w:val="18"/>
                <w:szCs w:val="18"/>
              </w:rPr>
            </w:pPr>
            <w:r>
              <w:rPr>
                <w:rFonts w:hint="eastAsia" w:ascii="宋体" w:hAnsi="宋体" w:cs="宋体"/>
                <w:color w:val="auto"/>
                <w:kern w:val="0"/>
                <w:sz w:val="18"/>
                <w:szCs w:val="18"/>
              </w:rPr>
              <w:t>100≤Z＜8000</w:t>
            </w:r>
          </w:p>
        </w:tc>
        <w:tc>
          <w:tcPr>
            <w:tcW w:w="1127" w:type="dxa"/>
            <w:tcBorders>
              <w:top w:val="nil"/>
              <w:left w:val="nil"/>
              <w:bottom w:val="single" w:color="auto" w:sz="4" w:space="0"/>
              <w:right w:val="single" w:color="auto" w:sz="4" w:space="0"/>
            </w:tcBorders>
            <w:vAlign w:val="center"/>
          </w:tcPr>
          <w:p w14:paraId="2235E21C">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1AF17EC3">
        <w:tblPrEx>
          <w:tblCellMar>
            <w:top w:w="0" w:type="dxa"/>
            <w:left w:w="108" w:type="dxa"/>
            <w:bottom w:w="0" w:type="dxa"/>
            <w:right w:w="108" w:type="dxa"/>
          </w:tblCellMar>
        </w:tblPrEx>
        <w:trPr>
          <w:trHeight w:val="348" w:hRule="atLeast"/>
        </w:trPr>
        <w:tc>
          <w:tcPr>
            <w:tcW w:w="1973" w:type="dxa"/>
            <w:tcBorders>
              <w:top w:val="nil"/>
              <w:left w:val="single" w:color="auto" w:sz="4" w:space="0"/>
              <w:bottom w:val="single" w:color="auto" w:sz="4" w:space="0"/>
              <w:right w:val="single" w:color="auto" w:sz="4" w:space="0"/>
            </w:tcBorders>
            <w:vAlign w:val="center"/>
          </w:tcPr>
          <w:p w14:paraId="4D4ED282">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其他未列明行业</w:t>
            </w:r>
          </w:p>
        </w:tc>
        <w:tc>
          <w:tcPr>
            <w:tcW w:w="1972" w:type="dxa"/>
            <w:tcBorders>
              <w:top w:val="nil"/>
              <w:left w:val="nil"/>
              <w:bottom w:val="single" w:color="auto" w:sz="4" w:space="0"/>
              <w:right w:val="single" w:color="auto" w:sz="4" w:space="0"/>
            </w:tcBorders>
            <w:vAlign w:val="center"/>
          </w:tcPr>
          <w:p w14:paraId="1B6F00D2">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845" w:type="dxa"/>
            <w:tcBorders>
              <w:top w:val="nil"/>
              <w:left w:val="nil"/>
              <w:bottom w:val="single" w:color="auto" w:sz="4" w:space="0"/>
              <w:right w:val="single" w:color="auto" w:sz="4" w:space="0"/>
            </w:tcBorders>
            <w:vAlign w:val="center"/>
          </w:tcPr>
          <w:p w14:paraId="5FAE5404">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830" w:type="dxa"/>
            <w:tcBorders>
              <w:top w:val="nil"/>
              <w:left w:val="nil"/>
              <w:bottom w:val="single" w:color="auto" w:sz="4" w:space="0"/>
              <w:right w:val="single" w:color="auto" w:sz="4" w:space="0"/>
            </w:tcBorders>
            <w:vAlign w:val="center"/>
          </w:tcPr>
          <w:p w14:paraId="4F2C1CBE">
            <w:pPr>
              <w:widowControl/>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690" w:type="dxa"/>
            <w:tcBorders>
              <w:top w:val="nil"/>
              <w:left w:val="nil"/>
              <w:bottom w:val="single" w:color="auto" w:sz="4" w:space="0"/>
              <w:right w:val="single" w:color="auto" w:sz="4" w:space="0"/>
            </w:tcBorders>
            <w:vAlign w:val="center"/>
          </w:tcPr>
          <w:p w14:paraId="171ECBF8">
            <w:pPr>
              <w:widowControl/>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1127" w:type="dxa"/>
            <w:tcBorders>
              <w:top w:val="nil"/>
              <w:left w:val="nil"/>
              <w:bottom w:val="single" w:color="auto" w:sz="4" w:space="0"/>
              <w:right w:val="single" w:color="auto" w:sz="4" w:space="0"/>
            </w:tcBorders>
            <w:vAlign w:val="center"/>
          </w:tcPr>
          <w:p w14:paraId="4C30542C">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bl>
    <w:p w14:paraId="69B61A74">
      <w:pPr>
        <w:ind w:firstLine="525" w:firstLineChars="250"/>
        <w:rPr>
          <w:rFonts w:ascii="宋体" w:hAnsi="宋体" w:cs="宋体"/>
          <w:color w:val="auto"/>
          <w:szCs w:val="21"/>
        </w:rPr>
      </w:pPr>
      <w:r>
        <w:rPr>
          <w:rFonts w:hint="eastAsia" w:ascii="宋体" w:hAnsi="宋体" w:cs="宋体"/>
          <w:color w:val="auto"/>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17FA5648">
      <w:pPr>
        <w:rPr>
          <w:rFonts w:ascii="宋体" w:hAnsi="宋体" w:cs="宋体"/>
          <w:color w:val="auto"/>
        </w:rPr>
      </w:pPr>
    </w:p>
    <w:p w14:paraId="74CA750F">
      <w:pPr>
        <w:rPr>
          <w:rFonts w:ascii="宋体" w:hAnsi="宋体" w:cs="宋体"/>
          <w:color w:val="auto"/>
        </w:rPr>
      </w:pPr>
    </w:p>
    <w:p w14:paraId="7B87B490">
      <w:pPr>
        <w:pStyle w:val="3"/>
        <w:jc w:val="center"/>
        <w:rPr>
          <w:rFonts w:ascii="宋体" w:hAnsi="宋体" w:cs="宋体"/>
          <w:color w:val="auto"/>
        </w:rPr>
      </w:pPr>
      <w:r>
        <w:rPr>
          <w:rFonts w:hint="eastAsia" w:ascii="宋体" w:hAnsi="宋体" w:cs="宋体"/>
          <w:color w:val="auto"/>
        </w:rPr>
        <w:br w:type="page"/>
      </w:r>
      <w:bookmarkStart w:id="57" w:name="_Toc22567"/>
      <w:r>
        <w:rPr>
          <w:rFonts w:hint="eastAsia" w:ascii="宋体" w:hAnsi="宋体" w:cs="宋体"/>
          <w:color w:val="auto"/>
        </w:rPr>
        <w:t>第四章  评审程序、评审方法和评审标准</w:t>
      </w:r>
      <w:bookmarkEnd w:id="57"/>
    </w:p>
    <w:p w14:paraId="6968D5FF">
      <w:pPr>
        <w:spacing w:line="400" w:lineRule="exact"/>
        <w:jc w:val="center"/>
        <w:rPr>
          <w:rFonts w:ascii="宋体" w:hAnsi="宋体" w:cs="宋体"/>
          <w:b/>
          <w:color w:val="auto"/>
          <w:sz w:val="32"/>
          <w:szCs w:val="32"/>
        </w:rPr>
      </w:pPr>
      <w:bookmarkStart w:id="58" w:name="_Toc22682"/>
      <w:r>
        <w:rPr>
          <w:rFonts w:hint="eastAsia" w:ascii="宋体" w:hAnsi="宋体" w:cs="宋体"/>
          <w:b/>
          <w:color w:val="auto"/>
          <w:sz w:val="32"/>
          <w:szCs w:val="32"/>
        </w:rPr>
        <w:t>一、评审程序和评审方法</w:t>
      </w:r>
      <w:bookmarkEnd w:id="58"/>
    </w:p>
    <w:p w14:paraId="294AA7D8">
      <w:pPr>
        <w:spacing w:line="360" w:lineRule="auto"/>
        <w:ind w:firstLine="420" w:firstLineChars="200"/>
        <w:rPr>
          <w:rFonts w:ascii="宋体" w:hAnsi="宋体" w:cs="宋体"/>
          <w:bCs/>
          <w:color w:val="auto"/>
          <w:szCs w:val="21"/>
        </w:rPr>
      </w:pPr>
    </w:p>
    <w:p w14:paraId="37083F07">
      <w:pPr>
        <w:spacing w:line="360" w:lineRule="auto"/>
        <w:ind w:firstLine="420" w:firstLineChars="200"/>
        <w:rPr>
          <w:rFonts w:ascii="宋体" w:hAnsi="宋体" w:cs="宋体"/>
          <w:bCs/>
          <w:color w:val="auto"/>
          <w:szCs w:val="21"/>
        </w:rPr>
      </w:pPr>
      <w:r>
        <w:rPr>
          <w:rFonts w:hint="eastAsia" w:ascii="宋体" w:hAnsi="宋体" w:cs="宋体"/>
          <w:bCs/>
          <w:color w:val="auto"/>
          <w:szCs w:val="21"/>
        </w:rPr>
        <w:t>评审方法：☑最低评标价法，是指</w:t>
      </w:r>
      <w:r>
        <w:rPr>
          <w:rFonts w:hint="eastAsia" w:ascii="宋体" w:hAnsi="宋体" w:cs="宋体"/>
          <w:bCs/>
          <w:color w:val="auto"/>
          <w:szCs w:val="21"/>
          <w:lang w:val="en-US" w:eastAsia="zh-CN"/>
        </w:rPr>
        <w:t>响应</w:t>
      </w:r>
      <w:r>
        <w:rPr>
          <w:rFonts w:hint="eastAsia" w:ascii="宋体" w:hAnsi="宋体" w:cs="宋体"/>
          <w:bCs/>
          <w:color w:val="auto"/>
          <w:szCs w:val="21"/>
        </w:rPr>
        <w:t>文件满足谈判文件全部实质性要求，且竞标报价最低的谈判供应商为成交候选人的评标方法。</w:t>
      </w:r>
    </w:p>
    <w:p w14:paraId="6672B6EB">
      <w:pPr>
        <w:spacing w:line="360" w:lineRule="auto"/>
        <w:ind w:firstLine="420" w:firstLineChars="200"/>
        <w:rPr>
          <w:rFonts w:ascii="宋体" w:hAnsi="宋体" w:cs="宋体"/>
          <w:bCs/>
          <w:color w:val="auto"/>
          <w:szCs w:val="21"/>
        </w:rPr>
      </w:pPr>
      <w:r>
        <w:rPr>
          <w:rFonts w:hint="eastAsia" w:ascii="宋体" w:hAnsi="宋体" w:cs="宋体"/>
          <w:bCs/>
          <w:color w:val="auto"/>
          <w:szCs w:val="21"/>
        </w:rPr>
        <w:t>1.确认谈判文件</w:t>
      </w:r>
    </w:p>
    <w:p w14:paraId="32E2A69A">
      <w:pPr>
        <w:spacing w:line="360" w:lineRule="auto"/>
        <w:ind w:firstLine="420" w:firstLineChars="200"/>
        <w:rPr>
          <w:rFonts w:ascii="宋体" w:hAnsi="宋体" w:cs="宋体"/>
          <w:bCs/>
          <w:color w:val="auto"/>
          <w:szCs w:val="21"/>
        </w:rPr>
      </w:pPr>
      <w:r>
        <w:rPr>
          <w:rFonts w:hint="eastAsia" w:ascii="宋体" w:hAnsi="宋体" w:cs="宋体"/>
          <w:bCs/>
          <w:color w:val="auto"/>
          <w:szCs w:val="21"/>
        </w:rPr>
        <w:t>由谈判小组确认谈判文件。</w:t>
      </w:r>
    </w:p>
    <w:p w14:paraId="6FC73F87">
      <w:pPr>
        <w:spacing w:line="360" w:lineRule="auto"/>
        <w:ind w:firstLine="420" w:firstLineChars="200"/>
        <w:rPr>
          <w:rFonts w:ascii="宋体" w:hAnsi="宋体" w:cs="宋体"/>
          <w:bCs/>
          <w:color w:val="auto"/>
          <w:szCs w:val="21"/>
        </w:rPr>
      </w:pPr>
      <w:r>
        <w:rPr>
          <w:rFonts w:hint="eastAsia" w:ascii="宋体" w:hAnsi="宋体" w:cs="宋体"/>
          <w:bCs/>
          <w:color w:val="auto"/>
          <w:szCs w:val="21"/>
        </w:rPr>
        <w:t>2.资格审查</w:t>
      </w:r>
    </w:p>
    <w:p w14:paraId="4EA39AFB">
      <w:pPr>
        <w:spacing w:line="360" w:lineRule="auto"/>
        <w:ind w:firstLine="420" w:firstLineChars="200"/>
        <w:rPr>
          <w:rFonts w:ascii="宋体" w:hAnsi="宋体" w:cs="宋体"/>
          <w:bCs/>
          <w:color w:val="auto"/>
          <w:szCs w:val="21"/>
        </w:rPr>
      </w:pPr>
      <w:r>
        <w:rPr>
          <w:rFonts w:hint="eastAsia" w:ascii="宋体" w:hAnsi="宋体" w:cs="宋体"/>
          <w:bCs/>
          <w:color w:val="auto"/>
          <w:szCs w:val="21"/>
        </w:rPr>
        <w:t>2.1响应文件开启后，谈判小组依法对供应商的资格证明文件进行审查。</w:t>
      </w:r>
    </w:p>
    <w:p w14:paraId="0FDA9265">
      <w:pPr>
        <w:spacing w:line="360" w:lineRule="auto"/>
        <w:ind w:firstLine="420" w:firstLineChars="200"/>
        <w:rPr>
          <w:rFonts w:ascii="宋体" w:hAnsi="宋体" w:cs="宋体"/>
          <w:bCs/>
          <w:color w:val="auto"/>
          <w:szCs w:val="21"/>
        </w:rPr>
      </w:pPr>
      <w:r>
        <w:rPr>
          <w:rFonts w:hint="eastAsia" w:ascii="宋体" w:hAnsi="宋体" w:cs="宋体"/>
          <w:bCs/>
          <w:color w:val="auto"/>
          <w:szCs w:val="21"/>
        </w:rPr>
        <w:t>注：采购人代表或者采购代理机构在资格审查结束前，对供应商进行信用查询。</w:t>
      </w:r>
    </w:p>
    <w:p w14:paraId="706D874E">
      <w:pPr>
        <w:spacing w:line="360" w:lineRule="auto"/>
        <w:ind w:firstLine="420" w:firstLineChars="200"/>
        <w:rPr>
          <w:rFonts w:ascii="宋体" w:hAnsi="宋体" w:cs="宋体"/>
          <w:bCs/>
          <w:color w:val="auto"/>
          <w:szCs w:val="21"/>
        </w:rPr>
      </w:pPr>
      <w:r>
        <w:rPr>
          <w:rFonts w:hint="eastAsia" w:ascii="宋体" w:hAnsi="宋体" w:cs="宋体"/>
          <w:bCs/>
          <w:color w:val="auto"/>
          <w:szCs w:val="21"/>
        </w:rPr>
        <w:t>（1）查询渠道：“广西政府采购云”平台、“信用中国”网站、中国政府采购网链接入口。</w:t>
      </w:r>
    </w:p>
    <w:p w14:paraId="01AF8BC8">
      <w:pPr>
        <w:spacing w:line="360" w:lineRule="auto"/>
        <w:ind w:firstLine="420" w:firstLineChars="200"/>
        <w:rPr>
          <w:rFonts w:ascii="宋体" w:hAnsi="宋体" w:cs="宋体"/>
          <w:bCs/>
          <w:color w:val="auto"/>
          <w:szCs w:val="21"/>
        </w:rPr>
      </w:pPr>
      <w:r>
        <w:rPr>
          <w:rFonts w:hint="eastAsia" w:ascii="宋体" w:hAnsi="宋体" w:cs="宋体"/>
          <w:bCs/>
          <w:color w:val="auto"/>
          <w:szCs w:val="21"/>
        </w:rPr>
        <w:t>（2）信用查询截止时点：资格审查结束前。</w:t>
      </w:r>
    </w:p>
    <w:p w14:paraId="2838ADCC">
      <w:pPr>
        <w:spacing w:line="360" w:lineRule="auto"/>
        <w:ind w:firstLine="420" w:firstLineChars="200"/>
        <w:rPr>
          <w:rFonts w:ascii="宋体" w:hAnsi="宋体" w:cs="宋体"/>
          <w:bCs/>
          <w:color w:val="auto"/>
          <w:szCs w:val="21"/>
        </w:rPr>
      </w:pPr>
      <w:r>
        <w:rPr>
          <w:rFonts w:hint="eastAsia" w:ascii="宋体" w:hAnsi="宋体" w:cs="宋体"/>
          <w:bCs/>
          <w:color w:val="auto"/>
          <w:szCs w:val="21"/>
        </w:rPr>
        <w:t>查询记录和证据留存方式：在查询网站中直接打印查询记录，截图另存为电子文档作为评审资料保存。</w:t>
      </w:r>
    </w:p>
    <w:p w14:paraId="15FBBB9C">
      <w:pPr>
        <w:spacing w:line="360" w:lineRule="auto"/>
        <w:ind w:firstLine="420" w:firstLineChars="200"/>
        <w:rPr>
          <w:rFonts w:ascii="宋体" w:hAnsi="宋体" w:cs="宋体"/>
          <w:bCs/>
          <w:color w:val="auto"/>
          <w:szCs w:val="21"/>
        </w:rPr>
      </w:pPr>
      <w:r>
        <w:rPr>
          <w:rFonts w:hint="eastAsia" w:ascii="宋体" w:hAnsi="宋体" w:cs="宋体"/>
          <w:bCs/>
          <w:color w:val="auto"/>
          <w:szCs w:val="21"/>
        </w:rPr>
        <w:t>（3）信用信息使用规则：对在“信用中国”网站（www.creditchina.gov.cn）、中国政府采购网（www.ccgp.gov.cn）等渠道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CF51F83">
      <w:pPr>
        <w:spacing w:line="360" w:lineRule="auto"/>
        <w:ind w:firstLine="420" w:firstLineChars="200"/>
        <w:rPr>
          <w:rFonts w:ascii="宋体" w:hAnsi="宋体" w:cs="宋体"/>
          <w:bCs/>
          <w:color w:val="auto"/>
          <w:szCs w:val="21"/>
        </w:rPr>
      </w:pPr>
      <w:r>
        <w:rPr>
          <w:rFonts w:hint="eastAsia" w:ascii="宋体" w:hAnsi="宋体" w:cs="宋体"/>
          <w:bCs/>
          <w:color w:val="auto"/>
          <w:szCs w:val="21"/>
        </w:rPr>
        <w:t>2.2资格审查标准为本谈判文件中载明对供应商资格要求的条件。资格审查采用合格制，凡符合谈判文件规定的供应商资格要求的响应文件均通过资格审查。</w:t>
      </w:r>
    </w:p>
    <w:p w14:paraId="3993AAC1">
      <w:pPr>
        <w:spacing w:line="360" w:lineRule="auto"/>
        <w:ind w:firstLine="420" w:firstLineChars="200"/>
        <w:rPr>
          <w:rFonts w:ascii="宋体" w:hAnsi="宋体" w:cs="宋体"/>
          <w:bCs/>
          <w:color w:val="auto"/>
          <w:szCs w:val="21"/>
        </w:rPr>
      </w:pPr>
      <w:r>
        <w:rPr>
          <w:rFonts w:hint="eastAsia" w:ascii="宋体" w:hAnsi="宋体" w:cs="宋体"/>
          <w:bCs/>
          <w:color w:val="auto"/>
          <w:szCs w:val="21"/>
        </w:rPr>
        <w:t>2.3供应商有下列情形之一的，资格审查不通过，其响应文件按无效响应处理：</w:t>
      </w:r>
    </w:p>
    <w:p w14:paraId="74D9D38B">
      <w:pPr>
        <w:spacing w:line="360" w:lineRule="auto"/>
        <w:ind w:firstLine="420" w:firstLineChars="200"/>
        <w:rPr>
          <w:rFonts w:ascii="宋体" w:hAnsi="宋体" w:cs="宋体"/>
          <w:bCs/>
          <w:color w:val="auto"/>
          <w:szCs w:val="21"/>
        </w:rPr>
      </w:pPr>
      <w:r>
        <w:rPr>
          <w:rFonts w:hint="eastAsia" w:ascii="宋体" w:hAnsi="宋体" w:cs="宋体"/>
          <w:bCs/>
          <w:color w:val="auto"/>
          <w:szCs w:val="21"/>
        </w:rPr>
        <w:t>（1）不具备谈判文件中规定的资格要求的；</w:t>
      </w:r>
    </w:p>
    <w:p w14:paraId="6D024541">
      <w:pPr>
        <w:spacing w:line="360" w:lineRule="auto"/>
        <w:ind w:firstLine="420" w:firstLineChars="200"/>
        <w:rPr>
          <w:rFonts w:ascii="宋体" w:hAnsi="宋体" w:cs="宋体"/>
          <w:bCs/>
          <w:color w:val="auto"/>
          <w:szCs w:val="21"/>
        </w:rPr>
      </w:pPr>
      <w:r>
        <w:rPr>
          <w:rFonts w:hint="eastAsia" w:ascii="宋体" w:hAnsi="宋体" w:cs="宋体"/>
          <w:bCs/>
          <w:color w:val="auto"/>
          <w:szCs w:val="21"/>
        </w:rPr>
        <w:t>（2）响应文件未提供任一项“供应商须知前附表”资格证明文件规定的“必须提供”的文件资料的；</w:t>
      </w:r>
    </w:p>
    <w:p w14:paraId="6C78EF29">
      <w:pPr>
        <w:spacing w:line="360" w:lineRule="auto"/>
        <w:ind w:firstLine="420" w:firstLineChars="200"/>
        <w:rPr>
          <w:rFonts w:ascii="宋体" w:hAnsi="宋体" w:cs="宋体"/>
          <w:bCs/>
          <w:color w:val="auto"/>
          <w:szCs w:val="21"/>
        </w:rPr>
      </w:pPr>
      <w:r>
        <w:rPr>
          <w:rFonts w:hint="eastAsia" w:ascii="宋体" w:hAnsi="宋体" w:cs="宋体"/>
          <w:bCs/>
          <w:color w:val="auto"/>
          <w:szCs w:val="21"/>
        </w:rPr>
        <w:t>（3）响应文件提供的资格证明文件出现任一项不符合“供应商须知前附表”资格证明文件规定的“必须提供”的文件资料要求或者无效的。</w:t>
      </w:r>
    </w:p>
    <w:p w14:paraId="0530654A">
      <w:pPr>
        <w:spacing w:line="360" w:lineRule="auto"/>
        <w:ind w:firstLine="420" w:firstLineChars="200"/>
        <w:rPr>
          <w:rFonts w:ascii="宋体" w:hAnsi="宋体" w:cs="宋体"/>
          <w:bCs/>
          <w:color w:val="auto"/>
          <w:szCs w:val="21"/>
        </w:rPr>
      </w:pPr>
      <w:bookmarkStart w:id="59" w:name="_Hlk68601553"/>
      <w:r>
        <w:rPr>
          <w:rFonts w:hint="eastAsia" w:ascii="宋体" w:hAnsi="宋体" w:cs="宋体"/>
          <w:bCs/>
          <w:color w:val="auto"/>
          <w:szCs w:val="21"/>
        </w:rPr>
        <w:t>（4）同一合同项下的不同供应商，单位负责人为同一人或者存在直接控股、管理关系的；为本项目提供过整体设计、规范编制或者项目管理、监理、检测等服务的。</w:t>
      </w:r>
      <w:bookmarkEnd w:id="59"/>
    </w:p>
    <w:p w14:paraId="5A3C9176">
      <w:pPr>
        <w:spacing w:line="360" w:lineRule="auto"/>
        <w:ind w:firstLine="420" w:firstLineChars="200"/>
        <w:rPr>
          <w:rFonts w:ascii="宋体" w:hAnsi="宋体" w:cs="宋体"/>
          <w:bCs/>
          <w:color w:val="auto"/>
          <w:szCs w:val="21"/>
        </w:rPr>
      </w:pPr>
      <w:r>
        <w:rPr>
          <w:rFonts w:hint="eastAsia" w:ascii="宋体" w:hAnsi="宋体" w:cs="宋体"/>
          <w:bCs/>
          <w:color w:val="auto"/>
          <w:szCs w:val="21"/>
        </w:rPr>
        <w:t>2.4通过资格审查的合格供应商不足3家的，不得进入符合性审查环节，采购人或者采购代理机构应当重新开展采购活动。</w:t>
      </w:r>
    </w:p>
    <w:p w14:paraId="2922E9D8">
      <w:pPr>
        <w:spacing w:line="360" w:lineRule="auto"/>
        <w:ind w:firstLine="420" w:firstLineChars="200"/>
        <w:rPr>
          <w:rFonts w:ascii="宋体" w:hAnsi="宋体" w:cs="宋体"/>
          <w:bCs/>
          <w:color w:val="auto"/>
          <w:szCs w:val="21"/>
        </w:rPr>
      </w:pPr>
      <w:r>
        <w:rPr>
          <w:rFonts w:hint="eastAsia" w:ascii="宋体" w:hAnsi="宋体" w:cs="宋体"/>
          <w:bCs/>
          <w:color w:val="auto"/>
          <w:szCs w:val="21"/>
        </w:rPr>
        <w:t>3.符合性审查</w:t>
      </w:r>
    </w:p>
    <w:p w14:paraId="2E8AE093">
      <w:pPr>
        <w:spacing w:line="360" w:lineRule="auto"/>
        <w:ind w:firstLine="420" w:firstLineChars="200"/>
        <w:rPr>
          <w:rFonts w:ascii="宋体" w:hAnsi="宋体" w:cs="宋体"/>
          <w:bCs/>
          <w:color w:val="auto"/>
          <w:szCs w:val="21"/>
        </w:rPr>
      </w:pPr>
      <w:r>
        <w:rPr>
          <w:rFonts w:hint="eastAsia" w:ascii="宋体" w:hAnsi="宋体" w:cs="宋体"/>
          <w:bCs/>
          <w:color w:val="auto"/>
          <w:szCs w:val="21"/>
        </w:rPr>
        <w:t>3.1由谈判小组对通过资格审查的合格供应商的响应文件的响应报价、商务、技术等实质性要求进行符合性审查，以确定其是否满足谈判文件的实质性要求。</w:t>
      </w:r>
    </w:p>
    <w:p w14:paraId="13BB1BB5">
      <w:pPr>
        <w:spacing w:line="360" w:lineRule="auto"/>
        <w:ind w:firstLine="420" w:firstLineChars="200"/>
        <w:rPr>
          <w:rFonts w:ascii="宋体" w:hAnsi="宋体" w:cs="宋体"/>
          <w:bCs/>
          <w:color w:val="auto"/>
          <w:szCs w:val="21"/>
        </w:rPr>
      </w:pPr>
      <w:r>
        <w:rPr>
          <w:rFonts w:hint="eastAsia" w:ascii="宋体" w:hAnsi="宋体" w:cs="宋体"/>
          <w:bCs/>
          <w:color w:val="auto"/>
          <w:szCs w:val="21"/>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A53C3BD">
      <w:pPr>
        <w:spacing w:line="360" w:lineRule="auto"/>
        <w:ind w:firstLine="420" w:firstLineChars="200"/>
        <w:rPr>
          <w:rFonts w:ascii="宋体" w:hAnsi="宋体" w:cs="宋体"/>
          <w:bCs/>
          <w:color w:val="auto"/>
          <w:szCs w:val="21"/>
        </w:rPr>
      </w:pPr>
      <w:r>
        <w:rPr>
          <w:rFonts w:hint="eastAsia" w:ascii="宋体" w:hAnsi="宋体" w:cs="宋体"/>
          <w:bCs/>
          <w:color w:val="auto"/>
          <w:szCs w:val="21"/>
        </w:rPr>
        <w:t>3.3谈判小组要求供应商澄清、说明或者更正响应文件应当以电子澄清函形式作出。供应商的澄清、说明或者更正应当以电子回函的形式按照谈判小组的要求作出明确的澄清、说明或者更正，未按谈判小组的要求作出明确澄清、说明或者更正的供应商的响应文件将按照有利于采购人的原则由谈判小组进行判定。供应商的澄清、说明或者更正必须加盖电子公章。供应商为自然人的，必须由本人签字并附身份证明。</w:t>
      </w:r>
    </w:p>
    <w:p w14:paraId="137670D7">
      <w:pPr>
        <w:spacing w:line="360" w:lineRule="auto"/>
        <w:ind w:firstLine="420" w:firstLineChars="200"/>
        <w:rPr>
          <w:rFonts w:ascii="宋体" w:hAnsi="宋体" w:cs="宋体"/>
          <w:bCs/>
          <w:color w:val="auto"/>
          <w:szCs w:val="21"/>
        </w:rPr>
      </w:pPr>
      <w:r>
        <w:rPr>
          <w:rFonts w:hint="eastAsia" w:ascii="宋体" w:hAnsi="宋体" w:cs="宋体"/>
          <w:bCs/>
          <w:color w:val="auto"/>
          <w:szCs w:val="21"/>
        </w:rPr>
        <w:t xml:space="preserve">3.4首次响应文件报价出现前后不一致的，按照下列规定修正： </w:t>
      </w:r>
    </w:p>
    <w:p w14:paraId="5A1785DA">
      <w:pPr>
        <w:spacing w:line="360" w:lineRule="auto"/>
        <w:ind w:firstLine="420" w:firstLineChars="200"/>
        <w:rPr>
          <w:rFonts w:ascii="宋体" w:hAnsi="宋体" w:cs="宋体"/>
          <w:bCs/>
          <w:color w:val="auto"/>
          <w:szCs w:val="21"/>
        </w:rPr>
      </w:pPr>
      <w:r>
        <w:rPr>
          <w:rFonts w:hint="eastAsia" w:ascii="宋体" w:hAnsi="宋体" w:cs="宋体"/>
          <w:bCs/>
          <w:color w:val="auto"/>
          <w:szCs w:val="21"/>
        </w:rPr>
        <w:t>（1）响应文件中报价表内容与响应文件中相应内容不一致的，以报价表为准；</w:t>
      </w:r>
    </w:p>
    <w:p w14:paraId="5D709B84">
      <w:pPr>
        <w:spacing w:line="360" w:lineRule="auto"/>
        <w:ind w:firstLine="420" w:firstLineChars="200"/>
        <w:rPr>
          <w:rFonts w:ascii="宋体" w:hAnsi="宋体" w:cs="宋体"/>
          <w:bCs/>
          <w:color w:val="auto"/>
          <w:szCs w:val="21"/>
        </w:rPr>
      </w:pPr>
      <w:r>
        <w:rPr>
          <w:rFonts w:hint="eastAsia" w:ascii="宋体" w:hAnsi="宋体" w:cs="宋体"/>
          <w:bCs/>
          <w:color w:val="auto"/>
          <w:szCs w:val="21"/>
        </w:rPr>
        <w:t>（2）大写金额和小写金额不一致的，以大写金额为准；</w:t>
      </w:r>
    </w:p>
    <w:p w14:paraId="48ED72F0">
      <w:pPr>
        <w:spacing w:line="360" w:lineRule="auto"/>
        <w:ind w:firstLine="420" w:firstLineChars="200"/>
        <w:rPr>
          <w:rFonts w:ascii="宋体" w:hAnsi="宋体" w:cs="宋体"/>
          <w:bCs/>
          <w:color w:val="auto"/>
          <w:szCs w:val="21"/>
        </w:rPr>
      </w:pPr>
      <w:r>
        <w:rPr>
          <w:rFonts w:hint="eastAsia" w:ascii="宋体" w:hAnsi="宋体" w:cs="宋体"/>
          <w:bCs/>
          <w:color w:val="auto"/>
          <w:szCs w:val="21"/>
        </w:rPr>
        <w:t>（3）单价金额小数点或者百分比有明显错位的，以报价表的总价为准，并修改单价；</w:t>
      </w:r>
    </w:p>
    <w:p w14:paraId="57A8E42B">
      <w:pPr>
        <w:spacing w:line="360" w:lineRule="auto"/>
        <w:ind w:firstLine="420" w:firstLineChars="200"/>
        <w:rPr>
          <w:rFonts w:ascii="宋体" w:hAnsi="宋体" w:cs="宋体"/>
          <w:bCs/>
          <w:color w:val="auto"/>
          <w:szCs w:val="21"/>
        </w:rPr>
      </w:pPr>
      <w:r>
        <w:rPr>
          <w:rFonts w:hint="eastAsia" w:ascii="宋体" w:hAnsi="宋体" w:cs="宋体"/>
          <w:bCs/>
          <w:color w:val="auto"/>
          <w:szCs w:val="21"/>
        </w:rPr>
        <w:t>（4）总价金额与按单价汇总金额不一致的，以单价金额计算结果为准。</w:t>
      </w:r>
    </w:p>
    <w:p w14:paraId="0432354E">
      <w:pPr>
        <w:pStyle w:val="10"/>
        <w:rPr>
          <w:rFonts w:ascii="宋体" w:hAnsi="宋体" w:cs="宋体"/>
          <w:bCs/>
          <w:color w:val="auto"/>
          <w:szCs w:val="21"/>
        </w:rPr>
      </w:pPr>
      <w:r>
        <w:rPr>
          <w:rFonts w:hint="eastAsia" w:ascii="宋体" w:hAnsi="宋体" w:cs="宋体"/>
          <w:bCs/>
          <w:color w:val="auto"/>
          <w:szCs w:val="21"/>
        </w:rPr>
        <w:t>同时出现两种以上不一致的，按照以上（1）</w:t>
      </w:r>
      <w:r>
        <w:rPr>
          <w:rFonts w:hint="eastAsia" w:ascii="宋体" w:hAnsi="宋体" w:cs="宋体"/>
          <w:color w:val="auto"/>
          <w:szCs w:val="21"/>
        </w:rPr>
        <w:t>～</w:t>
      </w:r>
      <w:r>
        <w:rPr>
          <w:rFonts w:hint="eastAsia" w:ascii="宋体" w:hAnsi="宋体" w:cs="宋体"/>
          <w:bCs/>
          <w:color w:val="auto"/>
          <w:szCs w:val="21"/>
        </w:rPr>
        <w:t>（4）规定的顺序逐条进行修正。修正后的报价经供应商确认后产生约束力，供应商不确认的，其响应文件按无效响应处理。</w:t>
      </w:r>
    </w:p>
    <w:p w14:paraId="1939F110">
      <w:pPr>
        <w:spacing w:line="360" w:lineRule="auto"/>
        <w:ind w:firstLine="420" w:firstLineChars="200"/>
        <w:rPr>
          <w:rFonts w:ascii="宋体" w:hAnsi="宋体" w:cs="宋体"/>
          <w:bCs/>
          <w:color w:val="auto"/>
          <w:szCs w:val="21"/>
        </w:rPr>
      </w:pPr>
      <w:r>
        <w:rPr>
          <w:rFonts w:hint="eastAsia" w:ascii="宋体" w:hAnsi="宋体" w:cs="宋体"/>
          <w:bCs/>
          <w:color w:val="auto"/>
          <w:szCs w:val="21"/>
        </w:rPr>
        <w:t>3.5商务技术、报价评审</w:t>
      </w:r>
    </w:p>
    <w:p w14:paraId="6499C362">
      <w:pPr>
        <w:spacing w:line="360" w:lineRule="auto"/>
        <w:ind w:firstLine="420" w:firstLineChars="200"/>
        <w:rPr>
          <w:rFonts w:ascii="宋体" w:hAnsi="宋体" w:cs="宋体"/>
          <w:bCs/>
          <w:color w:val="auto"/>
          <w:szCs w:val="21"/>
        </w:rPr>
      </w:pPr>
      <w:r>
        <w:rPr>
          <w:rFonts w:hint="eastAsia" w:ascii="宋体" w:hAnsi="宋体" w:cs="宋体"/>
          <w:bCs/>
          <w:color w:val="auto"/>
          <w:szCs w:val="21"/>
        </w:rPr>
        <w:t>在评审时，如发现下列情形之一的，将被视为响应文件无效处理：</w:t>
      </w:r>
    </w:p>
    <w:p w14:paraId="1DDB0ABC">
      <w:pPr>
        <w:spacing w:line="360" w:lineRule="auto"/>
        <w:ind w:firstLine="420" w:firstLineChars="200"/>
        <w:rPr>
          <w:rFonts w:ascii="宋体" w:hAnsi="宋体" w:cs="宋体"/>
          <w:bCs/>
          <w:color w:val="auto"/>
          <w:szCs w:val="21"/>
        </w:rPr>
      </w:pPr>
      <w:r>
        <w:rPr>
          <w:rFonts w:hint="eastAsia" w:ascii="宋体" w:hAnsi="宋体" w:cs="宋体"/>
          <w:bCs/>
          <w:color w:val="auto"/>
          <w:szCs w:val="21"/>
        </w:rPr>
        <w:t>（1）商务技术评审</w:t>
      </w:r>
    </w:p>
    <w:p w14:paraId="4C785920">
      <w:pPr>
        <w:spacing w:line="360" w:lineRule="auto"/>
        <w:ind w:firstLine="420" w:firstLineChars="200"/>
        <w:rPr>
          <w:rFonts w:ascii="宋体" w:hAnsi="宋体" w:cs="宋体"/>
          <w:bCs/>
          <w:color w:val="auto"/>
          <w:szCs w:val="21"/>
        </w:rPr>
      </w:pPr>
      <w:r>
        <w:rPr>
          <w:rFonts w:hint="eastAsia" w:ascii="宋体" w:hAnsi="宋体" w:cs="宋体"/>
          <w:bCs/>
          <w:color w:val="auto"/>
          <w:szCs w:val="21"/>
        </w:rPr>
        <w:t>1）响应文件未按谈判文件要求签署、盖章；</w:t>
      </w:r>
    </w:p>
    <w:p w14:paraId="40816E8D">
      <w:pPr>
        <w:spacing w:line="360" w:lineRule="auto"/>
        <w:ind w:firstLine="420" w:firstLineChars="200"/>
        <w:rPr>
          <w:rFonts w:ascii="宋体" w:hAnsi="宋体" w:cs="宋体"/>
          <w:bCs/>
          <w:color w:val="auto"/>
          <w:szCs w:val="21"/>
        </w:rPr>
      </w:pPr>
      <w:r>
        <w:rPr>
          <w:rFonts w:hint="eastAsia" w:ascii="宋体" w:hAnsi="宋体" w:cs="宋体"/>
          <w:bCs/>
          <w:color w:val="auto"/>
          <w:szCs w:val="21"/>
        </w:rPr>
        <w:t xml:space="preserve">2）委托代理人未能出具有效身份证明或者出具的身份证明与授权委托书中的信息不符； </w:t>
      </w:r>
    </w:p>
    <w:p w14:paraId="2ECF4AE6">
      <w:pPr>
        <w:spacing w:line="360" w:lineRule="auto"/>
        <w:ind w:firstLine="420" w:firstLineChars="200"/>
        <w:rPr>
          <w:rFonts w:ascii="宋体" w:hAnsi="宋体" w:cs="宋体"/>
          <w:bCs/>
          <w:color w:val="auto"/>
          <w:szCs w:val="21"/>
        </w:rPr>
      </w:pPr>
      <w:r>
        <w:rPr>
          <w:rFonts w:hint="eastAsia" w:ascii="宋体" w:hAnsi="宋体" w:cs="宋体"/>
          <w:bCs/>
          <w:color w:val="auto"/>
          <w:szCs w:val="21"/>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5D701D68">
      <w:pPr>
        <w:spacing w:line="360" w:lineRule="auto"/>
        <w:ind w:firstLine="420" w:firstLineChars="200"/>
        <w:rPr>
          <w:rFonts w:ascii="宋体" w:hAnsi="宋体" w:cs="宋体"/>
          <w:bCs/>
          <w:color w:val="auto"/>
          <w:szCs w:val="21"/>
        </w:rPr>
      </w:pPr>
      <w:r>
        <w:rPr>
          <w:rFonts w:hint="eastAsia" w:ascii="宋体" w:hAnsi="宋体" w:cs="宋体"/>
          <w:bCs/>
          <w:color w:val="auto"/>
          <w:szCs w:val="21"/>
        </w:rPr>
        <w:t>4）商务条款中标“▲”的条款发生负偏离的或者允许负偏离的条款数超过“供应商须知前附表”规定项数的或者标明实质性的要求发生负偏离；</w:t>
      </w:r>
    </w:p>
    <w:p w14:paraId="1E0FC8A7">
      <w:pPr>
        <w:spacing w:line="360" w:lineRule="auto"/>
        <w:ind w:firstLine="420" w:firstLineChars="200"/>
        <w:rPr>
          <w:rFonts w:ascii="宋体" w:hAnsi="宋体" w:cs="宋体"/>
          <w:bCs/>
          <w:color w:val="auto"/>
          <w:szCs w:val="21"/>
        </w:rPr>
      </w:pPr>
      <w:r>
        <w:rPr>
          <w:rFonts w:hint="eastAsia" w:ascii="宋体" w:hAnsi="宋体" w:cs="宋体"/>
          <w:bCs/>
          <w:color w:val="auto"/>
          <w:szCs w:val="21"/>
        </w:rPr>
        <w:t>5）未对竞标有效期作出响应或者响应文件承诺的竞标有效期不满足谈判文件要求；</w:t>
      </w:r>
    </w:p>
    <w:p w14:paraId="57FE3D07">
      <w:pPr>
        <w:spacing w:line="360" w:lineRule="auto"/>
        <w:ind w:firstLine="420" w:firstLineChars="200"/>
        <w:rPr>
          <w:rFonts w:ascii="宋体" w:hAnsi="宋体" w:cs="宋体"/>
          <w:bCs/>
          <w:color w:val="auto"/>
          <w:szCs w:val="21"/>
        </w:rPr>
      </w:pPr>
      <w:r>
        <w:rPr>
          <w:rFonts w:hint="eastAsia" w:ascii="宋体" w:hAnsi="宋体" w:cs="宋体"/>
          <w:bCs/>
          <w:color w:val="auto"/>
          <w:szCs w:val="21"/>
        </w:rPr>
        <w:t>6）响应文件的实质性内容未使用中文表述、使用计量单位不符合谈判文件要求；</w:t>
      </w:r>
    </w:p>
    <w:p w14:paraId="4BBD7103">
      <w:pPr>
        <w:spacing w:line="360" w:lineRule="auto"/>
        <w:ind w:firstLine="420" w:firstLineChars="200"/>
        <w:rPr>
          <w:rFonts w:ascii="宋体" w:hAnsi="宋体" w:cs="宋体"/>
          <w:bCs/>
          <w:color w:val="auto"/>
          <w:szCs w:val="21"/>
        </w:rPr>
      </w:pPr>
      <w:r>
        <w:rPr>
          <w:rFonts w:hint="eastAsia" w:ascii="宋体" w:hAnsi="宋体" w:cs="宋体"/>
          <w:bCs/>
          <w:color w:val="auto"/>
          <w:szCs w:val="21"/>
        </w:rPr>
        <w:t>7）响应文件中的文件资料因填写不齐全或者内容虚假或者出现其他情形而导致被谈判小组认定无效；</w:t>
      </w:r>
    </w:p>
    <w:p w14:paraId="3AF97F75">
      <w:pPr>
        <w:spacing w:line="360" w:lineRule="auto"/>
        <w:ind w:firstLine="420" w:firstLineChars="200"/>
        <w:rPr>
          <w:rFonts w:ascii="宋体" w:hAnsi="宋体" w:cs="宋体"/>
          <w:bCs/>
          <w:color w:val="auto"/>
          <w:szCs w:val="21"/>
        </w:rPr>
      </w:pPr>
      <w:r>
        <w:rPr>
          <w:rFonts w:hint="eastAsia" w:ascii="宋体" w:hAnsi="宋体" w:cs="宋体"/>
          <w:bCs/>
          <w:color w:val="auto"/>
          <w:szCs w:val="21"/>
        </w:rPr>
        <w:t>8）响应文件含有采购人不能接受的附加条件；</w:t>
      </w:r>
    </w:p>
    <w:p w14:paraId="45D67947">
      <w:pPr>
        <w:spacing w:line="360" w:lineRule="auto"/>
        <w:ind w:firstLine="420" w:firstLineChars="200"/>
        <w:rPr>
          <w:rFonts w:ascii="宋体" w:hAnsi="宋体" w:cs="宋体"/>
          <w:bCs/>
          <w:color w:val="auto"/>
          <w:szCs w:val="21"/>
        </w:rPr>
      </w:pPr>
      <w:r>
        <w:rPr>
          <w:rFonts w:hint="eastAsia" w:ascii="宋体" w:hAnsi="宋体" w:cs="宋体"/>
          <w:bCs/>
          <w:color w:val="auto"/>
          <w:szCs w:val="21"/>
        </w:rPr>
        <w:t>9）属于“供应商须知正文”第7.5条情形；</w:t>
      </w:r>
    </w:p>
    <w:p w14:paraId="7796763B">
      <w:pPr>
        <w:spacing w:line="360" w:lineRule="auto"/>
        <w:ind w:firstLine="420" w:firstLineChars="200"/>
        <w:rPr>
          <w:rFonts w:ascii="宋体" w:hAnsi="宋体" w:cs="宋体"/>
          <w:bCs/>
          <w:color w:val="auto"/>
          <w:szCs w:val="21"/>
        </w:rPr>
      </w:pPr>
      <w:r>
        <w:rPr>
          <w:rFonts w:hint="eastAsia" w:ascii="宋体" w:hAnsi="宋体" w:cs="宋体"/>
          <w:bCs/>
          <w:color w:val="auto"/>
          <w:szCs w:val="21"/>
        </w:rPr>
        <w:t>10）技术需求允许负偏离的条款数超过“供应商须知前附表”规定项数；</w:t>
      </w:r>
    </w:p>
    <w:p w14:paraId="63575E7D">
      <w:pPr>
        <w:spacing w:line="360" w:lineRule="auto"/>
        <w:ind w:firstLine="420" w:firstLineChars="200"/>
        <w:rPr>
          <w:rFonts w:ascii="宋体" w:hAnsi="宋体" w:cs="宋体"/>
          <w:bCs/>
          <w:color w:val="auto"/>
          <w:szCs w:val="21"/>
        </w:rPr>
      </w:pPr>
      <w:r>
        <w:rPr>
          <w:rFonts w:hint="eastAsia" w:ascii="宋体" w:hAnsi="宋体" w:cs="宋体"/>
          <w:bCs/>
          <w:color w:val="auto"/>
          <w:szCs w:val="21"/>
        </w:rPr>
        <w:t>11）虚假竞标，或者出现其他情形而导致被谈判小组认定无效；</w:t>
      </w:r>
    </w:p>
    <w:p w14:paraId="63E98692">
      <w:pPr>
        <w:spacing w:line="360" w:lineRule="auto"/>
        <w:ind w:firstLine="420" w:firstLineChars="200"/>
        <w:rPr>
          <w:rFonts w:ascii="宋体" w:hAnsi="宋体" w:cs="宋体"/>
          <w:bCs/>
          <w:color w:val="auto"/>
          <w:szCs w:val="21"/>
        </w:rPr>
      </w:pPr>
      <w:r>
        <w:rPr>
          <w:rFonts w:hint="eastAsia" w:ascii="宋体" w:hAnsi="宋体" w:cs="宋体"/>
          <w:bCs/>
          <w:color w:val="auto"/>
          <w:szCs w:val="21"/>
        </w:rPr>
        <w:t>12）竞标技术方案不明确，谈判文件未允许但响应文件中存在一个或者一个以上备选（替代）竞标方案；</w:t>
      </w:r>
    </w:p>
    <w:p w14:paraId="00AF62EA">
      <w:pPr>
        <w:spacing w:line="360" w:lineRule="auto"/>
        <w:ind w:firstLine="420" w:firstLineChars="200"/>
        <w:rPr>
          <w:rFonts w:ascii="宋体" w:hAnsi="宋体" w:cs="宋体"/>
          <w:bCs/>
          <w:color w:val="auto"/>
          <w:szCs w:val="21"/>
        </w:rPr>
      </w:pPr>
      <w:r>
        <w:rPr>
          <w:rFonts w:hint="eastAsia" w:ascii="宋体" w:hAnsi="宋体" w:cs="宋体"/>
          <w:bCs/>
          <w:color w:val="auto"/>
          <w:szCs w:val="21"/>
        </w:rPr>
        <w:t>13）响应文件标注的项目名称或者项目编号与竞争性谈判文件标注的项目名称或者项目编号不一致的；</w:t>
      </w:r>
    </w:p>
    <w:p w14:paraId="709434DC">
      <w:pPr>
        <w:spacing w:line="360" w:lineRule="auto"/>
        <w:ind w:firstLine="420" w:firstLineChars="200"/>
        <w:rPr>
          <w:rFonts w:ascii="宋体" w:hAnsi="宋体" w:cs="宋体"/>
          <w:bCs/>
          <w:color w:val="auto"/>
          <w:szCs w:val="21"/>
        </w:rPr>
      </w:pPr>
      <w:r>
        <w:rPr>
          <w:rFonts w:hint="eastAsia" w:ascii="宋体" w:hAnsi="宋体" w:cs="宋体"/>
          <w:bCs/>
          <w:color w:val="auto"/>
          <w:szCs w:val="21"/>
        </w:rPr>
        <w:t>14）未响应谈判文件实质性要求；</w:t>
      </w:r>
    </w:p>
    <w:p w14:paraId="18D163EC">
      <w:pPr>
        <w:spacing w:line="360" w:lineRule="auto"/>
        <w:ind w:firstLine="420" w:firstLineChars="200"/>
        <w:rPr>
          <w:rFonts w:ascii="宋体" w:hAnsi="宋体" w:cs="宋体"/>
          <w:bCs/>
          <w:color w:val="auto"/>
          <w:szCs w:val="21"/>
        </w:rPr>
      </w:pPr>
      <w:r>
        <w:rPr>
          <w:rFonts w:hint="eastAsia" w:ascii="宋体" w:hAnsi="宋体" w:cs="宋体"/>
          <w:bCs/>
          <w:color w:val="auto"/>
          <w:szCs w:val="21"/>
        </w:rPr>
        <w:t>15）法律法规和谈判文件规定的其他无效情形。</w:t>
      </w:r>
    </w:p>
    <w:p w14:paraId="58278520">
      <w:pPr>
        <w:spacing w:line="360" w:lineRule="auto"/>
        <w:ind w:firstLine="420" w:firstLineChars="200"/>
        <w:rPr>
          <w:rFonts w:ascii="宋体" w:hAnsi="宋体" w:cs="宋体"/>
          <w:bCs/>
          <w:color w:val="auto"/>
          <w:szCs w:val="21"/>
        </w:rPr>
      </w:pPr>
      <w:r>
        <w:rPr>
          <w:rFonts w:hint="eastAsia" w:ascii="宋体" w:hAnsi="宋体" w:cs="宋体"/>
          <w:bCs/>
          <w:color w:val="auto"/>
          <w:szCs w:val="21"/>
        </w:rPr>
        <w:t>（2）报价评审</w:t>
      </w:r>
    </w:p>
    <w:p w14:paraId="093946B5">
      <w:pPr>
        <w:spacing w:line="360" w:lineRule="auto"/>
        <w:ind w:firstLine="420" w:firstLineChars="200"/>
        <w:rPr>
          <w:rFonts w:ascii="宋体" w:hAnsi="宋体" w:cs="宋体"/>
          <w:bCs/>
          <w:color w:val="auto"/>
          <w:szCs w:val="21"/>
        </w:rPr>
      </w:pPr>
      <w:r>
        <w:rPr>
          <w:rFonts w:hint="eastAsia" w:ascii="宋体" w:hAnsi="宋体" w:cs="宋体"/>
          <w:bCs/>
          <w:color w:val="auto"/>
          <w:szCs w:val="21"/>
        </w:rPr>
        <w:t>1) 响应文件未提供“供应商须知前附表” 报价文件中规定的“响应报价表”；</w:t>
      </w:r>
    </w:p>
    <w:p w14:paraId="270FD10E">
      <w:pPr>
        <w:spacing w:line="360" w:lineRule="auto"/>
        <w:ind w:firstLine="420" w:firstLineChars="200"/>
        <w:rPr>
          <w:rFonts w:ascii="宋体" w:hAnsi="宋体" w:cs="宋体"/>
          <w:bCs/>
          <w:color w:val="auto"/>
          <w:szCs w:val="21"/>
        </w:rPr>
      </w:pPr>
      <w:r>
        <w:rPr>
          <w:rFonts w:hint="eastAsia" w:ascii="宋体" w:hAnsi="宋体" w:cs="宋体"/>
          <w:bCs/>
          <w:color w:val="auto"/>
          <w:szCs w:val="21"/>
        </w:rPr>
        <w:t>2）未采用人民币报价或者未按照谈判文件标明的币种报价；</w:t>
      </w:r>
    </w:p>
    <w:p w14:paraId="1DE1FBE3">
      <w:pPr>
        <w:spacing w:line="360" w:lineRule="auto"/>
        <w:ind w:firstLine="420" w:firstLineChars="200"/>
        <w:rPr>
          <w:rFonts w:ascii="宋体" w:hAnsi="宋体" w:cs="宋体"/>
          <w:bCs/>
          <w:color w:val="auto"/>
          <w:szCs w:val="21"/>
        </w:rPr>
      </w:pPr>
      <w:r>
        <w:rPr>
          <w:rFonts w:hint="eastAsia" w:ascii="宋体" w:hAnsi="宋体" w:cs="宋体"/>
          <w:bCs/>
          <w:color w:val="auto"/>
          <w:szCs w:val="21"/>
        </w:rPr>
        <w:t>3）供应商未就所竞标分标进行报价或者存在漏项报价；供应商未就所竞标分标的单项内容作唯一报价；供应商未就所竞标分标的全部内容作唯一总价报价；供应商响应文件中存在有选择、有条件报价的（谈判文件允许有备选方案或者其他约定的除外）；</w:t>
      </w:r>
    </w:p>
    <w:p w14:paraId="4623F192">
      <w:pPr>
        <w:spacing w:line="360" w:lineRule="auto"/>
        <w:ind w:firstLine="420" w:firstLineChars="200"/>
        <w:rPr>
          <w:rFonts w:ascii="宋体" w:hAnsi="宋体" w:cs="宋体"/>
          <w:bCs/>
          <w:color w:val="auto"/>
          <w:szCs w:val="21"/>
        </w:rPr>
      </w:pPr>
      <w:r>
        <w:rPr>
          <w:rFonts w:hint="eastAsia" w:ascii="宋体" w:hAnsi="宋体" w:cs="宋体"/>
          <w:bCs/>
          <w:color w:val="auto"/>
          <w:szCs w:val="21"/>
        </w:rPr>
        <w:t>4）响应报价（包含首次报价、最后报价）超过所竞标分标规定的采购预算金额或者最高限价的（如本项目公布了最高限价）；响应报价（包含首次报价、最后报价）超过谈判文件分项采购预算金额或者最高限价的（如本项目公布了最高限价）；</w:t>
      </w:r>
    </w:p>
    <w:p w14:paraId="08698653">
      <w:pPr>
        <w:spacing w:line="360" w:lineRule="auto"/>
        <w:ind w:firstLine="420" w:firstLineChars="200"/>
        <w:rPr>
          <w:rFonts w:ascii="宋体" w:hAnsi="宋体" w:cs="宋体"/>
          <w:bCs/>
          <w:color w:val="auto"/>
          <w:szCs w:val="21"/>
        </w:rPr>
      </w:pPr>
      <w:r>
        <w:rPr>
          <w:rFonts w:hint="eastAsia" w:ascii="宋体" w:hAnsi="宋体" w:cs="宋体"/>
          <w:bCs/>
          <w:color w:val="auto"/>
          <w:szCs w:val="21"/>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谈判文件分项采购预算金额或者最高限价的（如本项目公布了最高限价）。</w:t>
      </w:r>
    </w:p>
    <w:p w14:paraId="7AF5676B">
      <w:pPr>
        <w:spacing w:line="360" w:lineRule="auto"/>
        <w:ind w:firstLine="420" w:firstLineChars="200"/>
        <w:rPr>
          <w:rFonts w:ascii="宋体" w:hAnsi="宋体" w:cs="宋体"/>
          <w:bCs/>
          <w:color w:val="auto"/>
          <w:szCs w:val="21"/>
        </w:rPr>
      </w:pPr>
      <w:r>
        <w:rPr>
          <w:rFonts w:hint="eastAsia" w:ascii="宋体" w:hAnsi="宋体" w:cs="宋体"/>
          <w:bCs/>
          <w:color w:val="auto"/>
          <w:szCs w:val="21"/>
        </w:rPr>
        <w:t>6）响应文件响应的标的数量及单位与竞争性谈判文件要求实质性不一致的。</w:t>
      </w:r>
    </w:p>
    <w:p w14:paraId="1C5FBE56">
      <w:pPr>
        <w:spacing w:line="360" w:lineRule="auto"/>
        <w:ind w:firstLine="420" w:firstLineChars="200"/>
        <w:rPr>
          <w:rFonts w:ascii="宋体" w:hAnsi="宋体" w:cs="宋体"/>
          <w:bCs/>
          <w:color w:val="auto"/>
          <w:szCs w:val="21"/>
        </w:rPr>
      </w:pPr>
      <w:r>
        <w:rPr>
          <w:rFonts w:hint="eastAsia" w:ascii="宋体" w:hAnsi="宋体" w:cs="宋体"/>
          <w:bCs/>
          <w:color w:val="auto"/>
          <w:szCs w:val="21"/>
        </w:rPr>
        <w:t>7）未响应谈判文件实质性要求的。</w:t>
      </w:r>
    </w:p>
    <w:p w14:paraId="120F0A57">
      <w:pPr>
        <w:spacing w:line="360" w:lineRule="auto"/>
        <w:ind w:firstLine="420" w:firstLineChars="200"/>
        <w:rPr>
          <w:rFonts w:ascii="宋体" w:hAnsi="宋体" w:cs="宋体"/>
          <w:bCs/>
          <w:color w:val="auto"/>
          <w:szCs w:val="21"/>
        </w:rPr>
      </w:pPr>
      <w:r>
        <w:rPr>
          <w:rFonts w:hint="eastAsia" w:ascii="宋体" w:hAnsi="宋体" w:cs="宋体"/>
          <w:bCs/>
          <w:color w:val="auto"/>
          <w:szCs w:val="21"/>
        </w:rPr>
        <w:t>3.6谈判小组对响应文件进行评审，未实质性响应谈判文件的响应文件按无效处理，谈判小组应当将资格和符合性不通过的情况告知有关供应商。谈判小组从符合谈判文件规定的相应资格条件的供应商名单中确定不少于3家的供应商参加谈判。</w:t>
      </w:r>
    </w:p>
    <w:p w14:paraId="2C9787F2">
      <w:pPr>
        <w:spacing w:line="360" w:lineRule="auto"/>
        <w:ind w:firstLine="420" w:firstLineChars="200"/>
        <w:rPr>
          <w:rFonts w:ascii="宋体" w:hAnsi="宋体" w:cs="宋体"/>
          <w:bCs/>
          <w:color w:val="auto"/>
          <w:szCs w:val="21"/>
        </w:rPr>
      </w:pPr>
      <w:r>
        <w:rPr>
          <w:rFonts w:hint="eastAsia" w:ascii="宋体" w:hAnsi="宋体" w:cs="宋体"/>
          <w:bCs/>
          <w:color w:val="auto"/>
          <w:szCs w:val="21"/>
        </w:rPr>
        <w:t>4.谈判程序</w:t>
      </w:r>
    </w:p>
    <w:p w14:paraId="00E29089">
      <w:pPr>
        <w:spacing w:line="360" w:lineRule="auto"/>
        <w:ind w:firstLine="420" w:firstLineChars="200"/>
        <w:rPr>
          <w:rFonts w:ascii="宋体" w:hAnsi="宋体" w:cs="宋体"/>
          <w:bCs/>
          <w:color w:val="auto"/>
          <w:szCs w:val="21"/>
        </w:rPr>
      </w:pPr>
      <w:r>
        <w:rPr>
          <w:rFonts w:hint="eastAsia" w:ascii="宋体" w:hAnsi="宋体" w:cs="宋体"/>
          <w:bCs/>
          <w:color w:val="auto"/>
          <w:szCs w:val="21"/>
        </w:rPr>
        <w:t>4.1谈判小组按照“供应商须知前附表” 确定的顺序，集中与单一供应商分别进行谈判，并给予所有参加谈判的供应商平等的谈判机会。符合谈判资格的供应商必须实时关注广西政府采购云平台（https://www.zcygov.cn）开标信息，在接到谈判通知后规定时间内参加谈判，未在规定时间内参加谈判的视同放弃参加谈判权利，其响应文件按无效响应处理。</w:t>
      </w:r>
    </w:p>
    <w:p w14:paraId="3FFAE84B">
      <w:pPr>
        <w:spacing w:line="360" w:lineRule="auto"/>
        <w:ind w:firstLine="420" w:firstLineChars="200"/>
        <w:rPr>
          <w:rFonts w:ascii="宋体" w:hAnsi="宋体" w:cs="宋体"/>
          <w:bCs/>
          <w:color w:val="auto"/>
          <w:szCs w:val="21"/>
        </w:rPr>
      </w:pPr>
      <w:r>
        <w:rPr>
          <w:rFonts w:hint="eastAsia" w:ascii="宋体" w:hAnsi="宋体" w:cs="宋体"/>
          <w:bCs/>
          <w:color w:val="auto"/>
          <w:szCs w:val="21"/>
        </w:rPr>
        <w:t>4.2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14:paraId="6FCF660F">
      <w:pPr>
        <w:spacing w:line="360" w:lineRule="auto"/>
        <w:ind w:firstLine="420" w:firstLineChars="200"/>
        <w:rPr>
          <w:rFonts w:ascii="宋体" w:hAnsi="宋体" w:cs="宋体"/>
          <w:bCs/>
          <w:color w:val="auto"/>
          <w:szCs w:val="21"/>
        </w:rPr>
      </w:pPr>
      <w:r>
        <w:rPr>
          <w:rFonts w:hint="eastAsia" w:ascii="宋体" w:hAnsi="宋体" w:cs="宋体"/>
          <w:bCs/>
          <w:color w:val="auto"/>
          <w:szCs w:val="21"/>
        </w:rPr>
        <w:t>4.3对谈判文件作出的实质性变动是谈判文件的有效组成部分，由谈判小组及时以电子澄清函形式同时通知所有参加谈判的供应商。</w:t>
      </w:r>
    </w:p>
    <w:p w14:paraId="5FE9D549">
      <w:pPr>
        <w:spacing w:line="360" w:lineRule="auto"/>
        <w:ind w:firstLine="420" w:firstLineChars="200"/>
        <w:rPr>
          <w:rFonts w:ascii="宋体" w:hAnsi="宋体" w:cs="宋体"/>
          <w:bCs/>
          <w:color w:val="auto"/>
          <w:szCs w:val="21"/>
        </w:rPr>
      </w:pPr>
      <w:r>
        <w:rPr>
          <w:rFonts w:hint="eastAsia" w:ascii="宋体" w:hAnsi="宋体" w:cs="宋体"/>
          <w:bCs/>
          <w:color w:val="auto"/>
          <w:szCs w:val="21"/>
        </w:rPr>
        <w:t>4.4供应商必须按照谈判文件的变动情况和谈判小组的要求以回函的形式重新提交响应文件，并加盖电子公章。供应商为自然人的，必须由本人签字并附身份证明。参加谈判的供应商未在规定时间内重新提交响应文件的，视同退出谈判。</w:t>
      </w:r>
    </w:p>
    <w:p w14:paraId="35BA4F88">
      <w:pPr>
        <w:spacing w:line="360" w:lineRule="auto"/>
        <w:ind w:firstLine="420" w:firstLineChars="200"/>
        <w:rPr>
          <w:rFonts w:ascii="宋体" w:hAnsi="宋体" w:cs="宋体"/>
          <w:bCs/>
          <w:color w:val="auto"/>
          <w:szCs w:val="21"/>
        </w:rPr>
      </w:pPr>
      <w:r>
        <w:rPr>
          <w:rFonts w:hint="eastAsia" w:ascii="宋体" w:hAnsi="宋体" w:cs="宋体"/>
          <w:bCs/>
          <w:color w:val="auto"/>
          <w:szCs w:val="21"/>
        </w:rPr>
        <w:t>4.5谈判中，谈判的任何一方不得透露与谈判有关的其他供应商的技术资料、价格和其他信息。</w:t>
      </w:r>
    </w:p>
    <w:p w14:paraId="1BAF4AE0">
      <w:pPr>
        <w:spacing w:line="360" w:lineRule="auto"/>
        <w:ind w:firstLine="420" w:firstLineChars="200"/>
        <w:rPr>
          <w:rFonts w:ascii="宋体" w:hAnsi="宋体" w:cs="宋体"/>
          <w:bCs/>
          <w:color w:val="auto"/>
          <w:szCs w:val="21"/>
        </w:rPr>
      </w:pPr>
      <w:r>
        <w:rPr>
          <w:rFonts w:hint="eastAsia" w:ascii="宋体" w:hAnsi="宋体" w:cs="宋体"/>
          <w:bCs/>
          <w:color w:val="auto"/>
          <w:szCs w:val="21"/>
        </w:rPr>
        <w:t>4.6采购代理机构对谈判过程和重要谈判内容进行记录，谈判双方在记录上签字确认。</w:t>
      </w:r>
    </w:p>
    <w:p w14:paraId="55BAAC47">
      <w:pPr>
        <w:spacing w:line="360" w:lineRule="auto"/>
        <w:ind w:firstLine="420" w:firstLineChars="200"/>
        <w:rPr>
          <w:rFonts w:ascii="宋体" w:hAnsi="宋体" w:cs="宋体"/>
          <w:bCs/>
          <w:color w:val="auto"/>
          <w:szCs w:val="21"/>
        </w:rPr>
      </w:pPr>
      <w:r>
        <w:rPr>
          <w:rFonts w:hint="eastAsia" w:ascii="宋体" w:hAnsi="宋体" w:cs="宋体"/>
          <w:bCs/>
          <w:color w:val="auto"/>
          <w:szCs w:val="21"/>
        </w:rPr>
        <w:t>4.7谈判过程中重新提交的响应文件，供应商可以在开启前补充、修改。</w:t>
      </w:r>
    </w:p>
    <w:p w14:paraId="68374357">
      <w:pPr>
        <w:spacing w:line="360" w:lineRule="auto"/>
        <w:ind w:firstLine="420" w:firstLineChars="200"/>
        <w:rPr>
          <w:rFonts w:ascii="宋体" w:hAnsi="宋体" w:cs="宋体"/>
          <w:bCs/>
          <w:color w:val="auto"/>
          <w:szCs w:val="21"/>
        </w:rPr>
      </w:pPr>
      <w:r>
        <w:rPr>
          <w:rFonts w:hint="eastAsia" w:ascii="宋体" w:hAnsi="宋体" w:cs="宋体"/>
          <w:bCs/>
          <w:color w:val="auto"/>
          <w:szCs w:val="21"/>
        </w:rPr>
        <w:t>4.8对谈判过程中提交的响应文件进行有效性、完整性和响应程度审查，通过审查的合格供应商不足3家的，采购人或者采购代理机构应当重新开展采购活动。</w:t>
      </w:r>
    </w:p>
    <w:p w14:paraId="560308B2">
      <w:pPr>
        <w:spacing w:line="360" w:lineRule="auto"/>
        <w:ind w:firstLine="420" w:firstLineChars="200"/>
        <w:rPr>
          <w:rFonts w:ascii="宋体" w:hAnsi="宋体" w:cs="宋体"/>
          <w:bCs/>
          <w:color w:val="auto"/>
          <w:szCs w:val="21"/>
        </w:rPr>
      </w:pPr>
      <w:r>
        <w:rPr>
          <w:rFonts w:hint="eastAsia" w:ascii="宋体" w:hAnsi="宋体" w:cs="宋体"/>
          <w:bCs/>
          <w:color w:val="auto"/>
          <w:szCs w:val="21"/>
        </w:rPr>
        <w:t>5.最后报价</w:t>
      </w:r>
    </w:p>
    <w:p w14:paraId="231BD36E">
      <w:pPr>
        <w:spacing w:line="360" w:lineRule="auto"/>
        <w:ind w:firstLine="420" w:firstLineChars="200"/>
        <w:rPr>
          <w:rFonts w:ascii="宋体" w:hAnsi="宋体" w:cs="宋体"/>
          <w:bCs/>
          <w:color w:val="auto"/>
          <w:szCs w:val="21"/>
        </w:rPr>
      </w:pPr>
      <w:r>
        <w:rPr>
          <w:rFonts w:hint="eastAsia" w:ascii="宋体" w:hAnsi="宋体" w:cs="宋体"/>
          <w:bCs/>
          <w:color w:val="auto"/>
          <w:szCs w:val="21"/>
        </w:rPr>
        <w:t>5.1谈判文件能够详细列明采购标的的技术、货物要求的，谈判结束后，由谈判小组要求所有继续参加谈判的供应商在规定时间内在广西政府采购云平台（https://www.zcygov.cn）提交最后报价，提交最后报价的供应商不得少于3家，否则必须重新采购。</w:t>
      </w:r>
    </w:p>
    <w:p w14:paraId="11533508">
      <w:pPr>
        <w:spacing w:line="360" w:lineRule="auto"/>
        <w:ind w:firstLine="420" w:firstLineChars="200"/>
        <w:rPr>
          <w:rFonts w:ascii="宋体" w:hAnsi="宋体" w:cs="宋体"/>
          <w:bCs/>
          <w:color w:val="auto"/>
          <w:szCs w:val="21"/>
        </w:rPr>
      </w:pPr>
      <w:r>
        <w:rPr>
          <w:rFonts w:hint="eastAsia" w:ascii="宋体" w:hAnsi="宋体" w:cs="宋体"/>
          <w:bCs/>
          <w:color w:val="auto"/>
          <w:szCs w:val="21"/>
        </w:rPr>
        <w:t>5.2谈判文件不能详细列明采购标的的技术、货物要求，需经谈判由供应商提供最后设计方案或者解决方案的，谈判结束后，由谈判小组按照少数服从多数的原则投票推荐3家以上供应商的设计方案或者解决方案，并要求其在规定时间内在广西政府采购云平台（https://www.zcygov.cn）提交最后报价。</w:t>
      </w:r>
    </w:p>
    <w:p w14:paraId="0B122FB1">
      <w:pPr>
        <w:spacing w:line="360" w:lineRule="auto"/>
        <w:ind w:firstLine="420" w:firstLineChars="200"/>
        <w:rPr>
          <w:rFonts w:ascii="宋体" w:hAnsi="宋体" w:cs="宋体"/>
          <w:bCs/>
          <w:color w:val="auto"/>
          <w:szCs w:val="21"/>
        </w:rPr>
      </w:pPr>
      <w:r>
        <w:rPr>
          <w:rFonts w:hint="eastAsia" w:ascii="宋体" w:hAnsi="宋体" w:cs="宋体"/>
          <w:bCs/>
          <w:color w:val="auto"/>
          <w:szCs w:val="21"/>
        </w:rPr>
        <w:t>5.3最后报价是供应商响应文件的有效组成部分。</w:t>
      </w:r>
    </w:p>
    <w:p w14:paraId="2AC1DBD7">
      <w:pPr>
        <w:spacing w:line="360" w:lineRule="auto"/>
        <w:ind w:firstLine="420" w:firstLineChars="200"/>
        <w:rPr>
          <w:rFonts w:ascii="宋体" w:hAnsi="宋体" w:cs="宋体"/>
          <w:bCs/>
          <w:color w:val="auto"/>
          <w:szCs w:val="21"/>
        </w:rPr>
      </w:pPr>
      <w:r>
        <w:rPr>
          <w:rFonts w:hint="eastAsia" w:ascii="宋体" w:hAnsi="宋体" w:cs="宋体"/>
          <w:bCs/>
          <w:color w:val="auto"/>
          <w:szCs w:val="21"/>
        </w:rPr>
        <w:t>5.4已经提交响应文件的供应商，在提交最后报价之前，可以根据谈判情况退出谈判，退出谈判的供应商的响应文件按无效响应处理。</w:t>
      </w:r>
    </w:p>
    <w:p w14:paraId="241680F9">
      <w:pPr>
        <w:spacing w:line="360" w:lineRule="auto"/>
        <w:ind w:firstLine="420" w:firstLineChars="200"/>
        <w:rPr>
          <w:rFonts w:ascii="宋体" w:hAnsi="宋体" w:cs="宋体"/>
          <w:bCs/>
          <w:color w:val="auto"/>
          <w:szCs w:val="21"/>
        </w:rPr>
      </w:pPr>
      <w:r>
        <w:rPr>
          <w:rFonts w:hint="eastAsia" w:ascii="宋体" w:hAnsi="宋体" w:cs="宋体"/>
          <w:bCs/>
          <w:color w:val="auto"/>
          <w:szCs w:val="21"/>
        </w:rPr>
        <w:t>5.5供应商未在规定时间内提交最后报价的，视同退出谈判。</w:t>
      </w:r>
    </w:p>
    <w:p w14:paraId="321899A2">
      <w:pPr>
        <w:spacing w:line="360" w:lineRule="auto"/>
        <w:ind w:firstLine="420" w:firstLineChars="200"/>
        <w:rPr>
          <w:rFonts w:ascii="宋体" w:hAnsi="宋体" w:cs="宋体"/>
          <w:bCs/>
          <w:color w:val="auto"/>
          <w:szCs w:val="21"/>
        </w:rPr>
      </w:pPr>
      <w:r>
        <w:rPr>
          <w:rFonts w:hint="eastAsia" w:ascii="宋体" w:hAnsi="宋体" w:cs="宋体"/>
          <w:bCs/>
          <w:color w:val="auto"/>
          <w:szCs w:val="21"/>
        </w:rPr>
        <w:t>5.6谈判小组收齐某一分标最后报价后统一开启，谈判小组对最后报价进行有效性、完整性和响应程度的审查。</w:t>
      </w:r>
    </w:p>
    <w:p w14:paraId="6257140D">
      <w:pPr>
        <w:spacing w:line="360" w:lineRule="auto"/>
        <w:ind w:firstLine="420" w:firstLineChars="200"/>
        <w:rPr>
          <w:rFonts w:ascii="宋体" w:hAnsi="宋体" w:cs="宋体"/>
          <w:bCs/>
          <w:color w:val="auto"/>
          <w:szCs w:val="21"/>
        </w:rPr>
      </w:pPr>
      <w:r>
        <w:rPr>
          <w:rFonts w:hint="eastAsia" w:ascii="宋体" w:hAnsi="宋体" w:cs="宋体"/>
          <w:bCs/>
          <w:color w:val="auto"/>
          <w:szCs w:val="21"/>
        </w:rPr>
        <w:t xml:space="preserve">5.7最终响应文件的报价出现前后不一致的，按照本章第3.4条的规定修正。 </w:t>
      </w:r>
    </w:p>
    <w:p w14:paraId="66241EA7">
      <w:pPr>
        <w:spacing w:line="360" w:lineRule="auto"/>
        <w:ind w:firstLine="420" w:firstLineChars="200"/>
        <w:rPr>
          <w:rFonts w:ascii="宋体" w:hAnsi="宋体" w:cs="宋体"/>
          <w:bCs/>
          <w:color w:val="auto"/>
          <w:szCs w:val="21"/>
        </w:rPr>
      </w:pPr>
      <w:r>
        <w:rPr>
          <w:rFonts w:hint="eastAsia" w:ascii="宋体" w:hAnsi="宋体" w:cs="宋体"/>
          <w:bCs/>
          <w:color w:val="auto"/>
          <w:szCs w:val="21"/>
        </w:rPr>
        <w:t>5.8修正后的最终报价出现下列情形的，按无效响应处理：</w:t>
      </w:r>
    </w:p>
    <w:p w14:paraId="67B06BA8">
      <w:pPr>
        <w:spacing w:line="360" w:lineRule="auto"/>
        <w:ind w:firstLine="420" w:firstLineChars="200"/>
        <w:rPr>
          <w:rFonts w:ascii="宋体" w:hAnsi="宋体" w:cs="宋体"/>
          <w:bCs/>
          <w:color w:val="auto"/>
          <w:szCs w:val="21"/>
        </w:rPr>
      </w:pPr>
      <w:r>
        <w:rPr>
          <w:rFonts w:hint="eastAsia" w:ascii="宋体" w:hAnsi="宋体" w:cs="宋体"/>
          <w:bCs/>
          <w:color w:val="auto"/>
          <w:szCs w:val="21"/>
        </w:rPr>
        <w:t>（1）供应商不确认的（全流程电子化评标采取在线确认）；</w:t>
      </w:r>
    </w:p>
    <w:p w14:paraId="1167B3E6">
      <w:pPr>
        <w:spacing w:line="360" w:lineRule="auto"/>
        <w:ind w:firstLine="420" w:firstLineChars="200"/>
        <w:rPr>
          <w:rFonts w:ascii="宋体" w:hAnsi="宋体" w:cs="宋体"/>
          <w:bCs/>
          <w:color w:val="auto"/>
          <w:szCs w:val="21"/>
        </w:rPr>
      </w:pPr>
      <w:r>
        <w:rPr>
          <w:rFonts w:hint="eastAsia" w:ascii="宋体" w:hAnsi="宋体" w:cs="宋体"/>
          <w:bCs/>
          <w:color w:val="auto"/>
          <w:szCs w:val="21"/>
        </w:rPr>
        <w:t>（2）经供应商确认修正后的响应报价（包含首次报价、最后报价）超过所竞标分标规定的采购预算金额或者最高限价的（如本项目公布了最高限价）；</w:t>
      </w:r>
    </w:p>
    <w:p w14:paraId="1428932C">
      <w:pPr>
        <w:spacing w:line="360" w:lineRule="auto"/>
        <w:ind w:firstLine="420" w:firstLineChars="200"/>
        <w:rPr>
          <w:rFonts w:ascii="宋体" w:hAnsi="宋体" w:cs="宋体"/>
          <w:bCs/>
          <w:color w:val="auto"/>
          <w:szCs w:val="21"/>
        </w:rPr>
      </w:pPr>
      <w:r>
        <w:rPr>
          <w:rFonts w:hint="eastAsia" w:ascii="宋体" w:hAnsi="宋体" w:cs="宋体"/>
          <w:bCs/>
          <w:color w:val="auto"/>
          <w:szCs w:val="21"/>
        </w:rPr>
        <w:t>（3）经供应商确认修正后的响应报价（包含首次报价、最后报价）超过分项采购预算金额或者最高限价的（如本项目公布了最高限价）。</w:t>
      </w:r>
    </w:p>
    <w:p w14:paraId="753F7265">
      <w:pPr>
        <w:spacing w:line="360" w:lineRule="auto"/>
        <w:ind w:firstLine="420" w:firstLineChars="200"/>
        <w:rPr>
          <w:rFonts w:ascii="宋体" w:hAnsi="宋体" w:cs="宋体"/>
          <w:bCs/>
          <w:color w:val="auto"/>
          <w:szCs w:val="21"/>
        </w:rPr>
      </w:pPr>
      <w:r>
        <w:rPr>
          <w:rFonts w:hint="eastAsia" w:ascii="宋体" w:hAnsi="宋体" w:cs="宋体"/>
          <w:bCs/>
          <w:color w:val="auto"/>
          <w:szCs w:val="21"/>
        </w:rPr>
        <w:t>5.9经供应商确认修正后的最后报价作为评审及签订合同的依据。</w:t>
      </w:r>
    </w:p>
    <w:p w14:paraId="66702C14">
      <w:pPr>
        <w:spacing w:line="360" w:lineRule="auto"/>
        <w:ind w:firstLine="420" w:firstLineChars="200"/>
        <w:rPr>
          <w:rFonts w:ascii="宋体" w:hAnsi="宋体" w:cs="宋体"/>
          <w:bCs/>
          <w:color w:val="auto"/>
          <w:szCs w:val="21"/>
        </w:rPr>
      </w:pPr>
      <w:r>
        <w:rPr>
          <w:rFonts w:hint="eastAsia" w:ascii="宋体" w:hAnsi="宋体" w:cs="宋体"/>
          <w:bCs/>
          <w:color w:val="auto"/>
          <w:szCs w:val="21"/>
        </w:rPr>
        <w:t>5.10供应商出现最后报价按无效响应处理或者响应文件按无效处理时，谈判小组应当告知有关供应商。</w:t>
      </w:r>
    </w:p>
    <w:p w14:paraId="6F413519">
      <w:pPr>
        <w:spacing w:line="360" w:lineRule="auto"/>
        <w:ind w:firstLine="420" w:firstLineChars="200"/>
        <w:rPr>
          <w:rFonts w:ascii="宋体" w:hAnsi="宋体" w:cs="宋体"/>
          <w:bCs/>
          <w:color w:val="auto"/>
          <w:szCs w:val="21"/>
        </w:rPr>
      </w:pPr>
      <w:r>
        <w:rPr>
          <w:rFonts w:hint="eastAsia" w:ascii="宋体" w:hAnsi="宋体" w:cs="宋体"/>
          <w:bCs/>
          <w:color w:val="auto"/>
          <w:szCs w:val="21"/>
        </w:rPr>
        <w:t>5.11最后报价结束后，谈判小组不得再与供应商进行任何形式的商谈。</w:t>
      </w:r>
    </w:p>
    <w:p w14:paraId="08BD8689">
      <w:pPr>
        <w:spacing w:line="360" w:lineRule="auto"/>
        <w:ind w:firstLine="420" w:firstLineChars="200"/>
        <w:rPr>
          <w:rFonts w:ascii="宋体" w:hAnsi="宋体" w:cs="宋体"/>
          <w:bCs/>
          <w:color w:val="auto"/>
          <w:szCs w:val="21"/>
        </w:rPr>
      </w:pPr>
      <w:r>
        <w:rPr>
          <w:rFonts w:hint="eastAsia" w:ascii="宋体" w:hAnsi="宋体" w:cs="宋体"/>
          <w:bCs/>
          <w:color w:val="auto"/>
          <w:szCs w:val="21"/>
        </w:rPr>
        <w:t>6.最后报价政府采购政策性扣除</w:t>
      </w:r>
    </w:p>
    <w:p w14:paraId="1B9CB4A0">
      <w:pPr>
        <w:spacing w:line="360" w:lineRule="auto"/>
        <w:ind w:firstLine="420" w:firstLineChars="200"/>
        <w:rPr>
          <w:rFonts w:ascii="宋体" w:hAnsi="宋体" w:cs="宋体"/>
          <w:bCs/>
          <w:color w:val="auto"/>
          <w:szCs w:val="21"/>
        </w:rPr>
      </w:pPr>
      <w:r>
        <w:rPr>
          <w:rFonts w:hint="eastAsia" w:ascii="宋体" w:hAnsi="宋体" w:cs="宋体"/>
          <w:bCs/>
          <w:color w:val="auto"/>
          <w:szCs w:val="21"/>
        </w:rPr>
        <w:t>6.1评审价为供应商的最后报价进行政策性扣除后的价格，评审价只是作为评审时使用。最终成交供应商的成交金额等于最后报价（如有修正，以确认修正后的最后报价为准）。</w:t>
      </w:r>
    </w:p>
    <w:p w14:paraId="257C42BB">
      <w:pPr>
        <w:spacing w:line="360" w:lineRule="auto"/>
        <w:ind w:firstLine="420" w:firstLineChars="200"/>
        <w:rPr>
          <w:rFonts w:ascii="宋体" w:hAnsi="宋体" w:cs="宋体"/>
          <w:bCs/>
          <w:color w:val="auto"/>
          <w:szCs w:val="21"/>
        </w:rPr>
      </w:pPr>
      <w:r>
        <w:rPr>
          <w:rFonts w:hint="eastAsia" w:ascii="宋体" w:hAnsi="宋体" w:cs="宋体"/>
          <w:bCs/>
          <w:color w:val="auto"/>
          <w:szCs w:val="21"/>
        </w:rPr>
        <w:t>6.2政策性扣除计算方法。</w:t>
      </w:r>
    </w:p>
    <w:p w14:paraId="729B53E9">
      <w:pPr>
        <w:spacing w:line="360" w:lineRule="auto"/>
        <w:ind w:firstLine="420" w:firstLineChars="200"/>
        <w:rPr>
          <w:rFonts w:ascii="宋体" w:hAnsi="宋体" w:cs="宋体"/>
          <w:bCs/>
          <w:color w:val="auto"/>
          <w:szCs w:val="21"/>
        </w:rPr>
      </w:pPr>
      <w:r>
        <w:rPr>
          <w:rFonts w:hint="eastAsia" w:ascii="宋体" w:hAnsi="宋体" w:cs="宋体"/>
          <w:bCs/>
          <w:color w:val="auto"/>
          <w:szCs w:val="21"/>
        </w:rPr>
        <w:t>根据《政府采购促进中小企业发展管理办法》（财库〔2020〕46号）、《广西壮族自治区财政厅关于持续优化政府采购营商环境推动高质量发展的通知》（桂财采〔2024〕55号）的规定，供应商在其响应文件中提供《中小企业声明函》，且其竞标全部货物均由小微企业提供的，对供应商的竞标报价给予10%的扣除，扣除后的价格为评审价，即评审价=竞标报价×（1-10%）。6.3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1835FFEA">
      <w:pPr>
        <w:spacing w:line="360" w:lineRule="auto"/>
        <w:ind w:firstLine="420" w:firstLineChars="200"/>
        <w:rPr>
          <w:rFonts w:ascii="宋体" w:hAnsi="宋体" w:cs="宋体"/>
          <w:bCs/>
          <w:color w:val="auto"/>
          <w:szCs w:val="21"/>
        </w:rPr>
      </w:pPr>
      <w:r>
        <w:rPr>
          <w:rFonts w:hint="eastAsia" w:ascii="宋体" w:hAnsi="宋体" w:cs="宋体"/>
          <w:bCs/>
          <w:color w:val="auto"/>
          <w:szCs w:val="21"/>
        </w:rPr>
        <w:t>6.4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057714A3">
      <w:pPr>
        <w:spacing w:line="360" w:lineRule="auto"/>
        <w:ind w:firstLine="420" w:firstLineChars="200"/>
        <w:rPr>
          <w:rFonts w:ascii="宋体" w:hAnsi="宋体" w:cs="宋体"/>
          <w:bCs/>
          <w:color w:val="auto"/>
          <w:szCs w:val="21"/>
        </w:rPr>
      </w:pPr>
      <w:r>
        <w:rPr>
          <w:rFonts w:hint="eastAsia" w:ascii="宋体" w:hAnsi="宋体" w:cs="宋体"/>
          <w:bCs/>
          <w:color w:val="auto"/>
          <w:szCs w:val="21"/>
        </w:rPr>
        <w:t>6.5除上述情况外，评审价＝最后报价。</w:t>
      </w:r>
    </w:p>
    <w:p w14:paraId="08C33253">
      <w:pPr>
        <w:spacing w:line="400" w:lineRule="exact"/>
        <w:jc w:val="center"/>
        <w:rPr>
          <w:rFonts w:ascii="宋体" w:hAnsi="宋体" w:cs="宋体"/>
          <w:b/>
          <w:color w:val="auto"/>
          <w:sz w:val="32"/>
          <w:szCs w:val="32"/>
        </w:rPr>
      </w:pPr>
    </w:p>
    <w:p w14:paraId="427A73B5">
      <w:pPr>
        <w:spacing w:line="400" w:lineRule="exact"/>
        <w:jc w:val="center"/>
        <w:rPr>
          <w:rFonts w:ascii="宋体" w:hAnsi="宋体" w:cs="宋体"/>
          <w:b/>
          <w:color w:val="auto"/>
          <w:sz w:val="32"/>
          <w:szCs w:val="32"/>
        </w:rPr>
      </w:pPr>
      <w:r>
        <w:rPr>
          <w:rFonts w:hint="eastAsia" w:ascii="宋体" w:hAnsi="宋体" w:cs="宋体"/>
          <w:b/>
          <w:color w:val="auto"/>
          <w:sz w:val="32"/>
          <w:szCs w:val="32"/>
        </w:rPr>
        <w:t>二、评审原则</w:t>
      </w:r>
    </w:p>
    <w:p w14:paraId="7E7B7DFC">
      <w:pPr>
        <w:spacing w:line="360" w:lineRule="auto"/>
        <w:ind w:firstLine="420" w:firstLineChars="200"/>
        <w:rPr>
          <w:rFonts w:ascii="宋体" w:hAnsi="宋体" w:cs="宋体"/>
          <w:bCs/>
          <w:color w:val="auto"/>
          <w:szCs w:val="21"/>
        </w:rPr>
      </w:pPr>
      <w:r>
        <w:rPr>
          <w:rFonts w:hint="eastAsia" w:ascii="宋体" w:hAnsi="宋体" w:cs="宋体"/>
          <w:bCs/>
          <w:color w:val="auto"/>
          <w:szCs w:val="21"/>
        </w:rPr>
        <w:t>1.评审原则</w:t>
      </w:r>
    </w:p>
    <w:p w14:paraId="6953A2B7">
      <w:pPr>
        <w:spacing w:line="360" w:lineRule="auto"/>
        <w:ind w:firstLine="420" w:firstLineChars="200"/>
        <w:rPr>
          <w:rFonts w:ascii="宋体" w:hAnsi="宋体" w:cs="宋体"/>
          <w:bCs/>
          <w:color w:val="auto"/>
          <w:szCs w:val="21"/>
        </w:rPr>
      </w:pPr>
      <w:r>
        <w:rPr>
          <w:rFonts w:hint="eastAsia" w:ascii="宋体" w:hAnsi="宋体" w:cs="宋体"/>
          <w:bCs/>
          <w:color w:val="auto"/>
          <w:szCs w:val="21"/>
        </w:rPr>
        <w:t>1.1谈判小组成员要依法独立评审，并对评审意见承担个人责任。谈判小组成员对需要共同认定的事项存在争议的，按照少数服从多数的原则作出结论。持不同意见的谈判小组成员应当在评审报告上签署不同意见并说明理由，否则视为同意。</w:t>
      </w:r>
    </w:p>
    <w:p w14:paraId="5E0B467E">
      <w:pPr>
        <w:spacing w:line="360" w:lineRule="auto"/>
        <w:ind w:firstLine="420" w:firstLineChars="200"/>
        <w:rPr>
          <w:rFonts w:ascii="宋体" w:hAnsi="宋体" w:cs="宋体"/>
          <w:bCs/>
          <w:color w:val="auto"/>
          <w:szCs w:val="21"/>
        </w:rPr>
      </w:pPr>
      <w:r>
        <w:rPr>
          <w:rFonts w:hint="eastAsia" w:ascii="宋体" w:hAnsi="宋体" w:cs="宋体"/>
          <w:bCs/>
          <w:color w:val="auto"/>
          <w:szCs w:val="21"/>
        </w:rPr>
        <w:t>1.2根据《政府采购非招标采购方式管理办法》（财政部令第74号）第二十一条规定，评审结果汇总完成后，采购人、采购代理机构和谈判小组均不得修改评审结果或者要求重新评审，但资格性检查认定错误、分值汇总计算错误、分项评分超出评分标准范围、客观分评分不一致、经评审委员会一致认定评分畸高、畸低的情形除外。出现上述除外情形的，谈判小组应当现场修改评审结果，并在评审报告中明确记载。</w:t>
      </w:r>
    </w:p>
    <w:p w14:paraId="2F6DAC02">
      <w:pPr>
        <w:spacing w:line="360" w:lineRule="auto"/>
        <w:ind w:firstLine="420" w:firstLineChars="200"/>
        <w:rPr>
          <w:rFonts w:ascii="宋体" w:hAnsi="宋体" w:cs="宋体"/>
          <w:bCs/>
          <w:color w:val="auto"/>
          <w:szCs w:val="21"/>
        </w:rPr>
      </w:pPr>
      <w:r>
        <w:rPr>
          <w:rFonts w:hint="eastAsia" w:ascii="宋体" w:hAnsi="宋体" w:cs="宋体"/>
          <w:bCs/>
          <w:color w:val="auto"/>
          <w:szCs w:val="21"/>
        </w:rPr>
        <w:t>1.3谈判小组发现竞争性谈判文件存在歧义、重大缺陷导致评审工作无法进行，或者竞争性谈判文件内容违反国家有关规定的，要停止评审工作并向采购人或采购代理机构书面说明情况，采购人或采购代理机构应当修改竞争性谈判文件后重新组织采购活动；发现供应商提供虚假材料、串通等违法违规行为的，要及时向采购人或采购代理机构报告。</w:t>
      </w:r>
    </w:p>
    <w:p w14:paraId="44ED8B84">
      <w:pPr>
        <w:spacing w:line="360" w:lineRule="auto"/>
        <w:ind w:firstLine="420" w:firstLineChars="200"/>
        <w:rPr>
          <w:rFonts w:ascii="宋体" w:hAnsi="宋体" w:cs="宋体"/>
          <w:bCs/>
          <w:color w:val="auto"/>
          <w:szCs w:val="21"/>
        </w:rPr>
      </w:pPr>
      <w:r>
        <w:rPr>
          <w:rFonts w:hint="eastAsia" w:ascii="宋体" w:hAnsi="宋体" w:cs="宋体"/>
          <w:bCs/>
          <w:color w:val="auto"/>
          <w:szCs w:val="21"/>
        </w:rPr>
        <w:t>2.终止竞争性谈判采购活动</w:t>
      </w:r>
    </w:p>
    <w:p w14:paraId="7CEC2345">
      <w:pPr>
        <w:spacing w:line="360" w:lineRule="auto"/>
        <w:ind w:firstLine="420" w:firstLineChars="200"/>
        <w:rPr>
          <w:rFonts w:ascii="宋体" w:hAnsi="宋体" w:cs="宋体"/>
          <w:bCs/>
          <w:color w:val="auto"/>
          <w:szCs w:val="21"/>
        </w:rPr>
      </w:pPr>
      <w:r>
        <w:rPr>
          <w:rFonts w:hint="eastAsia" w:ascii="宋体" w:hAnsi="宋体" w:cs="宋体"/>
          <w:bCs/>
          <w:color w:val="auto"/>
          <w:szCs w:val="21"/>
        </w:rPr>
        <w:t>出现下列情形之一的，采购人或者采购代理机构应当终止竞争性谈判采购活动，发布项目终止公告并说明原因，重新开展采购活动：</w:t>
      </w:r>
    </w:p>
    <w:p w14:paraId="59F0CEEA">
      <w:pPr>
        <w:spacing w:line="360" w:lineRule="auto"/>
        <w:ind w:firstLine="420" w:firstLineChars="200"/>
        <w:rPr>
          <w:rFonts w:ascii="宋体" w:hAnsi="宋体" w:cs="宋体"/>
          <w:bCs/>
          <w:color w:val="auto"/>
          <w:szCs w:val="21"/>
        </w:rPr>
      </w:pPr>
      <w:r>
        <w:rPr>
          <w:rFonts w:hint="eastAsia" w:ascii="宋体" w:hAnsi="宋体" w:cs="宋体"/>
          <w:bCs/>
          <w:color w:val="auto"/>
          <w:szCs w:val="21"/>
        </w:rPr>
        <w:t xml:space="preserve">（1）因情况变化，不再符合规定的竞争性谈判采购方式适用情形的； </w:t>
      </w:r>
    </w:p>
    <w:p w14:paraId="7EBB1022">
      <w:pPr>
        <w:spacing w:line="360" w:lineRule="auto"/>
        <w:ind w:firstLine="420" w:firstLineChars="200"/>
        <w:rPr>
          <w:rFonts w:ascii="宋体" w:hAnsi="宋体" w:cs="宋体"/>
          <w:bCs/>
          <w:color w:val="auto"/>
          <w:szCs w:val="21"/>
        </w:rPr>
      </w:pPr>
      <w:r>
        <w:rPr>
          <w:rFonts w:hint="eastAsia" w:ascii="宋体" w:hAnsi="宋体" w:cs="宋体"/>
          <w:bCs/>
          <w:color w:val="auto"/>
          <w:szCs w:val="21"/>
        </w:rPr>
        <w:t>（2）出现影响采购公正的违法、违规行为的；</w:t>
      </w:r>
    </w:p>
    <w:p w14:paraId="5B22201F">
      <w:pPr>
        <w:spacing w:line="360" w:lineRule="auto"/>
        <w:ind w:firstLine="420" w:firstLineChars="200"/>
        <w:rPr>
          <w:rFonts w:ascii="宋体" w:hAnsi="宋体" w:cs="宋体"/>
          <w:bCs/>
          <w:color w:val="auto"/>
          <w:szCs w:val="21"/>
        </w:rPr>
      </w:pPr>
      <w:r>
        <w:rPr>
          <w:rFonts w:hint="eastAsia" w:ascii="宋体" w:hAnsi="宋体" w:cs="宋体"/>
          <w:bCs/>
          <w:color w:val="auto"/>
          <w:szCs w:val="21"/>
        </w:rPr>
        <w:t>（3）在采购过程中符合竞争要求的供应商或者报价未超过采购预算的供应商不足3家的，但《政府采购非招标采购方式管理办法》第二十七条第二款规定的情形除外。</w:t>
      </w:r>
    </w:p>
    <w:p w14:paraId="2D589DFF">
      <w:pPr>
        <w:spacing w:line="360" w:lineRule="auto"/>
        <w:ind w:firstLine="420" w:firstLineChars="200"/>
        <w:rPr>
          <w:rFonts w:ascii="宋体" w:hAnsi="宋体" w:cs="宋体"/>
          <w:bCs/>
          <w:color w:val="auto"/>
          <w:szCs w:val="21"/>
        </w:rPr>
      </w:pPr>
    </w:p>
    <w:p w14:paraId="33033C16">
      <w:pPr>
        <w:spacing w:line="360" w:lineRule="auto"/>
        <w:ind w:firstLine="420" w:firstLineChars="200"/>
        <w:rPr>
          <w:rFonts w:ascii="宋体" w:hAnsi="宋体" w:cs="宋体"/>
          <w:bCs/>
          <w:color w:val="auto"/>
          <w:szCs w:val="21"/>
        </w:rPr>
      </w:pPr>
    </w:p>
    <w:p w14:paraId="6B4FA373">
      <w:pPr>
        <w:spacing w:line="360" w:lineRule="auto"/>
        <w:ind w:firstLine="420" w:firstLineChars="200"/>
        <w:rPr>
          <w:rFonts w:ascii="宋体" w:hAnsi="宋体" w:cs="宋体"/>
          <w:bCs/>
          <w:color w:val="auto"/>
          <w:szCs w:val="21"/>
        </w:rPr>
      </w:pPr>
    </w:p>
    <w:p w14:paraId="6C4620EE">
      <w:pPr>
        <w:spacing w:line="400" w:lineRule="exact"/>
        <w:jc w:val="center"/>
        <w:rPr>
          <w:rFonts w:ascii="宋体" w:hAnsi="宋体" w:cs="宋体"/>
          <w:b/>
          <w:color w:val="auto"/>
          <w:sz w:val="32"/>
          <w:szCs w:val="32"/>
        </w:rPr>
      </w:pPr>
      <w:bookmarkStart w:id="60" w:name="_Toc10329"/>
      <w:bookmarkStart w:id="61" w:name="_Toc80205935"/>
      <w:r>
        <w:rPr>
          <w:rFonts w:hint="eastAsia" w:ascii="宋体" w:hAnsi="宋体" w:cs="宋体"/>
          <w:b/>
          <w:color w:val="auto"/>
          <w:sz w:val="32"/>
          <w:szCs w:val="32"/>
        </w:rPr>
        <w:t>三、评审报告</w:t>
      </w:r>
      <w:bookmarkEnd w:id="60"/>
      <w:bookmarkEnd w:id="61"/>
    </w:p>
    <w:p w14:paraId="5BC68654">
      <w:pPr>
        <w:spacing w:line="360" w:lineRule="auto"/>
        <w:ind w:firstLine="420" w:firstLineChars="200"/>
        <w:rPr>
          <w:rFonts w:ascii="宋体" w:hAnsi="宋体" w:cs="宋体"/>
          <w:bCs/>
          <w:color w:val="auto"/>
          <w:szCs w:val="21"/>
        </w:rPr>
      </w:pPr>
      <w:r>
        <w:rPr>
          <w:rFonts w:hint="eastAsia" w:ascii="宋体" w:hAnsi="宋体" w:cs="宋体"/>
          <w:bCs/>
          <w:color w:val="auto"/>
          <w:szCs w:val="21"/>
        </w:rPr>
        <w:t>1.成交标准</w:t>
      </w:r>
    </w:p>
    <w:p w14:paraId="404A0FA6">
      <w:pPr>
        <w:spacing w:line="360" w:lineRule="auto"/>
        <w:ind w:firstLine="420" w:firstLineChars="200"/>
        <w:rPr>
          <w:rFonts w:ascii="宋体" w:hAnsi="宋体" w:cs="宋体"/>
          <w:bCs/>
          <w:color w:val="auto"/>
          <w:szCs w:val="21"/>
        </w:rPr>
      </w:pPr>
      <w:r>
        <w:rPr>
          <w:rFonts w:hint="eastAsia" w:ascii="宋体" w:hAnsi="宋体" w:cs="宋体"/>
          <w:bCs/>
          <w:color w:val="auto"/>
          <w:szCs w:val="21"/>
        </w:rPr>
        <w:t>谈判小组应当从谈判报价由低到高顺序排列，报价最低的谈判供应商为成交候选人。竞标价相同时，由谈判小组推荐代表随机抽取），采购单位应当确定谈判小组推荐排名第一的成交候选人为成交人，并在线编写电子评审报告。</w:t>
      </w:r>
    </w:p>
    <w:p w14:paraId="41FEE134">
      <w:pPr>
        <w:spacing w:line="360" w:lineRule="auto"/>
        <w:ind w:firstLine="420" w:firstLineChars="200"/>
        <w:rPr>
          <w:rFonts w:ascii="宋体" w:hAnsi="宋体" w:cs="宋体"/>
          <w:bCs/>
          <w:color w:val="auto"/>
          <w:szCs w:val="21"/>
        </w:rPr>
      </w:pPr>
      <w:r>
        <w:rPr>
          <w:rFonts w:hint="eastAsia" w:ascii="宋体" w:hAnsi="宋体" w:cs="宋体"/>
          <w:bCs/>
          <w:color w:val="auto"/>
          <w:szCs w:val="21"/>
        </w:rPr>
        <w:t>2.评标争议事项处理</w:t>
      </w:r>
    </w:p>
    <w:p w14:paraId="5DE9665A">
      <w:pPr>
        <w:spacing w:line="360" w:lineRule="auto"/>
        <w:ind w:firstLine="420" w:firstLineChars="200"/>
        <w:rPr>
          <w:rFonts w:ascii="宋体" w:hAnsi="宋体" w:cs="宋体"/>
          <w:bCs/>
          <w:color w:val="auto"/>
          <w:szCs w:val="21"/>
        </w:rPr>
      </w:pPr>
      <w:bookmarkStart w:id="62" w:name="_Toc11370"/>
      <w:bookmarkStart w:id="63" w:name="_Toc80205936"/>
      <w:r>
        <w:rPr>
          <w:rFonts w:hint="eastAsia" w:ascii="宋体" w:hAnsi="宋体" w:cs="宋体"/>
          <w:bCs/>
          <w:color w:val="auto"/>
          <w:szCs w:val="21"/>
        </w:rPr>
        <w:t>谈判小组成员对需要共同认定的事项存在争议的，应当按照少数服从多数的原则作出结论。持不同意见的谈判小组成员应当在评标报告上签署不同意见及理由，否则视为同意评标报告。</w:t>
      </w:r>
    </w:p>
    <w:p w14:paraId="42E226AD">
      <w:pPr>
        <w:spacing w:line="400" w:lineRule="exact"/>
        <w:jc w:val="center"/>
        <w:rPr>
          <w:rFonts w:ascii="宋体" w:hAnsi="宋体" w:cs="宋体"/>
          <w:b/>
          <w:color w:val="auto"/>
          <w:sz w:val="32"/>
          <w:szCs w:val="32"/>
        </w:rPr>
      </w:pPr>
      <w:r>
        <w:rPr>
          <w:rFonts w:hint="eastAsia" w:ascii="宋体" w:hAnsi="宋体" w:cs="宋体"/>
          <w:b/>
          <w:color w:val="auto"/>
          <w:sz w:val="32"/>
          <w:szCs w:val="32"/>
        </w:rPr>
        <w:t>第四节 评审过程的保密与录像</w:t>
      </w:r>
      <w:bookmarkEnd w:id="62"/>
      <w:bookmarkEnd w:id="63"/>
    </w:p>
    <w:p w14:paraId="42461003">
      <w:pPr>
        <w:spacing w:line="360" w:lineRule="auto"/>
        <w:ind w:firstLine="420" w:firstLineChars="200"/>
        <w:rPr>
          <w:rFonts w:ascii="宋体" w:hAnsi="宋体" w:cs="宋体"/>
          <w:bCs/>
          <w:color w:val="auto"/>
          <w:szCs w:val="21"/>
        </w:rPr>
      </w:pPr>
      <w:r>
        <w:rPr>
          <w:rFonts w:hint="eastAsia" w:ascii="宋体" w:hAnsi="宋体" w:cs="宋体"/>
          <w:bCs/>
          <w:color w:val="auto"/>
          <w:szCs w:val="21"/>
        </w:rPr>
        <w:t>1.保密。</w:t>
      </w:r>
    </w:p>
    <w:p w14:paraId="53698A4D">
      <w:pPr>
        <w:spacing w:line="360" w:lineRule="auto"/>
        <w:ind w:firstLine="420" w:firstLineChars="200"/>
        <w:rPr>
          <w:rFonts w:ascii="宋体" w:hAnsi="宋体" w:cs="宋体"/>
          <w:bCs/>
          <w:color w:val="auto"/>
          <w:szCs w:val="21"/>
        </w:rPr>
      </w:pPr>
      <w:r>
        <w:rPr>
          <w:rFonts w:hint="eastAsia" w:ascii="宋体" w:hAnsi="宋体" w:cs="宋体"/>
          <w:bCs/>
          <w:color w:val="auto"/>
          <w:szCs w:val="21"/>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4EC2A67C">
      <w:pPr>
        <w:spacing w:line="360" w:lineRule="auto"/>
        <w:ind w:firstLine="420" w:firstLineChars="200"/>
        <w:rPr>
          <w:rFonts w:ascii="宋体" w:hAnsi="宋体" w:cs="宋体"/>
          <w:bCs/>
          <w:color w:val="auto"/>
          <w:szCs w:val="21"/>
        </w:rPr>
      </w:pPr>
      <w:r>
        <w:rPr>
          <w:rFonts w:hint="eastAsia" w:ascii="宋体" w:hAnsi="宋体" w:cs="宋体"/>
          <w:bCs/>
          <w:color w:val="auto"/>
          <w:szCs w:val="21"/>
        </w:rPr>
        <w:t>2.录音录像。</w:t>
      </w:r>
    </w:p>
    <w:p w14:paraId="4793F4CB">
      <w:pPr>
        <w:spacing w:line="360" w:lineRule="auto"/>
        <w:ind w:firstLine="420" w:firstLineChars="200"/>
        <w:rPr>
          <w:rFonts w:ascii="宋体" w:hAnsi="宋体" w:cs="宋体"/>
          <w:color w:val="auto"/>
        </w:rPr>
      </w:pPr>
      <w:r>
        <w:rPr>
          <w:rFonts w:hint="eastAsia" w:ascii="宋体" w:hAnsi="宋体" w:cs="宋体"/>
          <w:bCs/>
          <w:color w:val="auto"/>
          <w:szCs w:val="21"/>
        </w:rPr>
        <w:t>采购代理机构对评审工作现场及操作屏幕进行全过程录音录像，录音录像资料作为采购项目文件随其他文件一并存档。</w:t>
      </w:r>
    </w:p>
    <w:p w14:paraId="22848CA3">
      <w:pPr>
        <w:rPr>
          <w:rFonts w:ascii="宋体" w:hAnsi="宋体" w:cs="宋体"/>
          <w:color w:val="auto"/>
        </w:rPr>
      </w:pPr>
    </w:p>
    <w:p w14:paraId="273EB0DD">
      <w:pPr>
        <w:pStyle w:val="3"/>
        <w:rPr>
          <w:rFonts w:ascii="宋体" w:hAnsi="宋体" w:cs="宋体"/>
          <w:color w:val="auto"/>
        </w:rPr>
      </w:pPr>
      <w:r>
        <w:rPr>
          <w:rFonts w:hint="eastAsia" w:ascii="宋体" w:hAnsi="宋体" w:cs="宋体"/>
          <w:color w:val="auto"/>
        </w:rPr>
        <w:br w:type="page"/>
      </w:r>
      <w:bookmarkStart w:id="64" w:name="_Toc8481"/>
      <w:r>
        <w:rPr>
          <w:rFonts w:hint="eastAsia" w:ascii="宋体" w:hAnsi="宋体" w:cs="宋体"/>
          <w:color w:val="auto"/>
        </w:rPr>
        <w:t>第五章  响应文件格式</w:t>
      </w:r>
      <w:bookmarkEnd w:id="64"/>
    </w:p>
    <w:p w14:paraId="7808587D">
      <w:pPr>
        <w:pStyle w:val="3"/>
        <w:rPr>
          <w:rFonts w:ascii="宋体" w:hAnsi="宋体" w:cs="宋体"/>
          <w:color w:val="auto"/>
        </w:rPr>
      </w:pPr>
      <w:bookmarkStart w:id="65" w:name="_Toc31723070"/>
      <w:bookmarkStart w:id="66" w:name="_Toc44229899"/>
      <w:bookmarkStart w:id="67" w:name="_Toc31728084"/>
      <w:bookmarkStart w:id="68" w:name="_Toc35611516"/>
      <w:bookmarkStart w:id="69" w:name="_Toc35611438"/>
      <w:bookmarkStart w:id="70" w:name="_Toc26483"/>
      <w:r>
        <w:rPr>
          <w:rFonts w:hint="eastAsia" w:ascii="宋体" w:hAnsi="宋体" w:cs="宋体"/>
          <w:color w:val="auto"/>
        </w:rPr>
        <w:t>一、资格证明文件格式</w:t>
      </w:r>
      <w:bookmarkEnd w:id="65"/>
      <w:bookmarkEnd w:id="66"/>
      <w:bookmarkEnd w:id="67"/>
      <w:bookmarkEnd w:id="68"/>
      <w:bookmarkEnd w:id="69"/>
      <w:bookmarkEnd w:id="70"/>
    </w:p>
    <w:p w14:paraId="2A6FDB1D">
      <w:pPr>
        <w:snapToGrid w:val="0"/>
        <w:spacing w:before="156" w:beforeLines="50" w:after="50" w:line="360" w:lineRule="auto"/>
        <w:jc w:val="left"/>
        <w:rPr>
          <w:rFonts w:ascii="宋体" w:hAnsi="宋体" w:cs="宋体"/>
          <w:b/>
          <w:color w:val="auto"/>
          <w:sz w:val="24"/>
        </w:rPr>
      </w:pPr>
      <w:r>
        <w:rPr>
          <w:rFonts w:hint="eastAsia" w:ascii="宋体" w:hAnsi="宋体" w:cs="宋体"/>
          <w:b/>
          <w:color w:val="auto"/>
          <w:sz w:val="32"/>
          <w:szCs w:val="32"/>
        </w:rPr>
        <w:t>1.资格证明文件封面格式：</w:t>
      </w:r>
      <w:r>
        <w:rPr>
          <w:rFonts w:hint="eastAsia" w:ascii="宋体" w:hAnsi="宋体" w:cs="宋体"/>
          <w:b/>
          <w:color w:val="auto"/>
          <w:sz w:val="24"/>
        </w:rPr>
        <w:t xml:space="preserve"> </w:t>
      </w:r>
    </w:p>
    <w:p w14:paraId="4E4BD3FE">
      <w:pPr>
        <w:snapToGrid w:val="0"/>
        <w:spacing w:before="156" w:beforeLines="50" w:after="50"/>
        <w:rPr>
          <w:rFonts w:ascii="宋体" w:hAnsi="宋体" w:cs="宋体"/>
          <w:bCs/>
          <w:color w:val="auto"/>
          <w:sz w:val="32"/>
          <w:szCs w:val="20"/>
        </w:rPr>
      </w:pPr>
      <w:r>
        <w:rPr>
          <w:rFonts w:hint="eastAsia" w:ascii="宋体" w:hAnsi="宋体" w:cs="宋体"/>
          <w:color w:val="auto"/>
          <w:sz w:val="24"/>
        </w:rPr>
        <w:t xml:space="preserve">                                                </w:t>
      </w:r>
      <w:r>
        <w:rPr>
          <w:rFonts w:hint="eastAsia" w:ascii="宋体" w:hAnsi="宋体" w:cs="宋体"/>
          <w:bCs/>
          <w:color w:val="auto"/>
          <w:sz w:val="24"/>
        </w:rPr>
        <w:t>电子响应文件</w:t>
      </w:r>
    </w:p>
    <w:p w14:paraId="2510F3F8">
      <w:pPr>
        <w:snapToGrid w:val="0"/>
        <w:spacing w:before="156" w:beforeLines="50" w:after="50"/>
        <w:rPr>
          <w:rFonts w:ascii="宋体" w:hAnsi="宋体" w:cs="宋体"/>
          <w:color w:val="auto"/>
          <w:sz w:val="24"/>
          <w:szCs w:val="20"/>
        </w:rPr>
      </w:pPr>
    </w:p>
    <w:p w14:paraId="46850D38">
      <w:pPr>
        <w:snapToGrid w:val="0"/>
        <w:spacing w:before="156" w:beforeLines="50" w:after="50"/>
        <w:rPr>
          <w:rFonts w:ascii="宋体" w:hAnsi="宋体" w:cs="宋体"/>
          <w:color w:val="auto"/>
          <w:sz w:val="24"/>
          <w:szCs w:val="20"/>
        </w:rPr>
      </w:pPr>
    </w:p>
    <w:p w14:paraId="35B3B6B5">
      <w:pPr>
        <w:snapToGrid w:val="0"/>
        <w:spacing w:before="156" w:beforeLines="50" w:after="50"/>
        <w:jc w:val="center"/>
        <w:rPr>
          <w:rFonts w:ascii="宋体" w:hAnsi="宋体" w:cs="宋体"/>
          <w:bCs/>
          <w:color w:val="auto"/>
          <w:sz w:val="44"/>
          <w:szCs w:val="44"/>
        </w:rPr>
      </w:pPr>
      <w:r>
        <w:rPr>
          <w:rFonts w:hint="eastAsia" w:ascii="宋体" w:hAnsi="宋体" w:cs="宋体"/>
          <w:bCs/>
          <w:color w:val="auto"/>
          <w:sz w:val="44"/>
          <w:szCs w:val="44"/>
        </w:rPr>
        <w:t>资  格  证  明  文  件</w:t>
      </w:r>
    </w:p>
    <w:p w14:paraId="62B60EC3">
      <w:pPr>
        <w:snapToGrid w:val="0"/>
        <w:spacing w:before="156" w:beforeLines="50" w:after="50"/>
        <w:rPr>
          <w:rFonts w:ascii="宋体" w:hAnsi="宋体" w:cs="宋体"/>
          <w:bCs/>
          <w:color w:val="auto"/>
          <w:sz w:val="24"/>
          <w:szCs w:val="20"/>
        </w:rPr>
      </w:pPr>
    </w:p>
    <w:p w14:paraId="16D3240A">
      <w:pPr>
        <w:snapToGrid w:val="0"/>
        <w:spacing w:before="156" w:beforeLines="50" w:after="50"/>
        <w:rPr>
          <w:rFonts w:ascii="宋体" w:hAnsi="宋体" w:cs="宋体"/>
          <w:bCs/>
          <w:color w:val="auto"/>
          <w:sz w:val="24"/>
          <w:szCs w:val="20"/>
        </w:rPr>
      </w:pPr>
    </w:p>
    <w:p w14:paraId="6CD28B3C">
      <w:pPr>
        <w:snapToGrid w:val="0"/>
        <w:spacing w:before="156" w:beforeLines="50" w:after="50"/>
        <w:rPr>
          <w:rFonts w:ascii="宋体" w:hAnsi="宋体" w:cs="宋体"/>
          <w:bCs/>
          <w:color w:val="auto"/>
          <w:sz w:val="24"/>
          <w:szCs w:val="20"/>
        </w:rPr>
      </w:pPr>
    </w:p>
    <w:p w14:paraId="21E5DFBA">
      <w:pPr>
        <w:snapToGrid w:val="0"/>
        <w:spacing w:before="156" w:beforeLines="50" w:after="50"/>
        <w:rPr>
          <w:rFonts w:ascii="宋体" w:hAnsi="宋体" w:cs="宋体"/>
          <w:bCs/>
          <w:color w:val="auto"/>
          <w:sz w:val="24"/>
          <w:szCs w:val="20"/>
        </w:rPr>
      </w:pPr>
    </w:p>
    <w:p w14:paraId="7A559A47">
      <w:pPr>
        <w:snapToGrid w:val="0"/>
        <w:spacing w:before="156" w:beforeLines="50" w:after="50"/>
        <w:ind w:firstLine="640" w:firstLineChars="200"/>
        <w:rPr>
          <w:rFonts w:ascii="宋体" w:hAnsi="宋体" w:cs="宋体"/>
          <w:bCs/>
          <w:color w:val="auto"/>
          <w:sz w:val="32"/>
          <w:szCs w:val="32"/>
        </w:rPr>
      </w:pPr>
      <w:r>
        <w:rPr>
          <w:rFonts w:hint="eastAsia" w:ascii="宋体" w:hAnsi="宋体" w:cs="宋体"/>
          <w:bCs/>
          <w:color w:val="auto"/>
          <w:sz w:val="32"/>
          <w:szCs w:val="32"/>
        </w:rPr>
        <w:t>项目名称：</w:t>
      </w:r>
    </w:p>
    <w:p w14:paraId="0F331DE6">
      <w:pPr>
        <w:snapToGrid w:val="0"/>
        <w:spacing w:before="156" w:beforeLines="50" w:after="50"/>
        <w:ind w:firstLine="720" w:firstLineChars="225"/>
        <w:rPr>
          <w:rFonts w:ascii="宋体" w:hAnsi="宋体" w:cs="宋体"/>
          <w:bCs/>
          <w:color w:val="auto"/>
          <w:sz w:val="32"/>
          <w:szCs w:val="32"/>
        </w:rPr>
      </w:pPr>
    </w:p>
    <w:p w14:paraId="596DC713">
      <w:pPr>
        <w:snapToGrid w:val="0"/>
        <w:spacing w:before="156" w:beforeLines="50" w:after="50"/>
        <w:ind w:firstLine="720" w:firstLineChars="225"/>
        <w:rPr>
          <w:rFonts w:ascii="宋体" w:hAnsi="宋体" w:cs="宋体"/>
          <w:bCs/>
          <w:color w:val="auto"/>
          <w:sz w:val="32"/>
          <w:szCs w:val="32"/>
        </w:rPr>
      </w:pPr>
      <w:r>
        <w:rPr>
          <w:rFonts w:hint="eastAsia" w:ascii="宋体" w:hAnsi="宋体" w:cs="宋体"/>
          <w:bCs/>
          <w:color w:val="auto"/>
          <w:sz w:val="32"/>
          <w:szCs w:val="32"/>
        </w:rPr>
        <w:t>项目编号：</w:t>
      </w:r>
    </w:p>
    <w:p w14:paraId="65D62BCE">
      <w:pPr>
        <w:snapToGrid w:val="0"/>
        <w:spacing w:before="156" w:beforeLines="50" w:after="50"/>
        <w:ind w:firstLine="720" w:firstLineChars="225"/>
        <w:rPr>
          <w:rFonts w:ascii="宋体" w:hAnsi="宋体" w:cs="宋体"/>
          <w:bCs/>
          <w:color w:val="auto"/>
          <w:sz w:val="32"/>
          <w:szCs w:val="32"/>
        </w:rPr>
      </w:pPr>
      <w:r>
        <w:rPr>
          <w:rFonts w:hint="eastAsia" w:ascii="宋体" w:hAnsi="宋体" w:cs="宋体"/>
          <w:bCs/>
          <w:color w:val="auto"/>
          <w:sz w:val="32"/>
          <w:szCs w:val="32"/>
        </w:rPr>
        <w:t xml:space="preserve"> </w:t>
      </w:r>
    </w:p>
    <w:p w14:paraId="405FAD09">
      <w:pPr>
        <w:snapToGrid w:val="0"/>
        <w:spacing w:before="156" w:beforeLines="50" w:after="50"/>
        <w:ind w:firstLine="720" w:firstLineChars="225"/>
        <w:rPr>
          <w:rFonts w:ascii="宋体" w:hAnsi="宋体" w:cs="宋体"/>
          <w:bCs/>
          <w:color w:val="auto"/>
          <w:sz w:val="32"/>
          <w:szCs w:val="32"/>
        </w:rPr>
      </w:pPr>
      <w:r>
        <w:rPr>
          <w:rFonts w:hint="eastAsia" w:ascii="宋体" w:hAnsi="宋体" w:cs="宋体"/>
          <w:bCs/>
          <w:color w:val="auto"/>
          <w:sz w:val="32"/>
          <w:szCs w:val="32"/>
        </w:rPr>
        <w:t>所竞分标（如有则填写，无分标时填写“无”或者留空）：</w:t>
      </w:r>
    </w:p>
    <w:p w14:paraId="5E2A5C7C">
      <w:pPr>
        <w:snapToGrid w:val="0"/>
        <w:spacing w:before="156" w:beforeLines="50" w:after="50"/>
        <w:ind w:firstLine="720" w:firstLineChars="225"/>
        <w:rPr>
          <w:rFonts w:ascii="宋体" w:hAnsi="宋体" w:cs="宋体"/>
          <w:bCs/>
          <w:color w:val="auto"/>
          <w:sz w:val="32"/>
          <w:szCs w:val="32"/>
        </w:rPr>
      </w:pPr>
    </w:p>
    <w:p w14:paraId="482BF7A3">
      <w:pPr>
        <w:pStyle w:val="7"/>
        <w:snapToGrid w:val="0"/>
        <w:spacing w:before="50" w:after="50"/>
        <w:ind w:firstLine="720" w:firstLineChars="225"/>
        <w:rPr>
          <w:rFonts w:ascii="宋体" w:hAnsi="宋体" w:cs="宋体"/>
          <w:bCs/>
          <w:color w:val="auto"/>
          <w:sz w:val="32"/>
          <w:szCs w:val="32"/>
        </w:rPr>
      </w:pPr>
      <w:r>
        <w:rPr>
          <w:rFonts w:hint="eastAsia" w:ascii="宋体" w:hAnsi="宋体" w:cs="宋体"/>
          <w:bCs/>
          <w:color w:val="auto"/>
          <w:sz w:val="32"/>
          <w:szCs w:val="32"/>
        </w:rPr>
        <w:t>供应商名称：</w:t>
      </w:r>
    </w:p>
    <w:p w14:paraId="09258688">
      <w:pPr>
        <w:pStyle w:val="7"/>
        <w:snapToGrid w:val="0"/>
        <w:spacing w:before="50" w:after="50"/>
        <w:ind w:firstLine="1280" w:firstLineChars="400"/>
        <w:rPr>
          <w:rFonts w:ascii="宋体" w:hAnsi="宋体" w:cs="宋体"/>
          <w:bCs/>
          <w:color w:val="auto"/>
          <w:sz w:val="32"/>
          <w:szCs w:val="32"/>
        </w:rPr>
      </w:pPr>
    </w:p>
    <w:p w14:paraId="5E716AD1">
      <w:pPr>
        <w:snapToGrid w:val="0"/>
        <w:spacing w:before="156" w:beforeLines="50" w:after="50"/>
        <w:jc w:val="center"/>
        <w:rPr>
          <w:rFonts w:ascii="宋体" w:hAnsi="宋体" w:cs="宋体"/>
          <w:color w:val="auto"/>
          <w:sz w:val="32"/>
          <w:szCs w:val="32"/>
        </w:rPr>
      </w:pPr>
      <w:r>
        <w:rPr>
          <w:rFonts w:hint="eastAsia" w:ascii="宋体" w:hAnsi="宋体" w:cs="宋体"/>
          <w:color w:val="auto"/>
          <w:sz w:val="32"/>
          <w:szCs w:val="32"/>
        </w:rPr>
        <w:t>年    月    日</w:t>
      </w:r>
    </w:p>
    <w:p w14:paraId="5411CC6C">
      <w:pPr>
        <w:snapToGrid w:val="0"/>
        <w:spacing w:before="156" w:beforeLines="50" w:after="50" w:line="360" w:lineRule="auto"/>
        <w:ind w:left="142"/>
        <w:jc w:val="left"/>
        <w:rPr>
          <w:rFonts w:ascii="宋体" w:hAnsi="宋体" w:cs="宋体"/>
          <w:b/>
          <w:bCs/>
          <w:color w:val="auto"/>
          <w:sz w:val="32"/>
          <w:szCs w:val="32"/>
        </w:rPr>
      </w:pPr>
      <w:r>
        <w:rPr>
          <w:rFonts w:hint="eastAsia" w:ascii="宋体" w:hAnsi="宋体" w:cs="宋体"/>
          <w:color w:val="auto"/>
          <w:sz w:val="24"/>
        </w:rPr>
        <w:br w:type="page"/>
      </w:r>
      <w:r>
        <w:rPr>
          <w:rFonts w:hint="eastAsia" w:ascii="宋体" w:hAnsi="宋体" w:cs="宋体"/>
          <w:b/>
          <w:bCs/>
          <w:color w:val="auto"/>
          <w:sz w:val="32"/>
          <w:szCs w:val="32"/>
        </w:rPr>
        <w:t>2.资格证明文件目录</w:t>
      </w:r>
    </w:p>
    <w:p w14:paraId="3B7E3499">
      <w:pPr>
        <w:snapToGrid w:val="0"/>
        <w:spacing w:line="360" w:lineRule="auto"/>
        <w:rPr>
          <w:rFonts w:ascii="宋体" w:hAnsi="宋体" w:cs="宋体"/>
          <w:color w:val="auto"/>
          <w:kern w:val="0"/>
          <w:sz w:val="24"/>
        </w:rPr>
      </w:pPr>
      <w:r>
        <w:rPr>
          <w:rFonts w:hint="eastAsia" w:ascii="宋体" w:hAnsi="宋体" w:cs="宋体"/>
          <w:color w:val="auto"/>
          <w:kern w:val="0"/>
          <w:sz w:val="24"/>
        </w:rPr>
        <w:t>一、</w:t>
      </w:r>
      <w:r>
        <w:rPr>
          <w:rFonts w:hint="eastAsia" w:ascii="宋体" w:hAnsi="宋体" w:cs="宋体"/>
          <w:color w:val="auto"/>
          <w:sz w:val="24"/>
        </w:rPr>
        <w:t>供应商为法人或者其他组织的提供其营业执照等证明文件（如营业执照或者事业单位法人证书或者执业许可证等），供应商为自然人的提供其身份证复印件</w:t>
      </w:r>
      <w:r>
        <w:rPr>
          <w:rFonts w:hint="eastAsia" w:ascii="宋体" w:hAnsi="宋体" w:cs="宋体"/>
          <w:color w:val="auto"/>
          <w:kern w:val="0"/>
          <w:sz w:val="24"/>
        </w:rPr>
        <w:t>…（页码）</w:t>
      </w:r>
    </w:p>
    <w:p w14:paraId="797E93CA">
      <w:pPr>
        <w:snapToGrid w:val="0"/>
        <w:spacing w:line="360" w:lineRule="auto"/>
        <w:rPr>
          <w:rFonts w:ascii="宋体" w:hAnsi="宋体" w:cs="宋体"/>
          <w:color w:val="auto"/>
          <w:kern w:val="0"/>
          <w:sz w:val="24"/>
        </w:rPr>
      </w:pPr>
      <w:r>
        <w:rPr>
          <w:rFonts w:hint="eastAsia" w:ascii="宋体" w:hAnsi="宋体" w:cs="宋体"/>
          <w:color w:val="auto"/>
          <w:kern w:val="0"/>
          <w:sz w:val="24"/>
        </w:rPr>
        <w:t>二、供应商依法缴纳税收的相关材料[近半年内任意连续3个月的依法缴纳税收的凭据复印件；依法免税的供应商，必须提供相应文件证明其依法免税。从取得营业执照时间起到首次响应文件提交截止时间为止不足要求月数的，只需提供从取得营业执照起的依法缴纳税收相应证明文件]…………………………………………………（页码）</w:t>
      </w:r>
    </w:p>
    <w:p w14:paraId="66AD3D0E">
      <w:pPr>
        <w:snapToGrid w:val="0"/>
        <w:spacing w:line="360" w:lineRule="auto"/>
        <w:rPr>
          <w:rFonts w:ascii="宋体" w:hAnsi="宋体" w:cs="宋体"/>
          <w:color w:val="auto"/>
          <w:kern w:val="0"/>
          <w:sz w:val="24"/>
        </w:rPr>
      </w:pPr>
      <w:r>
        <w:rPr>
          <w:rFonts w:hint="eastAsia" w:ascii="宋体" w:hAnsi="宋体" w:cs="宋体"/>
          <w:color w:val="auto"/>
          <w:kern w:val="0"/>
          <w:sz w:val="24"/>
        </w:rPr>
        <w:t>三、供应商依法缴纳社会保障资金的相关材料[近半年内任意连续3个月的依法缴纳社会保障资金的缴费凭证（专用收据或者社会保险缴纳清单）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页码）</w:t>
      </w:r>
    </w:p>
    <w:p w14:paraId="1B80E40A">
      <w:pPr>
        <w:snapToGrid w:val="0"/>
        <w:spacing w:line="360" w:lineRule="auto"/>
        <w:rPr>
          <w:rFonts w:ascii="宋体" w:hAnsi="宋体" w:cs="宋体"/>
          <w:color w:val="auto"/>
          <w:kern w:val="0"/>
          <w:sz w:val="24"/>
        </w:rPr>
      </w:pPr>
      <w:r>
        <w:rPr>
          <w:rFonts w:hint="eastAsia" w:ascii="宋体" w:hAnsi="宋体" w:cs="宋体"/>
          <w:color w:val="auto"/>
          <w:sz w:val="24"/>
        </w:rPr>
        <w:t>四、供应商财务状况报告[供应商2023年或2024年的年度财务状况报告复印件（可以是财务报表或银行出具的资信证明或第三方审计报告等证明材料）；供应商属于成立时间在规定年度之后的法人或其他组织，需提供成立之日起至响应文件提交截止时间前的1个月报表或银行出具的资信证明；资信证明应在有效期内，未注明有效期的，银行出具时间至响应文件提交截止时间不得超过一年]</w:t>
      </w:r>
      <w:r>
        <w:rPr>
          <w:rFonts w:hint="eastAsia" w:ascii="宋体" w:hAnsi="宋体" w:cs="宋体"/>
          <w:color w:val="auto"/>
          <w:kern w:val="0"/>
          <w:sz w:val="24"/>
        </w:rPr>
        <w:t>…………………………（页码）</w:t>
      </w:r>
    </w:p>
    <w:p w14:paraId="0A408BFC">
      <w:pPr>
        <w:snapToGrid w:val="0"/>
        <w:spacing w:line="360" w:lineRule="auto"/>
        <w:rPr>
          <w:rFonts w:ascii="宋体" w:hAnsi="宋体" w:cs="宋体"/>
          <w:color w:val="auto"/>
          <w:kern w:val="0"/>
          <w:sz w:val="24"/>
        </w:rPr>
      </w:pPr>
      <w:r>
        <w:rPr>
          <w:rFonts w:hint="eastAsia" w:ascii="宋体" w:hAnsi="宋体" w:cs="宋体"/>
          <w:color w:val="auto"/>
          <w:sz w:val="24"/>
        </w:rPr>
        <w:t>五、供应商直接控股、管理关系信息表</w:t>
      </w:r>
      <w:r>
        <w:rPr>
          <w:rFonts w:hint="eastAsia" w:ascii="宋体" w:hAnsi="宋体" w:cs="宋体"/>
          <w:color w:val="auto"/>
          <w:kern w:val="0"/>
          <w:sz w:val="24"/>
        </w:rPr>
        <w:t>…………………………………………（页码）</w:t>
      </w:r>
    </w:p>
    <w:p w14:paraId="208AA807">
      <w:pPr>
        <w:snapToGrid w:val="0"/>
        <w:spacing w:line="360" w:lineRule="auto"/>
        <w:rPr>
          <w:rFonts w:ascii="宋体" w:hAnsi="宋体" w:cs="宋体"/>
          <w:color w:val="auto"/>
          <w:kern w:val="0"/>
          <w:sz w:val="24"/>
        </w:rPr>
      </w:pPr>
      <w:r>
        <w:rPr>
          <w:rFonts w:hint="eastAsia" w:ascii="宋体" w:hAnsi="宋体" w:cs="宋体"/>
          <w:color w:val="auto"/>
          <w:kern w:val="0"/>
          <w:sz w:val="24"/>
        </w:rPr>
        <w:t>六、竞标声明………………………………………………………………………（页码）</w:t>
      </w:r>
    </w:p>
    <w:p w14:paraId="12A572D9">
      <w:pPr>
        <w:snapToGrid w:val="0"/>
        <w:spacing w:line="360" w:lineRule="auto"/>
        <w:rPr>
          <w:rFonts w:ascii="宋体" w:hAnsi="宋体" w:cs="宋体"/>
          <w:color w:val="auto"/>
          <w:kern w:val="0"/>
          <w:sz w:val="24"/>
        </w:rPr>
      </w:pPr>
      <w:r>
        <w:rPr>
          <w:rFonts w:hint="eastAsia" w:ascii="宋体" w:hAnsi="宋体" w:cs="宋体"/>
          <w:color w:val="auto"/>
          <w:kern w:val="0"/>
          <w:sz w:val="24"/>
        </w:rPr>
        <w:t>七、联合体协议书……………………………………………………………………（页码）</w:t>
      </w:r>
    </w:p>
    <w:p w14:paraId="5061754C">
      <w:pPr>
        <w:snapToGrid w:val="0"/>
        <w:spacing w:line="360" w:lineRule="auto"/>
        <w:rPr>
          <w:rFonts w:ascii="宋体" w:hAnsi="宋体" w:cs="宋体"/>
          <w:color w:val="auto"/>
          <w:kern w:val="0"/>
          <w:sz w:val="24"/>
        </w:rPr>
      </w:pPr>
      <w:r>
        <w:rPr>
          <w:rFonts w:hint="eastAsia" w:ascii="宋体" w:hAnsi="宋体" w:cs="宋体"/>
          <w:color w:val="auto"/>
          <w:kern w:val="0"/>
          <w:sz w:val="24"/>
        </w:rPr>
        <w:t>八、除谈判文件规定必须提供以外，供应商认为需要提供的其他证明材料…（页码）</w:t>
      </w:r>
    </w:p>
    <w:p w14:paraId="27F81F25">
      <w:pPr>
        <w:rPr>
          <w:rFonts w:ascii="宋体" w:hAnsi="宋体" w:cs="宋体"/>
          <w:color w:val="auto"/>
          <w:sz w:val="24"/>
        </w:rPr>
      </w:pPr>
    </w:p>
    <w:p w14:paraId="693F14D7">
      <w:pPr>
        <w:snapToGrid w:val="0"/>
        <w:spacing w:before="156" w:beforeLines="50" w:after="50" w:line="360" w:lineRule="auto"/>
        <w:ind w:firstLine="645"/>
        <w:rPr>
          <w:rFonts w:ascii="宋体" w:hAnsi="宋体" w:cs="宋体"/>
          <w:color w:val="auto"/>
          <w:sz w:val="24"/>
        </w:rPr>
      </w:pPr>
      <w:r>
        <w:rPr>
          <w:rFonts w:hint="eastAsia" w:ascii="宋体" w:hAnsi="宋体" w:cs="宋体"/>
          <w:b/>
          <w:bCs/>
          <w:color w:val="auto"/>
          <w:sz w:val="24"/>
        </w:rPr>
        <w:t>注：以上目录是编制供应商响应文件的基本格式要求，各供应商可根据自身情况进一步细化</w:t>
      </w:r>
      <w:r>
        <w:rPr>
          <w:rFonts w:hint="eastAsia" w:ascii="宋体" w:hAnsi="宋体" w:cs="宋体"/>
          <w:color w:val="auto"/>
          <w:sz w:val="24"/>
        </w:rPr>
        <w:t>。</w:t>
      </w:r>
    </w:p>
    <w:p w14:paraId="11822265">
      <w:pPr>
        <w:pStyle w:val="17"/>
        <w:rPr>
          <w:rFonts w:ascii="宋体" w:hAnsi="宋体" w:cs="宋体"/>
          <w:color w:val="auto"/>
        </w:rPr>
      </w:pPr>
    </w:p>
    <w:p w14:paraId="419CFD6C">
      <w:pPr>
        <w:snapToGrid w:val="0"/>
        <w:spacing w:before="156" w:beforeLines="50" w:after="50"/>
        <w:rPr>
          <w:rFonts w:ascii="宋体" w:hAnsi="宋体" w:cs="宋体"/>
          <w:b/>
          <w:color w:val="auto"/>
          <w:sz w:val="24"/>
          <w:szCs w:val="20"/>
        </w:rPr>
      </w:pPr>
      <w:r>
        <w:rPr>
          <w:rFonts w:hint="eastAsia" w:ascii="宋体" w:hAnsi="宋体" w:cs="宋体"/>
          <w:b/>
          <w:color w:val="auto"/>
          <w:sz w:val="24"/>
          <w:szCs w:val="20"/>
        </w:rPr>
        <w:br w:type="page"/>
      </w:r>
      <w:r>
        <w:rPr>
          <w:rFonts w:hint="eastAsia" w:ascii="宋体" w:hAnsi="宋体" w:cs="宋体"/>
          <w:b/>
          <w:color w:val="auto"/>
          <w:sz w:val="28"/>
          <w:szCs w:val="28"/>
        </w:rPr>
        <w:t>一、供应商为法人或者其他组织的提供其营业执照等证明文件（如营业执照或者事业单位法人证书或者执业许可证等），供应商为自然人的提供其身份证复印件</w:t>
      </w:r>
    </w:p>
    <w:p w14:paraId="3590FB41">
      <w:pPr>
        <w:autoSpaceDE w:val="0"/>
        <w:autoSpaceDN w:val="0"/>
        <w:spacing w:line="360" w:lineRule="auto"/>
        <w:ind w:left="4365" w:leftChars="1850" w:hanging="480" w:hangingChars="200"/>
        <w:rPr>
          <w:rFonts w:ascii="宋体" w:hAnsi="宋体" w:cs="宋体"/>
          <w:color w:val="auto"/>
          <w:kern w:val="0"/>
          <w:sz w:val="24"/>
        </w:rPr>
      </w:pPr>
      <w:r>
        <w:rPr>
          <w:rFonts w:hint="eastAsia" w:ascii="宋体" w:hAnsi="宋体" w:cs="宋体"/>
          <w:color w:val="auto"/>
          <w:kern w:val="0"/>
          <w:sz w:val="24"/>
        </w:rPr>
        <w:t>供应商名称（电子签章）：</w:t>
      </w:r>
    </w:p>
    <w:p w14:paraId="27853AF4">
      <w:pPr>
        <w:autoSpaceDE w:val="0"/>
        <w:autoSpaceDN w:val="0"/>
        <w:spacing w:line="360" w:lineRule="auto"/>
        <w:ind w:firstLine="6120" w:firstLineChars="2550"/>
        <w:rPr>
          <w:rFonts w:ascii="宋体" w:hAnsi="宋体" w:cs="宋体"/>
          <w:b/>
          <w:bCs/>
          <w:color w:val="auto"/>
          <w:sz w:val="24"/>
        </w:rPr>
      </w:pPr>
      <w:r>
        <w:rPr>
          <w:rFonts w:hint="eastAsia" w:ascii="宋体" w:hAnsi="宋体" w:cs="宋体"/>
          <w:color w:val="auto"/>
          <w:kern w:val="0"/>
          <w:sz w:val="24"/>
        </w:rPr>
        <w:t>日期：  年  月   日</w:t>
      </w:r>
    </w:p>
    <w:p w14:paraId="018C64D0">
      <w:pPr>
        <w:pStyle w:val="17"/>
        <w:rPr>
          <w:rFonts w:ascii="宋体" w:hAnsi="宋体" w:cs="宋体"/>
          <w:color w:val="auto"/>
        </w:rPr>
      </w:pPr>
    </w:p>
    <w:p w14:paraId="274F71F6">
      <w:pPr>
        <w:pStyle w:val="17"/>
        <w:rPr>
          <w:rFonts w:ascii="宋体" w:hAnsi="宋体" w:cs="宋体"/>
          <w:color w:val="auto"/>
        </w:rPr>
      </w:pPr>
    </w:p>
    <w:p w14:paraId="47AB8493">
      <w:pPr>
        <w:pStyle w:val="17"/>
        <w:rPr>
          <w:rFonts w:ascii="宋体" w:hAnsi="宋体" w:cs="宋体"/>
          <w:b/>
          <w:color w:val="auto"/>
          <w:sz w:val="28"/>
          <w:szCs w:val="28"/>
        </w:rPr>
      </w:pPr>
      <w:r>
        <w:rPr>
          <w:rFonts w:hint="eastAsia" w:ascii="宋体" w:hAnsi="宋体" w:cs="宋体"/>
          <w:b/>
          <w:color w:val="auto"/>
          <w:sz w:val="28"/>
          <w:szCs w:val="28"/>
        </w:rPr>
        <w:t>二、供应商依法缴纳税收的相关材料[近半年内任意连续3个月的依法缴纳税收的凭据复印件；依法免税的供应商，必须提供相应文件证明其依法免税。从取得营业执照时间起到首次响应文件提交截止时间为止不足要求月数的，只需提供从取得营业执照起的依法缴纳税收相应证明文件]</w:t>
      </w:r>
    </w:p>
    <w:p w14:paraId="50E8EA8E">
      <w:pPr>
        <w:pStyle w:val="17"/>
        <w:rPr>
          <w:rFonts w:ascii="宋体" w:hAnsi="宋体" w:cs="宋体"/>
          <w:color w:val="auto"/>
        </w:rPr>
      </w:pPr>
    </w:p>
    <w:p w14:paraId="29E292AA">
      <w:pPr>
        <w:autoSpaceDE w:val="0"/>
        <w:autoSpaceDN w:val="0"/>
        <w:spacing w:line="360" w:lineRule="auto"/>
        <w:ind w:left="4365" w:leftChars="1850" w:hanging="480" w:hangingChars="200"/>
        <w:rPr>
          <w:rFonts w:ascii="宋体" w:hAnsi="宋体" w:cs="宋体"/>
          <w:color w:val="auto"/>
          <w:kern w:val="0"/>
          <w:sz w:val="24"/>
        </w:rPr>
      </w:pPr>
      <w:r>
        <w:rPr>
          <w:rFonts w:hint="eastAsia" w:ascii="宋体" w:hAnsi="宋体" w:cs="宋体"/>
          <w:color w:val="auto"/>
          <w:kern w:val="0"/>
          <w:sz w:val="24"/>
        </w:rPr>
        <w:t>供应商名称（电子签章）：</w:t>
      </w:r>
    </w:p>
    <w:p w14:paraId="2A17E68B">
      <w:pPr>
        <w:autoSpaceDE w:val="0"/>
        <w:autoSpaceDN w:val="0"/>
        <w:spacing w:line="360" w:lineRule="auto"/>
        <w:ind w:firstLine="6120" w:firstLineChars="2550"/>
        <w:rPr>
          <w:rFonts w:ascii="宋体" w:hAnsi="宋体" w:cs="宋体"/>
          <w:b/>
          <w:bCs/>
          <w:color w:val="auto"/>
          <w:sz w:val="24"/>
        </w:rPr>
      </w:pPr>
      <w:r>
        <w:rPr>
          <w:rFonts w:hint="eastAsia" w:ascii="宋体" w:hAnsi="宋体" w:cs="宋体"/>
          <w:color w:val="auto"/>
          <w:kern w:val="0"/>
          <w:sz w:val="24"/>
        </w:rPr>
        <w:t>日期：  年  月   日</w:t>
      </w:r>
    </w:p>
    <w:p w14:paraId="34F5F11E">
      <w:pPr>
        <w:pStyle w:val="17"/>
        <w:rPr>
          <w:rFonts w:ascii="宋体" w:hAnsi="宋体" w:cs="宋体"/>
          <w:color w:val="auto"/>
        </w:rPr>
      </w:pPr>
    </w:p>
    <w:p w14:paraId="46181F06">
      <w:pPr>
        <w:pStyle w:val="17"/>
        <w:rPr>
          <w:rFonts w:ascii="宋体" w:hAnsi="宋体" w:cs="宋体"/>
          <w:color w:val="auto"/>
        </w:rPr>
      </w:pPr>
    </w:p>
    <w:p w14:paraId="2DC71178">
      <w:pPr>
        <w:pStyle w:val="17"/>
        <w:rPr>
          <w:rFonts w:ascii="宋体" w:hAnsi="宋体" w:cs="宋体"/>
          <w:b/>
          <w:color w:val="auto"/>
          <w:sz w:val="28"/>
          <w:szCs w:val="28"/>
        </w:rPr>
      </w:pPr>
      <w:r>
        <w:rPr>
          <w:rFonts w:hint="eastAsia" w:ascii="宋体" w:hAnsi="宋体" w:cs="宋体"/>
          <w:b/>
          <w:color w:val="auto"/>
          <w:sz w:val="28"/>
          <w:szCs w:val="28"/>
        </w:rPr>
        <w:t>三、供应商依法缴纳社会保障资金的相关材料[近半年内任意连续3个月的依法缴纳社会保障资金的缴费凭证（专用收据或者社会保险缴纳清单）复印件；依法不需要缴纳社会保障资金的供应商，必须提供相应文件证明不需要缴纳社会保障资金。从取得营业执照时间起到首次响应文件提交截止时间为止不足要求月数的只需提供从取得营业执照起依法缴纳社会保障资金的相应证明文件]</w:t>
      </w:r>
    </w:p>
    <w:p w14:paraId="1E501252">
      <w:pPr>
        <w:pStyle w:val="17"/>
        <w:rPr>
          <w:rFonts w:ascii="宋体" w:hAnsi="宋体" w:cs="宋体"/>
          <w:color w:val="auto"/>
          <w:sz w:val="24"/>
        </w:rPr>
      </w:pPr>
    </w:p>
    <w:p w14:paraId="41D21703">
      <w:pPr>
        <w:pStyle w:val="17"/>
        <w:rPr>
          <w:rFonts w:ascii="宋体" w:hAnsi="宋体" w:cs="宋体"/>
          <w:color w:val="auto"/>
          <w:sz w:val="24"/>
        </w:rPr>
      </w:pPr>
    </w:p>
    <w:p w14:paraId="0170C929">
      <w:pPr>
        <w:autoSpaceDE w:val="0"/>
        <w:autoSpaceDN w:val="0"/>
        <w:spacing w:line="360" w:lineRule="auto"/>
        <w:ind w:left="4365" w:leftChars="1850" w:hanging="480" w:hangingChars="200"/>
        <w:rPr>
          <w:rFonts w:ascii="宋体" w:hAnsi="宋体" w:cs="宋体"/>
          <w:color w:val="auto"/>
          <w:kern w:val="0"/>
          <w:sz w:val="24"/>
        </w:rPr>
      </w:pPr>
      <w:r>
        <w:rPr>
          <w:rFonts w:hint="eastAsia" w:ascii="宋体" w:hAnsi="宋体" w:cs="宋体"/>
          <w:color w:val="auto"/>
          <w:kern w:val="0"/>
          <w:sz w:val="24"/>
        </w:rPr>
        <w:t>供应商名称（电子签章）：</w:t>
      </w:r>
    </w:p>
    <w:p w14:paraId="492D56FC">
      <w:pPr>
        <w:autoSpaceDE w:val="0"/>
        <w:autoSpaceDN w:val="0"/>
        <w:spacing w:line="360" w:lineRule="auto"/>
        <w:ind w:firstLine="6120" w:firstLineChars="2550"/>
        <w:rPr>
          <w:rFonts w:ascii="宋体" w:hAnsi="宋体" w:cs="宋体"/>
          <w:b/>
          <w:bCs/>
          <w:color w:val="auto"/>
          <w:sz w:val="24"/>
        </w:rPr>
      </w:pPr>
      <w:r>
        <w:rPr>
          <w:rFonts w:hint="eastAsia" w:ascii="宋体" w:hAnsi="宋体" w:cs="宋体"/>
          <w:color w:val="auto"/>
          <w:kern w:val="0"/>
          <w:sz w:val="24"/>
        </w:rPr>
        <w:t>日期：  年  月   日</w:t>
      </w:r>
    </w:p>
    <w:p w14:paraId="405B18D8">
      <w:pPr>
        <w:pStyle w:val="17"/>
        <w:rPr>
          <w:rFonts w:ascii="宋体" w:hAnsi="宋体" w:cs="宋体"/>
          <w:color w:val="auto"/>
        </w:rPr>
      </w:pPr>
    </w:p>
    <w:p w14:paraId="5B7DD7F1">
      <w:pPr>
        <w:pStyle w:val="17"/>
        <w:rPr>
          <w:rFonts w:ascii="宋体" w:hAnsi="宋体" w:cs="宋体"/>
          <w:color w:val="auto"/>
        </w:rPr>
      </w:pPr>
    </w:p>
    <w:p w14:paraId="1B0E2F71">
      <w:pPr>
        <w:pStyle w:val="17"/>
        <w:rPr>
          <w:rFonts w:ascii="宋体" w:hAnsi="宋体" w:cs="宋体"/>
          <w:b/>
          <w:color w:val="auto"/>
          <w:sz w:val="28"/>
          <w:szCs w:val="28"/>
        </w:rPr>
      </w:pPr>
      <w:r>
        <w:rPr>
          <w:rFonts w:hint="eastAsia" w:ascii="宋体" w:hAnsi="宋体" w:cs="宋体"/>
          <w:b/>
          <w:color w:val="auto"/>
          <w:sz w:val="28"/>
          <w:szCs w:val="28"/>
        </w:rPr>
        <w:t>四、供应商财务状况报告[供应商2023年或2024年的年度财务状况报告复印件（可以是财务报表或银行出具的资信证明或第三方审计报告等证明材料）；供应商属于成立时间在规定年度之后的法人或其他组织，需提供成立之日起至响应文件提交截止时间前的1个月报表或银行出具的资信证明；资信证明应在有效期内，未注明有效期的，银行出具时间至响应文件提交截止时间不得超过一年]</w:t>
      </w:r>
    </w:p>
    <w:p w14:paraId="0B955EF8">
      <w:pPr>
        <w:pStyle w:val="17"/>
        <w:rPr>
          <w:rFonts w:ascii="宋体" w:hAnsi="宋体" w:cs="宋体"/>
          <w:color w:val="auto"/>
        </w:rPr>
      </w:pPr>
    </w:p>
    <w:p w14:paraId="7918D1F4">
      <w:pPr>
        <w:autoSpaceDE w:val="0"/>
        <w:autoSpaceDN w:val="0"/>
        <w:spacing w:line="360" w:lineRule="auto"/>
        <w:ind w:left="4365" w:leftChars="1850" w:hanging="480" w:hangingChars="200"/>
        <w:rPr>
          <w:rFonts w:ascii="宋体" w:hAnsi="宋体" w:cs="宋体"/>
          <w:color w:val="auto"/>
          <w:kern w:val="0"/>
          <w:sz w:val="24"/>
        </w:rPr>
      </w:pPr>
      <w:r>
        <w:rPr>
          <w:rFonts w:hint="eastAsia" w:ascii="宋体" w:hAnsi="宋体" w:cs="宋体"/>
          <w:color w:val="auto"/>
          <w:kern w:val="0"/>
          <w:sz w:val="24"/>
        </w:rPr>
        <w:t>供应商名称（电子签章）：</w:t>
      </w:r>
    </w:p>
    <w:p w14:paraId="6A2E51A6">
      <w:pPr>
        <w:autoSpaceDE w:val="0"/>
        <w:autoSpaceDN w:val="0"/>
        <w:spacing w:line="360" w:lineRule="auto"/>
        <w:ind w:firstLine="6120" w:firstLineChars="2550"/>
        <w:rPr>
          <w:rFonts w:ascii="宋体" w:hAnsi="宋体" w:cs="宋体"/>
          <w:b/>
          <w:bCs/>
          <w:color w:val="auto"/>
          <w:sz w:val="24"/>
        </w:rPr>
      </w:pPr>
      <w:r>
        <w:rPr>
          <w:rFonts w:hint="eastAsia" w:ascii="宋体" w:hAnsi="宋体" w:cs="宋体"/>
          <w:color w:val="auto"/>
          <w:kern w:val="0"/>
          <w:sz w:val="24"/>
        </w:rPr>
        <w:t>日期：  年  月   日</w:t>
      </w:r>
    </w:p>
    <w:p w14:paraId="14AEF9B7">
      <w:pPr>
        <w:spacing w:line="300" w:lineRule="auto"/>
        <w:rPr>
          <w:rFonts w:ascii="宋体" w:hAnsi="宋体" w:cs="宋体"/>
          <w:color w:val="auto"/>
          <w:szCs w:val="21"/>
        </w:rPr>
      </w:pPr>
    </w:p>
    <w:p w14:paraId="2BDC821C">
      <w:pPr>
        <w:spacing w:line="320" w:lineRule="exact"/>
        <w:jc w:val="left"/>
        <w:rPr>
          <w:rFonts w:ascii="宋体" w:hAnsi="宋体" w:cs="宋体"/>
          <w:color w:val="auto"/>
          <w:szCs w:val="21"/>
        </w:rPr>
      </w:pPr>
      <w:r>
        <w:rPr>
          <w:rFonts w:hint="eastAsia" w:ascii="宋体" w:hAnsi="宋体" w:cs="宋体"/>
          <w:color w:val="auto"/>
          <w:szCs w:val="21"/>
        </w:rPr>
        <w:t xml:space="preserve"> </w:t>
      </w:r>
    </w:p>
    <w:p w14:paraId="10694288">
      <w:pPr>
        <w:spacing w:line="320" w:lineRule="exact"/>
        <w:jc w:val="center"/>
        <w:rPr>
          <w:rFonts w:ascii="宋体" w:hAnsi="宋体" w:cs="宋体"/>
          <w:b/>
          <w:color w:val="auto"/>
          <w:sz w:val="32"/>
          <w:szCs w:val="32"/>
        </w:rPr>
      </w:pPr>
      <w:r>
        <w:rPr>
          <w:rFonts w:hint="eastAsia" w:ascii="宋体" w:hAnsi="宋体" w:cs="宋体"/>
          <w:b/>
          <w:color w:val="auto"/>
          <w:sz w:val="32"/>
          <w:szCs w:val="32"/>
        </w:rPr>
        <w:t>五、供应商直接控股、管理关系信息表</w:t>
      </w:r>
    </w:p>
    <w:p w14:paraId="2343DCC7">
      <w:pPr>
        <w:snapToGrid w:val="0"/>
        <w:spacing w:before="156" w:beforeLines="50" w:after="50" w:line="360" w:lineRule="auto"/>
        <w:jc w:val="center"/>
        <w:rPr>
          <w:rFonts w:ascii="宋体" w:hAnsi="宋体" w:cs="宋体"/>
          <w:b/>
          <w:color w:val="auto"/>
          <w:sz w:val="24"/>
        </w:rPr>
      </w:pPr>
    </w:p>
    <w:p w14:paraId="24F27B6A">
      <w:pPr>
        <w:spacing w:line="320" w:lineRule="exact"/>
        <w:jc w:val="center"/>
        <w:rPr>
          <w:rFonts w:ascii="宋体" w:hAnsi="宋体" w:cs="宋体"/>
          <w:b/>
          <w:color w:val="auto"/>
          <w:sz w:val="32"/>
          <w:szCs w:val="32"/>
        </w:rPr>
      </w:pPr>
      <w:r>
        <w:rPr>
          <w:rFonts w:hint="eastAsia" w:ascii="宋体" w:hAnsi="宋体" w:cs="宋体"/>
          <w:b/>
          <w:color w:val="auto"/>
          <w:sz w:val="32"/>
          <w:szCs w:val="32"/>
        </w:rPr>
        <w:t>供应商直接控股股东信息表</w:t>
      </w:r>
    </w:p>
    <w:p w14:paraId="45A416D1">
      <w:pPr>
        <w:snapToGrid w:val="0"/>
        <w:spacing w:before="50" w:after="156" w:afterLines="50" w:line="360" w:lineRule="auto"/>
        <w:jc w:val="center"/>
        <w:rPr>
          <w:rFonts w:ascii="宋体" w:hAnsi="宋体" w:cs="宋体"/>
          <w:b/>
          <w:color w:val="auto"/>
          <w:sz w:val="24"/>
        </w:rPr>
      </w:pPr>
    </w:p>
    <w:tbl>
      <w:tblPr>
        <w:tblStyle w:val="25"/>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5022F37F">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D7ED5FD">
            <w:pPr>
              <w:widowControl/>
              <w:spacing w:line="360" w:lineRule="auto"/>
              <w:jc w:val="center"/>
              <w:rPr>
                <w:rFonts w:ascii="宋体" w:hAnsi="宋体" w:cs="宋体"/>
                <w:b/>
                <w:bCs/>
                <w:color w:val="auto"/>
                <w:kern w:val="0"/>
                <w:sz w:val="24"/>
              </w:rPr>
            </w:pPr>
            <w:r>
              <w:rPr>
                <w:rFonts w:hint="eastAsia" w:ascii="宋体" w:hAnsi="宋体" w:cs="宋体"/>
                <w:b/>
                <w:bCs/>
                <w:color w:val="auto"/>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6268E70">
            <w:pPr>
              <w:widowControl/>
              <w:spacing w:line="360" w:lineRule="auto"/>
              <w:jc w:val="center"/>
              <w:rPr>
                <w:rFonts w:ascii="宋体" w:hAnsi="宋体" w:cs="宋体"/>
                <w:b/>
                <w:bCs/>
                <w:color w:val="auto"/>
                <w:kern w:val="0"/>
                <w:sz w:val="24"/>
              </w:rPr>
            </w:pPr>
            <w:r>
              <w:rPr>
                <w:rFonts w:hint="eastAsia" w:ascii="宋体" w:hAnsi="宋体" w:cs="宋体"/>
                <w:b/>
                <w:bCs/>
                <w:color w:val="auto"/>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780368C">
            <w:pPr>
              <w:widowControl/>
              <w:spacing w:line="360" w:lineRule="auto"/>
              <w:jc w:val="center"/>
              <w:rPr>
                <w:rFonts w:ascii="宋体" w:hAnsi="宋体" w:cs="宋体"/>
                <w:b/>
                <w:bCs/>
                <w:color w:val="auto"/>
                <w:kern w:val="0"/>
                <w:sz w:val="24"/>
              </w:rPr>
            </w:pPr>
            <w:r>
              <w:rPr>
                <w:rFonts w:hint="eastAsia" w:ascii="宋体" w:hAnsi="宋体" w:cs="宋体"/>
                <w:b/>
                <w:bCs/>
                <w:color w:val="auto"/>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574C6A6">
            <w:pPr>
              <w:widowControl/>
              <w:spacing w:line="360" w:lineRule="auto"/>
              <w:jc w:val="center"/>
              <w:rPr>
                <w:rFonts w:ascii="宋体" w:hAnsi="宋体" w:cs="宋体"/>
                <w:b/>
                <w:bCs/>
                <w:color w:val="auto"/>
                <w:kern w:val="0"/>
                <w:sz w:val="24"/>
              </w:rPr>
            </w:pPr>
            <w:r>
              <w:rPr>
                <w:rFonts w:hint="eastAsia" w:ascii="宋体" w:hAnsi="宋体" w:cs="宋体"/>
                <w:b/>
                <w:bCs/>
                <w:color w:val="auto"/>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AE82B61">
            <w:pPr>
              <w:widowControl/>
              <w:spacing w:line="360" w:lineRule="auto"/>
              <w:jc w:val="center"/>
              <w:rPr>
                <w:rFonts w:ascii="宋体" w:hAnsi="宋体" w:cs="宋体"/>
                <w:b/>
                <w:bCs/>
                <w:color w:val="auto"/>
                <w:kern w:val="0"/>
                <w:sz w:val="24"/>
              </w:rPr>
            </w:pPr>
            <w:r>
              <w:rPr>
                <w:rFonts w:hint="eastAsia" w:ascii="宋体" w:hAnsi="宋体" w:cs="宋体"/>
                <w:b/>
                <w:bCs/>
                <w:color w:val="auto"/>
                <w:kern w:val="0"/>
                <w:sz w:val="24"/>
              </w:rPr>
              <w:t>备注</w:t>
            </w:r>
          </w:p>
        </w:tc>
      </w:tr>
      <w:tr w14:paraId="72979DC5">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1A2A2C2">
            <w:pPr>
              <w:widowControl/>
              <w:spacing w:line="360" w:lineRule="auto"/>
              <w:jc w:val="center"/>
              <w:rPr>
                <w:rFonts w:ascii="宋体" w:hAnsi="宋体" w:cs="宋体"/>
                <w:color w:val="auto"/>
                <w:kern w:val="0"/>
                <w:sz w:val="24"/>
              </w:rPr>
            </w:pPr>
            <w:r>
              <w:rPr>
                <w:rFonts w:hint="eastAsia" w:ascii="宋体" w:hAnsi="宋体" w:cs="宋体"/>
                <w:color w:val="auto"/>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CF4F0DD">
            <w:pPr>
              <w:widowControl/>
              <w:spacing w:line="360" w:lineRule="auto"/>
              <w:jc w:val="center"/>
              <w:rPr>
                <w:rFonts w:ascii="宋体" w:hAnsi="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22C186E">
            <w:pPr>
              <w:widowControl/>
              <w:spacing w:line="360" w:lineRule="auto"/>
              <w:jc w:val="center"/>
              <w:rPr>
                <w:rFonts w:ascii="宋体" w:hAnsi="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62E738F">
            <w:pPr>
              <w:widowControl/>
              <w:spacing w:line="360" w:lineRule="auto"/>
              <w:jc w:val="center"/>
              <w:rPr>
                <w:rFonts w:ascii="宋体" w:hAnsi="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E5AAE66">
            <w:pPr>
              <w:widowControl/>
              <w:spacing w:line="360" w:lineRule="auto"/>
              <w:jc w:val="center"/>
              <w:rPr>
                <w:rFonts w:ascii="宋体" w:hAnsi="宋体" w:cs="宋体"/>
                <w:color w:val="auto"/>
                <w:kern w:val="0"/>
                <w:sz w:val="24"/>
              </w:rPr>
            </w:pPr>
          </w:p>
        </w:tc>
      </w:tr>
      <w:tr w14:paraId="08E320E5">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C44733B">
            <w:pPr>
              <w:widowControl/>
              <w:spacing w:line="360" w:lineRule="auto"/>
              <w:jc w:val="center"/>
              <w:rPr>
                <w:rFonts w:ascii="宋体" w:hAnsi="宋体" w:cs="宋体"/>
                <w:color w:val="auto"/>
                <w:kern w:val="0"/>
                <w:sz w:val="24"/>
              </w:rPr>
            </w:pPr>
            <w:r>
              <w:rPr>
                <w:rFonts w:hint="eastAsia" w:ascii="宋体" w:hAnsi="宋体" w:cs="宋体"/>
                <w:color w:val="auto"/>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ADDEC78">
            <w:pPr>
              <w:widowControl/>
              <w:spacing w:line="360" w:lineRule="auto"/>
              <w:jc w:val="center"/>
              <w:rPr>
                <w:rFonts w:ascii="宋体" w:hAnsi="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AADBF1B">
            <w:pPr>
              <w:widowControl/>
              <w:spacing w:line="360" w:lineRule="auto"/>
              <w:jc w:val="center"/>
              <w:rPr>
                <w:rFonts w:ascii="宋体" w:hAnsi="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112FA21">
            <w:pPr>
              <w:widowControl/>
              <w:spacing w:line="360" w:lineRule="auto"/>
              <w:jc w:val="center"/>
              <w:rPr>
                <w:rFonts w:ascii="宋体" w:hAnsi="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B037B38">
            <w:pPr>
              <w:widowControl/>
              <w:spacing w:line="360" w:lineRule="auto"/>
              <w:jc w:val="center"/>
              <w:rPr>
                <w:rFonts w:ascii="宋体" w:hAnsi="宋体" w:cs="宋体"/>
                <w:color w:val="auto"/>
                <w:kern w:val="0"/>
                <w:sz w:val="24"/>
              </w:rPr>
            </w:pPr>
          </w:p>
        </w:tc>
      </w:tr>
      <w:tr w14:paraId="726BD74D">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4AD9E06">
            <w:pPr>
              <w:widowControl/>
              <w:spacing w:line="360" w:lineRule="auto"/>
              <w:jc w:val="center"/>
              <w:rPr>
                <w:rFonts w:ascii="宋体" w:hAnsi="宋体" w:cs="宋体"/>
                <w:color w:val="auto"/>
                <w:kern w:val="0"/>
                <w:sz w:val="24"/>
              </w:rPr>
            </w:pPr>
            <w:r>
              <w:rPr>
                <w:rFonts w:hint="eastAsia" w:ascii="宋体" w:hAnsi="宋体" w:cs="宋体"/>
                <w:color w:val="auto"/>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8340E9C">
            <w:pPr>
              <w:widowControl/>
              <w:spacing w:line="360" w:lineRule="auto"/>
              <w:jc w:val="center"/>
              <w:rPr>
                <w:rFonts w:ascii="宋体" w:hAnsi="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4349F06">
            <w:pPr>
              <w:widowControl/>
              <w:spacing w:line="360" w:lineRule="auto"/>
              <w:jc w:val="center"/>
              <w:rPr>
                <w:rFonts w:ascii="宋体" w:hAnsi="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D92697C">
            <w:pPr>
              <w:widowControl/>
              <w:spacing w:line="360" w:lineRule="auto"/>
              <w:jc w:val="center"/>
              <w:rPr>
                <w:rFonts w:ascii="宋体" w:hAnsi="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081F76D">
            <w:pPr>
              <w:widowControl/>
              <w:spacing w:line="360" w:lineRule="auto"/>
              <w:jc w:val="center"/>
              <w:rPr>
                <w:rFonts w:ascii="宋体" w:hAnsi="宋体" w:cs="宋体"/>
                <w:color w:val="auto"/>
                <w:kern w:val="0"/>
                <w:sz w:val="24"/>
              </w:rPr>
            </w:pPr>
          </w:p>
        </w:tc>
      </w:tr>
      <w:tr w14:paraId="54F3B1F5">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1B337A8">
            <w:pPr>
              <w:widowControl/>
              <w:spacing w:line="360" w:lineRule="auto"/>
              <w:jc w:val="center"/>
              <w:rPr>
                <w:rFonts w:ascii="宋体" w:hAnsi="宋体" w:cs="宋体"/>
                <w:color w:val="auto"/>
                <w:kern w:val="0"/>
                <w:sz w:val="24"/>
              </w:rPr>
            </w:pPr>
            <w:r>
              <w:rPr>
                <w:rFonts w:hint="eastAsia" w:ascii="宋体" w:hAnsi="宋体" w:cs="宋体"/>
                <w:color w:val="auto"/>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B69CA86">
            <w:pPr>
              <w:widowControl/>
              <w:spacing w:line="360" w:lineRule="auto"/>
              <w:jc w:val="center"/>
              <w:rPr>
                <w:rFonts w:ascii="宋体" w:hAnsi="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F4D197C">
            <w:pPr>
              <w:widowControl/>
              <w:spacing w:line="360" w:lineRule="auto"/>
              <w:jc w:val="center"/>
              <w:rPr>
                <w:rFonts w:ascii="宋体" w:hAnsi="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700B1EB">
            <w:pPr>
              <w:widowControl/>
              <w:spacing w:line="360" w:lineRule="auto"/>
              <w:jc w:val="center"/>
              <w:rPr>
                <w:rFonts w:ascii="宋体" w:hAnsi="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1FDCD83">
            <w:pPr>
              <w:widowControl/>
              <w:spacing w:line="360" w:lineRule="auto"/>
              <w:jc w:val="center"/>
              <w:rPr>
                <w:rFonts w:ascii="宋体" w:hAnsi="宋体" w:cs="宋体"/>
                <w:color w:val="auto"/>
                <w:kern w:val="0"/>
                <w:sz w:val="24"/>
              </w:rPr>
            </w:pPr>
          </w:p>
        </w:tc>
      </w:tr>
    </w:tbl>
    <w:p w14:paraId="11EBA78C">
      <w:pPr>
        <w:snapToGrid w:val="0"/>
        <w:spacing w:line="360" w:lineRule="auto"/>
        <w:jc w:val="left"/>
        <w:rPr>
          <w:rFonts w:ascii="宋体" w:hAnsi="宋体" w:cs="宋体"/>
          <w:color w:val="auto"/>
          <w:sz w:val="24"/>
        </w:rPr>
      </w:pPr>
      <w:r>
        <w:rPr>
          <w:rFonts w:hint="eastAsia" w:ascii="宋体" w:hAnsi="宋体" w:cs="宋体"/>
          <w:color w:val="auto"/>
          <w:sz w:val="24"/>
        </w:rPr>
        <w:t>注：</w:t>
      </w:r>
    </w:p>
    <w:p w14:paraId="1F7AEE2C">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F8A6E5C">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2.本表所指的控股关系仅限于直接控股关系，不包括间接的控股关系。公司实际控制人与公司之间的关系不属于本表所指的直接控股关系。</w:t>
      </w:r>
    </w:p>
    <w:p w14:paraId="21A90DCB">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3.供应商不存在直接控股股东的，则填“无”。</w:t>
      </w:r>
    </w:p>
    <w:p w14:paraId="2D42D41E">
      <w:pPr>
        <w:snapToGrid w:val="0"/>
        <w:spacing w:line="360" w:lineRule="auto"/>
        <w:jc w:val="left"/>
        <w:rPr>
          <w:rFonts w:ascii="宋体" w:hAnsi="宋体" w:cs="宋体"/>
          <w:color w:val="auto"/>
          <w:sz w:val="24"/>
        </w:rPr>
      </w:pPr>
    </w:p>
    <w:p w14:paraId="37131EF1">
      <w:pPr>
        <w:snapToGrid w:val="0"/>
        <w:spacing w:line="360" w:lineRule="auto"/>
        <w:jc w:val="left"/>
        <w:rPr>
          <w:rFonts w:ascii="宋体" w:hAnsi="宋体" w:cs="宋体"/>
          <w:color w:val="auto"/>
          <w:sz w:val="24"/>
        </w:rPr>
      </w:pPr>
    </w:p>
    <w:p w14:paraId="07BA02C5">
      <w:pPr>
        <w:autoSpaceDE w:val="0"/>
        <w:autoSpaceDN w:val="0"/>
        <w:spacing w:line="360" w:lineRule="auto"/>
        <w:ind w:left="4365" w:leftChars="1850" w:hanging="480" w:hangingChars="200"/>
        <w:rPr>
          <w:rFonts w:ascii="宋体" w:hAnsi="宋体" w:cs="宋体"/>
          <w:color w:val="auto"/>
          <w:kern w:val="0"/>
          <w:sz w:val="24"/>
        </w:rPr>
      </w:pPr>
      <w:r>
        <w:rPr>
          <w:rFonts w:hint="eastAsia" w:ascii="宋体" w:hAnsi="宋体" w:cs="宋体"/>
          <w:color w:val="auto"/>
          <w:kern w:val="0"/>
          <w:sz w:val="24"/>
        </w:rPr>
        <w:t>供应商名称（电子签章）：</w:t>
      </w:r>
    </w:p>
    <w:p w14:paraId="489F1B4A">
      <w:pPr>
        <w:autoSpaceDE w:val="0"/>
        <w:autoSpaceDN w:val="0"/>
        <w:spacing w:line="360" w:lineRule="auto"/>
        <w:ind w:firstLine="6120" w:firstLineChars="2550"/>
        <w:rPr>
          <w:rFonts w:ascii="宋体" w:hAnsi="宋体" w:cs="宋体"/>
          <w:b/>
          <w:bCs/>
          <w:color w:val="auto"/>
          <w:sz w:val="24"/>
        </w:rPr>
      </w:pPr>
      <w:r>
        <w:rPr>
          <w:rFonts w:hint="eastAsia" w:ascii="宋体" w:hAnsi="宋体" w:cs="宋体"/>
          <w:color w:val="auto"/>
          <w:kern w:val="0"/>
          <w:sz w:val="24"/>
        </w:rPr>
        <w:t>日期：  年  月   日</w:t>
      </w:r>
    </w:p>
    <w:p w14:paraId="7FC2C24E">
      <w:pPr>
        <w:pStyle w:val="17"/>
        <w:rPr>
          <w:rFonts w:ascii="宋体" w:hAnsi="宋体" w:cs="宋体"/>
          <w:color w:val="auto"/>
        </w:rPr>
      </w:pPr>
    </w:p>
    <w:p w14:paraId="7A123097">
      <w:pPr>
        <w:pStyle w:val="17"/>
        <w:rPr>
          <w:rFonts w:ascii="宋体" w:hAnsi="宋体" w:cs="宋体"/>
          <w:color w:val="auto"/>
        </w:rPr>
      </w:pPr>
    </w:p>
    <w:p w14:paraId="4A94DD63">
      <w:pPr>
        <w:snapToGrid w:val="0"/>
        <w:jc w:val="center"/>
        <w:rPr>
          <w:rFonts w:ascii="宋体" w:hAnsi="宋体" w:cs="宋体"/>
          <w:b/>
          <w:color w:val="auto"/>
          <w:sz w:val="28"/>
          <w:szCs w:val="28"/>
        </w:rPr>
      </w:pPr>
      <w:r>
        <w:rPr>
          <w:rFonts w:hint="eastAsia" w:ascii="宋体" w:hAnsi="宋体" w:cs="宋体"/>
          <w:b/>
          <w:color w:val="auto"/>
          <w:sz w:val="28"/>
          <w:szCs w:val="28"/>
        </w:rPr>
        <w:br w:type="page"/>
      </w:r>
    </w:p>
    <w:p w14:paraId="2A599F06">
      <w:pPr>
        <w:spacing w:line="320" w:lineRule="exact"/>
        <w:jc w:val="center"/>
        <w:rPr>
          <w:rFonts w:ascii="宋体" w:hAnsi="宋体" w:cs="宋体"/>
          <w:b/>
          <w:color w:val="auto"/>
          <w:sz w:val="32"/>
          <w:szCs w:val="32"/>
        </w:rPr>
      </w:pPr>
      <w:r>
        <w:rPr>
          <w:rFonts w:hint="eastAsia" w:ascii="宋体" w:hAnsi="宋体" w:cs="宋体"/>
          <w:b/>
          <w:color w:val="auto"/>
          <w:sz w:val="32"/>
          <w:szCs w:val="32"/>
        </w:rPr>
        <w:t>供应商直接管理关系信息表</w:t>
      </w:r>
    </w:p>
    <w:p w14:paraId="2DCD4159">
      <w:pPr>
        <w:snapToGrid w:val="0"/>
        <w:spacing w:line="360" w:lineRule="auto"/>
        <w:jc w:val="center"/>
        <w:rPr>
          <w:rFonts w:ascii="宋体" w:hAnsi="宋体" w:cs="宋体"/>
          <w:b/>
          <w:color w:val="auto"/>
          <w:sz w:val="24"/>
        </w:rPr>
      </w:pPr>
    </w:p>
    <w:tbl>
      <w:tblPr>
        <w:tblStyle w:val="25"/>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347C4BDA">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C79D934">
            <w:pPr>
              <w:widowControl/>
              <w:spacing w:line="360" w:lineRule="auto"/>
              <w:jc w:val="center"/>
              <w:rPr>
                <w:rFonts w:ascii="宋体" w:hAnsi="宋体" w:cs="宋体"/>
                <w:b/>
                <w:bCs/>
                <w:color w:val="auto"/>
                <w:kern w:val="0"/>
                <w:sz w:val="24"/>
              </w:rPr>
            </w:pPr>
            <w:r>
              <w:rPr>
                <w:rFonts w:hint="eastAsia" w:ascii="宋体" w:hAnsi="宋体" w:cs="宋体"/>
                <w:b/>
                <w:bCs/>
                <w:color w:val="auto"/>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0D161FD">
            <w:pPr>
              <w:widowControl/>
              <w:spacing w:line="360" w:lineRule="auto"/>
              <w:jc w:val="center"/>
              <w:rPr>
                <w:rFonts w:ascii="宋体" w:hAnsi="宋体" w:cs="宋体"/>
                <w:b/>
                <w:bCs/>
                <w:color w:val="auto"/>
                <w:kern w:val="0"/>
                <w:sz w:val="24"/>
              </w:rPr>
            </w:pPr>
            <w:r>
              <w:rPr>
                <w:rFonts w:hint="eastAsia" w:ascii="宋体" w:hAnsi="宋体" w:cs="宋体"/>
                <w:b/>
                <w:bCs/>
                <w:color w:val="auto"/>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A9D097C">
            <w:pPr>
              <w:widowControl/>
              <w:spacing w:line="360" w:lineRule="auto"/>
              <w:jc w:val="center"/>
              <w:rPr>
                <w:rFonts w:ascii="宋体" w:hAnsi="宋体" w:cs="宋体"/>
                <w:b/>
                <w:bCs/>
                <w:color w:val="auto"/>
                <w:kern w:val="0"/>
                <w:sz w:val="24"/>
              </w:rPr>
            </w:pPr>
            <w:r>
              <w:rPr>
                <w:rFonts w:hint="eastAsia" w:ascii="宋体" w:hAnsi="宋体" w:cs="宋体"/>
                <w:b/>
                <w:bCs/>
                <w:color w:val="auto"/>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1181D23">
            <w:pPr>
              <w:widowControl/>
              <w:spacing w:line="360" w:lineRule="auto"/>
              <w:jc w:val="center"/>
              <w:rPr>
                <w:rFonts w:ascii="宋体" w:hAnsi="宋体" w:cs="宋体"/>
                <w:b/>
                <w:bCs/>
                <w:color w:val="auto"/>
                <w:kern w:val="0"/>
                <w:sz w:val="24"/>
              </w:rPr>
            </w:pPr>
            <w:r>
              <w:rPr>
                <w:rFonts w:hint="eastAsia" w:ascii="宋体" w:hAnsi="宋体" w:cs="宋体"/>
                <w:b/>
                <w:bCs/>
                <w:color w:val="auto"/>
                <w:kern w:val="0"/>
                <w:sz w:val="24"/>
              </w:rPr>
              <w:t>备注</w:t>
            </w:r>
          </w:p>
        </w:tc>
      </w:tr>
      <w:tr w14:paraId="33ADFB58">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2BCF77E">
            <w:pPr>
              <w:widowControl/>
              <w:spacing w:line="360" w:lineRule="auto"/>
              <w:jc w:val="center"/>
              <w:rPr>
                <w:rFonts w:ascii="宋体" w:hAnsi="宋体" w:cs="宋体"/>
                <w:color w:val="auto"/>
                <w:kern w:val="0"/>
                <w:sz w:val="24"/>
              </w:rPr>
            </w:pPr>
            <w:r>
              <w:rPr>
                <w:rFonts w:hint="eastAsia" w:ascii="宋体" w:hAnsi="宋体" w:cs="宋体"/>
                <w:color w:val="auto"/>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4F0FE64">
            <w:pPr>
              <w:widowControl/>
              <w:spacing w:line="360" w:lineRule="auto"/>
              <w:jc w:val="center"/>
              <w:rPr>
                <w:rFonts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311BCCB">
            <w:pPr>
              <w:widowControl/>
              <w:spacing w:line="360" w:lineRule="auto"/>
              <w:jc w:val="center"/>
              <w:rPr>
                <w:rFonts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440F948">
            <w:pPr>
              <w:widowControl/>
              <w:spacing w:line="360" w:lineRule="auto"/>
              <w:jc w:val="center"/>
              <w:rPr>
                <w:rFonts w:ascii="宋体" w:hAnsi="宋体" w:cs="宋体"/>
                <w:color w:val="auto"/>
                <w:kern w:val="0"/>
                <w:sz w:val="24"/>
              </w:rPr>
            </w:pPr>
          </w:p>
        </w:tc>
      </w:tr>
      <w:tr w14:paraId="6F8B3EA8">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F6E40BA">
            <w:pPr>
              <w:widowControl/>
              <w:spacing w:line="360" w:lineRule="auto"/>
              <w:jc w:val="center"/>
              <w:rPr>
                <w:rFonts w:ascii="宋体" w:hAnsi="宋体" w:cs="宋体"/>
                <w:color w:val="auto"/>
                <w:kern w:val="0"/>
                <w:sz w:val="24"/>
              </w:rPr>
            </w:pPr>
            <w:r>
              <w:rPr>
                <w:rFonts w:hint="eastAsia" w:ascii="宋体" w:hAnsi="宋体" w:cs="宋体"/>
                <w:color w:val="auto"/>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11D3F07">
            <w:pPr>
              <w:widowControl/>
              <w:spacing w:line="360" w:lineRule="auto"/>
              <w:jc w:val="center"/>
              <w:rPr>
                <w:rFonts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24A0136">
            <w:pPr>
              <w:widowControl/>
              <w:spacing w:line="360" w:lineRule="auto"/>
              <w:jc w:val="center"/>
              <w:rPr>
                <w:rFonts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F15EC95">
            <w:pPr>
              <w:widowControl/>
              <w:spacing w:line="360" w:lineRule="auto"/>
              <w:jc w:val="center"/>
              <w:rPr>
                <w:rFonts w:ascii="宋体" w:hAnsi="宋体" w:cs="宋体"/>
                <w:color w:val="auto"/>
                <w:kern w:val="0"/>
                <w:sz w:val="24"/>
              </w:rPr>
            </w:pPr>
          </w:p>
        </w:tc>
      </w:tr>
      <w:tr w14:paraId="13B4CF01">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B9B3A8E">
            <w:pPr>
              <w:widowControl/>
              <w:spacing w:line="360" w:lineRule="auto"/>
              <w:jc w:val="center"/>
              <w:rPr>
                <w:rFonts w:ascii="宋体" w:hAnsi="宋体" w:cs="宋体"/>
                <w:color w:val="auto"/>
                <w:kern w:val="0"/>
                <w:sz w:val="24"/>
              </w:rPr>
            </w:pPr>
            <w:r>
              <w:rPr>
                <w:rFonts w:hint="eastAsia" w:ascii="宋体" w:hAnsi="宋体" w:cs="宋体"/>
                <w:color w:val="auto"/>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E6ECF56">
            <w:pPr>
              <w:widowControl/>
              <w:spacing w:line="360" w:lineRule="auto"/>
              <w:jc w:val="center"/>
              <w:rPr>
                <w:rFonts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3FD010F">
            <w:pPr>
              <w:widowControl/>
              <w:spacing w:line="360" w:lineRule="auto"/>
              <w:jc w:val="center"/>
              <w:rPr>
                <w:rFonts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4F88FA7">
            <w:pPr>
              <w:widowControl/>
              <w:spacing w:line="360" w:lineRule="auto"/>
              <w:jc w:val="center"/>
              <w:rPr>
                <w:rFonts w:ascii="宋体" w:hAnsi="宋体" w:cs="宋体"/>
                <w:color w:val="auto"/>
                <w:kern w:val="0"/>
                <w:sz w:val="24"/>
              </w:rPr>
            </w:pPr>
          </w:p>
        </w:tc>
      </w:tr>
      <w:tr w14:paraId="7B1727D4">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CAC2DA9">
            <w:pPr>
              <w:widowControl/>
              <w:spacing w:line="360" w:lineRule="auto"/>
              <w:jc w:val="center"/>
              <w:rPr>
                <w:rFonts w:ascii="宋体" w:hAnsi="宋体" w:cs="宋体"/>
                <w:color w:val="auto"/>
                <w:kern w:val="0"/>
                <w:sz w:val="24"/>
              </w:rPr>
            </w:pPr>
            <w:r>
              <w:rPr>
                <w:rFonts w:hint="eastAsia" w:ascii="宋体" w:hAnsi="宋体" w:cs="宋体"/>
                <w:color w:val="auto"/>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EFEAB5B">
            <w:pPr>
              <w:widowControl/>
              <w:spacing w:line="360" w:lineRule="auto"/>
              <w:jc w:val="center"/>
              <w:rPr>
                <w:rFonts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AFB2834">
            <w:pPr>
              <w:widowControl/>
              <w:spacing w:line="360" w:lineRule="auto"/>
              <w:jc w:val="center"/>
              <w:rPr>
                <w:rFonts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2884C47">
            <w:pPr>
              <w:widowControl/>
              <w:spacing w:line="360" w:lineRule="auto"/>
              <w:jc w:val="center"/>
              <w:rPr>
                <w:rFonts w:ascii="宋体" w:hAnsi="宋体" w:cs="宋体"/>
                <w:color w:val="auto"/>
                <w:kern w:val="0"/>
                <w:sz w:val="24"/>
              </w:rPr>
            </w:pPr>
          </w:p>
        </w:tc>
      </w:tr>
    </w:tbl>
    <w:p w14:paraId="1415937A">
      <w:pPr>
        <w:snapToGrid w:val="0"/>
        <w:spacing w:line="360" w:lineRule="auto"/>
        <w:jc w:val="left"/>
        <w:rPr>
          <w:rFonts w:ascii="宋体" w:hAnsi="宋体" w:cs="宋体"/>
          <w:color w:val="auto"/>
          <w:sz w:val="24"/>
        </w:rPr>
      </w:pPr>
      <w:r>
        <w:rPr>
          <w:rFonts w:hint="eastAsia" w:ascii="宋体" w:hAnsi="宋体" w:cs="宋体"/>
          <w:color w:val="auto"/>
          <w:sz w:val="24"/>
        </w:rPr>
        <w:t>注：</w:t>
      </w:r>
    </w:p>
    <w:p w14:paraId="17EB5CDB">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1.管理关系：是指不具有出资持股关系的其他单位之间存在的管理与被管理关系，如一些上下级关系的事业单位和团体组织。</w:t>
      </w:r>
    </w:p>
    <w:p w14:paraId="7CBB992D">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pacing w:val="-6"/>
          <w:sz w:val="24"/>
        </w:rPr>
        <w:t>本表所指的管理关系仅限于直接管理关系，不包括间接的管理关系。</w:t>
      </w:r>
    </w:p>
    <w:p w14:paraId="7E706DB9">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3.供应商不存在直接管理关系的，则填“无”。</w:t>
      </w:r>
    </w:p>
    <w:p w14:paraId="23497E0F">
      <w:pPr>
        <w:snapToGrid w:val="0"/>
        <w:spacing w:line="360" w:lineRule="auto"/>
        <w:jc w:val="left"/>
        <w:rPr>
          <w:rFonts w:ascii="宋体" w:hAnsi="宋体" w:cs="宋体"/>
          <w:color w:val="auto"/>
          <w:sz w:val="24"/>
        </w:rPr>
      </w:pPr>
    </w:p>
    <w:p w14:paraId="47A85990">
      <w:pPr>
        <w:autoSpaceDE w:val="0"/>
        <w:autoSpaceDN w:val="0"/>
        <w:spacing w:line="360" w:lineRule="auto"/>
        <w:ind w:left="4365" w:leftChars="1850" w:hanging="480" w:hangingChars="200"/>
        <w:rPr>
          <w:rFonts w:ascii="宋体" w:hAnsi="宋体" w:cs="宋体"/>
          <w:color w:val="auto"/>
          <w:kern w:val="0"/>
          <w:sz w:val="24"/>
        </w:rPr>
      </w:pPr>
      <w:r>
        <w:rPr>
          <w:rFonts w:hint="eastAsia" w:ascii="宋体" w:hAnsi="宋体" w:cs="宋体"/>
          <w:color w:val="auto"/>
          <w:kern w:val="0"/>
          <w:sz w:val="24"/>
        </w:rPr>
        <w:t>供应商名称（电子签章）：</w:t>
      </w:r>
    </w:p>
    <w:p w14:paraId="37A5E948">
      <w:pPr>
        <w:autoSpaceDE w:val="0"/>
        <w:autoSpaceDN w:val="0"/>
        <w:spacing w:line="360" w:lineRule="auto"/>
        <w:ind w:firstLine="6120" w:firstLineChars="2550"/>
        <w:rPr>
          <w:rFonts w:ascii="宋体" w:hAnsi="宋体" w:cs="宋体"/>
          <w:b/>
          <w:bCs/>
          <w:color w:val="auto"/>
          <w:sz w:val="24"/>
        </w:rPr>
      </w:pPr>
      <w:r>
        <w:rPr>
          <w:rFonts w:hint="eastAsia" w:ascii="宋体" w:hAnsi="宋体" w:cs="宋体"/>
          <w:color w:val="auto"/>
          <w:kern w:val="0"/>
          <w:sz w:val="24"/>
        </w:rPr>
        <w:t>日期：  年  月   日</w:t>
      </w:r>
    </w:p>
    <w:p w14:paraId="15CCB972">
      <w:pPr>
        <w:spacing w:line="320" w:lineRule="exact"/>
        <w:jc w:val="center"/>
        <w:rPr>
          <w:rFonts w:ascii="宋体" w:hAnsi="宋体" w:cs="宋体"/>
          <w:b/>
          <w:color w:val="auto"/>
          <w:sz w:val="32"/>
          <w:szCs w:val="32"/>
        </w:rPr>
      </w:pPr>
      <w:r>
        <w:rPr>
          <w:rFonts w:hint="eastAsia" w:ascii="宋体" w:hAnsi="宋体" w:cs="宋体"/>
          <w:color w:val="auto"/>
          <w:sz w:val="28"/>
          <w:szCs w:val="28"/>
        </w:rPr>
        <w:br w:type="page"/>
      </w:r>
      <w:r>
        <w:rPr>
          <w:rFonts w:hint="eastAsia" w:ascii="宋体" w:hAnsi="宋体" w:cs="宋体"/>
          <w:b/>
          <w:color w:val="auto"/>
          <w:sz w:val="32"/>
          <w:szCs w:val="32"/>
        </w:rPr>
        <w:t>六、竞标声明</w:t>
      </w:r>
    </w:p>
    <w:p w14:paraId="3014951D">
      <w:pPr>
        <w:spacing w:line="320" w:lineRule="exact"/>
        <w:jc w:val="center"/>
        <w:rPr>
          <w:rFonts w:ascii="宋体" w:hAnsi="宋体" w:cs="宋体"/>
          <w:color w:val="auto"/>
          <w:sz w:val="24"/>
          <w:szCs w:val="20"/>
        </w:rPr>
      </w:pPr>
    </w:p>
    <w:p w14:paraId="73650FE4">
      <w:pPr>
        <w:spacing w:before="156" w:beforeLines="50" w:after="50" w:line="360" w:lineRule="auto"/>
        <w:contextualSpacing/>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（采购人名称）</w:t>
      </w:r>
    </w:p>
    <w:p w14:paraId="640087F6">
      <w:pPr>
        <w:spacing w:before="156" w:beforeLines="50" w:after="50" w:line="360" w:lineRule="auto"/>
        <w:ind w:firstLine="480" w:firstLineChars="200"/>
        <w:contextualSpacing/>
        <w:rPr>
          <w:rFonts w:ascii="宋体" w:hAnsi="宋体" w:cs="宋体"/>
          <w:color w:val="auto"/>
          <w:sz w:val="24"/>
        </w:rPr>
      </w:pPr>
      <w:r>
        <w:rPr>
          <w:rFonts w:hint="eastAsia" w:ascii="宋体" w:hAnsi="宋体" w:cs="宋体"/>
          <w:color w:val="auto"/>
          <w:sz w:val="24"/>
          <w:u w:val="single"/>
        </w:rPr>
        <w:t>（供应商名称）</w:t>
      </w:r>
      <w:r>
        <w:rPr>
          <w:rFonts w:hint="eastAsia" w:ascii="宋体" w:hAnsi="宋体" w:cs="宋体"/>
          <w:color w:val="auto"/>
          <w:sz w:val="24"/>
        </w:rPr>
        <w:t>系中华人民共和国合法供应商，经营地址</w:t>
      </w:r>
      <w:r>
        <w:rPr>
          <w:rFonts w:hint="eastAsia" w:ascii="宋体" w:hAnsi="宋体" w:cs="宋体"/>
          <w:color w:val="auto"/>
          <w:sz w:val="24"/>
          <w:u w:val="single"/>
        </w:rPr>
        <w:t xml:space="preserve">                              </w:t>
      </w:r>
      <w:r>
        <w:rPr>
          <w:rFonts w:hint="eastAsia" w:ascii="宋体" w:hAnsi="宋体" w:cs="宋体"/>
          <w:color w:val="auto"/>
          <w:sz w:val="24"/>
        </w:rPr>
        <w:t>。</w:t>
      </w:r>
    </w:p>
    <w:p w14:paraId="2EF2ACD5">
      <w:pPr>
        <w:spacing w:before="156" w:beforeLines="50" w:line="360" w:lineRule="auto"/>
        <w:ind w:firstLine="480" w:firstLineChars="200"/>
        <w:contextualSpacing/>
        <w:rPr>
          <w:rFonts w:ascii="宋体" w:hAnsi="宋体" w:cs="宋体"/>
          <w:color w:val="auto"/>
          <w:sz w:val="24"/>
        </w:rPr>
      </w:pPr>
      <w:r>
        <w:rPr>
          <w:rFonts w:hint="eastAsia" w:ascii="宋体" w:hAnsi="宋体" w:cs="宋体"/>
          <w:color w:val="auto"/>
          <w:sz w:val="24"/>
        </w:rPr>
        <w:t>我方愿意参加贵方组织的</w:t>
      </w:r>
      <w:r>
        <w:rPr>
          <w:rFonts w:hint="eastAsia" w:ascii="宋体" w:hAnsi="宋体" w:cs="宋体"/>
          <w:color w:val="auto"/>
          <w:sz w:val="24"/>
          <w:u w:val="single"/>
        </w:rPr>
        <w:t>（项目名称）</w:t>
      </w:r>
      <w:r>
        <w:rPr>
          <w:rFonts w:hint="eastAsia" w:ascii="宋体" w:hAnsi="宋体" w:cs="宋体"/>
          <w:color w:val="auto"/>
          <w:sz w:val="24"/>
        </w:rPr>
        <w:t>项目的竞标，为便于贵方公正、择优地确定成交供应商及其竞标产品和服务，我方就本次竞标有关事项郑重声明如下：</w:t>
      </w:r>
    </w:p>
    <w:p w14:paraId="61498E23">
      <w:pPr>
        <w:spacing w:before="156" w:beforeLines="50" w:line="360" w:lineRule="auto"/>
        <w:ind w:firstLine="480" w:firstLineChars="200"/>
        <w:contextualSpacing/>
        <w:rPr>
          <w:rFonts w:ascii="宋体" w:hAnsi="宋体" w:cs="宋体"/>
          <w:color w:val="auto"/>
          <w:sz w:val="24"/>
        </w:rPr>
      </w:pPr>
      <w:r>
        <w:rPr>
          <w:rFonts w:hint="eastAsia" w:ascii="宋体" w:hAnsi="宋体" w:cs="宋体"/>
          <w:color w:val="auto"/>
          <w:sz w:val="24"/>
        </w:rPr>
        <w:t>1.我方向贵方提交的所有响应文件、资料都是准确的和真实的。</w:t>
      </w:r>
    </w:p>
    <w:p w14:paraId="32923AEC">
      <w:pPr>
        <w:spacing w:before="156" w:beforeLines="50" w:line="360" w:lineRule="auto"/>
        <w:ind w:firstLine="480" w:firstLineChars="200"/>
        <w:contextualSpacing/>
        <w:rPr>
          <w:rFonts w:ascii="宋体" w:hAnsi="宋体" w:cs="宋体"/>
          <w:color w:val="auto"/>
          <w:sz w:val="24"/>
        </w:rPr>
      </w:pPr>
      <w:r>
        <w:rPr>
          <w:rFonts w:hint="eastAsia" w:ascii="宋体" w:hAnsi="宋体" w:cs="宋体"/>
          <w:color w:val="auto"/>
          <w:sz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58A27277">
      <w:pPr>
        <w:spacing w:before="156" w:beforeLines="50" w:line="360" w:lineRule="auto"/>
        <w:ind w:firstLine="480" w:firstLineChars="200"/>
        <w:contextualSpacing/>
        <w:rPr>
          <w:rFonts w:ascii="宋体" w:hAnsi="宋体" w:cs="宋体"/>
          <w:color w:val="auto"/>
          <w:sz w:val="24"/>
        </w:rPr>
      </w:pPr>
      <w:r>
        <w:rPr>
          <w:rFonts w:hint="eastAsia" w:ascii="宋体" w:hAnsi="宋体" w:cs="宋体"/>
          <w:color w:val="auto"/>
          <w:sz w:val="24"/>
        </w:rPr>
        <w:t>3.在此，我方宣布同意如下：</w:t>
      </w:r>
    </w:p>
    <w:p w14:paraId="791C6690">
      <w:pPr>
        <w:spacing w:before="156" w:beforeLines="50" w:line="360" w:lineRule="auto"/>
        <w:ind w:firstLine="480" w:firstLineChars="200"/>
        <w:contextualSpacing/>
        <w:rPr>
          <w:rFonts w:ascii="宋体" w:hAnsi="宋体" w:cs="宋体"/>
          <w:color w:val="auto"/>
          <w:sz w:val="24"/>
        </w:rPr>
      </w:pPr>
      <w:r>
        <w:rPr>
          <w:rFonts w:hint="eastAsia" w:ascii="宋体" w:hAnsi="宋体" w:cs="宋体"/>
          <w:color w:val="auto"/>
          <w:sz w:val="24"/>
        </w:rPr>
        <w:t>（1）将按谈判文件的约定履行合同责任和义务；</w:t>
      </w:r>
    </w:p>
    <w:p w14:paraId="0C5FC27D">
      <w:pPr>
        <w:spacing w:before="156" w:beforeLines="50" w:line="360" w:lineRule="auto"/>
        <w:ind w:firstLine="480" w:firstLineChars="200"/>
        <w:contextualSpacing/>
        <w:rPr>
          <w:rFonts w:ascii="宋体" w:hAnsi="宋体" w:cs="宋体"/>
          <w:color w:val="auto"/>
          <w:sz w:val="24"/>
        </w:rPr>
      </w:pPr>
      <w:r>
        <w:rPr>
          <w:rFonts w:hint="eastAsia" w:ascii="宋体" w:hAnsi="宋体" w:cs="宋体"/>
          <w:color w:val="auto"/>
          <w:sz w:val="24"/>
        </w:rPr>
        <w:t>（2）已详细审查全部谈判文件，包括澄清或者更正公告（如有）；</w:t>
      </w:r>
    </w:p>
    <w:p w14:paraId="473CAD64">
      <w:pPr>
        <w:spacing w:before="156" w:beforeLines="50" w:line="360" w:lineRule="auto"/>
        <w:ind w:firstLine="480" w:firstLineChars="200"/>
        <w:contextualSpacing/>
        <w:rPr>
          <w:rFonts w:ascii="宋体" w:hAnsi="宋体" w:cs="宋体"/>
          <w:color w:val="auto"/>
          <w:sz w:val="24"/>
        </w:rPr>
      </w:pPr>
      <w:r>
        <w:rPr>
          <w:rFonts w:hint="eastAsia" w:ascii="宋体" w:hAnsi="宋体" w:cs="宋体"/>
          <w:color w:val="auto"/>
          <w:sz w:val="24"/>
        </w:rPr>
        <w:t>（3）同意提供按照贵方可能要求的与谈判有关的一切数据或者资料；</w:t>
      </w:r>
    </w:p>
    <w:p w14:paraId="0364DFD6">
      <w:pPr>
        <w:spacing w:before="156" w:beforeLines="50" w:line="360" w:lineRule="auto"/>
        <w:ind w:firstLine="480" w:firstLineChars="200"/>
        <w:contextualSpacing/>
        <w:rPr>
          <w:rFonts w:ascii="宋体" w:hAnsi="宋体" w:cs="宋体"/>
          <w:color w:val="auto"/>
          <w:sz w:val="24"/>
        </w:rPr>
      </w:pPr>
      <w:r>
        <w:rPr>
          <w:rFonts w:hint="eastAsia" w:ascii="宋体" w:hAnsi="宋体" w:cs="宋体"/>
          <w:color w:val="auto"/>
          <w:sz w:val="24"/>
        </w:rPr>
        <w:t>（4）响应谈判文件规定的竞标有效期。</w:t>
      </w:r>
    </w:p>
    <w:p w14:paraId="4CFD0769">
      <w:pPr>
        <w:spacing w:before="156" w:beforeLines="50" w:line="360" w:lineRule="auto"/>
        <w:ind w:firstLine="480" w:firstLineChars="200"/>
        <w:contextualSpacing/>
        <w:rPr>
          <w:rFonts w:ascii="宋体" w:hAnsi="宋体" w:cs="宋体"/>
          <w:color w:val="auto"/>
          <w:sz w:val="24"/>
        </w:rPr>
      </w:pPr>
      <w:r>
        <w:rPr>
          <w:rFonts w:hint="eastAsia" w:ascii="宋体" w:hAnsi="宋体" w:cs="宋体"/>
          <w:color w:val="auto"/>
          <w:sz w:val="24"/>
        </w:rPr>
        <w:t>4. 我方承诺符合《中华人民共和国政府采购法》第二十二条规定：</w:t>
      </w:r>
    </w:p>
    <w:p w14:paraId="21997965">
      <w:pPr>
        <w:spacing w:before="156" w:beforeLines="50" w:line="360" w:lineRule="auto"/>
        <w:ind w:firstLine="480" w:firstLineChars="200"/>
        <w:contextualSpacing/>
        <w:rPr>
          <w:rFonts w:ascii="宋体" w:hAnsi="宋体" w:cs="宋体"/>
          <w:color w:val="auto"/>
          <w:sz w:val="24"/>
        </w:rPr>
      </w:pPr>
      <w:r>
        <w:rPr>
          <w:rFonts w:hint="eastAsia" w:ascii="宋体" w:hAnsi="宋体" w:cs="宋体"/>
          <w:color w:val="auto"/>
          <w:sz w:val="24"/>
        </w:rPr>
        <w:t>（1）具有独立承担民事责任的能力；</w:t>
      </w:r>
    </w:p>
    <w:p w14:paraId="6F5958B7">
      <w:pPr>
        <w:spacing w:before="156" w:beforeLines="50" w:line="360" w:lineRule="auto"/>
        <w:ind w:firstLine="480" w:firstLineChars="200"/>
        <w:contextualSpacing/>
        <w:rPr>
          <w:rFonts w:ascii="宋体" w:hAnsi="宋体" w:cs="宋体"/>
          <w:color w:val="auto"/>
          <w:sz w:val="24"/>
        </w:rPr>
      </w:pPr>
      <w:r>
        <w:rPr>
          <w:rFonts w:hint="eastAsia" w:ascii="宋体" w:hAnsi="宋体" w:cs="宋体"/>
          <w:color w:val="auto"/>
          <w:sz w:val="24"/>
        </w:rPr>
        <w:t>（2）具有良好的商业信誉和健全的财务会计制度；</w:t>
      </w:r>
    </w:p>
    <w:p w14:paraId="1795B976">
      <w:pPr>
        <w:spacing w:before="156" w:beforeLines="50" w:line="360" w:lineRule="auto"/>
        <w:ind w:firstLine="480" w:firstLineChars="200"/>
        <w:contextualSpacing/>
        <w:rPr>
          <w:rFonts w:ascii="宋体" w:hAnsi="宋体" w:cs="宋体"/>
          <w:color w:val="auto"/>
          <w:sz w:val="24"/>
        </w:rPr>
      </w:pPr>
      <w:r>
        <w:rPr>
          <w:rFonts w:hint="eastAsia" w:ascii="宋体" w:hAnsi="宋体" w:cs="宋体"/>
          <w:color w:val="auto"/>
          <w:sz w:val="24"/>
        </w:rPr>
        <w:t>（3）具有履行合同所必需的设备和专业技术能力；</w:t>
      </w:r>
    </w:p>
    <w:p w14:paraId="7391323E">
      <w:pPr>
        <w:spacing w:before="156" w:beforeLines="50" w:line="360" w:lineRule="auto"/>
        <w:ind w:firstLine="480" w:firstLineChars="200"/>
        <w:contextualSpacing/>
        <w:rPr>
          <w:rFonts w:ascii="宋体" w:hAnsi="宋体" w:cs="宋体"/>
          <w:color w:val="auto"/>
          <w:sz w:val="24"/>
        </w:rPr>
      </w:pPr>
      <w:r>
        <w:rPr>
          <w:rFonts w:hint="eastAsia" w:ascii="宋体" w:hAnsi="宋体" w:cs="宋体"/>
          <w:color w:val="auto"/>
          <w:sz w:val="24"/>
        </w:rPr>
        <w:t>（4）有依法缴纳税收和社会保障资金的良好记录；</w:t>
      </w:r>
    </w:p>
    <w:p w14:paraId="746CFD1B">
      <w:pPr>
        <w:spacing w:before="156" w:beforeLines="50" w:line="360" w:lineRule="auto"/>
        <w:ind w:firstLine="480" w:firstLineChars="200"/>
        <w:contextualSpacing/>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0875F8E7">
      <w:pPr>
        <w:spacing w:before="156" w:beforeLines="50" w:line="360" w:lineRule="auto"/>
        <w:ind w:firstLine="480" w:firstLineChars="200"/>
        <w:contextualSpacing/>
        <w:rPr>
          <w:rFonts w:ascii="宋体" w:hAnsi="宋体" w:cs="宋体"/>
          <w:color w:val="auto"/>
          <w:sz w:val="24"/>
        </w:rPr>
      </w:pPr>
      <w:r>
        <w:rPr>
          <w:rFonts w:hint="eastAsia" w:ascii="宋体" w:hAnsi="宋体" w:cs="宋体"/>
          <w:color w:val="auto"/>
          <w:sz w:val="24"/>
        </w:rPr>
        <w:t>（6）法律、行政法规规定的其他条件。</w:t>
      </w:r>
    </w:p>
    <w:p w14:paraId="44A85329">
      <w:pPr>
        <w:spacing w:before="156" w:beforeLines="50" w:line="360" w:lineRule="auto"/>
        <w:ind w:firstLine="480" w:firstLineChars="200"/>
        <w:contextualSpacing/>
        <w:rPr>
          <w:rFonts w:ascii="宋体" w:hAnsi="宋体" w:cs="宋体"/>
          <w:color w:val="auto"/>
          <w:sz w:val="24"/>
        </w:rPr>
      </w:pPr>
      <w:r>
        <w:rPr>
          <w:rFonts w:hint="eastAsia" w:ascii="宋体" w:hAnsi="宋体" w:cs="宋体"/>
          <w:color w:val="auto"/>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2CBD0FAD">
      <w:pPr>
        <w:spacing w:before="156" w:beforeLines="50" w:line="360" w:lineRule="auto"/>
        <w:ind w:firstLine="480" w:firstLineChars="200"/>
        <w:contextualSpacing/>
        <w:rPr>
          <w:rFonts w:ascii="宋体" w:hAnsi="宋体" w:cs="宋体"/>
          <w:color w:val="auto"/>
          <w:sz w:val="24"/>
        </w:rPr>
      </w:pPr>
      <w:r>
        <w:rPr>
          <w:rFonts w:hint="eastAsia" w:ascii="宋体" w:hAnsi="宋体" w:cs="宋体"/>
          <w:color w:val="auto"/>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5B76FA22">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□我方本次响应文件</w:t>
      </w:r>
      <w:r>
        <w:rPr>
          <w:rFonts w:hint="eastAsia" w:ascii="宋体" w:hAnsi="宋体" w:cs="宋体"/>
          <w:color w:val="auto"/>
          <w:kern w:val="0"/>
          <w:sz w:val="24"/>
        </w:rPr>
        <w:t>内容中</w:t>
      </w:r>
      <w:r>
        <w:rPr>
          <w:rFonts w:hint="eastAsia" w:ascii="宋体" w:hAnsi="宋体" w:cs="宋体"/>
          <w:color w:val="auto"/>
          <w:sz w:val="24"/>
        </w:rPr>
        <w:t>未</w:t>
      </w:r>
      <w:r>
        <w:rPr>
          <w:rFonts w:hint="eastAsia" w:ascii="宋体" w:hAnsi="宋体" w:cs="宋体"/>
          <w:color w:val="auto"/>
          <w:kern w:val="0"/>
          <w:sz w:val="24"/>
        </w:rPr>
        <w:t>涉及商业秘密；</w:t>
      </w:r>
    </w:p>
    <w:p w14:paraId="33AFE6F1">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□我方本次响应文件</w:t>
      </w:r>
      <w:r>
        <w:rPr>
          <w:rFonts w:hint="eastAsia" w:ascii="宋体" w:hAnsi="宋体" w:cs="宋体"/>
          <w:color w:val="auto"/>
          <w:kern w:val="0"/>
          <w:sz w:val="24"/>
        </w:rPr>
        <w:t>涉及商业秘密的内容有：</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22EEC606">
      <w:pPr>
        <w:pStyle w:val="14"/>
        <w:spacing w:line="360" w:lineRule="auto"/>
        <w:ind w:firstLine="480" w:firstLineChars="200"/>
        <w:contextualSpacing/>
        <w:rPr>
          <w:rFonts w:hAnsi="宋体" w:cs="宋体"/>
          <w:color w:val="auto"/>
          <w:sz w:val="24"/>
          <w:szCs w:val="24"/>
          <w:u w:val="single"/>
        </w:rPr>
      </w:pPr>
      <w:r>
        <w:rPr>
          <w:rFonts w:hint="eastAsia" w:hAnsi="宋体" w:cs="宋体"/>
          <w:color w:val="auto"/>
          <w:sz w:val="24"/>
          <w:szCs w:val="24"/>
        </w:rPr>
        <w:t>7.与本谈判有关的一切正式往来信函请寄：</w:t>
      </w:r>
      <w:r>
        <w:rPr>
          <w:rFonts w:hint="eastAsia" w:hAnsi="宋体" w:cs="宋体"/>
          <w:color w:val="auto"/>
          <w:sz w:val="24"/>
          <w:szCs w:val="24"/>
          <w:u w:val="single"/>
        </w:rPr>
        <w:t xml:space="preserve">                  </w:t>
      </w:r>
      <w:r>
        <w:rPr>
          <w:rFonts w:hint="eastAsia" w:hAnsi="宋体" w:cs="宋体"/>
          <w:color w:val="auto"/>
          <w:sz w:val="24"/>
          <w:szCs w:val="24"/>
        </w:rPr>
        <w:t>邮政编号：</w:t>
      </w:r>
      <w:r>
        <w:rPr>
          <w:rFonts w:hint="eastAsia" w:hAnsi="宋体" w:cs="宋体"/>
          <w:color w:val="auto"/>
          <w:sz w:val="24"/>
          <w:szCs w:val="24"/>
          <w:u w:val="single"/>
        </w:rPr>
        <w:t xml:space="preserve">        </w:t>
      </w:r>
    </w:p>
    <w:p w14:paraId="6435C49A">
      <w:pPr>
        <w:pStyle w:val="14"/>
        <w:spacing w:line="360" w:lineRule="auto"/>
        <w:ind w:firstLine="480" w:firstLineChars="200"/>
        <w:contextualSpacing/>
        <w:rPr>
          <w:rFonts w:hAnsi="宋体" w:cs="宋体"/>
          <w:color w:val="auto"/>
          <w:sz w:val="24"/>
          <w:szCs w:val="24"/>
        </w:rPr>
      </w:pPr>
      <w:r>
        <w:rPr>
          <w:rFonts w:hint="eastAsia" w:hAnsi="宋体" w:cs="宋体"/>
          <w:color w:val="auto"/>
          <w:sz w:val="24"/>
          <w:szCs w:val="24"/>
        </w:rPr>
        <w:t>电话/传真：</w:t>
      </w:r>
      <w:r>
        <w:rPr>
          <w:rFonts w:hint="eastAsia" w:hAnsi="宋体" w:cs="宋体"/>
          <w:color w:val="auto"/>
          <w:sz w:val="24"/>
          <w:szCs w:val="24"/>
          <w:u w:val="single"/>
        </w:rPr>
        <w:t xml:space="preserve">                        </w:t>
      </w:r>
      <w:r>
        <w:rPr>
          <w:rFonts w:hint="eastAsia" w:hAnsi="宋体" w:cs="宋体"/>
          <w:color w:val="auto"/>
          <w:sz w:val="24"/>
          <w:szCs w:val="24"/>
        </w:rPr>
        <w:t xml:space="preserve"> 电子函件：</w:t>
      </w:r>
      <w:r>
        <w:rPr>
          <w:rFonts w:hint="eastAsia" w:hAnsi="宋体" w:cs="宋体"/>
          <w:color w:val="auto"/>
          <w:sz w:val="24"/>
          <w:szCs w:val="24"/>
          <w:u w:val="single"/>
        </w:rPr>
        <w:t xml:space="preserve">                            </w:t>
      </w:r>
      <w:r>
        <w:rPr>
          <w:rFonts w:hint="eastAsia" w:hAnsi="宋体" w:cs="宋体"/>
          <w:color w:val="auto"/>
          <w:sz w:val="24"/>
          <w:szCs w:val="24"/>
        </w:rPr>
        <w:t xml:space="preserve">    </w:t>
      </w:r>
    </w:p>
    <w:p w14:paraId="6FFC0593">
      <w:pPr>
        <w:pStyle w:val="13"/>
        <w:tabs>
          <w:tab w:val="left" w:pos="939"/>
        </w:tabs>
        <w:spacing w:line="360" w:lineRule="auto"/>
        <w:ind w:left="141" w:leftChars="67" w:firstLine="360" w:firstLineChars="150"/>
        <w:rPr>
          <w:rFonts w:ascii="宋体" w:hAnsi="宋体" w:cs="宋体"/>
          <w:color w:val="auto"/>
          <w:sz w:val="24"/>
        </w:rPr>
      </w:pPr>
      <w:r>
        <w:rPr>
          <w:rFonts w:hint="eastAsia" w:ascii="宋体" w:hAnsi="宋体" w:cs="宋体"/>
          <w:color w:val="auto"/>
          <w:sz w:val="24"/>
        </w:rPr>
        <w:t>开户银行：</w:t>
      </w:r>
      <w:r>
        <w:rPr>
          <w:rFonts w:hint="eastAsia" w:ascii="宋体" w:hAnsi="宋体" w:cs="宋体"/>
          <w:color w:val="auto"/>
          <w:sz w:val="24"/>
          <w:u w:val="single"/>
        </w:rPr>
        <w:t xml:space="preserve">                         </w:t>
      </w:r>
      <w:r>
        <w:rPr>
          <w:rFonts w:hint="eastAsia" w:ascii="宋体" w:hAnsi="宋体" w:cs="宋体"/>
          <w:color w:val="auto"/>
          <w:sz w:val="24"/>
        </w:rPr>
        <w:t xml:space="preserve">  账号：</w:t>
      </w:r>
      <w:r>
        <w:rPr>
          <w:rFonts w:hint="eastAsia" w:ascii="宋体" w:hAnsi="宋体" w:cs="宋体"/>
          <w:color w:val="auto"/>
          <w:sz w:val="24"/>
          <w:u w:val="single"/>
        </w:rPr>
        <w:t xml:space="preserve">                               </w:t>
      </w:r>
    </w:p>
    <w:p w14:paraId="61B31201">
      <w:pPr>
        <w:pStyle w:val="13"/>
        <w:tabs>
          <w:tab w:val="left" w:pos="939"/>
        </w:tabs>
        <w:spacing w:line="360" w:lineRule="auto"/>
        <w:ind w:left="0" w:leftChars="0" w:firstLine="480" w:firstLineChars="200"/>
        <w:rPr>
          <w:rFonts w:ascii="宋体" w:hAnsi="宋体" w:cs="宋体"/>
          <w:color w:val="auto"/>
          <w:sz w:val="24"/>
        </w:rPr>
      </w:pPr>
      <w:r>
        <w:rPr>
          <w:rFonts w:hint="eastAsia" w:ascii="宋体" w:hAnsi="宋体" w:cs="宋体"/>
          <w:color w:val="auto"/>
          <w:sz w:val="24"/>
        </w:rPr>
        <w:t>8.以上事项如有虚假或者隐瞒，我方愿意承担一切后果，并不再寻求任何旨在减轻或者免除法律责任的辩解。</w:t>
      </w:r>
    </w:p>
    <w:p w14:paraId="7BA82F68">
      <w:pPr>
        <w:pStyle w:val="13"/>
        <w:tabs>
          <w:tab w:val="left" w:pos="939"/>
        </w:tabs>
        <w:spacing w:line="360" w:lineRule="auto"/>
        <w:ind w:left="141" w:leftChars="67" w:firstLine="360" w:firstLineChars="150"/>
        <w:rPr>
          <w:rFonts w:ascii="宋体" w:hAnsi="宋体" w:cs="宋体"/>
          <w:color w:val="auto"/>
          <w:sz w:val="24"/>
        </w:rPr>
      </w:pPr>
      <w:r>
        <w:rPr>
          <w:rFonts w:hint="eastAsia" w:ascii="宋体" w:hAnsi="宋体" w:cs="宋体"/>
          <w:color w:val="auto"/>
          <w:sz w:val="24"/>
        </w:rPr>
        <w:t>特此承诺。</w:t>
      </w:r>
    </w:p>
    <w:p w14:paraId="2C86A3F7">
      <w:pPr>
        <w:spacing w:before="156" w:beforeLines="50" w:line="360" w:lineRule="auto"/>
        <w:ind w:firstLine="480" w:firstLineChars="200"/>
        <w:contextualSpacing/>
        <w:rPr>
          <w:rFonts w:ascii="宋体" w:hAnsi="宋体" w:cs="宋体"/>
          <w:color w:val="auto"/>
          <w:sz w:val="24"/>
        </w:rPr>
      </w:pPr>
      <w:r>
        <w:rPr>
          <w:rFonts w:hint="eastAsia" w:ascii="宋体" w:hAnsi="宋体" w:cs="宋体"/>
          <w:color w:val="auto"/>
          <w:sz w:val="24"/>
        </w:rPr>
        <w:t>注：如为联合体竞标，盖章处须加盖联合体各方公章并由联合体各方法定代表人签署，否则其响应文件按无效响应处理。</w:t>
      </w:r>
    </w:p>
    <w:p w14:paraId="29B1153F">
      <w:pPr>
        <w:spacing w:line="360" w:lineRule="auto"/>
        <w:ind w:firstLine="4320" w:firstLineChars="1800"/>
        <w:rPr>
          <w:rFonts w:ascii="宋体" w:hAnsi="宋体" w:cs="宋体"/>
          <w:color w:val="auto"/>
          <w:sz w:val="24"/>
        </w:rPr>
      </w:pPr>
    </w:p>
    <w:p w14:paraId="189B25D2">
      <w:pPr>
        <w:snapToGrid w:val="0"/>
        <w:spacing w:before="156" w:beforeLines="50" w:after="50" w:line="360" w:lineRule="auto"/>
        <w:ind w:right="480" w:firstLine="240" w:firstLineChars="100"/>
        <w:jc w:val="right"/>
        <w:rPr>
          <w:rFonts w:ascii="宋体" w:hAnsi="宋体" w:cs="宋体"/>
          <w:color w:val="auto"/>
          <w:sz w:val="24"/>
        </w:rPr>
      </w:pPr>
      <w:r>
        <w:rPr>
          <w:rFonts w:hint="eastAsia" w:ascii="宋体" w:hAnsi="宋体" w:cs="宋体"/>
          <w:color w:val="auto"/>
          <w:sz w:val="24"/>
        </w:rPr>
        <w:t>供应商名称（电子签章）：</w:t>
      </w:r>
    </w:p>
    <w:p w14:paraId="06A25FFE">
      <w:pPr>
        <w:snapToGrid w:val="0"/>
        <w:spacing w:before="156" w:beforeLines="50" w:after="50" w:line="360" w:lineRule="auto"/>
        <w:ind w:right="480" w:firstLine="240" w:firstLineChars="100"/>
        <w:jc w:val="right"/>
        <w:rPr>
          <w:rFonts w:ascii="宋体" w:hAnsi="宋体" w:cs="宋体"/>
          <w:color w:val="auto"/>
          <w:sz w:val="24"/>
        </w:rPr>
      </w:pPr>
      <w:r>
        <w:rPr>
          <w:rFonts w:hint="eastAsia" w:ascii="宋体" w:hAnsi="宋体" w:cs="宋体"/>
          <w:color w:val="auto"/>
          <w:sz w:val="24"/>
        </w:rPr>
        <w:t>日期：  年  月   日</w:t>
      </w:r>
    </w:p>
    <w:p w14:paraId="1178E91C">
      <w:pPr>
        <w:rPr>
          <w:rFonts w:ascii="宋体" w:hAnsi="宋体" w:cs="宋体"/>
          <w:color w:val="auto"/>
        </w:rPr>
      </w:pPr>
    </w:p>
    <w:p w14:paraId="23B62EB7">
      <w:pPr>
        <w:pStyle w:val="17"/>
        <w:rPr>
          <w:rFonts w:ascii="宋体" w:hAnsi="宋体" w:cs="宋体"/>
          <w:color w:val="auto"/>
        </w:rPr>
      </w:pPr>
    </w:p>
    <w:p w14:paraId="7928F6A5">
      <w:pPr>
        <w:pStyle w:val="17"/>
        <w:rPr>
          <w:rFonts w:ascii="宋体" w:hAnsi="宋体" w:cs="宋体"/>
          <w:color w:val="auto"/>
        </w:rPr>
      </w:pPr>
    </w:p>
    <w:p w14:paraId="1E6D18CD">
      <w:pPr>
        <w:pStyle w:val="17"/>
        <w:rPr>
          <w:rFonts w:ascii="宋体" w:hAnsi="宋体" w:cs="宋体"/>
          <w:color w:val="auto"/>
        </w:rPr>
      </w:pPr>
    </w:p>
    <w:p w14:paraId="79470F92">
      <w:pPr>
        <w:pStyle w:val="17"/>
        <w:rPr>
          <w:rFonts w:ascii="宋体" w:hAnsi="宋体" w:cs="宋体"/>
          <w:color w:val="auto"/>
        </w:rPr>
      </w:pPr>
    </w:p>
    <w:p w14:paraId="0E0649F1">
      <w:pPr>
        <w:pStyle w:val="17"/>
        <w:rPr>
          <w:rFonts w:ascii="宋体" w:hAnsi="宋体" w:cs="宋体"/>
          <w:color w:val="auto"/>
        </w:rPr>
      </w:pPr>
    </w:p>
    <w:p w14:paraId="0E4EAE66">
      <w:pPr>
        <w:spacing w:line="320" w:lineRule="exact"/>
        <w:jc w:val="center"/>
        <w:rPr>
          <w:rFonts w:ascii="宋体" w:hAnsi="宋体" w:cs="宋体"/>
          <w:b/>
          <w:color w:val="auto"/>
        </w:rPr>
      </w:pPr>
      <w:r>
        <w:rPr>
          <w:rFonts w:hint="eastAsia" w:ascii="宋体" w:hAnsi="宋体" w:cs="宋体"/>
          <w:color w:val="auto"/>
        </w:rPr>
        <w:br w:type="page"/>
      </w:r>
      <w:r>
        <w:rPr>
          <w:rFonts w:hint="eastAsia" w:ascii="宋体" w:hAnsi="宋体" w:cs="宋体"/>
          <w:b/>
          <w:color w:val="auto"/>
          <w:sz w:val="32"/>
          <w:szCs w:val="32"/>
        </w:rPr>
        <w:t>七、联合体协议书</w:t>
      </w:r>
    </w:p>
    <w:p w14:paraId="29A0183E">
      <w:pPr>
        <w:rPr>
          <w:rFonts w:ascii="宋体" w:hAnsi="宋体" w:cs="宋体"/>
          <w:color w:val="auto"/>
        </w:rPr>
      </w:pPr>
    </w:p>
    <w:p w14:paraId="727C313B">
      <w:pPr>
        <w:rPr>
          <w:rFonts w:ascii="宋体" w:hAnsi="宋体" w:cs="宋体"/>
          <w:color w:val="auto"/>
        </w:rPr>
      </w:pPr>
    </w:p>
    <w:p w14:paraId="4080CF37">
      <w:pPr>
        <w:pStyle w:val="7"/>
        <w:overflowPunct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u w:val="single"/>
        </w:rPr>
        <w:t xml:space="preserve">      </w:t>
      </w:r>
      <w:r>
        <w:rPr>
          <w:rFonts w:hint="eastAsia" w:ascii="宋体" w:hAnsi="宋体" w:cs="宋体"/>
          <w:color w:val="auto"/>
          <w:sz w:val="24"/>
          <w:szCs w:val="24"/>
        </w:rPr>
        <w:t>（所有成员单位名称）自愿组成</w:t>
      </w:r>
      <w:r>
        <w:rPr>
          <w:rFonts w:hint="eastAsia" w:ascii="宋体" w:hAnsi="宋体" w:cs="宋体"/>
          <w:color w:val="auto"/>
          <w:sz w:val="24"/>
          <w:szCs w:val="24"/>
          <w:u w:val="single"/>
        </w:rPr>
        <w:t xml:space="preserve">      </w:t>
      </w:r>
      <w:r>
        <w:rPr>
          <w:rFonts w:hint="eastAsia" w:ascii="宋体" w:hAnsi="宋体" w:cs="宋体"/>
          <w:color w:val="auto"/>
          <w:sz w:val="24"/>
          <w:szCs w:val="24"/>
        </w:rPr>
        <w:t>（联合体名称）联合体，共同参加</w:t>
      </w:r>
      <w:r>
        <w:rPr>
          <w:rFonts w:hint="eastAsia" w:ascii="宋体" w:hAnsi="宋体" w:cs="宋体"/>
          <w:color w:val="auto"/>
          <w:sz w:val="24"/>
          <w:szCs w:val="24"/>
          <w:u w:val="single"/>
        </w:rPr>
        <w:t xml:space="preserve">      </w:t>
      </w:r>
      <w:r>
        <w:rPr>
          <w:rFonts w:hint="eastAsia" w:ascii="宋体" w:hAnsi="宋体" w:cs="宋体"/>
          <w:color w:val="auto"/>
          <w:sz w:val="24"/>
          <w:szCs w:val="24"/>
        </w:rPr>
        <w:t>（项目名称）采购项目竞标。现就联合体竞标事宜订立如下协议：</w:t>
      </w:r>
    </w:p>
    <w:p w14:paraId="24DF1B3E">
      <w:pPr>
        <w:pStyle w:val="7"/>
        <w:overflowPunct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u w:val="single"/>
        </w:rPr>
        <w:t xml:space="preserve"> </w:t>
      </w:r>
      <w:r>
        <w:rPr>
          <w:rFonts w:hint="eastAsia" w:ascii="宋体" w:hAnsi="宋体" w:cs="宋体"/>
          <w:color w:val="auto"/>
          <w:sz w:val="24"/>
          <w:szCs w:val="24"/>
          <w:u w:val="single"/>
        </w:rPr>
        <w:tab/>
      </w:r>
      <w:r>
        <w:rPr>
          <w:rFonts w:hint="eastAsia" w:ascii="宋体" w:hAnsi="宋体" w:cs="宋体"/>
          <w:color w:val="auto"/>
          <w:sz w:val="24"/>
          <w:szCs w:val="24"/>
          <w:u w:val="single"/>
        </w:rPr>
        <w:t xml:space="preserve">   </w:t>
      </w:r>
      <w:r>
        <w:rPr>
          <w:rFonts w:hint="eastAsia" w:ascii="宋体" w:hAnsi="宋体" w:cs="宋体"/>
          <w:color w:val="auto"/>
          <w:sz w:val="24"/>
          <w:szCs w:val="24"/>
        </w:rPr>
        <w:t>（某成员单位名称）为</w:t>
      </w:r>
      <w:r>
        <w:rPr>
          <w:rFonts w:hint="eastAsia" w:ascii="宋体" w:hAnsi="宋体" w:cs="宋体"/>
          <w:color w:val="auto"/>
          <w:sz w:val="24"/>
          <w:szCs w:val="24"/>
          <w:u w:val="single"/>
        </w:rPr>
        <w:t xml:space="preserve">     </w:t>
      </w:r>
      <w:r>
        <w:rPr>
          <w:rFonts w:hint="eastAsia" w:ascii="宋体" w:hAnsi="宋体" w:cs="宋体"/>
          <w:color w:val="auto"/>
          <w:sz w:val="24"/>
          <w:szCs w:val="24"/>
        </w:rPr>
        <w:t>（联合体名称）牵头人。</w:t>
      </w:r>
    </w:p>
    <w:p w14:paraId="18338027">
      <w:pPr>
        <w:pStyle w:val="7"/>
        <w:overflowPunct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联合体各成员授权牵头人代表联合体参加竞标活动，签署文件及对文件的盖章，提交和接收相关的资料、信息及指示，进行合同谈判活动，负责合同实施阶段的组织和协调工作，以及处理与本竞标项目有关的一切事宜。</w:t>
      </w:r>
    </w:p>
    <w:p w14:paraId="46FCBD67">
      <w:pPr>
        <w:pStyle w:val="7"/>
        <w:overflowPunct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3.联合体牵头人在本项目中签署和盖章的一切文件和处理的一切事宜，联合体各成员均予以承认。联合体各成员将严格按照谈判文件、响应文件和合同的要求全面履行义务，并向采购人承担连带责任。</w:t>
      </w:r>
    </w:p>
    <w:p w14:paraId="17F51932">
      <w:pPr>
        <w:pStyle w:val="7"/>
        <w:overflowPunct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4.联合体各成员单位内部的职责分工如下：</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14:paraId="6CFAF83D">
      <w:pPr>
        <w:pStyle w:val="7"/>
        <w:overflowPunct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5.本</w:t>
      </w:r>
      <w:r>
        <w:rPr>
          <w:rFonts w:hint="eastAsia" w:ascii="宋体" w:hAnsi="宋体" w:cs="宋体"/>
          <w:color w:val="auto"/>
          <w:spacing w:val="-6"/>
          <w:sz w:val="24"/>
          <w:szCs w:val="24"/>
        </w:rPr>
        <w:t>协议书自所有成员单位法定代表人或者其委托代理人签字或者盖单位章之日起生效，合同履行完毕后自动失效。</w:t>
      </w:r>
    </w:p>
    <w:p w14:paraId="0FB0CBA4">
      <w:pPr>
        <w:pStyle w:val="7"/>
        <w:overflowPunct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6.本协议书一式</w:t>
      </w:r>
      <w:r>
        <w:rPr>
          <w:rFonts w:hint="eastAsia" w:ascii="宋体" w:hAnsi="宋体" w:cs="宋体"/>
          <w:color w:val="auto"/>
          <w:sz w:val="24"/>
          <w:szCs w:val="24"/>
          <w:u w:val="single"/>
        </w:rPr>
        <w:t xml:space="preserve"> </w:t>
      </w:r>
      <w:r>
        <w:rPr>
          <w:rFonts w:hint="eastAsia" w:ascii="宋体" w:hAnsi="宋体" w:cs="宋体"/>
          <w:color w:val="auto"/>
          <w:sz w:val="24"/>
          <w:szCs w:val="24"/>
          <w:u w:val="single"/>
        </w:rPr>
        <w:tab/>
      </w:r>
      <w:r>
        <w:rPr>
          <w:rFonts w:hint="eastAsia" w:ascii="宋体" w:hAnsi="宋体" w:cs="宋体"/>
          <w:color w:val="auto"/>
          <w:sz w:val="24"/>
          <w:szCs w:val="24"/>
        </w:rPr>
        <w:t>份，联合体成员和采购人各执一份。</w:t>
      </w:r>
    </w:p>
    <w:p w14:paraId="721F6D25">
      <w:pPr>
        <w:pStyle w:val="7"/>
        <w:overflowPunct w:val="0"/>
        <w:ind w:firstLine="480" w:firstLineChars="200"/>
        <w:rPr>
          <w:rFonts w:ascii="宋体" w:hAnsi="宋体" w:cs="宋体"/>
          <w:color w:val="auto"/>
          <w:sz w:val="24"/>
        </w:rPr>
      </w:pPr>
      <w:r>
        <w:rPr>
          <w:rFonts w:hint="eastAsia" w:ascii="宋体" w:hAnsi="宋体" w:cs="宋体"/>
          <w:color w:val="auto"/>
          <w:sz w:val="24"/>
          <w:szCs w:val="24"/>
        </w:rPr>
        <w:t>注：</w:t>
      </w:r>
      <w:r>
        <w:rPr>
          <w:rFonts w:hint="eastAsia" w:ascii="宋体" w:hAnsi="宋体" w:cs="宋体"/>
          <w:color w:val="auto"/>
          <w:sz w:val="24"/>
        </w:rPr>
        <w:t>本协议书由法定代表人签字的，应附法定代表人身份证明；本协议书由委托代理人签字的，应附法定代表人授权委托书。</w:t>
      </w:r>
    </w:p>
    <w:p w14:paraId="3A120D72">
      <w:pPr>
        <w:pStyle w:val="7"/>
        <w:overflowPunct w:val="0"/>
        <w:ind w:firstLine="480" w:firstLineChars="200"/>
        <w:rPr>
          <w:rFonts w:ascii="宋体" w:hAnsi="宋体" w:cs="宋体"/>
          <w:color w:val="auto"/>
          <w:sz w:val="24"/>
        </w:rPr>
      </w:pPr>
    </w:p>
    <w:p w14:paraId="7718601F">
      <w:pPr>
        <w:pStyle w:val="7"/>
        <w:overflowPunct w:val="0"/>
        <w:ind w:firstLine="480" w:firstLineChars="200"/>
        <w:rPr>
          <w:rFonts w:ascii="宋体" w:hAnsi="宋体" w:cs="宋体"/>
          <w:color w:val="auto"/>
          <w:sz w:val="24"/>
        </w:rPr>
      </w:pPr>
      <w:r>
        <w:rPr>
          <w:rFonts w:hint="eastAsia" w:ascii="宋体" w:hAnsi="宋体" w:cs="宋体"/>
          <w:color w:val="auto"/>
          <w:sz w:val="24"/>
        </w:rPr>
        <w:t>牵头人名称：</w:t>
      </w:r>
      <w:r>
        <w:rPr>
          <w:rFonts w:hint="eastAsia" w:ascii="宋体" w:hAnsi="宋体" w:cs="宋体"/>
          <w:color w:val="auto"/>
          <w:sz w:val="24"/>
          <w:u w:val="single"/>
        </w:rPr>
        <w:t xml:space="preserve">                                       </w:t>
      </w:r>
      <w:r>
        <w:rPr>
          <w:rFonts w:hint="eastAsia" w:ascii="宋体" w:hAnsi="宋体" w:cs="宋体"/>
          <w:color w:val="auto"/>
          <w:sz w:val="24"/>
        </w:rPr>
        <w:t>（公章/电子签章）</w:t>
      </w:r>
    </w:p>
    <w:p w14:paraId="511FEE50">
      <w:pPr>
        <w:pStyle w:val="7"/>
        <w:overflowPunct w:val="0"/>
        <w:ind w:firstLine="480" w:firstLineChars="200"/>
        <w:rPr>
          <w:rFonts w:ascii="宋体" w:hAnsi="宋体" w:cs="宋体"/>
          <w:color w:val="auto"/>
          <w:sz w:val="24"/>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w:t>
      </w:r>
      <w:r>
        <w:rPr>
          <w:rFonts w:hint="eastAsia" w:ascii="宋体" w:hAnsi="宋体" w:cs="宋体"/>
          <w:color w:val="auto"/>
          <w:sz w:val="24"/>
        </w:rPr>
        <w:t>（手写签名/电子签名）</w:t>
      </w:r>
    </w:p>
    <w:p w14:paraId="05777B2D">
      <w:pPr>
        <w:pStyle w:val="7"/>
        <w:overflowPunct w:val="0"/>
        <w:ind w:firstLine="480" w:firstLineChars="200"/>
        <w:rPr>
          <w:rFonts w:ascii="宋体" w:hAnsi="宋体" w:cs="宋体"/>
          <w:color w:val="auto"/>
          <w:sz w:val="24"/>
        </w:rPr>
      </w:pPr>
    </w:p>
    <w:p w14:paraId="589C182D">
      <w:pPr>
        <w:pStyle w:val="7"/>
        <w:overflowPunct w:val="0"/>
        <w:ind w:firstLine="480" w:firstLineChars="200"/>
        <w:rPr>
          <w:rFonts w:ascii="宋体" w:hAnsi="宋体" w:cs="宋体"/>
          <w:color w:val="auto"/>
          <w:sz w:val="24"/>
        </w:rPr>
      </w:pPr>
      <w:r>
        <w:rPr>
          <w:rFonts w:hint="eastAsia" w:ascii="宋体" w:hAnsi="宋体" w:cs="宋体"/>
          <w:color w:val="auto"/>
          <w:sz w:val="24"/>
        </w:rPr>
        <w:t>成员一名称：</w:t>
      </w:r>
      <w:r>
        <w:rPr>
          <w:rFonts w:hint="eastAsia" w:ascii="宋体" w:hAnsi="宋体" w:cs="宋体"/>
          <w:color w:val="auto"/>
          <w:sz w:val="24"/>
          <w:u w:val="single"/>
        </w:rPr>
        <w:t xml:space="preserve">                                       </w:t>
      </w:r>
      <w:r>
        <w:rPr>
          <w:rFonts w:hint="eastAsia" w:ascii="宋体" w:hAnsi="宋体" w:cs="宋体"/>
          <w:color w:val="auto"/>
          <w:sz w:val="24"/>
        </w:rPr>
        <w:t>（公章/电子签章）</w:t>
      </w:r>
    </w:p>
    <w:p w14:paraId="757587B3">
      <w:pPr>
        <w:pStyle w:val="7"/>
        <w:overflowPunct w:val="0"/>
        <w:ind w:firstLine="480" w:firstLineChars="200"/>
        <w:rPr>
          <w:rFonts w:ascii="宋体" w:hAnsi="宋体" w:cs="宋体"/>
          <w:color w:val="auto"/>
          <w:sz w:val="24"/>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w:t>
      </w:r>
      <w:r>
        <w:rPr>
          <w:rFonts w:hint="eastAsia" w:ascii="宋体" w:hAnsi="宋体" w:cs="宋体"/>
          <w:color w:val="auto"/>
          <w:sz w:val="24"/>
        </w:rPr>
        <w:t>（手写签名/电子签名）</w:t>
      </w:r>
    </w:p>
    <w:p w14:paraId="38F9AF35">
      <w:pPr>
        <w:pStyle w:val="7"/>
        <w:overflowPunct w:val="0"/>
        <w:ind w:firstLine="480" w:firstLineChars="200"/>
        <w:rPr>
          <w:rFonts w:ascii="宋体" w:hAnsi="宋体" w:cs="宋体"/>
          <w:color w:val="auto"/>
          <w:sz w:val="24"/>
        </w:rPr>
      </w:pPr>
    </w:p>
    <w:p w14:paraId="11AFE29C">
      <w:pPr>
        <w:pStyle w:val="7"/>
        <w:overflowPunct w:val="0"/>
        <w:ind w:firstLine="480" w:firstLineChars="200"/>
        <w:rPr>
          <w:rFonts w:ascii="宋体" w:hAnsi="宋体" w:cs="宋体"/>
          <w:color w:val="auto"/>
          <w:sz w:val="24"/>
        </w:rPr>
      </w:pPr>
      <w:r>
        <w:rPr>
          <w:rFonts w:hint="eastAsia" w:ascii="宋体" w:hAnsi="宋体" w:cs="宋体"/>
          <w:color w:val="auto"/>
          <w:sz w:val="24"/>
        </w:rPr>
        <w:t>成员二名称：</w:t>
      </w:r>
      <w:r>
        <w:rPr>
          <w:rFonts w:hint="eastAsia" w:ascii="宋体" w:hAnsi="宋体" w:cs="宋体"/>
          <w:color w:val="auto"/>
          <w:sz w:val="24"/>
          <w:u w:val="single"/>
        </w:rPr>
        <w:t xml:space="preserve">                                       </w:t>
      </w:r>
      <w:r>
        <w:rPr>
          <w:rFonts w:hint="eastAsia" w:ascii="宋体" w:hAnsi="宋体" w:cs="宋体"/>
          <w:color w:val="auto"/>
          <w:sz w:val="24"/>
        </w:rPr>
        <w:t>（公章/电子签章）</w:t>
      </w:r>
    </w:p>
    <w:p w14:paraId="41827C11">
      <w:pPr>
        <w:pStyle w:val="7"/>
        <w:overflowPunct w:val="0"/>
        <w:spacing w:line="360" w:lineRule="auto"/>
        <w:ind w:firstLine="480" w:firstLineChars="200"/>
        <w:rPr>
          <w:rFonts w:ascii="宋体" w:hAnsi="宋体" w:cs="宋体"/>
          <w:color w:val="auto"/>
          <w:sz w:val="24"/>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w:t>
      </w:r>
      <w:r>
        <w:rPr>
          <w:rFonts w:hint="eastAsia" w:ascii="宋体" w:hAnsi="宋体" w:cs="宋体"/>
          <w:color w:val="auto"/>
          <w:sz w:val="24"/>
        </w:rPr>
        <w:t>（手写签名/电子签名）</w:t>
      </w:r>
    </w:p>
    <w:p w14:paraId="41BEA31F">
      <w:pPr>
        <w:pStyle w:val="7"/>
        <w:overflowPunct w:val="0"/>
        <w:spacing w:line="360" w:lineRule="auto"/>
        <w:ind w:firstLine="480" w:firstLineChars="200"/>
        <w:rPr>
          <w:rFonts w:ascii="宋体" w:hAnsi="宋体" w:cs="宋体"/>
          <w:color w:val="auto"/>
          <w:sz w:val="24"/>
        </w:rPr>
      </w:pPr>
    </w:p>
    <w:p w14:paraId="0A1224B2">
      <w:pPr>
        <w:pStyle w:val="7"/>
        <w:overflowPunct w:val="0"/>
        <w:spacing w:line="360" w:lineRule="auto"/>
        <w:ind w:firstLine="480" w:firstLineChars="200"/>
        <w:rPr>
          <w:rFonts w:ascii="宋体" w:hAnsi="宋体" w:cs="宋体"/>
          <w:color w:val="auto"/>
          <w:sz w:val="24"/>
        </w:rPr>
      </w:pPr>
    </w:p>
    <w:p w14:paraId="7DCC1823">
      <w:pPr>
        <w:pStyle w:val="17"/>
        <w:rPr>
          <w:rFonts w:ascii="宋体" w:hAnsi="宋体" w:cs="宋体"/>
          <w:color w:val="auto"/>
          <w:sz w:val="24"/>
          <w:szCs w:val="24"/>
        </w:rPr>
      </w:pPr>
      <w:r>
        <w:rPr>
          <w:rFonts w:hint="eastAsia" w:ascii="宋体" w:hAnsi="宋体" w:cs="宋体"/>
          <w:b/>
          <w:color w:val="auto"/>
          <w:sz w:val="32"/>
          <w:szCs w:val="32"/>
        </w:rPr>
        <w:br w:type="page"/>
      </w:r>
    </w:p>
    <w:p w14:paraId="7E3FD7A0">
      <w:pPr>
        <w:pStyle w:val="17"/>
        <w:rPr>
          <w:rFonts w:ascii="宋体" w:hAnsi="宋体" w:cs="宋体"/>
          <w:color w:val="auto"/>
          <w:sz w:val="24"/>
          <w:szCs w:val="24"/>
        </w:rPr>
      </w:pPr>
    </w:p>
    <w:p w14:paraId="571CB7A6">
      <w:pPr>
        <w:pStyle w:val="17"/>
        <w:rPr>
          <w:rFonts w:ascii="宋体" w:hAnsi="宋体" w:cs="宋体"/>
          <w:b/>
          <w:color w:val="auto"/>
          <w:sz w:val="28"/>
          <w:szCs w:val="28"/>
        </w:rPr>
      </w:pPr>
      <w:r>
        <w:rPr>
          <w:rFonts w:hint="eastAsia" w:ascii="宋体" w:hAnsi="宋体" w:cs="宋体"/>
          <w:b/>
          <w:color w:val="auto"/>
          <w:sz w:val="28"/>
          <w:szCs w:val="28"/>
        </w:rPr>
        <w:t>八、除谈判文件规定必须提供以外，供应商认为需要提供的其他证明材料</w:t>
      </w:r>
    </w:p>
    <w:p w14:paraId="56BFDDE2">
      <w:pPr>
        <w:pStyle w:val="17"/>
        <w:rPr>
          <w:rFonts w:ascii="宋体" w:hAnsi="宋体" w:cs="宋体"/>
          <w:color w:val="auto"/>
          <w:sz w:val="24"/>
          <w:szCs w:val="24"/>
        </w:rPr>
      </w:pPr>
    </w:p>
    <w:p w14:paraId="649605DD">
      <w:pPr>
        <w:pStyle w:val="17"/>
        <w:rPr>
          <w:rFonts w:ascii="宋体" w:hAnsi="宋体" w:cs="宋体"/>
          <w:color w:val="auto"/>
          <w:sz w:val="24"/>
          <w:szCs w:val="24"/>
        </w:rPr>
      </w:pPr>
    </w:p>
    <w:p w14:paraId="45DC392F">
      <w:pPr>
        <w:spacing w:line="360" w:lineRule="auto"/>
        <w:rPr>
          <w:rFonts w:ascii="宋体" w:hAnsi="宋体" w:cs="宋体"/>
          <w:color w:val="auto"/>
          <w:sz w:val="24"/>
        </w:rPr>
      </w:pPr>
    </w:p>
    <w:p w14:paraId="61888AA5">
      <w:pPr>
        <w:spacing w:line="276" w:lineRule="auto"/>
        <w:ind w:firstLine="4320" w:firstLineChars="1800"/>
        <w:rPr>
          <w:rFonts w:ascii="宋体" w:hAnsi="宋体" w:cs="宋体"/>
          <w:color w:val="auto"/>
          <w:sz w:val="24"/>
        </w:rPr>
      </w:pPr>
    </w:p>
    <w:p w14:paraId="22C119EA">
      <w:pPr>
        <w:spacing w:line="276" w:lineRule="auto"/>
        <w:ind w:firstLine="4320" w:firstLineChars="1800"/>
        <w:rPr>
          <w:rFonts w:ascii="宋体" w:hAnsi="宋体" w:cs="宋体"/>
          <w:color w:val="auto"/>
          <w:sz w:val="24"/>
        </w:rPr>
      </w:pPr>
      <w:r>
        <w:rPr>
          <w:rFonts w:hint="eastAsia" w:ascii="宋体" w:hAnsi="宋体" w:cs="宋体"/>
          <w:color w:val="auto"/>
          <w:sz w:val="24"/>
        </w:rPr>
        <w:t>供应商名称（电子签章）：</w:t>
      </w:r>
    </w:p>
    <w:p w14:paraId="35CC477C">
      <w:pPr>
        <w:spacing w:line="276" w:lineRule="auto"/>
        <w:ind w:firstLine="4320" w:firstLineChars="1800"/>
        <w:rPr>
          <w:rFonts w:ascii="宋体" w:hAnsi="宋体" w:cs="宋体"/>
          <w:color w:val="auto"/>
          <w:sz w:val="24"/>
        </w:rPr>
      </w:pPr>
      <w:r>
        <w:rPr>
          <w:rFonts w:hint="eastAsia" w:ascii="宋体" w:hAnsi="宋体" w:cs="宋体"/>
          <w:color w:val="auto"/>
          <w:sz w:val="24"/>
        </w:rPr>
        <w:t>日期：  年  月   日</w:t>
      </w:r>
    </w:p>
    <w:p w14:paraId="1D3CA552">
      <w:pPr>
        <w:spacing w:line="360" w:lineRule="auto"/>
        <w:rPr>
          <w:rFonts w:ascii="宋体" w:hAnsi="宋体" w:cs="宋体"/>
          <w:color w:val="auto"/>
          <w:sz w:val="24"/>
        </w:rPr>
      </w:pPr>
    </w:p>
    <w:p w14:paraId="2AE5E06B">
      <w:pPr>
        <w:pStyle w:val="17"/>
        <w:rPr>
          <w:rFonts w:ascii="宋体" w:hAnsi="宋体" w:cs="宋体"/>
          <w:color w:val="auto"/>
          <w:sz w:val="24"/>
          <w:szCs w:val="24"/>
        </w:rPr>
      </w:pPr>
    </w:p>
    <w:p w14:paraId="501744AF">
      <w:pPr>
        <w:pStyle w:val="17"/>
        <w:rPr>
          <w:rFonts w:ascii="宋体" w:hAnsi="宋体" w:cs="宋体"/>
          <w:color w:val="auto"/>
          <w:sz w:val="24"/>
          <w:szCs w:val="24"/>
        </w:rPr>
      </w:pPr>
    </w:p>
    <w:p w14:paraId="758CB4FE">
      <w:pPr>
        <w:pStyle w:val="17"/>
        <w:rPr>
          <w:rFonts w:ascii="宋体" w:hAnsi="宋体" w:cs="宋体"/>
          <w:color w:val="auto"/>
          <w:sz w:val="24"/>
          <w:szCs w:val="24"/>
        </w:rPr>
      </w:pPr>
    </w:p>
    <w:p w14:paraId="25E1E9C8">
      <w:pPr>
        <w:pStyle w:val="17"/>
        <w:rPr>
          <w:rFonts w:ascii="宋体" w:hAnsi="宋体" w:cs="宋体"/>
          <w:color w:val="auto"/>
          <w:sz w:val="24"/>
          <w:szCs w:val="24"/>
        </w:rPr>
      </w:pPr>
    </w:p>
    <w:p w14:paraId="7D0311AA">
      <w:pPr>
        <w:pStyle w:val="17"/>
        <w:rPr>
          <w:rFonts w:ascii="宋体" w:hAnsi="宋体" w:cs="宋体"/>
          <w:color w:val="auto"/>
        </w:rPr>
      </w:pPr>
    </w:p>
    <w:p w14:paraId="75B2D1DD">
      <w:pPr>
        <w:pStyle w:val="17"/>
        <w:rPr>
          <w:rFonts w:ascii="宋体" w:hAnsi="宋体" w:cs="宋体"/>
          <w:color w:val="auto"/>
        </w:rPr>
      </w:pPr>
    </w:p>
    <w:p w14:paraId="74CD8640">
      <w:pPr>
        <w:pStyle w:val="3"/>
        <w:rPr>
          <w:rFonts w:ascii="宋体" w:hAnsi="宋体" w:cs="宋体"/>
          <w:color w:val="auto"/>
        </w:rPr>
      </w:pPr>
      <w:r>
        <w:rPr>
          <w:rFonts w:hint="eastAsia" w:ascii="宋体" w:hAnsi="宋体" w:cs="宋体"/>
          <w:color w:val="auto"/>
        </w:rPr>
        <w:br w:type="page"/>
      </w:r>
      <w:bookmarkStart w:id="71" w:name="_Toc14506"/>
      <w:r>
        <w:rPr>
          <w:rFonts w:hint="eastAsia" w:ascii="宋体" w:hAnsi="宋体" w:cs="宋体"/>
          <w:color w:val="auto"/>
        </w:rPr>
        <w:t>二、商务技术文件格式</w:t>
      </w:r>
      <w:bookmarkEnd w:id="71"/>
      <w:r>
        <w:rPr>
          <w:rFonts w:hint="eastAsia" w:ascii="宋体" w:hAnsi="宋体" w:cs="宋体"/>
          <w:color w:val="auto"/>
        </w:rPr>
        <w:t xml:space="preserve"> </w:t>
      </w:r>
    </w:p>
    <w:p w14:paraId="622079EF">
      <w:pPr>
        <w:snapToGrid w:val="0"/>
        <w:spacing w:before="156" w:beforeLines="50" w:after="50" w:line="360" w:lineRule="auto"/>
        <w:jc w:val="left"/>
        <w:rPr>
          <w:rFonts w:ascii="宋体" w:hAnsi="宋体" w:cs="宋体"/>
          <w:b/>
          <w:color w:val="auto"/>
          <w:sz w:val="32"/>
          <w:szCs w:val="32"/>
        </w:rPr>
      </w:pPr>
      <w:r>
        <w:rPr>
          <w:rFonts w:hint="eastAsia" w:ascii="宋体" w:hAnsi="宋体" w:cs="宋体"/>
          <w:b/>
          <w:color w:val="auto"/>
          <w:sz w:val="32"/>
          <w:szCs w:val="32"/>
        </w:rPr>
        <w:t>1.商务技术文件封面格式</w:t>
      </w:r>
    </w:p>
    <w:p w14:paraId="623CB499">
      <w:pPr>
        <w:snapToGrid w:val="0"/>
        <w:spacing w:before="156" w:beforeLines="50" w:after="50"/>
        <w:rPr>
          <w:rFonts w:ascii="宋体" w:hAnsi="宋体" w:cs="宋体"/>
          <w:color w:val="auto"/>
          <w:sz w:val="24"/>
        </w:rPr>
      </w:pPr>
      <w:r>
        <w:rPr>
          <w:rFonts w:hint="eastAsia" w:ascii="宋体" w:hAnsi="宋体" w:cs="宋体"/>
          <w:color w:val="auto"/>
          <w:sz w:val="24"/>
        </w:rPr>
        <w:t xml:space="preserve">                                                </w:t>
      </w:r>
    </w:p>
    <w:p w14:paraId="4EDE3494">
      <w:pPr>
        <w:snapToGrid w:val="0"/>
        <w:spacing w:before="156" w:beforeLines="50" w:after="50"/>
        <w:jc w:val="right"/>
        <w:rPr>
          <w:rFonts w:ascii="宋体" w:hAnsi="宋体" w:cs="宋体"/>
          <w:bCs/>
          <w:color w:val="auto"/>
          <w:sz w:val="32"/>
          <w:szCs w:val="20"/>
        </w:rPr>
      </w:pPr>
      <w:r>
        <w:rPr>
          <w:rFonts w:hint="eastAsia" w:ascii="宋体" w:hAnsi="宋体" w:cs="宋体"/>
          <w:color w:val="auto"/>
          <w:sz w:val="24"/>
        </w:rPr>
        <w:t xml:space="preserve">   </w:t>
      </w:r>
      <w:r>
        <w:rPr>
          <w:rFonts w:hint="eastAsia" w:ascii="宋体" w:hAnsi="宋体" w:cs="宋体"/>
          <w:bCs/>
          <w:color w:val="auto"/>
          <w:sz w:val="24"/>
        </w:rPr>
        <w:t>电子响应文件</w:t>
      </w:r>
    </w:p>
    <w:p w14:paraId="49758248">
      <w:pPr>
        <w:snapToGrid w:val="0"/>
        <w:spacing w:before="156" w:beforeLines="50" w:after="50"/>
        <w:rPr>
          <w:rFonts w:ascii="宋体" w:hAnsi="宋体" w:cs="宋体"/>
          <w:color w:val="auto"/>
          <w:sz w:val="24"/>
          <w:szCs w:val="20"/>
        </w:rPr>
      </w:pPr>
    </w:p>
    <w:p w14:paraId="6D8992EE">
      <w:pPr>
        <w:snapToGrid w:val="0"/>
        <w:spacing w:before="156" w:beforeLines="50" w:after="50"/>
        <w:rPr>
          <w:rFonts w:ascii="宋体" w:hAnsi="宋体" w:cs="宋体"/>
          <w:color w:val="auto"/>
          <w:sz w:val="24"/>
          <w:szCs w:val="20"/>
        </w:rPr>
      </w:pPr>
    </w:p>
    <w:p w14:paraId="6EC104AC">
      <w:pPr>
        <w:snapToGrid w:val="0"/>
        <w:spacing w:before="156" w:beforeLines="50" w:after="50"/>
        <w:rPr>
          <w:rFonts w:ascii="宋体" w:hAnsi="宋体" w:cs="宋体"/>
          <w:color w:val="auto"/>
          <w:sz w:val="24"/>
          <w:szCs w:val="20"/>
        </w:rPr>
      </w:pPr>
    </w:p>
    <w:p w14:paraId="5311B47C">
      <w:pPr>
        <w:snapToGrid w:val="0"/>
        <w:spacing w:before="156" w:beforeLines="50" w:after="50"/>
        <w:jc w:val="center"/>
        <w:rPr>
          <w:rFonts w:ascii="宋体" w:hAnsi="宋体" w:cs="宋体"/>
          <w:bCs/>
          <w:color w:val="auto"/>
          <w:sz w:val="44"/>
          <w:szCs w:val="44"/>
        </w:rPr>
      </w:pPr>
      <w:r>
        <w:rPr>
          <w:rFonts w:hint="eastAsia" w:ascii="宋体" w:hAnsi="宋体" w:cs="宋体"/>
          <w:bCs/>
          <w:color w:val="auto"/>
          <w:sz w:val="44"/>
          <w:szCs w:val="44"/>
        </w:rPr>
        <w:t>商  务  技  术  文  件</w:t>
      </w:r>
    </w:p>
    <w:p w14:paraId="62FB6EB2">
      <w:pPr>
        <w:snapToGrid w:val="0"/>
        <w:spacing w:before="156" w:beforeLines="50" w:after="50"/>
        <w:rPr>
          <w:rFonts w:ascii="宋体" w:hAnsi="宋体" w:cs="宋体"/>
          <w:bCs/>
          <w:color w:val="auto"/>
          <w:sz w:val="24"/>
          <w:szCs w:val="20"/>
        </w:rPr>
      </w:pPr>
    </w:p>
    <w:p w14:paraId="75BCC1DD">
      <w:pPr>
        <w:snapToGrid w:val="0"/>
        <w:spacing w:before="156" w:beforeLines="50" w:after="50"/>
        <w:rPr>
          <w:rFonts w:ascii="宋体" w:hAnsi="宋体" w:cs="宋体"/>
          <w:bCs/>
          <w:color w:val="auto"/>
          <w:sz w:val="24"/>
          <w:szCs w:val="20"/>
        </w:rPr>
      </w:pPr>
    </w:p>
    <w:p w14:paraId="71DCF382">
      <w:pPr>
        <w:snapToGrid w:val="0"/>
        <w:spacing w:before="156" w:beforeLines="50" w:after="50"/>
        <w:rPr>
          <w:rFonts w:ascii="宋体" w:hAnsi="宋体" w:cs="宋体"/>
          <w:bCs/>
          <w:color w:val="auto"/>
          <w:sz w:val="24"/>
          <w:szCs w:val="20"/>
        </w:rPr>
      </w:pPr>
    </w:p>
    <w:p w14:paraId="4057244C">
      <w:pPr>
        <w:snapToGrid w:val="0"/>
        <w:spacing w:before="156" w:beforeLines="50" w:after="50"/>
        <w:ind w:firstLine="640" w:firstLineChars="200"/>
        <w:rPr>
          <w:rFonts w:ascii="宋体" w:hAnsi="宋体" w:cs="宋体"/>
          <w:bCs/>
          <w:color w:val="auto"/>
          <w:sz w:val="32"/>
          <w:szCs w:val="32"/>
        </w:rPr>
      </w:pPr>
      <w:r>
        <w:rPr>
          <w:rFonts w:hint="eastAsia" w:ascii="宋体" w:hAnsi="宋体" w:cs="宋体"/>
          <w:bCs/>
          <w:color w:val="auto"/>
          <w:sz w:val="32"/>
          <w:szCs w:val="32"/>
        </w:rPr>
        <w:t>项目名称：</w:t>
      </w:r>
    </w:p>
    <w:p w14:paraId="798324FE">
      <w:pPr>
        <w:snapToGrid w:val="0"/>
        <w:spacing w:before="156" w:beforeLines="50" w:after="50"/>
        <w:ind w:firstLine="720" w:firstLineChars="225"/>
        <w:rPr>
          <w:rFonts w:ascii="宋体" w:hAnsi="宋体" w:cs="宋体"/>
          <w:bCs/>
          <w:color w:val="auto"/>
          <w:sz w:val="32"/>
          <w:szCs w:val="32"/>
        </w:rPr>
      </w:pPr>
    </w:p>
    <w:p w14:paraId="59A1F2E0">
      <w:pPr>
        <w:snapToGrid w:val="0"/>
        <w:spacing w:before="156" w:beforeLines="50" w:after="50"/>
        <w:ind w:firstLine="640" w:firstLineChars="200"/>
        <w:rPr>
          <w:rFonts w:ascii="宋体" w:hAnsi="宋体" w:cs="宋体"/>
          <w:bCs/>
          <w:color w:val="auto"/>
          <w:sz w:val="32"/>
          <w:szCs w:val="32"/>
        </w:rPr>
      </w:pPr>
      <w:r>
        <w:rPr>
          <w:rFonts w:hint="eastAsia" w:ascii="宋体" w:hAnsi="宋体" w:cs="宋体"/>
          <w:bCs/>
          <w:color w:val="auto"/>
          <w:sz w:val="32"/>
          <w:szCs w:val="32"/>
        </w:rPr>
        <w:t>项目编号：</w:t>
      </w:r>
    </w:p>
    <w:p w14:paraId="440858E9">
      <w:pPr>
        <w:snapToGrid w:val="0"/>
        <w:spacing w:before="156" w:beforeLines="50" w:after="50"/>
        <w:ind w:firstLine="720" w:firstLineChars="225"/>
        <w:rPr>
          <w:rFonts w:ascii="宋体" w:hAnsi="宋体" w:cs="宋体"/>
          <w:bCs/>
          <w:color w:val="auto"/>
          <w:sz w:val="32"/>
          <w:szCs w:val="32"/>
        </w:rPr>
      </w:pPr>
      <w:r>
        <w:rPr>
          <w:rFonts w:hint="eastAsia" w:ascii="宋体" w:hAnsi="宋体" w:cs="宋体"/>
          <w:bCs/>
          <w:color w:val="auto"/>
          <w:sz w:val="32"/>
          <w:szCs w:val="32"/>
        </w:rPr>
        <w:t xml:space="preserve"> </w:t>
      </w:r>
    </w:p>
    <w:p w14:paraId="726D61CD">
      <w:pPr>
        <w:snapToGrid w:val="0"/>
        <w:spacing w:before="156" w:beforeLines="50" w:after="50"/>
        <w:ind w:firstLine="640" w:firstLineChars="200"/>
        <w:rPr>
          <w:rFonts w:ascii="宋体" w:hAnsi="宋体" w:cs="宋体"/>
          <w:bCs/>
          <w:color w:val="auto"/>
          <w:sz w:val="32"/>
          <w:szCs w:val="32"/>
        </w:rPr>
      </w:pPr>
      <w:r>
        <w:rPr>
          <w:rFonts w:hint="eastAsia" w:ascii="宋体" w:hAnsi="宋体" w:cs="宋体"/>
          <w:bCs/>
          <w:color w:val="auto"/>
          <w:sz w:val="32"/>
          <w:szCs w:val="32"/>
        </w:rPr>
        <w:t>所竞分标（如有则填写，无分标时填写“无”或者留空）：</w:t>
      </w:r>
    </w:p>
    <w:p w14:paraId="381A2E93">
      <w:pPr>
        <w:snapToGrid w:val="0"/>
        <w:spacing w:before="156" w:beforeLines="50" w:after="50"/>
        <w:ind w:firstLine="720" w:firstLineChars="225"/>
        <w:rPr>
          <w:rFonts w:ascii="宋体" w:hAnsi="宋体" w:cs="宋体"/>
          <w:bCs/>
          <w:color w:val="auto"/>
          <w:sz w:val="32"/>
          <w:szCs w:val="32"/>
        </w:rPr>
      </w:pPr>
    </w:p>
    <w:p w14:paraId="2E913518">
      <w:pPr>
        <w:pStyle w:val="7"/>
        <w:snapToGrid w:val="0"/>
        <w:spacing w:before="50" w:after="50"/>
        <w:ind w:firstLine="640" w:firstLineChars="200"/>
        <w:rPr>
          <w:rFonts w:ascii="宋体" w:hAnsi="宋体" w:cs="宋体"/>
          <w:bCs/>
          <w:color w:val="auto"/>
          <w:sz w:val="32"/>
          <w:szCs w:val="32"/>
        </w:rPr>
      </w:pPr>
      <w:r>
        <w:rPr>
          <w:rFonts w:hint="eastAsia" w:ascii="宋体" w:hAnsi="宋体" w:cs="宋体"/>
          <w:bCs/>
          <w:color w:val="auto"/>
          <w:sz w:val="32"/>
          <w:szCs w:val="32"/>
        </w:rPr>
        <w:t>供应商名称：</w:t>
      </w:r>
    </w:p>
    <w:p w14:paraId="75AD6EF8">
      <w:pPr>
        <w:pStyle w:val="7"/>
        <w:snapToGrid w:val="0"/>
        <w:spacing w:before="50" w:after="50"/>
        <w:ind w:firstLine="1280" w:firstLineChars="400"/>
        <w:rPr>
          <w:rFonts w:ascii="宋体" w:hAnsi="宋体" w:cs="宋体"/>
          <w:bCs/>
          <w:color w:val="auto"/>
          <w:sz w:val="32"/>
          <w:szCs w:val="32"/>
        </w:rPr>
      </w:pPr>
    </w:p>
    <w:p w14:paraId="500DFEC5">
      <w:pPr>
        <w:snapToGrid w:val="0"/>
        <w:spacing w:before="156" w:beforeLines="50" w:after="50"/>
        <w:jc w:val="center"/>
        <w:rPr>
          <w:rFonts w:ascii="宋体" w:hAnsi="宋体" w:cs="宋体"/>
          <w:color w:val="auto"/>
          <w:sz w:val="32"/>
          <w:szCs w:val="32"/>
        </w:rPr>
      </w:pPr>
      <w:r>
        <w:rPr>
          <w:rFonts w:hint="eastAsia" w:ascii="宋体" w:hAnsi="宋体" w:cs="宋体"/>
          <w:color w:val="auto"/>
          <w:sz w:val="32"/>
          <w:szCs w:val="32"/>
        </w:rPr>
        <w:t>年    月    日</w:t>
      </w:r>
    </w:p>
    <w:p w14:paraId="0B8F1281">
      <w:pPr>
        <w:snapToGrid w:val="0"/>
        <w:spacing w:before="156" w:beforeLines="50" w:after="50" w:line="360" w:lineRule="auto"/>
        <w:ind w:left="142"/>
        <w:jc w:val="left"/>
        <w:rPr>
          <w:rFonts w:ascii="宋体" w:hAnsi="宋体" w:cs="宋体"/>
          <w:b/>
          <w:bCs/>
          <w:color w:val="auto"/>
          <w:sz w:val="24"/>
        </w:rPr>
      </w:pPr>
      <w:r>
        <w:rPr>
          <w:rFonts w:hint="eastAsia" w:ascii="宋体" w:hAnsi="宋体" w:cs="宋体"/>
          <w:color w:val="auto"/>
          <w:sz w:val="24"/>
        </w:rPr>
        <w:br w:type="page"/>
      </w:r>
      <w:r>
        <w:rPr>
          <w:rFonts w:hint="eastAsia" w:ascii="宋体" w:hAnsi="宋体" w:cs="宋体"/>
          <w:b/>
          <w:bCs/>
          <w:color w:val="auto"/>
          <w:sz w:val="32"/>
          <w:szCs w:val="32"/>
        </w:rPr>
        <w:t>2.商务技术文件目录</w:t>
      </w:r>
    </w:p>
    <w:p w14:paraId="4F32A3AC">
      <w:pPr>
        <w:snapToGrid w:val="0"/>
        <w:spacing w:before="156" w:beforeLines="50" w:after="50" w:line="360" w:lineRule="auto"/>
        <w:ind w:firstLine="562" w:firstLineChars="200"/>
        <w:rPr>
          <w:rFonts w:ascii="宋体" w:hAnsi="宋体" w:cs="宋体"/>
          <w:b/>
          <w:color w:val="auto"/>
          <w:sz w:val="28"/>
          <w:szCs w:val="28"/>
        </w:rPr>
      </w:pPr>
      <w:r>
        <w:rPr>
          <w:rFonts w:hint="eastAsia" w:ascii="宋体" w:hAnsi="宋体" w:cs="宋体"/>
          <w:b/>
          <w:color w:val="auto"/>
          <w:sz w:val="28"/>
          <w:szCs w:val="28"/>
        </w:rPr>
        <w:t>商务文件</w:t>
      </w:r>
    </w:p>
    <w:p w14:paraId="67119CEA">
      <w:pPr>
        <w:snapToGrid w:val="0"/>
        <w:spacing w:line="360" w:lineRule="auto"/>
        <w:rPr>
          <w:rFonts w:ascii="宋体" w:hAnsi="宋体" w:cs="宋体"/>
          <w:color w:val="auto"/>
          <w:kern w:val="0"/>
          <w:sz w:val="24"/>
        </w:rPr>
      </w:pPr>
      <w:r>
        <w:rPr>
          <w:rFonts w:hint="eastAsia" w:ascii="宋体" w:hAnsi="宋体" w:cs="宋体"/>
          <w:color w:val="auto"/>
          <w:kern w:val="0"/>
          <w:sz w:val="24"/>
        </w:rPr>
        <w:t>一、无串通竞标行为的承诺函……………………………………………………（页码）</w:t>
      </w:r>
    </w:p>
    <w:p w14:paraId="549740CA">
      <w:pPr>
        <w:snapToGrid w:val="0"/>
        <w:spacing w:line="360" w:lineRule="auto"/>
        <w:rPr>
          <w:rFonts w:ascii="宋体" w:hAnsi="宋体" w:cs="宋体"/>
          <w:color w:val="auto"/>
          <w:kern w:val="0"/>
          <w:sz w:val="24"/>
        </w:rPr>
      </w:pPr>
      <w:r>
        <w:rPr>
          <w:rFonts w:hint="eastAsia" w:ascii="宋体" w:hAnsi="宋体" w:cs="宋体"/>
          <w:color w:val="auto"/>
          <w:kern w:val="0"/>
          <w:sz w:val="24"/>
        </w:rPr>
        <w:t>二、法定代表人身份证明书及法定代表人有效身份证正反面复印件…（页码）</w:t>
      </w:r>
    </w:p>
    <w:p w14:paraId="7F1A063D">
      <w:pPr>
        <w:snapToGrid w:val="0"/>
        <w:spacing w:line="360" w:lineRule="auto"/>
        <w:rPr>
          <w:rFonts w:ascii="宋体" w:hAnsi="宋体" w:cs="宋体"/>
          <w:color w:val="auto"/>
          <w:kern w:val="0"/>
          <w:sz w:val="24"/>
        </w:rPr>
      </w:pPr>
      <w:r>
        <w:rPr>
          <w:rFonts w:hint="eastAsia" w:ascii="宋体" w:hAnsi="宋体" w:cs="宋体"/>
          <w:color w:val="auto"/>
          <w:kern w:val="0"/>
          <w:sz w:val="24"/>
        </w:rPr>
        <w:t>三、法定代表人授权委托书及委托代理人有效身份证正反面复印件…………（页码）四、商务条款偏离表…………………………………………………………………（页码）</w:t>
      </w:r>
    </w:p>
    <w:p w14:paraId="7E261829">
      <w:pPr>
        <w:snapToGrid w:val="0"/>
        <w:spacing w:line="360" w:lineRule="auto"/>
        <w:rPr>
          <w:rFonts w:ascii="宋体" w:hAnsi="宋体" w:cs="宋体"/>
          <w:color w:val="auto"/>
          <w:kern w:val="0"/>
          <w:sz w:val="24"/>
        </w:rPr>
      </w:pPr>
      <w:r>
        <w:rPr>
          <w:rFonts w:hint="eastAsia" w:ascii="宋体" w:hAnsi="宋体" w:cs="宋体"/>
          <w:color w:val="auto"/>
          <w:kern w:val="0"/>
          <w:sz w:val="24"/>
        </w:rPr>
        <w:t>五、谈判保证金提交凭证……………………………………………………………（页码）</w:t>
      </w:r>
    </w:p>
    <w:p w14:paraId="764D70E7">
      <w:pPr>
        <w:snapToGrid w:val="0"/>
        <w:spacing w:line="360" w:lineRule="auto"/>
        <w:rPr>
          <w:rFonts w:ascii="宋体" w:hAnsi="宋体" w:cs="宋体"/>
          <w:color w:val="auto"/>
          <w:kern w:val="0"/>
          <w:sz w:val="24"/>
        </w:rPr>
      </w:pPr>
      <w:r>
        <w:rPr>
          <w:rFonts w:hint="eastAsia" w:ascii="宋体" w:hAnsi="宋体" w:cs="宋体"/>
          <w:color w:val="auto"/>
          <w:kern w:val="0"/>
          <w:sz w:val="24"/>
        </w:rPr>
        <w:t>六、供应商认为需要提供的其他有关资料…………………………………………（页码）</w:t>
      </w:r>
    </w:p>
    <w:p w14:paraId="165F1E3F">
      <w:pPr>
        <w:snapToGrid w:val="0"/>
        <w:spacing w:before="156" w:beforeLines="50" w:after="50" w:line="360" w:lineRule="auto"/>
        <w:ind w:firstLine="562" w:firstLineChars="200"/>
        <w:rPr>
          <w:rFonts w:ascii="宋体" w:hAnsi="宋体" w:cs="宋体"/>
          <w:b/>
          <w:color w:val="auto"/>
          <w:sz w:val="28"/>
          <w:szCs w:val="28"/>
        </w:rPr>
      </w:pPr>
      <w:r>
        <w:rPr>
          <w:rFonts w:hint="eastAsia" w:ascii="宋体" w:hAnsi="宋体" w:cs="宋体"/>
          <w:b/>
          <w:color w:val="auto"/>
          <w:sz w:val="28"/>
          <w:szCs w:val="28"/>
        </w:rPr>
        <w:t>技术文件</w:t>
      </w:r>
    </w:p>
    <w:p w14:paraId="5E42F16E">
      <w:pPr>
        <w:pStyle w:val="17"/>
        <w:rPr>
          <w:rFonts w:ascii="宋体" w:hAnsi="宋体" w:cs="宋体"/>
          <w:color w:val="auto"/>
        </w:rPr>
      </w:pPr>
    </w:p>
    <w:p w14:paraId="7FB8839A">
      <w:pPr>
        <w:snapToGrid w:val="0"/>
        <w:spacing w:line="360" w:lineRule="auto"/>
        <w:rPr>
          <w:rFonts w:ascii="宋体" w:hAnsi="宋体" w:cs="宋体"/>
          <w:color w:val="auto"/>
          <w:kern w:val="0"/>
          <w:sz w:val="24"/>
        </w:rPr>
      </w:pPr>
      <w:r>
        <w:rPr>
          <w:rFonts w:hint="eastAsia" w:ascii="宋体" w:hAnsi="宋体" w:cs="宋体"/>
          <w:color w:val="auto"/>
          <w:kern w:val="0"/>
          <w:sz w:val="24"/>
        </w:rPr>
        <w:t>一、技术需求偏离表…………………………………………………………………（页码）</w:t>
      </w:r>
    </w:p>
    <w:p w14:paraId="34F5A817">
      <w:pPr>
        <w:snapToGrid w:val="0"/>
        <w:spacing w:line="360" w:lineRule="auto"/>
        <w:rPr>
          <w:rFonts w:ascii="宋体" w:hAnsi="宋体" w:cs="宋体"/>
          <w:color w:val="auto"/>
          <w:kern w:val="0"/>
          <w:sz w:val="24"/>
        </w:rPr>
      </w:pPr>
      <w:r>
        <w:rPr>
          <w:rFonts w:hint="eastAsia" w:ascii="宋体" w:hAnsi="宋体" w:cs="宋体"/>
          <w:color w:val="auto"/>
          <w:kern w:val="0"/>
          <w:sz w:val="24"/>
        </w:rPr>
        <w:t>二、配置清单（均不含报价）………………………………………………………（页码）</w:t>
      </w:r>
    </w:p>
    <w:p w14:paraId="533C087F">
      <w:pPr>
        <w:pStyle w:val="23"/>
        <w:ind w:firstLine="0" w:firstLineChars="0"/>
        <w:rPr>
          <w:rFonts w:ascii="宋体" w:hAnsi="宋体" w:cs="宋体"/>
          <w:color w:val="auto"/>
        </w:rPr>
      </w:pPr>
      <w:r>
        <w:rPr>
          <w:rFonts w:hint="eastAsia" w:ascii="宋体" w:hAnsi="宋体" w:cs="宋体"/>
          <w:color w:val="auto"/>
          <w:kern w:val="0"/>
          <w:sz w:val="24"/>
        </w:rPr>
        <w:t>三、售后服务方案……………………………………………………………………（页码）</w:t>
      </w:r>
    </w:p>
    <w:p w14:paraId="02EEE17C">
      <w:pPr>
        <w:snapToGrid w:val="0"/>
        <w:spacing w:line="360" w:lineRule="auto"/>
        <w:rPr>
          <w:rFonts w:ascii="宋体" w:hAnsi="宋体" w:cs="宋体"/>
          <w:color w:val="auto"/>
          <w:kern w:val="0"/>
          <w:sz w:val="24"/>
        </w:rPr>
      </w:pPr>
      <w:r>
        <w:rPr>
          <w:rFonts w:hint="eastAsia" w:ascii="宋体" w:hAnsi="宋体" w:cs="宋体"/>
          <w:color w:val="auto"/>
          <w:kern w:val="0"/>
          <w:sz w:val="24"/>
        </w:rPr>
        <w:t>四、项目实施人员一览表……………………………………………………………（页码）</w:t>
      </w:r>
    </w:p>
    <w:p w14:paraId="1051FE06">
      <w:pPr>
        <w:snapToGrid w:val="0"/>
        <w:spacing w:line="360" w:lineRule="auto"/>
        <w:rPr>
          <w:rFonts w:ascii="宋体" w:hAnsi="宋体" w:cs="宋体"/>
          <w:color w:val="auto"/>
          <w:kern w:val="0"/>
          <w:sz w:val="24"/>
        </w:rPr>
      </w:pPr>
      <w:r>
        <w:rPr>
          <w:rFonts w:hint="eastAsia" w:ascii="宋体" w:hAnsi="宋体" w:cs="宋体"/>
          <w:color w:val="auto"/>
          <w:kern w:val="0"/>
          <w:sz w:val="24"/>
        </w:rPr>
        <w:t>五、供应商认为需要提供的其他有关资料…………………………………………（页码）</w:t>
      </w:r>
    </w:p>
    <w:p w14:paraId="626C3B1B">
      <w:pPr>
        <w:pStyle w:val="17"/>
        <w:rPr>
          <w:rFonts w:ascii="宋体" w:hAnsi="宋体" w:cs="宋体"/>
          <w:color w:val="auto"/>
        </w:rPr>
      </w:pPr>
    </w:p>
    <w:p w14:paraId="7A9EA5CC">
      <w:pPr>
        <w:pStyle w:val="17"/>
        <w:rPr>
          <w:rFonts w:ascii="宋体" w:hAnsi="宋体" w:cs="宋体"/>
          <w:color w:val="auto"/>
        </w:rPr>
      </w:pPr>
    </w:p>
    <w:p w14:paraId="292398B8">
      <w:pPr>
        <w:snapToGrid w:val="0"/>
        <w:spacing w:before="156" w:beforeLines="50" w:after="50" w:line="360" w:lineRule="auto"/>
        <w:ind w:firstLine="645"/>
        <w:rPr>
          <w:rFonts w:ascii="宋体" w:hAnsi="宋体" w:cs="宋体"/>
          <w:color w:val="auto"/>
          <w:sz w:val="24"/>
        </w:rPr>
      </w:pPr>
      <w:r>
        <w:rPr>
          <w:rFonts w:hint="eastAsia" w:ascii="宋体" w:hAnsi="宋体" w:cs="宋体"/>
          <w:b/>
          <w:bCs/>
          <w:color w:val="auto"/>
          <w:sz w:val="24"/>
        </w:rPr>
        <w:t>注：以上目录是编制供应商响应文件的基本格式要求，各供应商可根据自身情况进一步细化</w:t>
      </w:r>
      <w:r>
        <w:rPr>
          <w:rFonts w:hint="eastAsia" w:ascii="宋体" w:hAnsi="宋体" w:cs="宋体"/>
          <w:color w:val="auto"/>
          <w:sz w:val="24"/>
        </w:rPr>
        <w:t>。</w:t>
      </w:r>
    </w:p>
    <w:p w14:paraId="008E9479">
      <w:pPr>
        <w:pStyle w:val="17"/>
        <w:rPr>
          <w:rFonts w:ascii="宋体" w:hAnsi="宋体" w:cs="宋体"/>
          <w:color w:val="auto"/>
        </w:rPr>
      </w:pPr>
    </w:p>
    <w:p w14:paraId="57179150">
      <w:pPr>
        <w:pStyle w:val="17"/>
        <w:rPr>
          <w:rFonts w:ascii="宋体" w:hAnsi="宋体" w:cs="宋体"/>
          <w:color w:val="auto"/>
        </w:rPr>
      </w:pPr>
    </w:p>
    <w:p w14:paraId="18F97614">
      <w:pPr>
        <w:pStyle w:val="17"/>
        <w:rPr>
          <w:rFonts w:ascii="宋体" w:hAnsi="宋体" w:cs="宋体"/>
          <w:color w:val="auto"/>
        </w:rPr>
      </w:pPr>
    </w:p>
    <w:p w14:paraId="75DD5EB0">
      <w:pPr>
        <w:pStyle w:val="17"/>
        <w:rPr>
          <w:rFonts w:ascii="宋体" w:hAnsi="宋体" w:cs="宋体"/>
          <w:color w:val="auto"/>
        </w:rPr>
      </w:pPr>
    </w:p>
    <w:p w14:paraId="20B4237C">
      <w:pPr>
        <w:spacing w:line="520" w:lineRule="exact"/>
        <w:jc w:val="left"/>
        <w:rPr>
          <w:rFonts w:ascii="宋体" w:hAnsi="宋体" w:cs="宋体"/>
          <w:color w:val="auto"/>
          <w:sz w:val="44"/>
          <w:szCs w:val="44"/>
        </w:rPr>
      </w:pPr>
      <w:r>
        <w:rPr>
          <w:rFonts w:hint="eastAsia" w:ascii="宋体" w:hAnsi="宋体" w:cs="宋体"/>
          <w:color w:val="auto"/>
          <w:sz w:val="44"/>
          <w:szCs w:val="44"/>
        </w:rPr>
        <w:br w:type="page"/>
      </w:r>
      <w:r>
        <w:rPr>
          <w:rFonts w:hint="eastAsia" w:ascii="宋体" w:hAnsi="宋体" w:cs="宋体"/>
          <w:b/>
          <w:color w:val="auto"/>
          <w:sz w:val="28"/>
          <w:szCs w:val="28"/>
        </w:rPr>
        <w:t>商务文件</w:t>
      </w:r>
    </w:p>
    <w:p w14:paraId="79B2D433">
      <w:pPr>
        <w:spacing w:line="520" w:lineRule="exact"/>
        <w:jc w:val="center"/>
        <w:rPr>
          <w:rFonts w:ascii="宋体" w:hAnsi="宋体" w:cs="宋体"/>
          <w:b/>
          <w:bCs/>
          <w:color w:val="auto"/>
          <w:sz w:val="32"/>
          <w:szCs w:val="32"/>
        </w:rPr>
      </w:pPr>
      <w:r>
        <w:rPr>
          <w:rFonts w:hint="eastAsia" w:ascii="宋体" w:hAnsi="宋体" w:cs="宋体"/>
          <w:b/>
          <w:bCs/>
          <w:color w:val="auto"/>
          <w:sz w:val="32"/>
          <w:szCs w:val="32"/>
        </w:rPr>
        <w:t>一、无串通竞标行为的承诺函</w:t>
      </w:r>
    </w:p>
    <w:p w14:paraId="1D7DB522">
      <w:pPr>
        <w:spacing w:line="400" w:lineRule="exact"/>
        <w:ind w:firstLine="640" w:firstLineChars="200"/>
        <w:rPr>
          <w:rFonts w:ascii="宋体" w:hAnsi="宋体" w:cs="宋体"/>
          <w:color w:val="auto"/>
          <w:sz w:val="32"/>
          <w:szCs w:val="32"/>
        </w:rPr>
      </w:pPr>
    </w:p>
    <w:p w14:paraId="2ABA3429">
      <w:pPr>
        <w:spacing w:line="360" w:lineRule="auto"/>
        <w:ind w:firstLine="482" w:firstLineChars="200"/>
        <w:contextualSpacing/>
        <w:rPr>
          <w:rFonts w:ascii="宋体" w:hAnsi="宋体" w:cs="宋体"/>
          <w:b/>
          <w:bCs/>
          <w:color w:val="auto"/>
          <w:sz w:val="24"/>
        </w:rPr>
      </w:pPr>
      <w:r>
        <w:rPr>
          <w:rFonts w:hint="eastAsia" w:ascii="宋体" w:hAnsi="宋体" w:cs="宋体"/>
          <w:b/>
          <w:bCs/>
          <w:color w:val="auto"/>
          <w:sz w:val="24"/>
        </w:rPr>
        <w:t>一、我方承诺无下列相互串通竞标的情形：</w:t>
      </w:r>
    </w:p>
    <w:p w14:paraId="4312BC8D">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1.不同供应商的响应文件由同一单位或者个人编制；或者不同供应商报名的IP地址一致的；</w:t>
      </w:r>
    </w:p>
    <w:p w14:paraId="21480C82">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2.不同供应商委托同一单位或者个人办理竞标事宜；</w:t>
      </w:r>
    </w:p>
    <w:p w14:paraId="0CA5E24D">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3.不同的供应商的响应文件载明的项目管理员为同一个人；</w:t>
      </w:r>
    </w:p>
    <w:p w14:paraId="25B26B21">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4.不</w:t>
      </w:r>
      <w:r>
        <w:rPr>
          <w:rFonts w:hint="eastAsia" w:ascii="宋体" w:hAnsi="宋体" w:cs="宋体"/>
          <w:color w:val="auto"/>
          <w:spacing w:val="-6"/>
          <w:sz w:val="24"/>
        </w:rPr>
        <w:t>同供应商的响应文件异常一致或者竞标报价呈规律性差异；</w:t>
      </w:r>
    </w:p>
    <w:p w14:paraId="219FDAA3">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5.不同供应商的响应文件相互混装；</w:t>
      </w:r>
    </w:p>
    <w:p w14:paraId="08A5C0EF">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6.不同供应商的</w:t>
      </w:r>
      <w:r>
        <w:rPr>
          <w:rFonts w:hint="eastAsia" w:ascii="宋体" w:hAnsi="宋体" w:cs="宋体"/>
          <w:color w:val="auto"/>
          <w:sz w:val="24"/>
          <w:lang w:val="en-US" w:eastAsia="zh-CN"/>
        </w:rPr>
        <w:t>谈判</w:t>
      </w:r>
      <w:r>
        <w:rPr>
          <w:rFonts w:hint="eastAsia" w:ascii="宋体" w:hAnsi="宋体" w:cs="宋体"/>
          <w:color w:val="auto"/>
          <w:sz w:val="24"/>
        </w:rPr>
        <w:t>保证金从同一单位或者个人账户转出。</w:t>
      </w:r>
    </w:p>
    <w:p w14:paraId="05FE4A6E">
      <w:pPr>
        <w:spacing w:line="360" w:lineRule="auto"/>
        <w:ind w:firstLine="482" w:firstLineChars="200"/>
        <w:contextualSpacing/>
        <w:rPr>
          <w:rFonts w:ascii="宋体" w:hAnsi="宋体" w:cs="宋体"/>
          <w:b/>
          <w:bCs/>
          <w:color w:val="auto"/>
          <w:sz w:val="24"/>
        </w:rPr>
      </w:pPr>
      <w:r>
        <w:rPr>
          <w:rFonts w:hint="eastAsia" w:ascii="宋体" w:hAnsi="宋体" w:cs="宋体"/>
          <w:b/>
          <w:bCs/>
          <w:color w:val="auto"/>
          <w:sz w:val="24"/>
        </w:rPr>
        <w:t>二、我方承诺无下列恶意串通的情形：</w:t>
      </w:r>
    </w:p>
    <w:p w14:paraId="7FAED1E5">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1.供应商直接或者间接从采购人或者采购代理机构处获得其他供应商的相关信息并修改其响应文件；</w:t>
      </w:r>
    </w:p>
    <w:p w14:paraId="01D89F09">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2.供应商按照采购人或者采购代理机构的授意撤换、修改响应文件；</w:t>
      </w:r>
    </w:p>
    <w:p w14:paraId="4E4D7892">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3.供</w:t>
      </w:r>
      <w:r>
        <w:rPr>
          <w:rFonts w:hint="eastAsia" w:ascii="宋体" w:hAnsi="宋体" w:cs="宋体"/>
          <w:color w:val="auto"/>
          <w:spacing w:val="-6"/>
          <w:sz w:val="24"/>
        </w:rPr>
        <w:t>应商之间协商报价、技术方案等响应文件的实质性内容；</w:t>
      </w:r>
    </w:p>
    <w:p w14:paraId="1EEECBDE">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4.属于同一集团、协会、商会等组织成员的供应商按照该组织要求协同参加政府采购活动；</w:t>
      </w:r>
    </w:p>
    <w:p w14:paraId="1C6F465D">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5.供应商之间事先约定一致抬高或者压低竞标报价，或者在竞争性谈判项目中事先约定轮流以高价位或者低价位成交，或者事先约定由某一特定供应商成交，然后再参加竞标；</w:t>
      </w:r>
    </w:p>
    <w:p w14:paraId="5310C1A8">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6.供应商之间商定部分供应商放弃参加政府采购活动或者放弃成交；</w:t>
      </w:r>
    </w:p>
    <w:p w14:paraId="5E383535">
      <w:pPr>
        <w:spacing w:line="360" w:lineRule="auto"/>
        <w:ind w:firstLine="480" w:firstLineChars="200"/>
        <w:rPr>
          <w:rFonts w:ascii="宋体" w:hAnsi="宋体" w:cs="宋体"/>
          <w:color w:val="auto"/>
          <w:sz w:val="24"/>
        </w:rPr>
      </w:pPr>
      <w:r>
        <w:rPr>
          <w:rFonts w:hint="eastAsia" w:ascii="宋体" w:hAnsi="宋体" w:cs="宋体"/>
          <w:color w:val="auto"/>
          <w:sz w:val="24"/>
        </w:rPr>
        <w:t>7.供应商与采购人或者采购代理机构之间、供应商相互之间，为</w:t>
      </w:r>
      <w:r>
        <w:rPr>
          <w:rFonts w:hint="eastAsia" w:ascii="宋体" w:hAnsi="宋体" w:cs="宋体"/>
          <w:color w:val="auto"/>
          <w:spacing w:val="-6"/>
          <w:sz w:val="24"/>
        </w:rPr>
        <w:t>谋求特定供应商成交或者排斥其他供应商的其他串通行为。</w:t>
      </w:r>
    </w:p>
    <w:p w14:paraId="70B18C2D">
      <w:pPr>
        <w:spacing w:line="360" w:lineRule="auto"/>
        <w:ind w:firstLine="480" w:firstLineChars="200"/>
        <w:rPr>
          <w:rFonts w:ascii="宋体" w:hAnsi="宋体" w:cs="宋体"/>
          <w:color w:val="auto"/>
          <w:sz w:val="24"/>
        </w:rPr>
      </w:pPr>
    </w:p>
    <w:p w14:paraId="0C63EC42">
      <w:pPr>
        <w:spacing w:line="360" w:lineRule="auto"/>
        <w:ind w:firstLine="482" w:firstLineChars="200"/>
        <w:rPr>
          <w:rFonts w:ascii="宋体" w:hAnsi="宋体" w:cs="宋体"/>
          <w:b/>
          <w:bCs/>
          <w:color w:val="auto"/>
          <w:sz w:val="24"/>
        </w:rPr>
      </w:pPr>
      <w:r>
        <w:rPr>
          <w:rFonts w:hint="eastAsia" w:ascii="宋体" w:hAnsi="宋体" w:cs="宋体"/>
          <w:b/>
          <w:bCs/>
          <w:color w:val="auto"/>
          <w:sz w:val="24"/>
        </w:rPr>
        <w:t>以上情形一经核查属实，我方愿意承担一切后果，并不再寻求任何旨在减轻或者免除法律责任的辩解。</w:t>
      </w:r>
    </w:p>
    <w:p w14:paraId="1413A915">
      <w:pPr>
        <w:spacing w:line="360" w:lineRule="auto"/>
        <w:rPr>
          <w:rFonts w:ascii="宋体" w:hAnsi="宋体" w:cs="宋体"/>
          <w:color w:val="auto"/>
          <w:sz w:val="24"/>
        </w:rPr>
      </w:pPr>
    </w:p>
    <w:p w14:paraId="149FC88A">
      <w:pPr>
        <w:spacing w:line="276" w:lineRule="auto"/>
        <w:ind w:firstLine="4320" w:firstLineChars="1800"/>
        <w:rPr>
          <w:rFonts w:ascii="宋体" w:hAnsi="宋体" w:cs="宋体"/>
          <w:color w:val="auto"/>
          <w:sz w:val="24"/>
        </w:rPr>
      </w:pPr>
      <w:r>
        <w:rPr>
          <w:rFonts w:hint="eastAsia" w:ascii="宋体" w:hAnsi="宋体" w:cs="宋体"/>
          <w:color w:val="auto"/>
          <w:sz w:val="24"/>
        </w:rPr>
        <w:t>供应商名称（电子签章）：</w:t>
      </w:r>
    </w:p>
    <w:p w14:paraId="7DAD7DE2">
      <w:pPr>
        <w:spacing w:line="276" w:lineRule="auto"/>
        <w:ind w:firstLine="4320" w:firstLineChars="1800"/>
        <w:rPr>
          <w:rFonts w:ascii="宋体" w:hAnsi="宋体" w:cs="宋体"/>
          <w:color w:val="auto"/>
          <w:sz w:val="24"/>
        </w:rPr>
      </w:pPr>
      <w:r>
        <w:rPr>
          <w:rFonts w:hint="eastAsia" w:ascii="宋体" w:hAnsi="宋体" w:cs="宋体"/>
          <w:color w:val="auto"/>
          <w:sz w:val="24"/>
        </w:rPr>
        <w:t>日期：  年  月   日</w:t>
      </w:r>
    </w:p>
    <w:p w14:paraId="67F3553A">
      <w:pPr>
        <w:pStyle w:val="17"/>
        <w:rPr>
          <w:rFonts w:ascii="宋体" w:hAnsi="宋体" w:cs="宋体"/>
          <w:color w:val="auto"/>
        </w:rPr>
      </w:pPr>
    </w:p>
    <w:p w14:paraId="1A0C669D">
      <w:pPr>
        <w:spacing w:line="520" w:lineRule="exact"/>
        <w:jc w:val="center"/>
        <w:rPr>
          <w:rFonts w:ascii="宋体" w:hAnsi="宋体" w:cs="宋体"/>
          <w:color w:val="auto"/>
        </w:rPr>
      </w:pPr>
      <w:r>
        <w:rPr>
          <w:rFonts w:hint="eastAsia" w:ascii="宋体" w:hAnsi="宋体" w:cs="宋体"/>
          <w:b/>
          <w:bCs/>
          <w:color w:val="auto"/>
          <w:sz w:val="32"/>
          <w:szCs w:val="32"/>
        </w:rPr>
        <w:t>二、法定代表人身份证明书及法定代表人有效身份证正反面复印件</w:t>
      </w:r>
    </w:p>
    <w:p w14:paraId="747BE00E">
      <w:pPr>
        <w:pStyle w:val="17"/>
        <w:rPr>
          <w:rFonts w:ascii="宋体" w:hAnsi="宋体" w:cs="宋体"/>
          <w:color w:val="auto"/>
        </w:rPr>
      </w:pPr>
    </w:p>
    <w:p w14:paraId="260BC0FF">
      <w:pPr>
        <w:pStyle w:val="17"/>
        <w:rPr>
          <w:rFonts w:ascii="宋体" w:hAnsi="宋体" w:cs="宋体"/>
          <w:color w:val="auto"/>
        </w:rPr>
      </w:pPr>
    </w:p>
    <w:p w14:paraId="7035BE6C">
      <w:pPr>
        <w:spacing w:before="312" w:beforeLines="100" w:after="156" w:afterLines="50" w:line="520" w:lineRule="exact"/>
        <w:ind w:left="540"/>
        <w:jc w:val="center"/>
        <w:rPr>
          <w:rFonts w:ascii="宋体" w:hAnsi="宋体" w:cs="宋体"/>
          <w:b/>
          <w:color w:val="auto"/>
          <w:sz w:val="32"/>
          <w:szCs w:val="32"/>
        </w:rPr>
      </w:pPr>
      <w:r>
        <w:rPr>
          <w:rFonts w:hint="eastAsia" w:ascii="宋体" w:hAnsi="宋体" w:cs="宋体"/>
          <w:b/>
          <w:color w:val="auto"/>
          <w:sz w:val="32"/>
          <w:szCs w:val="32"/>
        </w:rPr>
        <w:t>法定代表人证明书</w:t>
      </w:r>
    </w:p>
    <w:p w14:paraId="15018F06">
      <w:pPr>
        <w:spacing w:line="520" w:lineRule="exact"/>
        <w:ind w:left="540"/>
        <w:rPr>
          <w:rFonts w:ascii="宋体" w:hAnsi="宋体" w:cs="宋体"/>
          <w:color w:val="auto"/>
          <w:sz w:val="32"/>
          <w:szCs w:val="32"/>
        </w:rPr>
      </w:pPr>
    </w:p>
    <w:p w14:paraId="5CA2A956">
      <w:pPr>
        <w:spacing w:line="360" w:lineRule="auto"/>
        <w:ind w:left="540"/>
        <w:rPr>
          <w:rFonts w:ascii="宋体" w:hAnsi="宋体" w:cs="宋体"/>
          <w:color w:val="auto"/>
          <w:sz w:val="24"/>
        </w:rPr>
      </w:pPr>
      <w:r>
        <w:rPr>
          <w:rFonts w:hint="eastAsia" w:ascii="宋体" w:hAnsi="宋体" w:cs="宋体"/>
          <w:color w:val="auto"/>
          <w:sz w:val="24"/>
        </w:rPr>
        <w:t>供应商名称：</w:t>
      </w:r>
      <w:r>
        <w:rPr>
          <w:rFonts w:hint="eastAsia" w:ascii="宋体" w:hAnsi="宋体" w:cs="宋体"/>
          <w:color w:val="auto"/>
          <w:sz w:val="24"/>
          <w:u w:val="single"/>
        </w:rPr>
        <w:t xml:space="preserve">                                                        </w:t>
      </w:r>
    </w:p>
    <w:p w14:paraId="41B738BA">
      <w:pPr>
        <w:spacing w:line="360" w:lineRule="auto"/>
        <w:ind w:left="540"/>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 xml:space="preserve">                                                        </w:t>
      </w:r>
    </w:p>
    <w:p w14:paraId="7C312A3D">
      <w:pPr>
        <w:spacing w:line="360" w:lineRule="auto"/>
        <w:ind w:left="540"/>
        <w:rPr>
          <w:rFonts w:ascii="宋体" w:hAnsi="宋体" w:cs="宋体"/>
          <w:color w:val="auto"/>
          <w:sz w:val="24"/>
        </w:rPr>
      </w:pPr>
      <w:r>
        <w:rPr>
          <w:rFonts w:hint="eastAsia" w:ascii="宋体" w:hAnsi="宋体" w:cs="宋体"/>
          <w:color w:val="auto"/>
          <w:sz w:val="24"/>
        </w:rPr>
        <w:t>姓    名：</w:t>
      </w:r>
      <w:r>
        <w:rPr>
          <w:rFonts w:hint="eastAsia" w:ascii="宋体" w:hAnsi="宋体" w:cs="宋体"/>
          <w:color w:val="auto"/>
          <w:sz w:val="24"/>
          <w:u w:val="single"/>
        </w:rPr>
        <w:t xml:space="preserve">                </w:t>
      </w:r>
      <w:r>
        <w:rPr>
          <w:rFonts w:hint="eastAsia" w:ascii="宋体" w:hAnsi="宋体" w:cs="宋体"/>
          <w:color w:val="auto"/>
          <w:sz w:val="24"/>
        </w:rPr>
        <w:t>性     别：</w:t>
      </w:r>
      <w:r>
        <w:rPr>
          <w:rFonts w:hint="eastAsia" w:ascii="宋体" w:hAnsi="宋体" w:cs="宋体"/>
          <w:color w:val="auto"/>
          <w:sz w:val="24"/>
          <w:u w:val="single"/>
        </w:rPr>
        <w:t xml:space="preserve">                </w:t>
      </w:r>
    </w:p>
    <w:p w14:paraId="19A9E905">
      <w:pPr>
        <w:spacing w:line="360" w:lineRule="auto"/>
        <w:ind w:left="540"/>
        <w:rPr>
          <w:rFonts w:ascii="宋体" w:hAnsi="宋体" w:cs="宋体"/>
          <w:color w:val="auto"/>
          <w:sz w:val="24"/>
          <w:u w:val="single"/>
        </w:rPr>
      </w:pPr>
      <w:r>
        <w:rPr>
          <w:rFonts w:hint="eastAsia" w:ascii="宋体" w:hAnsi="宋体" w:cs="宋体"/>
          <w:color w:val="auto"/>
          <w:sz w:val="24"/>
        </w:rPr>
        <w:t>年    龄：</w:t>
      </w:r>
      <w:r>
        <w:rPr>
          <w:rFonts w:hint="eastAsia" w:ascii="宋体" w:hAnsi="宋体" w:cs="宋体"/>
          <w:color w:val="auto"/>
          <w:sz w:val="24"/>
          <w:u w:val="single"/>
        </w:rPr>
        <w:t xml:space="preserve">                </w:t>
      </w:r>
      <w:r>
        <w:rPr>
          <w:rFonts w:hint="eastAsia" w:ascii="宋体" w:hAnsi="宋体" w:cs="宋体"/>
          <w:color w:val="auto"/>
          <w:sz w:val="24"/>
        </w:rPr>
        <w:t>职     务：</w:t>
      </w:r>
      <w:r>
        <w:rPr>
          <w:rFonts w:hint="eastAsia" w:ascii="宋体" w:hAnsi="宋体" w:cs="宋体"/>
          <w:color w:val="auto"/>
          <w:sz w:val="24"/>
          <w:u w:val="single"/>
        </w:rPr>
        <w:t xml:space="preserve">                </w:t>
      </w:r>
    </w:p>
    <w:p w14:paraId="20EEFA91">
      <w:pPr>
        <w:spacing w:line="360" w:lineRule="auto"/>
        <w:ind w:left="540"/>
        <w:rPr>
          <w:rFonts w:ascii="宋体" w:hAnsi="宋体" w:cs="宋体"/>
          <w:color w:val="auto"/>
          <w:sz w:val="24"/>
        </w:rPr>
      </w:pPr>
      <w:r>
        <w:rPr>
          <w:rFonts w:hint="eastAsia" w:ascii="宋体" w:hAnsi="宋体" w:cs="宋体"/>
          <w:color w:val="auto"/>
          <w:sz w:val="24"/>
        </w:rPr>
        <w:t>身份证号码：</w:t>
      </w:r>
      <w:r>
        <w:rPr>
          <w:rFonts w:hint="eastAsia" w:ascii="宋体" w:hAnsi="宋体" w:cs="宋体"/>
          <w:color w:val="auto"/>
          <w:sz w:val="24"/>
          <w:u w:val="single"/>
        </w:rPr>
        <w:t xml:space="preserve">                                        </w:t>
      </w:r>
    </w:p>
    <w:p w14:paraId="5ED2D884">
      <w:pPr>
        <w:spacing w:line="360" w:lineRule="auto"/>
        <w:ind w:firstLine="480" w:firstLineChars="200"/>
        <w:rPr>
          <w:rFonts w:ascii="宋体" w:hAnsi="宋体" w:cs="宋体"/>
          <w:color w:val="auto"/>
          <w:sz w:val="24"/>
        </w:rPr>
      </w:pPr>
      <w:r>
        <w:rPr>
          <w:rFonts w:hint="eastAsia" w:ascii="宋体" w:hAnsi="宋体" w:cs="宋体"/>
          <w:color w:val="auto"/>
          <w:sz w:val="24"/>
        </w:rPr>
        <w:t>系</w:t>
      </w:r>
      <w:r>
        <w:rPr>
          <w:rFonts w:hint="eastAsia" w:ascii="宋体" w:hAnsi="宋体" w:cs="宋体"/>
          <w:color w:val="auto"/>
          <w:sz w:val="24"/>
          <w:u w:val="single"/>
        </w:rPr>
        <w:t>（供应商名称）</w:t>
      </w:r>
      <w:r>
        <w:rPr>
          <w:rFonts w:hint="eastAsia" w:ascii="宋体" w:hAnsi="宋体" w:cs="宋体"/>
          <w:color w:val="auto"/>
          <w:sz w:val="24"/>
        </w:rPr>
        <w:t>的法定代表人。</w:t>
      </w:r>
    </w:p>
    <w:p w14:paraId="0241B88B">
      <w:pPr>
        <w:spacing w:line="360" w:lineRule="auto"/>
        <w:ind w:left="540"/>
        <w:rPr>
          <w:rFonts w:ascii="宋体" w:hAnsi="宋体" w:cs="宋体"/>
          <w:color w:val="auto"/>
          <w:sz w:val="24"/>
        </w:rPr>
      </w:pPr>
      <w:r>
        <w:rPr>
          <w:rFonts w:hint="eastAsia" w:ascii="宋体" w:hAnsi="宋体" w:cs="宋体"/>
          <w:color w:val="auto"/>
          <w:sz w:val="24"/>
        </w:rPr>
        <w:t>特此证明。</w:t>
      </w:r>
    </w:p>
    <w:p w14:paraId="52179C78">
      <w:pPr>
        <w:spacing w:line="500" w:lineRule="exact"/>
        <w:ind w:left="540"/>
        <w:rPr>
          <w:rFonts w:ascii="宋体" w:hAnsi="宋体" w:cs="宋体"/>
          <w:color w:val="auto"/>
          <w:sz w:val="24"/>
        </w:rPr>
      </w:pPr>
    </w:p>
    <w:p w14:paraId="3AD3ACD9">
      <w:pPr>
        <w:spacing w:line="500" w:lineRule="exact"/>
        <w:ind w:left="540"/>
        <w:rPr>
          <w:rFonts w:ascii="宋体" w:hAnsi="宋体" w:cs="宋体"/>
          <w:color w:val="auto"/>
          <w:sz w:val="24"/>
        </w:rPr>
      </w:pPr>
      <w:r>
        <w:rPr>
          <w:rFonts w:hint="eastAsia" w:ascii="宋体" w:hAnsi="宋体" w:cs="宋体"/>
          <w:color w:val="auto"/>
          <w:sz w:val="24"/>
        </w:rPr>
        <w:t>附件：法定代表人有效身份证正反面复印件</w:t>
      </w:r>
    </w:p>
    <w:p w14:paraId="575567F8">
      <w:pPr>
        <w:spacing w:line="500" w:lineRule="exact"/>
        <w:ind w:left="540"/>
        <w:rPr>
          <w:rFonts w:ascii="宋体" w:hAnsi="宋体" w:cs="宋体"/>
          <w:color w:val="auto"/>
          <w:sz w:val="24"/>
        </w:rPr>
      </w:pPr>
    </w:p>
    <w:p w14:paraId="7A59840C">
      <w:pPr>
        <w:snapToGrid w:val="0"/>
        <w:spacing w:line="360" w:lineRule="auto"/>
        <w:ind w:firstLine="5640" w:firstLineChars="2350"/>
        <w:rPr>
          <w:rFonts w:ascii="宋体" w:hAnsi="宋体" w:cs="宋体"/>
          <w:color w:val="auto"/>
          <w:kern w:val="0"/>
          <w:sz w:val="24"/>
        </w:rPr>
      </w:pPr>
      <w:r>
        <w:rPr>
          <w:rFonts w:hint="eastAsia" w:ascii="宋体" w:hAnsi="宋体" w:cs="宋体"/>
          <w:color w:val="auto"/>
          <w:sz w:val="24"/>
        </w:rPr>
        <w:t xml:space="preserve">  </w:t>
      </w:r>
      <w:r>
        <w:rPr>
          <w:rFonts w:hint="eastAsia" w:ascii="宋体" w:hAnsi="宋体" w:cs="宋体"/>
          <w:color w:val="auto"/>
          <w:kern w:val="0"/>
          <w:sz w:val="24"/>
          <w:lang w:val="zh-CN"/>
        </w:rPr>
        <w:t>供应商名称（电子签章）：</w:t>
      </w:r>
    </w:p>
    <w:p w14:paraId="2B52B69E">
      <w:pPr>
        <w:snapToGrid w:val="0"/>
        <w:spacing w:line="360" w:lineRule="auto"/>
        <w:ind w:firstLine="5160" w:firstLineChars="2150"/>
        <w:rPr>
          <w:rFonts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677C5342">
      <w:pPr>
        <w:snapToGrid w:val="0"/>
        <w:spacing w:before="156" w:beforeLines="50" w:after="50" w:line="360" w:lineRule="auto"/>
        <w:jc w:val="left"/>
        <w:rPr>
          <w:rFonts w:ascii="宋体" w:hAnsi="宋体" w:cs="宋体"/>
          <w:color w:val="auto"/>
          <w:sz w:val="24"/>
        </w:rPr>
      </w:pPr>
    </w:p>
    <w:p w14:paraId="01931C9B">
      <w:pPr>
        <w:snapToGrid w:val="0"/>
        <w:spacing w:before="156" w:beforeLines="50" w:after="50" w:line="360" w:lineRule="auto"/>
        <w:jc w:val="left"/>
        <w:rPr>
          <w:rFonts w:ascii="宋体" w:hAnsi="宋体" w:cs="宋体"/>
          <w:color w:val="auto"/>
          <w:sz w:val="24"/>
        </w:rPr>
      </w:pPr>
      <w:r>
        <w:rPr>
          <w:rFonts w:hint="eastAsia" w:ascii="宋体" w:hAnsi="宋体" w:cs="宋体"/>
          <w:color w:val="auto"/>
          <w:sz w:val="24"/>
        </w:rPr>
        <w:t>注：1.自然人竞标的无需提供，联合体竞标的只需牵头人出具。</w:t>
      </w:r>
    </w:p>
    <w:p w14:paraId="26DCAC5C">
      <w:pPr>
        <w:snapToGrid w:val="0"/>
        <w:spacing w:before="156" w:beforeLines="50" w:after="50" w:line="360" w:lineRule="auto"/>
        <w:ind w:firstLine="480" w:firstLineChars="200"/>
        <w:jc w:val="left"/>
        <w:rPr>
          <w:rFonts w:ascii="宋体" w:hAnsi="宋体" w:cs="宋体"/>
          <w:color w:val="auto"/>
          <w:sz w:val="24"/>
        </w:rPr>
      </w:pPr>
      <w:r>
        <w:rPr>
          <w:rFonts w:hint="eastAsia" w:ascii="宋体" w:hAnsi="宋体" w:cs="宋体"/>
          <w:color w:val="auto"/>
          <w:sz w:val="24"/>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tbl>
      <w:tblPr>
        <w:tblStyle w:val="25"/>
        <w:tblpPr w:leftFromText="180" w:rightFromText="180" w:vertAnchor="text" w:horzAnchor="margin" w:tblpY="1169"/>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7DDFE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Pr>
          <w:p w14:paraId="0AB854CD">
            <w:pPr>
              <w:spacing w:line="360" w:lineRule="auto"/>
              <w:rPr>
                <w:rFonts w:ascii="宋体" w:hAnsi="宋体" w:cs="宋体"/>
                <w:b/>
                <w:color w:val="auto"/>
                <w:sz w:val="24"/>
              </w:rPr>
            </w:pPr>
          </w:p>
          <w:p w14:paraId="2401E090">
            <w:pPr>
              <w:spacing w:line="360" w:lineRule="auto"/>
              <w:rPr>
                <w:rFonts w:ascii="宋体" w:hAnsi="宋体" w:cs="宋体"/>
                <w:b/>
                <w:color w:val="auto"/>
                <w:sz w:val="24"/>
              </w:rPr>
            </w:pPr>
            <w:r>
              <w:rPr>
                <w:rFonts w:hint="eastAsia" w:ascii="宋体" w:hAnsi="宋体" w:cs="宋体"/>
                <w:b/>
                <w:color w:val="auto"/>
                <w:sz w:val="24"/>
              </w:rPr>
              <w:t>法定代表身份证复印件粘贴处（正、反面）</w:t>
            </w:r>
          </w:p>
        </w:tc>
      </w:tr>
    </w:tbl>
    <w:p w14:paraId="00582E59">
      <w:pPr>
        <w:pStyle w:val="17"/>
        <w:rPr>
          <w:rFonts w:ascii="宋体" w:hAnsi="宋体" w:cs="宋体"/>
          <w:color w:val="auto"/>
        </w:rPr>
      </w:pPr>
    </w:p>
    <w:p w14:paraId="1B15B560">
      <w:pPr>
        <w:adjustRightInd w:val="0"/>
        <w:snapToGrid w:val="0"/>
        <w:spacing w:line="300" w:lineRule="auto"/>
        <w:jc w:val="left"/>
        <w:rPr>
          <w:rFonts w:ascii="宋体" w:hAnsi="宋体" w:cs="宋体"/>
          <w:b/>
          <w:color w:val="auto"/>
          <w:szCs w:val="21"/>
        </w:rPr>
      </w:pPr>
    </w:p>
    <w:p w14:paraId="2A02CA98">
      <w:pPr>
        <w:spacing w:line="500" w:lineRule="exact"/>
        <w:jc w:val="center"/>
        <w:rPr>
          <w:rFonts w:ascii="宋体" w:hAnsi="宋体" w:cs="宋体"/>
          <w:color w:val="auto"/>
          <w:sz w:val="36"/>
          <w:szCs w:val="36"/>
        </w:rPr>
      </w:pPr>
      <w:r>
        <w:rPr>
          <w:rFonts w:hint="eastAsia" w:ascii="宋体" w:hAnsi="宋体" w:cs="宋体"/>
          <w:color w:val="auto"/>
          <w:sz w:val="44"/>
          <w:szCs w:val="44"/>
        </w:rPr>
        <w:br w:type="page"/>
      </w:r>
      <w:r>
        <w:rPr>
          <w:rFonts w:hint="eastAsia" w:ascii="宋体" w:hAnsi="宋体" w:cs="宋体"/>
          <w:b/>
          <w:bCs/>
          <w:color w:val="auto"/>
          <w:sz w:val="32"/>
          <w:szCs w:val="32"/>
        </w:rPr>
        <w:t xml:space="preserve">三、法定代表人授权委托书及委托代理人有效身份证正反面复印件 </w:t>
      </w:r>
    </w:p>
    <w:p w14:paraId="38F69C92">
      <w:pPr>
        <w:pStyle w:val="17"/>
        <w:rPr>
          <w:rFonts w:ascii="宋体" w:hAnsi="宋体" w:cs="宋体"/>
          <w:color w:val="auto"/>
        </w:rPr>
      </w:pPr>
    </w:p>
    <w:p w14:paraId="24E11060">
      <w:pPr>
        <w:spacing w:line="520" w:lineRule="exact"/>
        <w:jc w:val="center"/>
        <w:rPr>
          <w:rFonts w:ascii="宋体" w:hAnsi="宋体" w:cs="宋体"/>
          <w:b/>
          <w:bCs/>
          <w:color w:val="auto"/>
          <w:sz w:val="32"/>
          <w:szCs w:val="32"/>
        </w:rPr>
      </w:pPr>
      <w:r>
        <w:rPr>
          <w:rFonts w:hint="eastAsia" w:ascii="宋体" w:hAnsi="宋体" w:cs="宋体"/>
          <w:b/>
          <w:bCs/>
          <w:color w:val="auto"/>
          <w:sz w:val="32"/>
          <w:szCs w:val="32"/>
        </w:rPr>
        <w:t>法定代表人授权委托书（如有委托时）</w:t>
      </w:r>
    </w:p>
    <w:p w14:paraId="0AA650C6">
      <w:pPr>
        <w:snapToGrid w:val="0"/>
        <w:spacing w:before="156" w:beforeLines="50" w:after="50"/>
        <w:jc w:val="center"/>
        <w:rPr>
          <w:rFonts w:ascii="宋体" w:hAnsi="宋体" w:cs="宋体"/>
          <w:b/>
          <w:color w:val="auto"/>
          <w:sz w:val="24"/>
        </w:rPr>
      </w:pPr>
    </w:p>
    <w:p w14:paraId="3F13BAB4">
      <w:pPr>
        <w:pStyle w:val="14"/>
        <w:keepNext w:val="0"/>
        <w:keepLines w:val="0"/>
        <w:pageBreakBefore w:val="0"/>
        <w:widowControl w:val="0"/>
        <w:kinsoku/>
        <w:wordWrap/>
        <w:overflowPunct/>
        <w:topLinePunct w:val="0"/>
        <w:autoSpaceDE/>
        <w:autoSpaceDN/>
        <w:bidi w:val="0"/>
        <w:adjustRightInd/>
        <w:snapToGrid/>
        <w:spacing w:line="400" w:lineRule="exact"/>
        <w:textAlignment w:val="auto"/>
        <w:rPr>
          <w:rFonts w:hAnsi="宋体" w:cs="宋体"/>
          <w:color w:val="auto"/>
          <w:sz w:val="24"/>
          <w:szCs w:val="24"/>
        </w:rPr>
      </w:pPr>
      <w:r>
        <w:rPr>
          <w:rFonts w:hint="eastAsia" w:hAnsi="宋体" w:cs="宋体"/>
          <w:color w:val="auto"/>
          <w:sz w:val="24"/>
          <w:szCs w:val="24"/>
        </w:rPr>
        <w:t>致：</w:t>
      </w:r>
      <w:r>
        <w:rPr>
          <w:rFonts w:hint="eastAsia" w:hAnsi="宋体" w:cs="宋体"/>
          <w:color w:val="auto"/>
          <w:sz w:val="24"/>
          <w:szCs w:val="24"/>
          <w:u w:val="single"/>
        </w:rPr>
        <w:t>（采购人名称）</w:t>
      </w:r>
    </w:p>
    <w:p w14:paraId="3E9D73E5">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Ansi="宋体" w:cs="宋体"/>
          <w:color w:val="auto"/>
          <w:sz w:val="24"/>
        </w:rPr>
      </w:pPr>
      <w:r>
        <w:rPr>
          <w:rFonts w:hint="eastAsia" w:hAnsi="宋体" w:cs="宋体"/>
          <w:color w:val="auto"/>
          <w:sz w:val="24"/>
        </w:rPr>
        <w:t>本人</w:t>
      </w:r>
      <w:r>
        <w:rPr>
          <w:rFonts w:hint="eastAsia" w:hAnsi="宋体" w:cs="宋体"/>
          <w:color w:val="auto"/>
          <w:sz w:val="24"/>
          <w:u w:val="single"/>
        </w:rPr>
        <w:t xml:space="preserve">        </w:t>
      </w:r>
      <w:r>
        <w:rPr>
          <w:rFonts w:hint="eastAsia" w:hAnsi="宋体" w:cs="宋体"/>
          <w:color w:val="auto"/>
          <w:sz w:val="24"/>
        </w:rPr>
        <w:t>（姓名）系</w:t>
      </w:r>
      <w:r>
        <w:rPr>
          <w:rFonts w:hint="eastAsia" w:hAnsi="宋体" w:cs="宋体"/>
          <w:color w:val="auto"/>
          <w:sz w:val="24"/>
          <w:u w:val="single"/>
        </w:rPr>
        <w:t xml:space="preserve">                 </w:t>
      </w:r>
      <w:r>
        <w:rPr>
          <w:rFonts w:hint="eastAsia" w:hAnsi="宋体" w:cs="宋体"/>
          <w:color w:val="auto"/>
          <w:sz w:val="24"/>
        </w:rPr>
        <w:t>（供应商名称）的</w:t>
      </w:r>
      <w:r>
        <w:rPr>
          <w:rFonts w:hint="eastAsia" w:ascii="宋体" w:hAnsi="宋体" w:cs="仿宋_GB2312"/>
          <w:color w:val="auto"/>
          <w:sz w:val="24"/>
        </w:rPr>
        <w:t>（</w:t>
      </w:r>
      <w:r>
        <w:rPr>
          <w:rFonts w:hint="eastAsia" w:ascii="宋体" w:hAnsi="宋体" w:cs="仿宋_GB2312"/>
          <w:color w:val="auto"/>
          <w:sz w:val="24"/>
          <w:u w:val="single"/>
        </w:rPr>
        <w:t>□法定代表人/□负责人/□自然人本人</w:t>
      </w:r>
      <w:r>
        <w:rPr>
          <w:rFonts w:hint="eastAsia" w:ascii="宋体" w:hAnsi="宋体" w:cs="仿宋_GB2312"/>
          <w:color w:val="auto"/>
          <w:sz w:val="24"/>
        </w:rPr>
        <w:t>）</w:t>
      </w:r>
      <w:r>
        <w:rPr>
          <w:rFonts w:hint="eastAsia" w:hAnsi="宋体" w:cs="宋体"/>
          <w:color w:val="auto"/>
          <w:sz w:val="24"/>
        </w:rPr>
        <w:t>，现授权我单位在职正式员工</w:t>
      </w:r>
      <w:r>
        <w:rPr>
          <w:rFonts w:hint="eastAsia" w:hAnsi="宋体" w:cs="宋体"/>
          <w:color w:val="auto"/>
          <w:sz w:val="24"/>
          <w:u w:val="single"/>
        </w:rPr>
        <w:t xml:space="preserve">        </w:t>
      </w:r>
      <w:r>
        <w:rPr>
          <w:rFonts w:hint="eastAsia" w:hAnsi="宋体" w:cs="宋体"/>
          <w:color w:val="auto"/>
          <w:sz w:val="24"/>
        </w:rPr>
        <w:t>（姓名和职务）为我方代理人。代理人根据授权，以我方名义签署、澄清、说明、补正、递交、撤回、修改贵方组织的</w:t>
      </w:r>
      <w:r>
        <w:rPr>
          <w:rFonts w:hint="eastAsia" w:hAnsi="宋体" w:cs="宋体"/>
          <w:color w:val="auto"/>
          <w:sz w:val="24"/>
          <w:u w:val="single"/>
        </w:rPr>
        <w:t xml:space="preserve">   项目名称  </w:t>
      </w:r>
      <w:r>
        <w:rPr>
          <w:rFonts w:hint="eastAsia" w:hAnsi="宋体" w:cs="宋体"/>
          <w:color w:val="auto"/>
          <w:sz w:val="24"/>
        </w:rPr>
        <w:t>项目（项目编号：</w:t>
      </w:r>
      <w:r>
        <w:rPr>
          <w:rFonts w:hint="eastAsia" w:hAnsi="宋体" w:cs="宋体"/>
          <w:color w:val="auto"/>
          <w:sz w:val="24"/>
          <w:u w:val="single"/>
        </w:rPr>
        <w:t xml:space="preserve">         </w:t>
      </w:r>
      <w:r>
        <w:rPr>
          <w:rFonts w:hint="eastAsia" w:hAnsi="宋体" w:cs="宋体"/>
          <w:color w:val="auto"/>
          <w:sz w:val="24"/>
        </w:rPr>
        <w:t>）的响应文件、签订合同和处理一切有关事宜，其法律后果由我方承担。</w:t>
      </w:r>
    </w:p>
    <w:p w14:paraId="20E0C4C6">
      <w:pPr>
        <w:pStyle w:val="14"/>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Ansi="宋体" w:cs="宋体"/>
          <w:color w:val="auto"/>
          <w:sz w:val="24"/>
          <w:szCs w:val="24"/>
        </w:rPr>
      </w:pPr>
      <w:r>
        <w:rPr>
          <w:rFonts w:hint="eastAsia" w:hAnsi="宋体" w:cs="宋体"/>
          <w:color w:val="auto"/>
          <w:sz w:val="24"/>
          <w:szCs w:val="24"/>
        </w:rPr>
        <w:t>本授权书于</w:t>
      </w:r>
      <w:r>
        <w:rPr>
          <w:rFonts w:hint="eastAsia" w:hAnsi="宋体" w:cs="宋体"/>
          <w:color w:val="auto"/>
          <w:spacing w:val="10"/>
          <w:sz w:val="24"/>
          <w:szCs w:val="24"/>
          <w:u w:val="single"/>
        </w:rPr>
        <w:t xml:space="preserve">    </w:t>
      </w:r>
      <w:r>
        <w:rPr>
          <w:rFonts w:hint="eastAsia" w:hAnsi="宋体" w:cs="宋体"/>
          <w:color w:val="auto"/>
          <w:sz w:val="24"/>
          <w:szCs w:val="24"/>
        </w:rPr>
        <w:t>年</w:t>
      </w:r>
      <w:r>
        <w:rPr>
          <w:rFonts w:hint="eastAsia" w:hAnsi="宋体" w:cs="宋体"/>
          <w:color w:val="auto"/>
          <w:spacing w:val="10"/>
          <w:sz w:val="24"/>
          <w:szCs w:val="24"/>
          <w:u w:val="single"/>
        </w:rPr>
        <w:t xml:space="preserve">    </w:t>
      </w:r>
      <w:r>
        <w:rPr>
          <w:rFonts w:hint="eastAsia" w:hAnsi="宋体" w:cs="宋体"/>
          <w:color w:val="auto"/>
          <w:sz w:val="24"/>
          <w:szCs w:val="24"/>
        </w:rPr>
        <w:t>月</w:t>
      </w:r>
      <w:r>
        <w:rPr>
          <w:rFonts w:hint="eastAsia" w:hAnsi="宋体" w:cs="宋体"/>
          <w:color w:val="auto"/>
          <w:spacing w:val="10"/>
          <w:sz w:val="24"/>
          <w:szCs w:val="24"/>
          <w:u w:val="single"/>
        </w:rPr>
        <w:t xml:space="preserve">    </w:t>
      </w:r>
      <w:r>
        <w:rPr>
          <w:rFonts w:hint="eastAsia" w:hAnsi="宋体" w:cs="宋体"/>
          <w:color w:val="auto"/>
          <w:sz w:val="24"/>
          <w:szCs w:val="24"/>
        </w:rPr>
        <w:t>日签字生效，委托期限：</w:t>
      </w:r>
      <w:r>
        <w:rPr>
          <w:rFonts w:hint="eastAsia" w:hAnsi="宋体" w:cs="宋体"/>
          <w:color w:val="auto"/>
          <w:spacing w:val="10"/>
          <w:sz w:val="24"/>
          <w:szCs w:val="24"/>
          <w:u w:val="single"/>
        </w:rPr>
        <w:t xml:space="preserve">         </w:t>
      </w:r>
      <w:r>
        <w:rPr>
          <w:rFonts w:hint="eastAsia" w:hAnsi="宋体" w:cs="宋体"/>
          <w:color w:val="auto"/>
          <w:sz w:val="24"/>
          <w:szCs w:val="24"/>
        </w:rPr>
        <w:t>。</w:t>
      </w:r>
    </w:p>
    <w:p w14:paraId="2815D304">
      <w:pPr>
        <w:pStyle w:val="14"/>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Ansi="宋体" w:cs="宋体"/>
          <w:color w:val="auto"/>
          <w:sz w:val="24"/>
          <w:szCs w:val="24"/>
        </w:rPr>
      </w:pPr>
      <w:r>
        <w:rPr>
          <w:rFonts w:hint="eastAsia" w:hAnsi="宋体" w:cs="宋体"/>
          <w:color w:val="auto"/>
          <w:sz w:val="24"/>
          <w:szCs w:val="24"/>
        </w:rPr>
        <w:t>代理人无转委托权。</w:t>
      </w:r>
    </w:p>
    <w:p w14:paraId="32FD41A6">
      <w:pPr>
        <w:keepNext w:val="0"/>
        <w:keepLines w:val="0"/>
        <w:pageBreakBefore w:val="0"/>
        <w:widowControl w:val="0"/>
        <w:kinsoku/>
        <w:wordWrap/>
        <w:overflowPunct/>
        <w:topLinePunct w:val="0"/>
        <w:bidi w:val="0"/>
        <w:spacing w:line="400" w:lineRule="exact"/>
        <w:textAlignment w:val="auto"/>
        <w:rPr>
          <w:rFonts w:ascii="宋体" w:hAnsi="宋体" w:cs="宋体"/>
          <w:color w:val="auto"/>
          <w:sz w:val="24"/>
        </w:rPr>
      </w:pPr>
    </w:p>
    <w:p w14:paraId="63E7C3C0">
      <w:pPr>
        <w:pStyle w:val="14"/>
        <w:keepNext w:val="0"/>
        <w:keepLines w:val="0"/>
        <w:pageBreakBefore w:val="0"/>
        <w:widowControl w:val="0"/>
        <w:kinsoku/>
        <w:wordWrap/>
        <w:overflowPunct/>
        <w:topLinePunct w:val="0"/>
        <w:bidi w:val="0"/>
        <w:spacing w:line="400" w:lineRule="exact"/>
        <w:ind w:firstLine="420"/>
        <w:textAlignment w:val="auto"/>
        <w:rPr>
          <w:rFonts w:hAnsi="宋体" w:cs="宋体"/>
          <w:color w:val="auto"/>
          <w:sz w:val="24"/>
          <w:szCs w:val="24"/>
          <w:u w:val="single"/>
        </w:rPr>
      </w:pPr>
      <w:r>
        <w:rPr>
          <w:rFonts w:hint="eastAsia" w:hAnsi="宋体" w:cs="宋体"/>
          <w:color w:val="auto"/>
          <w:sz w:val="24"/>
          <w:szCs w:val="24"/>
        </w:rPr>
        <w:t>供应商（或联合体投标牵头人名称）（电子签章）：</w:t>
      </w:r>
      <w:r>
        <w:rPr>
          <w:rFonts w:hint="eastAsia" w:hAnsi="宋体" w:cs="宋体"/>
          <w:color w:val="auto"/>
          <w:sz w:val="24"/>
          <w:szCs w:val="24"/>
          <w:u w:val="single"/>
        </w:rPr>
        <w:t xml:space="preserve">                            </w:t>
      </w:r>
    </w:p>
    <w:p w14:paraId="7EA13ECB">
      <w:pPr>
        <w:pStyle w:val="14"/>
        <w:keepNext w:val="0"/>
        <w:keepLines w:val="0"/>
        <w:pageBreakBefore w:val="0"/>
        <w:widowControl w:val="0"/>
        <w:kinsoku/>
        <w:wordWrap/>
        <w:overflowPunct/>
        <w:topLinePunct w:val="0"/>
        <w:bidi w:val="0"/>
        <w:spacing w:line="400" w:lineRule="exact"/>
        <w:ind w:firstLine="420"/>
        <w:textAlignment w:val="auto"/>
        <w:rPr>
          <w:rFonts w:hAnsi="宋体" w:cs="宋体"/>
          <w:color w:val="auto"/>
          <w:sz w:val="24"/>
          <w:szCs w:val="24"/>
          <w:u w:val="single"/>
        </w:rPr>
      </w:pPr>
      <w:r>
        <w:rPr>
          <w:rFonts w:hint="eastAsia" w:hAnsi="宋体" w:cs="宋体"/>
          <w:color w:val="auto"/>
          <w:sz w:val="24"/>
          <w:szCs w:val="24"/>
        </w:rPr>
        <w:t>法定代表人（签字）：</w:t>
      </w:r>
      <w:r>
        <w:rPr>
          <w:rFonts w:hint="eastAsia" w:hAnsi="宋体" w:cs="宋体"/>
          <w:color w:val="auto"/>
          <w:sz w:val="24"/>
          <w:szCs w:val="24"/>
          <w:u w:val="single"/>
        </w:rPr>
        <w:t xml:space="preserve">                                </w:t>
      </w:r>
    </w:p>
    <w:p w14:paraId="1E90F879">
      <w:pPr>
        <w:pStyle w:val="14"/>
        <w:keepNext w:val="0"/>
        <w:keepLines w:val="0"/>
        <w:pageBreakBefore w:val="0"/>
        <w:widowControl w:val="0"/>
        <w:kinsoku/>
        <w:wordWrap/>
        <w:overflowPunct/>
        <w:topLinePunct w:val="0"/>
        <w:bidi w:val="0"/>
        <w:spacing w:line="400" w:lineRule="exact"/>
        <w:ind w:firstLine="420"/>
        <w:textAlignment w:val="auto"/>
        <w:rPr>
          <w:rFonts w:hAnsi="宋体" w:cs="宋体"/>
          <w:color w:val="auto"/>
          <w:sz w:val="24"/>
          <w:szCs w:val="24"/>
          <w:u w:val="single"/>
        </w:rPr>
      </w:pPr>
      <w:r>
        <w:rPr>
          <w:rFonts w:hint="eastAsia" w:hAnsi="宋体" w:cs="宋体"/>
          <w:color w:val="auto"/>
          <w:sz w:val="24"/>
          <w:szCs w:val="24"/>
        </w:rPr>
        <w:t>法定代表人身份证号码：</w:t>
      </w:r>
      <w:r>
        <w:rPr>
          <w:rFonts w:hint="eastAsia" w:hAnsi="宋体" w:cs="宋体"/>
          <w:color w:val="auto"/>
          <w:sz w:val="24"/>
          <w:szCs w:val="24"/>
          <w:u w:val="single"/>
        </w:rPr>
        <w:t xml:space="preserve">                                   </w:t>
      </w:r>
    </w:p>
    <w:p w14:paraId="0BAEEA13">
      <w:pPr>
        <w:pStyle w:val="14"/>
        <w:keepNext w:val="0"/>
        <w:keepLines w:val="0"/>
        <w:pageBreakBefore w:val="0"/>
        <w:widowControl w:val="0"/>
        <w:kinsoku/>
        <w:wordWrap/>
        <w:overflowPunct/>
        <w:topLinePunct w:val="0"/>
        <w:bidi w:val="0"/>
        <w:spacing w:line="400" w:lineRule="exact"/>
        <w:ind w:firstLine="480" w:firstLineChars="200"/>
        <w:textAlignment w:val="auto"/>
        <w:rPr>
          <w:rFonts w:hAnsi="宋体" w:cs="宋体"/>
          <w:color w:val="auto"/>
          <w:sz w:val="24"/>
          <w:szCs w:val="24"/>
        </w:rPr>
      </w:pPr>
      <w:r>
        <w:rPr>
          <w:rFonts w:hint="eastAsia" w:hAnsi="宋体" w:cs="宋体"/>
          <w:color w:val="auto"/>
          <w:sz w:val="24"/>
          <w:szCs w:val="24"/>
        </w:rPr>
        <w:t>委托代理人（签字）：</w:t>
      </w:r>
      <w:r>
        <w:rPr>
          <w:rFonts w:hint="eastAsia" w:hAnsi="宋体" w:cs="宋体"/>
          <w:color w:val="auto"/>
          <w:sz w:val="24"/>
          <w:szCs w:val="24"/>
          <w:u w:val="single"/>
        </w:rPr>
        <w:t xml:space="preserve">                                </w:t>
      </w:r>
    </w:p>
    <w:p w14:paraId="2CDEAC23">
      <w:pPr>
        <w:pStyle w:val="14"/>
        <w:keepNext w:val="0"/>
        <w:keepLines w:val="0"/>
        <w:pageBreakBefore w:val="0"/>
        <w:widowControl w:val="0"/>
        <w:kinsoku/>
        <w:wordWrap/>
        <w:overflowPunct/>
        <w:topLinePunct w:val="0"/>
        <w:bidi w:val="0"/>
        <w:spacing w:line="400" w:lineRule="exact"/>
        <w:ind w:firstLine="420"/>
        <w:textAlignment w:val="auto"/>
        <w:rPr>
          <w:rFonts w:hAnsi="宋体" w:cs="宋体"/>
          <w:color w:val="auto"/>
          <w:sz w:val="24"/>
          <w:szCs w:val="24"/>
          <w:u w:val="single"/>
        </w:rPr>
      </w:pPr>
      <w:r>
        <w:rPr>
          <w:rFonts w:hint="eastAsia" w:hAnsi="宋体" w:cs="宋体"/>
          <w:color w:val="auto"/>
          <w:sz w:val="24"/>
          <w:szCs w:val="24"/>
        </w:rPr>
        <w:t>委托代理人身份证号码：</w:t>
      </w:r>
      <w:r>
        <w:rPr>
          <w:rFonts w:hint="eastAsia" w:hAnsi="宋体" w:cs="宋体"/>
          <w:color w:val="auto"/>
          <w:sz w:val="24"/>
          <w:szCs w:val="24"/>
          <w:u w:val="single"/>
        </w:rPr>
        <w:t xml:space="preserve">                                   </w:t>
      </w:r>
    </w:p>
    <w:p w14:paraId="5F92C5A3">
      <w:pPr>
        <w:keepNext w:val="0"/>
        <w:keepLines w:val="0"/>
        <w:pageBreakBefore w:val="0"/>
        <w:widowControl w:val="0"/>
        <w:kinsoku/>
        <w:wordWrap/>
        <w:overflowPunct/>
        <w:topLinePunct w:val="0"/>
        <w:bidi w:val="0"/>
        <w:spacing w:line="400" w:lineRule="exact"/>
        <w:textAlignment w:val="auto"/>
        <w:rPr>
          <w:rFonts w:ascii="宋体" w:hAnsi="宋体" w:cs="宋体"/>
          <w:color w:val="auto"/>
          <w:sz w:val="24"/>
        </w:rPr>
      </w:pPr>
    </w:p>
    <w:p w14:paraId="48028A78">
      <w:pPr>
        <w:pStyle w:val="14"/>
        <w:keepNext w:val="0"/>
        <w:keepLines w:val="0"/>
        <w:pageBreakBefore w:val="0"/>
        <w:widowControl w:val="0"/>
        <w:kinsoku/>
        <w:wordWrap/>
        <w:overflowPunct/>
        <w:topLinePunct w:val="0"/>
        <w:bidi w:val="0"/>
        <w:spacing w:line="400" w:lineRule="exact"/>
        <w:ind w:firstLine="420"/>
        <w:textAlignment w:val="auto"/>
        <w:rPr>
          <w:rFonts w:hAnsi="宋体" w:cs="宋体"/>
          <w:color w:val="auto"/>
          <w:sz w:val="24"/>
          <w:szCs w:val="24"/>
          <w:u w:val="single"/>
        </w:rPr>
      </w:pPr>
      <w:r>
        <w:rPr>
          <w:rFonts w:hint="eastAsia" w:hAnsi="宋体" w:cs="宋体"/>
          <w:color w:val="auto"/>
          <w:sz w:val="24"/>
          <w:szCs w:val="24"/>
        </w:rPr>
        <w:t>成员一名称（电子签章）：</w:t>
      </w:r>
      <w:r>
        <w:rPr>
          <w:rFonts w:hint="eastAsia" w:hAnsi="宋体" w:cs="宋体"/>
          <w:color w:val="auto"/>
          <w:sz w:val="24"/>
          <w:szCs w:val="24"/>
          <w:u w:val="single"/>
        </w:rPr>
        <w:t xml:space="preserve">                                    </w:t>
      </w:r>
    </w:p>
    <w:p w14:paraId="13429CBA">
      <w:pPr>
        <w:pStyle w:val="14"/>
        <w:keepNext w:val="0"/>
        <w:keepLines w:val="0"/>
        <w:pageBreakBefore w:val="0"/>
        <w:widowControl w:val="0"/>
        <w:kinsoku/>
        <w:wordWrap/>
        <w:overflowPunct/>
        <w:topLinePunct w:val="0"/>
        <w:bidi w:val="0"/>
        <w:spacing w:line="400" w:lineRule="exact"/>
        <w:ind w:firstLine="420"/>
        <w:textAlignment w:val="auto"/>
        <w:rPr>
          <w:rFonts w:hAnsi="宋体" w:cs="宋体"/>
          <w:color w:val="auto"/>
          <w:sz w:val="24"/>
          <w:szCs w:val="24"/>
          <w:u w:val="single"/>
        </w:rPr>
      </w:pPr>
      <w:r>
        <w:rPr>
          <w:rFonts w:hint="eastAsia" w:hAnsi="宋体" w:cs="宋体"/>
          <w:color w:val="auto"/>
          <w:sz w:val="24"/>
          <w:szCs w:val="24"/>
        </w:rPr>
        <w:t>法定代表人（签字）：</w:t>
      </w:r>
      <w:r>
        <w:rPr>
          <w:rFonts w:hint="eastAsia" w:hAnsi="宋体" w:cs="宋体"/>
          <w:color w:val="auto"/>
          <w:sz w:val="24"/>
          <w:szCs w:val="24"/>
          <w:u w:val="single"/>
        </w:rPr>
        <w:t xml:space="preserve">                                </w:t>
      </w:r>
    </w:p>
    <w:p w14:paraId="4BDB4979">
      <w:pPr>
        <w:keepNext w:val="0"/>
        <w:keepLines w:val="0"/>
        <w:pageBreakBefore w:val="0"/>
        <w:widowControl w:val="0"/>
        <w:kinsoku/>
        <w:wordWrap/>
        <w:overflowPunct/>
        <w:topLinePunct w:val="0"/>
        <w:bidi w:val="0"/>
        <w:spacing w:line="400" w:lineRule="exact"/>
        <w:textAlignment w:val="auto"/>
        <w:rPr>
          <w:rFonts w:ascii="宋体" w:hAnsi="宋体" w:cs="宋体"/>
          <w:color w:val="auto"/>
          <w:sz w:val="24"/>
        </w:rPr>
      </w:pPr>
    </w:p>
    <w:p w14:paraId="53E646B5">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成员二名称（电子签章）：</w:t>
      </w:r>
      <w:r>
        <w:rPr>
          <w:rFonts w:hint="eastAsia" w:ascii="宋体" w:hAnsi="宋体" w:cs="宋体"/>
          <w:color w:val="auto"/>
          <w:kern w:val="0"/>
          <w:sz w:val="24"/>
          <w:u w:val="single"/>
        </w:rPr>
        <w:t xml:space="preserve">                                       </w:t>
      </w:r>
    </w:p>
    <w:p w14:paraId="3BED4F1D">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法定代表人或其委托代理人：</w:t>
      </w:r>
      <w:r>
        <w:rPr>
          <w:rFonts w:hint="eastAsia" w:ascii="宋体" w:hAnsi="宋体" w:cs="宋体"/>
          <w:color w:val="auto"/>
          <w:kern w:val="0"/>
          <w:sz w:val="24"/>
          <w:u w:val="single"/>
        </w:rPr>
        <w:t xml:space="preserve">                         </w:t>
      </w:r>
      <w:r>
        <w:rPr>
          <w:rFonts w:hint="eastAsia" w:ascii="宋体" w:hAnsi="宋体" w:cs="宋体"/>
          <w:color w:val="auto"/>
          <w:kern w:val="0"/>
          <w:sz w:val="24"/>
        </w:rPr>
        <w:t>（签字）</w:t>
      </w:r>
    </w:p>
    <w:p w14:paraId="2DEF816A">
      <w:pPr>
        <w:pStyle w:val="14"/>
        <w:keepNext w:val="0"/>
        <w:keepLines w:val="0"/>
        <w:pageBreakBefore w:val="0"/>
        <w:widowControl w:val="0"/>
        <w:kinsoku/>
        <w:wordWrap/>
        <w:overflowPunct/>
        <w:topLinePunct w:val="0"/>
        <w:bidi w:val="0"/>
        <w:spacing w:line="400" w:lineRule="exact"/>
        <w:ind w:firstLine="480" w:firstLineChars="200"/>
        <w:textAlignment w:val="auto"/>
        <w:rPr>
          <w:rFonts w:hAnsi="宋体" w:cs="宋体"/>
          <w:color w:val="auto"/>
          <w:sz w:val="24"/>
          <w:szCs w:val="24"/>
        </w:rPr>
      </w:pPr>
      <w:r>
        <w:rPr>
          <w:rFonts w:hint="eastAsia" w:hAnsi="宋体" w:cs="宋体"/>
          <w:color w:val="auto"/>
          <w:sz w:val="24"/>
          <w:szCs w:val="24"/>
        </w:rPr>
        <w:t>……</w:t>
      </w:r>
    </w:p>
    <w:p w14:paraId="5D2482C9">
      <w:pPr>
        <w:keepNext w:val="0"/>
        <w:keepLines w:val="0"/>
        <w:pageBreakBefore w:val="0"/>
        <w:widowControl w:val="0"/>
        <w:kinsoku/>
        <w:wordWrap/>
        <w:overflowPunct/>
        <w:topLinePunct w:val="0"/>
        <w:bidi w:val="0"/>
        <w:spacing w:line="400" w:lineRule="exact"/>
        <w:textAlignment w:val="auto"/>
        <w:rPr>
          <w:rFonts w:ascii="宋体" w:hAnsi="宋体" w:cs="宋体"/>
          <w:color w:val="auto"/>
          <w:sz w:val="24"/>
        </w:rPr>
      </w:pPr>
      <w:r>
        <w:rPr>
          <w:rFonts w:hint="eastAsia" w:ascii="宋体" w:hAnsi="宋体" w:cs="宋体"/>
          <w:color w:val="auto"/>
          <w:sz w:val="24"/>
        </w:rPr>
        <w:t>注：1.以联合体形式竞标的，本授权委托书应由联合体牵头人的法定代表人按上述规定签署。</w:t>
      </w:r>
    </w:p>
    <w:p w14:paraId="2164ACDD">
      <w:pPr>
        <w:keepNext w:val="0"/>
        <w:keepLines w:val="0"/>
        <w:pageBreakBefore w:val="0"/>
        <w:widowControl w:val="0"/>
        <w:kinsoku/>
        <w:wordWrap/>
        <w:overflowPunct/>
        <w:topLinePunct w:val="0"/>
        <w:bidi w:val="0"/>
        <w:snapToGrid w:val="0"/>
        <w:spacing w:before="50" w:after="156" w:afterLines="50" w:line="400" w:lineRule="exact"/>
        <w:jc w:val="left"/>
        <w:textAlignment w:val="auto"/>
        <w:rPr>
          <w:rFonts w:ascii="宋体" w:hAnsi="宋体" w:cs="宋体"/>
          <w:color w:val="auto"/>
          <w:sz w:val="24"/>
        </w:rPr>
      </w:pPr>
      <w:r>
        <w:rPr>
          <w:rFonts w:hint="eastAsia" w:ascii="宋体" w:hAnsi="宋体" w:cs="宋体"/>
          <w:color w:val="auto"/>
          <w:sz w:val="24"/>
        </w:rPr>
        <w:t>2. 供应商为其他组织或者自然人时，本谈判文件规定的法定代表人指负责人或者自然人。本谈判文件所称负责人是指参加竞标的其他组织营业执照上的负责人，本谈判文件所称自然人指参与响应的自然人本人。</w:t>
      </w:r>
    </w:p>
    <w:p w14:paraId="3E74CA44">
      <w:pPr>
        <w:keepNext w:val="0"/>
        <w:keepLines w:val="0"/>
        <w:pageBreakBefore w:val="0"/>
        <w:widowControl w:val="0"/>
        <w:kinsoku/>
        <w:wordWrap/>
        <w:overflowPunct/>
        <w:topLinePunct w:val="0"/>
        <w:bidi w:val="0"/>
        <w:snapToGrid w:val="0"/>
        <w:spacing w:before="50" w:after="156" w:afterLines="50" w:line="400" w:lineRule="exact"/>
        <w:jc w:val="left"/>
        <w:textAlignment w:val="auto"/>
        <w:rPr>
          <w:rFonts w:ascii="宋体" w:hAnsi="宋体" w:cs="宋体"/>
          <w:color w:val="auto"/>
          <w:sz w:val="24"/>
        </w:rPr>
      </w:pPr>
      <w:r>
        <w:rPr>
          <w:rFonts w:hint="eastAsia" w:ascii="宋体" w:hAnsi="宋体" w:cs="宋体"/>
          <w:color w:val="auto"/>
          <w:sz w:val="24"/>
        </w:rPr>
        <w:t>3. 若为联合体竞标须各方签字或盖章。</w:t>
      </w:r>
    </w:p>
    <w:p w14:paraId="22508455">
      <w:pPr>
        <w:spacing w:line="360" w:lineRule="auto"/>
        <w:rPr>
          <w:rFonts w:ascii="宋体" w:hAnsi="宋体" w:cs="宋体"/>
          <w:b/>
          <w:color w:val="auto"/>
          <w:sz w:val="24"/>
        </w:rPr>
      </w:pPr>
      <w:r>
        <w:rPr>
          <w:rFonts w:hint="eastAsia" w:ascii="宋体" w:hAnsi="宋体" w:cs="宋体"/>
          <w:b/>
          <w:color w:val="auto"/>
          <w:sz w:val="24"/>
        </w:rPr>
        <w:br w:type="page"/>
      </w:r>
      <w:r>
        <w:rPr>
          <w:rFonts w:hint="eastAsia" w:ascii="宋体" w:hAnsi="宋体" w:cs="宋体"/>
          <w:b/>
          <w:color w:val="auto"/>
          <w:sz w:val="24"/>
        </w:rPr>
        <w:t>附件：</w:t>
      </w:r>
    </w:p>
    <w:tbl>
      <w:tblPr>
        <w:tblStyle w:val="25"/>
        <w:tblpPr w:leftFromText="180" w:rightFromText="180" w:vertAnchor="text" w:horzAnchor="margin" w:tblpY="263"/>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0"/>
      </w:tblGrid>
      <w:tr w14:paraId="1DA7F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8940" w:type="dxa"/>
          </w:tcPr>
          <w:p w14:paraId="2E79482B">
            <w:pPr>
              <w:spacing w:line="360" w:lineRule="auto"/>
              <w:rPr>
                <w:rFonts w:ascii="宋体" w:hAnsi="宋体" w:cs="宋体"/>
                <w:b/>
                <w:color w:val="auto"/>
                <w:sz w:val="24"/>
              </w:rPr>
            </w:pPr>
          </w:p>
          <w:p w14:paraId="66A3AA40">
            <w:pPr>
              <w:spacing w:line="360" w:lineRule="auto"/>
              <w:rPr>
                <w:rFonts w:ascii="宋体" w:hAnsi="宋体" w:cs="宋体"/>
                <w:b/>
                <w:color w:val="auto"/>
                <w:sz w:val="24"/>
              </w:rPr>
            </w:pPr>
            <w:r>
              <w:rPr>
                <w:rFonts w:hint="eastAsia" w:ascii="宋体" w:hAnsi="宋体" w:cs="宋体"/>
                <w:b/>
                <w:color w:val="auto"/>
                <w:sz w:val="24"/>
              </w:rPr>
              <w:t>全权代表身份证复印件粘贴处（正、反面）</w:t>
            </w:r>
          </w:p>
        </w:tc>
      </w:tr>
    </w:tbl>
    <w:p w14:paraId="14E46B91">
      <w:pPr>
        <w:snapToGrid w:val="0"/>
        <w:spacing w:before="50" w:after="156" w:afterLines="50" w:line="360" w:lineRule="auto"/>
        <w:jc w:val="left"/>
        <w:rPr>
          <w:rFonts w:ascii="宋体" w:hAnsi="宋体" w:cs="宋体"/>
          <w:color w:val="auto"/>
          <w:szCs w:val="21"/>
        </w:rPr>
      </w:pPr>
    </w:p>
    <w:p w14:paraId="196406D8">
      <w:pPr>
        <w:spacing w:line="360" w:lineRule="auto"/>
        <w:ind w:firstLine="420" w:firstLineChars="200"/>
        <w:jc w:val="left"/>
        <w:rPr>
          <w:rFonts w:ascii="宋体" w:hAnsi="宋体" w:cs="宋体"/>
          <w:color w:val="auto"/>
          <w:szCs w:val="21"/>
        </w:rPr>
      </w:pPr>
      <w:r>
        <w:rPr>
          <w:rFonts w:hint="eastAsia" w:ascii="宋体" w:hAnsi="宋体" w:cs="宋体"/>
          <w:color w:val="auto"/>
          <w:szCs w:val="21"/>
        </w:rPr>
        <w:t xml:space="preserve"> </w:t>
      </w:r>
    </w:p>
    <w:p w14:paraId="5A37BB52">
      <w:pPr>
        <w:pStyle w:val="17"/>
        <w:rPr>
          <w:rFonts w:ascii="宋体" w:hAnsi="宋体" w:cs="宋体"/>
          <w:color w:val="auto"/>
        </w:rPr>
      </w:pPr>
    </w:p>
    <w:p w14:paraId="3BA970E6">
      <w:pPr>
        <w:jc w:val="center"/>
        <w:rPr>
          <w:rFonts w:ascii="宋体" w:hAnsi="宋体" w:cs="宋体"/>
          <w:bCs/>
          <w:color w:val="auto"/>
          <w:sz w:val="44"/>
          <w:szCs w:val="44"/>
        </w:rPr>
      </w:pPr>
      <w:r>
        <w:rPr>
          <w:rFonts w:hint="eastAsia" w:ascii="宋体" w:hAnsi="宋体" w:cs="宋体"/>
          <w:color w:val="auto"/>
        </w:rPr>
        <w:br w:type="page"/>
      </w:r>
      <w:r>
        <w:rPr>
          <w:rFonts w:hint="eastAsia" w:ascii="宋体" w:hAnsi="宋体" w:cs="宋体"/>
          <w:b/>
          <w:bCs/>
          <w:color w:val="auto"/>
          <w:sz w:val="32"/>
          <w:szCs w:val="32"/>
        </w:rPr>
        <w:t>四、商务条款偏离表</w:t>
      </w:r>
    </w:p>
    <w:p w14:paraId="7112E4C5">
      <w:pPr>
        <w:spacing w:line="500" w:lineRule="exact"/>
        <w:jc w:val="center"/>
        <w:rPr>
          <w:rFonts w:ascii="宋体" w:hAnsi="宋体" w:cs="宋体"/>
          <w:b/>
          <w:color w:val="auto"/>
          <w:sz w:val="32"/>
          <w:szCs w:val="32"/>
        </w:rPr>
      </w:pPr>
      <w:r>
        <w:rPr>
          <w:rFonts w:hint="eastAsia" w:ascii="宋体" w:hAnsi="宋体" w:cs="宋体"/>
          <w:bCs/>
          <w:color w:val="auto"/>
          <w:sz w:val="32"/>
          <w:szCs w:val="32"/>
        </w:rPr>
        <w:t>（注：按采购需求具体条款修改）</w:t>
      </w:r>
    </w:p>
    <w:p w14:paraId="5ECCFB77">
      <w:pPr>
        <w:rPr>
          <w:rFonts w:ascii="宋体" w:hAnsi="宋体" w:cs="宋体"/>
          <w:color w:val="auto"/>
        </w:rPr>
      </w:pPr>
    </w:p>
    <w:p w14:paraId="335A5607">
      <w:pPr>
        <w:spacing w:line="360" w:lineRule="auto"/>
        <w:rPr>
          <w:rFonts w:ascii="宋体" w:hAnsi="宋体" w:cs="宋体"/>
          <w:color w:val="auto"/>
          <w:sz w:val="24"/>
          <w:u w:val="single"/>
        </w:rPr>
      </w:pPr>
      <w:r>
        <w:rPr>
          <w:rFonts w:hint="eastAsia" w:ascii="宋体" w:hAnsi="宋体" w:cs="宋体"/>
          <w:color w:val="auto"/>
          <w:sz w:val="24"/>
        </w:rPr>
        <w:t>项目编号：</w:t>
      </w:r>
      <w:r>
        <w:rPr>
          <w:rFonts w:hint="eastAsia" w:ascii="宋体" w:hAnsi="宋体" w:cs="宋体"/>
          <w:color w:val="auto"/>
          <w:sz w:val="24"/>
          <w:u w:val="single"/>
        </w:rPr>
        <w:t xml:space="preserve">                 </w:t>
      </w:r>
    </w:p>
    <w:p w14:paraId="78D0200C">
      <w:pPr>
        <w:spacing w:line="360" w:lineRule="auto"/>
        <w:rPr>
          <w:rFonts w:ascii="宋体" w:hAnsi="宋体" w:cs="宋体"/>
          <w:color w:val="auto"/>
          <w:sz w:val="24"/>
          <w:u w:val="single"/>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23EB269B">
      <w:pPr>
        <w:pStyle w:val="17"/>
        <w:rPr>
          <w:rFonts w:ascii="宋体" w:hAnsi="宋体" w:cs="宋体"/>
          <w:color w:val="auto"/>
          <w:sz w:val="24"/>
          <w:szCs w:val="24"/>
        </w:rPr>
      </w:pPr>
      <w:r>
        <w:rPr>
          <w:rFonts w:hint="eastAsia" w:ascii="宋体" w:hAnsi="宋体" w:cs="宋体"/>
          <w:color w:val="auto"/>
          <w:sz w:val="24"/>
          <w:szCs w:val="24"/>
        </w:rPr>
        <w:t>分标号（此处有分标时填写具体分标号，无分标时填写“无”）：</w:t>
      </w:r>
      <w:r>
        <w:rPr>
          <w:rFonts w:hint="eastAsia" w:ascii="宋体" w:hAnsi="宋体" w:cs="宋体"/>
          <w:color w:val="auto"/>
          <w:sz w:val="24"/>
          <w:szCs w:val="24"/>
          <w:u w:val="single"/>
        </w:rPr>
        <w:t xml:space="preserve">               </w:t>
      </w:r>
    </w:p>
    <w:p w14:paraId="0FF600CD">
      <w:pPr>
        <w:snapToGrid w:val="0"/>
        <w:spacing w:before="50" w:line="360" w:lineRule="auto"/>
        <w:jc w:val="left"/>
        <w:rPr>
          <w:rFonts w:ascii="宋体" w:hAnsi="宋体" w:cs="宋体"/>
          <w:color w:val="auto"/>
          <w:sz w:val="24"/>
          <w:u w:val="single"/>
        </w:rPr>
      </w:pPr>
    </w:p>
    <w:tbl>
      <w:tblPr>
        <w:tblStyle w:val="25"/>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88"/>
        <w:gridCol w:w="2768"/>
        <w:gridCol w:w="2040"/>
        <w:gridCol w:w="2112"/>
      </w:tblGrid>
      <w:tr w14:paraId="7BB404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388" w:type="dxa"/>
            <w:tcBorders>
              <w:top w:val="single" w:color="auto" w:sz="4" w:space="0"/>
              <w:left w:val="single" w:color="auto" w:sz="4" w:space="0"/>
              <w:bottom w:val="single" w:color="auto" w:sz="4" w:space="0"/>
              <w:right w:val="single" w:color="auto" w:sz="4" w:space="0"/>
            </w:tcBorders>
            <w:vAlign w:val="center"/>
          </w:tcPr>
          <w:p w14:paraId="214B71F9">
            <w:pPr>
              <w:snapToGrid w:val="0"/>
              <w:spacing w:before="156" w:beforeLines="50" w:line="360" w:lineRule="auto"/>
              <w:jc w:val="center"/>
              <w:rPr>
                <w:rFonts w:ascii="宋体" w:hAnsi="宋体" w:cs="宋体"/>
                <w:color w:val="auto"/>
                <w:sz w:val="24"/>
              </w:rPr>
            </w:pPr>
            <w:r>
              <w:rPr>
                <w:rFonts w:hint="eastAsia" w:ascii="宋体" w:hAnsi="宋体" w:cs="宋体"/>
                <w:color w:val="auto"/>
                <w:sz w:val="24"/>
              </w:rPr>
              <w:t>项目</w:t>
            </w:r>
          </w:p>
        </w:tc>
        <w:tc>
          <w:tcPr>
            <w:tcW w:w="2768" w:type="dxa"/>
            <w:tcBorders>
              <w:top w:val="single" w:color="auto" w:sz="4" w:space="0"/>
              <w:left w:val="single" w:color="auto" w:sz="4" w:space="0"/>
              <w:bottom w:val="single" w:color="auto" w:sz="4" w:space="0"/>
              <w:right w:val="single" w:color="auto" w:sz="4" w:space="0"/>
            </w:tcBorders>
            <w:vAlign w:val="center"/>
          </w:tcPr>
          <w:p w14:paraId="15CB864F">
            <w:pPr>
              <w:snapToGrid w:val="0"/>
              <w:spacing w:before="156" w:beforeLines="50" w:line="360" w:lineRule="auto"/>
              <w:jc w:val="center"/>
              <w:rPr>
                <w:rFonts w:ascii="宋体" w:hAnsi="宋体" w:cs="宋体"/>
                <w:color w:val="auto"/>
                <w:sz w:val="24"/>
              </w:rPr>
            </w:pPr>
            <w:r>
              <w:rPr>
                <w:rFonts w:hint="eastAsia" w:ascii="宋体" w:hAnsi="宋体" w:cs="宋体"/>
                <w:color w:val="auto"/>
                <w:sz w:val="24"/>
              </w:rPr>
              <w:t>谈判文件商务条款要求</w:t>
            </w:r>
          </w:p>
        </w:tc>
        <w:tc>
          <w:tcPr>
            <w:tcW w:w="2040" w:type="dxa"/>
            <w:tcBorders>
              <w:top w:val="single" w:color="auto" w:sz="4" w:space="0"/>
              <w:left w:val="single" w:color="auto" w:sz="4" w:space="0"/>
              <w:bottom w:val="single" w:color="auto" w:sz="4" w:space="0"/>
              <w:right w:val="single" w:color="auto" w:sz="4" w:space="0"/>
            </w:tcBorders>
            <w:vAlign w:val="center"/>
          </w:tcPr>
          <w:p w14:paraId="15C583B4">
            <w:pPr>
              <w:snapToGrid w:val="0"/>
              <w:spacing w:before="156" w:beforeLines="50" w:line="360" w:lineRule="auto"/>
              <w:jc w:val="center"/>
              <w:rPr>
                <w:rFonts w:ascii="宋体" w:hAnsi="宋体" w:cs="宋体"/>
                <w:color w:val="auto"/>
                <w:sz w:val="24"/>
              </w:rPr>
            </w:pPr>
            <w:r>
              <w:rPr>
                <w:rFonts w:hint="eastAsia" w:ascii="宋体" w:hAnsi="宋体" w:cs="宋体"/>
                <w:color w:val="auto"/>
                <w:sz w:val="24"/>
              </w:rPr>
              <w:t>供应商的承诺</w:t>
            </w:r>
          </w:p>
        </w:tc>
        <w:tc>
          <w:tcPr>
            <w:tcW w:w="2112" w:type="dxa"/>
            <w:tcBorders>
              <w:top w:val="single" w:color="auto" w:sz="4" w:space="0"/>
              <w:left w:val="single" w:color="auto" w:sz="4" w:space="0"/>
              <w:bottom w:val="single" w:color="auto" w:sz="4" w:space="0"/>
              <w:right w:val="single" w:color="auto" w:sz="4" w:space="0"/>
            </w:tcBorders>
            <w:vAlign w:val="center"/>
          </w:tcPr>
          <w:p w14:paraId="46EDAD9C">
            <w:pPr>
              <w:snapToGrid w:val="0"/>
              <w:spacing w:before="156" w:beforeLines="50" w:line="360" w:lineRule="auto"/>
              <w:jc w:val="center"/>
              <w:rPr>
                <w:rFonts w:ascii="宋体" w:hAnsi="宋体" w:cs="宋体"/>
                <w:color w:val="auto"/>
                <w:sz w:val="24"/>
              </w:rPr>
            </w:pPr>
            <w:r>
              <w:rPr>
                <w:rFonts w:hint="eastAsia" w:ascii="宋体" w:hAnsi="宋体" w:cs="宋体"/>
                <w:color w:val="auto"/>
                <w:sz w:val="24"/>
              </w:rPr>
              <w:t>偏离说明</w:t>
            </w:r>
          </w:p>
        </w:tc>
      </w:tr>
      <w:tr w14:paraId="78CF45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388" w:type="dxa"/>
            <w:tcBorders>
              <w:top w:val="single" w:color="auto" w:sz="4" w:space="0"/>
              <w:left w:val="single" w:color="auto" w:sz="4" w:space="0"/>
              <w:bottom w:val="single" w:color="auto" w:sz="4" w:space="0"/>
              <w:right w:val="single" w:color="auto" w:sz="4" w:space="0"/>
            </w:tcBorders>
            <w:vAlign w:val="center"/>
          </w:tcPr>
          <w:p w14:paraId="30F35BC2">
            <w:pPr>
              <w:spacing w:line="360" w:lineRule="auto"/>
              <w:jc w:val="center"/>
              <w:rPr>
                <w:rFonts w:ascii="宋体" w:hAnsi="宋体" w:cs="宋体"/>
                <w:color w:val="auto"/>
                <w:sz w:val="24"/>
              </w:rPr>
            </w:pPr>
          </w:p>
        </w:tc>
        <w:tc>
          <w:tcPr>
            <w:tcW w:w="2768" w:type="dxa"/>
            <w:tcBorders>
              <w:top w:val="single" w:color="auto" w:sz="4" w:space="0"/>
              <w:left w:val="single" w:color="auto" w:sz="4" w:space="0"/>
              <w:bottom w:val="single" w:color="auto" w:sz="4" w:space="0"/>
              <w:right w:val="single" w:color="auto" w:sz="4" w:space="0"/>
            </w:tcBorders>
            <w:vAlign w:val="center"/>
          </w:tcPr>
          <w:p w14:paraId="7988A754">
            <w:pPr>
              <w:snapToGrid w:val="0"/>
              <w:spacing w:before="156" w:beforeLines="50" w:line="360" w:lineRule="auto"/>
              <w:jc w:val="center"/>
              <w:rPr>
                <w:rFonts w:ascii="宋体" w:hAnsi="宋体" w:cs="宋体"/>
                <w:color w:val="auto"/>
                <w:sz w:val="24"/>
              </w:rPr>
            </w:pPr>
          </w:p>
        </w:tc>
        <w:tc>
          <w:tcPr>
            <w:tcW w:w="2040" w:type="dxa"/>
            <w:tcBorders>
              <w:top w:val="single" w:color="auto" w:sz="4" w:space="0"/>
              <w:left w:val="single" w:color="auto" w:sz="4" w:space="0"/>
              <w:bottom w:val="single" w:color="auto" w:sz="4" w:space="0"/>
              <w:right w:val="single" w:color="auto" w:sz="4" w:space="0"/>
            </w:tcBorders>
            <w:vAlign w:val="center"/>
          </w:tcPr>
          <w:p w14:paraId="72CB5024">
            <w:pPr>
              <w:snapToGrid w:val="0"/>
              <w:spacing w:before="156" w:beforeLines="50" w:line="360" w:lineRule="auto"/>
              <w:jc w:val="center"/>
              <w:rPr>
                <w:rFonts w:ascii="宋体" w:hAnsi="宋体" w:cs="宋体"/>
                <w:color w:val="auto"/>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1EFA19A7">
            <w:pPr>
              <w:snapToGrid w:val="0"/>
              <w:spacing w:before="156" w:beforeLines="50" w:line="360" w:lineRule="auto"/>
              <w:jc w:val="center"/>
              <w:rPr>
                <w:rFonts w:ascii="宋体" w:hAnsi="宋体" w:cs="宋体"/>
                <w:color w:val="auto"/>
                <w:sz w:val="24"/>
              </w:rPr>
            </w:pPr>
          </w:p>
        </w:tc>
      </w:tr>
      <w:tr w14:paraId="6D5740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388" w:type="dxa"/>
            <w:tcBorders>
              <w:top w:val="single" w:color="auto" w:sz="4" w:space="0"/>
              <w:left w:val="single" w:color="auto" w:sz="4" w:space="0"/>
              <w:bottom w:val="single" w:color="auto" w:sz="4" w:space="0"/>
              <w:right w:val="single" w:color="auto" w:sz="4" w:space="0"/>
            </w:tcBorders>
            <w:vAlign w:val="center"/>
          </w:tcPr>
          <w:p w14:paraId="457D7617">
            <w:pPr>
              <w:spacing w:line="360" w:lineRule="auto"/>
              <w:jc w:val="center"/>
              <w:rPr>
                <w:rFonts w:ascii="宋体" w:hAnsi="宋体" w:cs="宋体"/>
                <w:color w:val="auto"/>
                <w:sz w:val="24"/>
              </w:rPr>
            </w:pPr>
          </w:p>
        </w:tc>
        <w:tc>
          <w:tcPr>
            <w:tcW w:w="2768" w:type="dxa"/>
            <w:tcBorders>
              <w:top w:val="single" w:color="auto" w:sz="4" w:space="0"/>
              <w:left w:val="single" w:color="auto" w:sz="4" w:space="0"/>
              <w:bottom w:val="single" w:color="auto" w:sz="4" w:space="0"/>
              <w:right w:val="single" w:color="auto" w:sz="4" w:space="0"/>
            </w:tcBorders>
            <w:vAlign w:val="center"/>
          </w:tcPr>
          <w:p w14:paraId="2F58DA98">
            <w:pPr>
              <w:snapToGrid w:val="0"/>
              <w:spacing w:before="156" w:beforeLines="50" w:line="360" w:lineRule="auto"/>
              <w:jc w:val="center"/>
              <w:rPr>
                <w:rFonts w:ascii="宋体" w:hAnsi="宋体" w:cs="宋体"/>
                <w:color w:val="auto"/>
                <w:sz w:val="24"/>
              </w:rPr>
            </w:pPr>
          </w:p>
        </w:tc>
        <w:tc>
          <w:tcPr>
            <w:tcW w:w="2040" w:type="dxa"/>
            <w:tcBorders>
              <w:top w:val="single" w:color="auto" w:sz="4" w:space="0"/>
              <w:left w:val="single" w:color="auto" w:sz="4" w:space="0"/>
              <w:bottom w:val="single" w:color="auto" w:sz="4" w:space="0"/>
              <w:right w:val="single" w:color="auto" w:sz="4" w:space="0"/>
            </w:tcBorders>
            <w:vAlign w:val="center"/>
          </w:tcPr>
          <w:p w14:paraId="4A5362E4">
            <w:pPr>
              <w:snapToGrid w:val="0"/>
              <w:spacing w:before="156" w:beforeLines="50" w:line="360" w:lineRule="auto"/>
              <w:ind w:left="43"/>
              <w:jc w:val="center"/>
              <w:rPr>
                <w:rFonts w:ascii="宋体" w:hAnsi="宋体" w:cs="宋体"/>
                <w:color w:val="auto"/>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1059ADFD">
            <w:pPr>
              <w:snapToGrid w:val="0"/>
              <w:spacing w:before="156" w:beforeLines="50" w:line="360" w:lineRule="auto"/>
              <w:ind w:left="43"/>
              <w:jc w:val="center"/>
              <w:rPr>
                <w:rFonts w:ascii="宋体" w:hAnsi="宋体" w:cs="宋体"/>
                <w:color w:val="auto"/>
                <w:sz w:val="24"/>
              </w:rPr>
            </w:pPr>
          </w:p>
        </w:tc>
      </w:tr>
      <w:tr w14:paraId="48DA23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388" w:type="dxa"/>
            <w:tcBorders>
              <w:top w:val="single" w:color="auto" w:sz="4" w:space="0"/>
              <w:left w:val="single" w:color="auto" w:sz="4" w:space="0"/>
              <w:bottom w:val="single" w:color="auto" w:sz="4" w:space="0"/>
              <w:right w:val="single" w:color="auto" w:sz="4" w:space="0"/>
            </w:tcBorders>
            <w:vAlign w:val="center"/>
          </w:tcPr>
          <w:p w14:paraId="39DD8E8B">
            <w:pPr>
              <w:spacing w:line="360" w:lineRule="auto"/>
              <w:jc w:val="center"/>
              <w:rPr>
                <w:rFonts w:ascii="宋体" w:hAnsi="宋体" w:cs="宋体"/>
                <w:color w:val="auto"/>
                <w:sz w:val="24"/>
              </w:rPr>
            </w:pPr>
          </w:p>
        </w:tc>
        <w:tc>
          <w:tcPr>
            <w:tcW w:w="2768" w:type="dxa"/>
            <w:tcBorders>
              <w:top w:val="single" w:color="auto" w:sz="4" w:space="0"/>
              <w:left w:val="single" w:color="auto" w:sz="4" w:space="0"/>
              <w:bottom w:val="single" w:color="auto" w:sz="4" w:space="0"/>
              <w:right w:val="single" w:color="auto" w:sz="4" w:space="0"/>
            </w:tcBorders>
            <w:vAlign w:val="center"/>
          </w:tcPr>
          <w:p w14:paraId="7A9AFD4F">
            <w:pPr>
              <w:snapToGrid w:val="0"/>
              <w:spacing w:before="156" w:beforeLines="50" w:line="360" w:lineRule="auto"/>
              <w:jc w:val="center"/>
              <w:rPr>
                <w:rFonts w:ascii="宋体" w:hAnsi="宋体" w:cs="宋体"/>
                <w:color w:val="auto"/>
                <w:sz w:val="24"/>
              </w:rPr>
            </w:pPr>
          </w:p>
        </w:tc>
        <w:tc>
          <w:tcPr>
            <w:tcW w:w="2040" w:type="dxa"/>
            <w:tcBorders>
              <w:top w:val="single" w:color="auto" w:sz="4" w:space="0"/>
              <w:left w:val="single" w:color="auto" w:sz="4" w:space="0"/>
              <w:bottom w:val="single" w:color="auto" w:sz="4" w:space="0"/>
              <w:right w:val="single" w:color="auto" w:sz="4" w:space="0"/>
            </w:tcBorders>
            <w:vAlign w:val="center"/>
          </w:tcPr>
          <w:p w14:paraId="56B23A0E">
            <w:pPr>
              <w:snapToGrid w:val="0"/>
              <w:spacing w:before="156" w:beforeLines="50" w:line="360" w:lineRule="auto"/>
              <w:jc w:val="center"/>
              <w:rPr>
                <w:rFonts w:ascii="宋体" w:hAnsi="宋体" w:cs="宋体"/>
                <w:color w:val="auto"/>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5523F073">
            <w:pPr>
              <w:snapToGrid w:val="0"/>
              <w:spacing w:before="156" w:beforeLines="50" w:line="360" w:lineRule="auto"/>
              <w:jc w:val="center"/>
              <w:rPr>
                <w:rFonts w:ascii="宋体" w:hAnsi="宋体" w:cs="宋体"/>
                <w:color w:val="auto"/>
                <w:sz w:val="24"/>
              </w:rPr>
            </w:pPr>
          </w:p>
        </w:tc>
      </w:tr>
      <w:tr w14:paraId="0ED2A2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88" w:type="dxa"/>
            <w:tcBorders>
              <w:top w:val="single" w:color="auto" w:sz="4" w:space="0"/>
              <w:left w:val="single" w:color="auto" w:sz="4" w:space="0"/>
              <w:bottom w:val="single" w:color="auto" w:sz="4" w:space="0"/>
              <w:right w:val="single" w:color="auto" w:sz="4" w:space="0"/>
            </w:tcBorders>
            <w:vAlign w:val="center"/>
          </w:tcPr>
          <w:p w14:paraId="1FAEB8EF">
            <w:pPr>
              <w:snapToGrid w:val="0"/>
              <w:spacing w:before="156" w:beforeLines="50" w:line="360" w:lineRule="auto"/>
              <w:jc w:val="center"/>
              <w:rPr>
                <w:rFonts w:ascii="宋体" w:hAnsi="宋体" w:cs="宋体"/>
                <w:color w:val="auto"/>
                <w:sz w:val="24"/>
              </w:rPr>
            </w:pPr>
            <w:r>
              <w:rPr>
                <w:rFonts w:hint="eastAsia" w:ascii="宋体" w:hAnsi="宋体" w:cs="宋体"/>
                <w:color w:val="auto"/>
                <w:sz w:val="24"/>
              </w:rPr>
              <w:t>…</w:t>
            </w:r>
          </w:p>
        </w:tc>
        <w:tc>
          <w:tcPr>
            <w:tcW w:w="2768" w:type="dxa"/>
            <w:tcBorders>
              <w:top w:val="single" w:color="auto" w:sz="4" w:space="0"/>
              <w:left w:val="single" w:color="auto" w:sz="4" w:space="0"/>
              <w:bottom w:val="single" w:color="auto" w:sz="4" w:space="0"/>
              <w:right w:val="single" w:color="auto" w:sz="4" w:space="0"/>
            </w:tcBorders>
            <w:vAlign w:val="center"/>
          </w:tcPr>
          <w:p w14:paraId="1A56E92D">
            <w:pPr>
              <w:snapToGrid w:val="0"/>
              <w:spacing w:before="156" w:beforeLines="50" w:line="360" w:lineRule="auto"/>
              <w:jc w:val="center"/>
              <w:rPr>
                <w:rFonts w:ascii="宋体" w:hAnsi="宋体" w:cs="宋体"/>
                <w:color w:val="auto"/>
                <w:sz w:val="24"/>
              </w:rPr>
            </w:pPr>
          </w:p>
        </w:tc>
        <w:tc>
          <w:tcPr>
            <w:tcW w:w="2040" w:type="dxa"/>
            <w:tcBorders>
              <w:top w:val="single" w:color="auto" w:sz="4" w:space="0"/>
              <w:left w:val="single" w:color="auto" w:sz="4" w:space="0"/>
              <w:bottom w:val="single" w:color="auto" w:sz="4" w:space="0"/>
              <w:right w:val="single" w:color="auto" w:sz="4" w:space="0"/>
            </w:tcBorders>
            <w:vAlign w:val="center"/>
          </w:tcPr>
          <w:p w14:paraId="78F83D3D">
            <w:pPr>
              <w:snapToGrid w:val="0"/>
              <w:spacing w:before="156" w:beforeLines="50" w:line="360" w:lineRule="auto"/>
              <w:jc w:val="center"/>
              <w:rPr>
                <w:rFonts w:ascii="宋体" w:hAnsi="宋体" w:cs="宋体"/>
                <w:color w:val="auto"/>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6ED0207D">
            <w:pPr>
              <w:snapToGrid w:val="0"/>
              <w:spacing w:before="156" w:beforeLines="50" w:line="360" w:lineRule="auto"/>
              <w:jc w:val="center"/>
              <w:rPr>
                <w:rFonts w:ascii="宋体" w:hAnsi="宋体" w:cs="宋体"/>
                <w:color w:val="auto"/>
                <w:sz w:val="24"/>
              </w:rPr>
            </w:pPr>
          </w:p>
        </w:tc>
      </w:tr>
    </w:tbl>
    <w:p w14:paraId="5FB095AD">
      <w:pPr>
        <w:pStyle w:val="11"/>
        <w:rPr>
          <w:rFonts w:ascii="宋体" w:hAnsi="宋体" w:cs="宋体"/>
          <w:color w:val="auto"/>
          <w:kern w:val="0"/>
          <w:sz w:val="24"/>
          <w:szCs w:val="24"/>
        </w:rPr>
      </w:pPr>
      <w:r>
        <w:rPr>
          <w:rFonts w:hint="eastAsia" w:ascii="宋体" w:hAnsi="宋体" w:cs="宋体"/>
          <w:color w:val="auto"/>
          <w:kern w:val="0"/>
          <w:sz w:val="24"/>
          <w:szCs w:val="24"/>
        </w:rPr>
        <w:t>注：</w:t>
      </w:r>
    </w:p>
    <w:p w14:paraId="58455D23">
      <w:pPr>
        <w:pStyle w:val="11"/>
        <w:spacing w:line="360" w:lineRule="auto"/>
        <w:rPr>
          <w:rFonts w:ascii="宋体" w:hAnsi="宋体" w:cs="宋体"/>
          <w:color w:val="auto"/>
          <w:kern w:val="0"/>
          <w:sz w:val="24"/>
          <w:szCs w:val="24"/>
        </w:rPr>
      </w:pPr>
      <w:r>
        <w:rPr>
          <w:rFonts w:hint="eastAsia" w:ascii="宋体" w:hAnsi="宋体" w:cs="宋体"/>
          <w:color w:val="auto"/>
          <w:kern w:val="0"/>
          <w:sz w:val="24"/>
          <w:szCs w:val="24"/>
        </w:rPr>
        <w:t>1. 说明：应对照谈判文件“第三章 采购需求”中的商务条款逐条实质性响应，并作出偏离说明。</w:t>
      </w:r>
    </w:p>
    <w:p w14:paraId="3E02BB58">
      <w:pPr>
        <w:snapToGrid w:val="0"/>
        <w:spacing w:before="50" w:line="360" w:lineRule="auto"/>
        <w:jc w:val="left"/>
        <w:rPr>
          <w:rFonts w:ascii="宋体" w:hAnsi="宋体" w:cs="宋体"/>
          <w:color w:val="auto"/>
          <w:sz w:val="24"/>
          <w:u w:val="single"/>
        </w:rPr>
      </w:pPr>
      <w:r>
        <w:rPr>
          <w:rFonts w:hint="eastAsia" w:ascii="宋体" w:hAnsi="宋体" w:cs="宋体"/>
          <w:color w:val="auto"/>
          <w:kern w:val="0"/>
          <w:sz w:val="24"/>
        </w:rPr>
        <w:t>2.供应商应根据自身的承诺，对照谈判文件要求在“偏离说明”中注明“正偏离”“负偏离”或者“无偏离”。既不属于“正偏离”也不属于“负偏离”即为“无偏离”。</w:t>
      </w:r>
    </w:p>
    <w:p w14:paraId="593A04A4">
      <w:pPr>
        <w:snapToGrid w:val="0"/>
        <w:spacing w:before="50" w:after="50" w:line="360" w:lineRule="auto"/>
        <w:ind w:right="-817" w:rightChars="-389"/>
        <w:rPr>
          <w:rFonts w:ascii="宋体" w:hAnsi="宋体" w:cs="宋体"/>
          <w:color w:val="auto"/>
          <w:sz w:val="24"/>
        </w:rPr>
      </w:pPr>
    </w:p>
    <w:p w14:paraId="33B075CE">
      <w:pPr>
        <w:spacing w:line="360" w:lineRule="auto"/>
        <w:ind w:firstLine="3840" w:firstLineChars="1600"/>
        <w:rPr>
          <w:rFonts w:ascii="宋体" w:hAnsi="宋体" w:cs="宋体"/>
          <w:color w:val="auto"/>
          <w:sz w:val="24"/>
        </w:rPr>
      </w:pPr>
      <w:r>
        <w:rPr>
          <w:rFonts w:hint="eastAsia" w:ascii="宋体" w:hAnsi="宋体" w:cs="宋体"/>
          <w:color w:val="auto"/>
          <w:kern w:val="0"/>
          <w:sz w:val="24"/>
        </w:rPr>
        <w:t>供应商名称（电子签章）：</w:t>
      </w:r>
    </w:p>
    <w:p w14:paraId="4798B7FD">
      <w:pPr>
        <w:spacing w:line="360" w:lineRule="auto"/>
        <w:contextualSpacing/>
        <w:jc w:val="center"/>
        <w:rPr>
          <w:rFonts w:ascii="宋体" w:hAnsi="宋体" w:cs="宋体"/>
          <w:color w:val="auto"/>
          <w:kern w:val="0"/>
          <w:sz w:val="24"/>
        </w:rPr>
      </w:pPr>
      <w:r>
        <w:rPr>
          <w:rFonts w:hint="eastAsia" w:ascii="宋体" w:hAnsi="宋体" w:cs="宋体"/>
          <w:color w:val="auto"/>
          <w:kern w:val="0"/>
          <w:sz w:val="24"/>
        </w:rPr>
        <w:t xml:space="preserve">                                                   日期：  年  月   日</w:t>
      </w:r>
    </w:p>
    <w:p w14:paraId="278465C4">
      <w:pPr>
        <w:pStyle w:val="17"/>
        <w:rPr>
          <w:rFonts w:ascii="宋体" w:hAnsi="宋体" w:cs="宋体"/>
          <w:color w:val="auto"/>
        </w:rPr>
      </w:pPr>
    </w:p>
    <w:p w14:paraId="5197C46A">
      <w:pPr>
        <w:pStyle w:val="17"/>
        <w:rPr>
          <w:rFonts w:ascii="宋体" w:hAnsi="宋体" w:cs="宋体"/>
          <w:color w:val="auto"/>
        </w:rPr>
      </w:pPr>
    </w:p>
    <w:p w14:paraId="1355857C">
      <w:pPr>
        <w:pStyle w:val="17"/>
        <w:rPr>
          <w:rFonts w:ascii="宋体" w:hAnsi="宋体" w:cs="宋体"/>
          <w:color w:val="auto"/>
        </w:rPr>
      </w:pPr>
    </w:p>
    <w:p w14:paraId="6ACBDDD3">
      <w:pPr>
        <w:adjustRightInd w:val="0"/>
        <w:snapToGrid w:val="0"/>
        <w:spacing w:line="520" w:lineRule="exact"/>
        <w:ind w:firstLine="7040" w:firstLineChars="1600"/>
        <w:jc w:val="center"/>
        <w:rPr>
          <w:rFonts w:ascii="宋体" w:hAnsi="宋体" w:cs="宋体"/>
          <w:bCs/>
          <w:color w:val="auto"/>
          <w:sz w:val="44"/>
          <w:szCs w:val="44"/>
        </w:rPr>
      </w:pPr>
    </w:p>
    <w:p w14:paraId="15947F65">
      <w:pPr>
        <w:adjustRightInd w:val="0"/>
        <w:snapToGrid w:val="0"/>
        <w:spacing w:line="520" w:lineRule="exact"/>
        <w:ind w:firstLine="7040" w:firstLineChars="1600"/>
        <w:jc w:val="center"/>
        <w:rPr>
          <w:rFonts w:ascii="宋体" w:hAnsi="宋体" w:cs="宋体"/>
          <w:bCs/>
          <w:color w:val="auto"/>
          <w:sz w:val="44"/>
          <w:szCs w:val="44"/>
        </w:rPr>
      </w:pPr>
    </w:p>
    <w:p w14:paraId="69BAFE9B">
      <w:pPr>
        <w:adjustRightInd w:val="0"/>
        <w:snapToGrid w:val="0"/>
        <w:spacing w:line="520" w:lineRule="exact"/>
        <w:ind w:firstLine="7040" w:firstLineChars="1600"/>
        <w:jc w:val="center"/>
        <w:rPr>
          <w:rFonts w:ascii="宋体" w:hAnsi="宋体" w:cs="宋体"/>
          <w:bCs/>
          <w:color w:val="auto"/>
          <w:sz w:val="44"/>
          <w:szCs w:val="44"/>
        </w:rPr>
      </w:pPr>
    </w:p>
    <w:p w14:paraId="17521F44">
      <w:pPr>
        <w:jc w:val="center"/>
        <w:rPr>
          <w:rFonts w:ascii="宋体" w:hAnsi="宋体" w:cs="宋体"/>
          <w:b/>
          <w:bCs/>
          <w:color w:val="auto"/>
          <w:sz w:val="32"/>
          <w:szCs w:val="32"/>
        </w:rPr>
      </w:pPr>
      <w:r>
        <w:rPr>
          <w:rFonts w:hint="eastAsia" w:ascii="宋体" w:hAnsi="宋体" w:cs="宋体"/>
          <w:b/>
          <w:bCs/>
          <w:color w:val="auto"/>
          <w:sz w:val="32"/>
          <w:szCs w:val="32"/>
        </w:rPr>
        <w:t>五、谈判保证金提交凭证</w:t>
      </w:r>
    </w:p>
    <w:p w14:paraId="607286EE">
      <w:pPr>
        <w:pStyle w:val="17"/>
        <w:rPr>
          <w:rFonts w:ascii="宋体" w:hAnsi="宋体" w:cs="宋体"/>
          <w:color w:val="auto"/>
        </w:rPr>
      </w:pPr>
    </w:p>
    <w:p w14:paraId="6AD5EFB8">
      <w:pPr>
        <w:pStyle w:val="17"/>
        <w:rPr>
          <w:rFonts w:ascii="宋体" w:hAnsi="宋体" w:cs="宋体"/>
          <w:color w:val="auto"/>
        </w:rPr>
      </w:pPr>
    </w:p>
    <w:p w14:paraId="18C97DB0">
      <w:pPr>
        <w:pStyle w:val="17"/>
        <w:rPr>
          <w:rFonts w:ascii="宋体" w:hAnsi="宋体" w:cs="宋体"/>
          <w:color w:val="auto"/>
        </w:rPr>
      </w:pPr>
    </w:p>
    <w:p w14:paraId="1389CAA8">
      <w:pPr>
        <w:snapToGrid w:val="0"/>
        <w:spacing w:before="50" w:after="50" w:line="360" w:lineRule="auto"/>
        <w:ind w:right="-817" w:rightChars="-389"/>
        <w:rPr>
          <w:rFonts w:ascii="宋体" w:hAnsi="宋体" w:cs="宋体"/>
          <w:color w:val="auto"/>
          <w:sz w:val="24"/>
        </w:rPr>
      </w:pPr>
    </w:p>
    <w:p w14:paraId="45EC26E1">
      <w:pPr>
        <w:spacing w:line="360" w:lineRule="auto"/>
        <w:ind w:firstLine="3840" w:firstLineChars="1600"/>
        <w:rPr>
          <w:rFonts w:ascii="宋体" w:hAnsi="宋体" w:cs="宋体"/>
          <w:color w:val="auto"/>
          <w:sz w:val="24"/>
        </w:rPr>
      </w:pPr>
      <w:r>
        <w:rPr>
          <w:rFonts w:hint="eastAsia" w:ascii="宋体" w:hAnsi="宋体" w:cs="宋体"/>
          <w:color w:val="auto"/>
          <w:kern w:val="0"/>
          <w:sz w:val="24"/>
        </w:rPr>
        <w:t>供应商名称（电子签章）：</w:t>
      </w:r>
    </w:p>
    <w:p w14:paraId="7A1F8AFB">
      <w:pPr>
        <w:spacing w:line="360" w:lineRule="auto"/>
        <w:contextualSpacing/>
        <w:jc w:val="center"/>
        <w:rPr>
          <w:rFonts w:ascii="宋体" w:hAnsi="宋体" w:cs="宋体"/>
          <w:color w:val="auto"/>
          <w:kern w:val="0"/>
          <w:sz w:val="24"/>
        </w:rPr>
      </w:pPr>
      <w:r>
        <w:rPr>
          <w:rFonts w:hint="eastAsia" w:ascii="宋体" w:hAnsi="宋体" w:cs="宋体"/>
          <w:color w:val="auto"/>
          <w:kern w:val="0"/>
          <w:sz w:val="24"/>
        </w:rPr>
        <w:t xml:space="preserve">                                                   日期：  年  月   日</w:t>
      </w:r>
    </w:p>
    <w:p w14:paraId="47BDDFBC">
      <w:pPr>
        <w:pStyle w:val="17"/>
        <w:rPr>
          <w:rFonts w:ascii="宋体" w:hAnsi="宋体" w:cs="宋体"/>
          <w:color w:val="auto"/>
        </w:rPr>
      </w:pPr>
    </w:p>
    <w:p w14:paraId="28ADEF71">
      <w:pPr>
        <w:pStyle w:val="17"/>
        <w:rPr>
          <w:rFonts w:ascii="宋体" w:hAnsi="宋体" w:cs="宋体"/>
          <w:color w:val="auto"/>
        </w:rPr>
      </w:pPr>
    </w:p>
    <w:p w14:paraId="3ABCBDE4">
      <w:pPr>
        <w:pStyle w:val="17"/>
        <w:rPr>
          <w:rFonts w:ascii="宋体" w:hAnsi="宋体" w:cs="宋体"/>
          <w:color w:val="auto"/>
        </w:rPr>
      </w:pPr>
    </w:p>
    <w:p w14:paraId="0DB693C1">
      <w:pPr>
        <w:pStyle w:val="17"/>
        <w:rPr>
          <w:rFonts w:ascii="宋体" w:hAnsi="宋体" w:cs="宋体"/>
          <w:color w:val="auto"/>
        </w:rPr>
      </w:pPr>
    </w:p>
    <w:p w14:paraId="0233DEEC">
      <w:pPr>
        <w:snapToGrid w:val="0"/>
        <w:spacing w:before="50" w:after="50" w:line="360" w:lineRule="auto"/>
        <w:ind w:right="-817" w:rightChars="-389"/>
        <w:jc w:val="center"/>
        <w:rPr>
          <w:rFonts w:ascii="宋体" w:hAnsi="宋体" w:cs="宋体"/>
          <w:b/>
          <w:bCs/>
          <w:color w:val="auto"/>
          <w:sz w:val="32"/>
          <w:szCs w:val="32"/>
        </w:rPr>
      </w:pPr>
      <w:r>
        <w:rPr>
          <w:rFonts w:hint="eastAsia" w:ascii="宋体" w:hAnsi="宋体" w:cs="宋体"/>
          <w:b/>
          <w:bCs/>
          <w:color w:val="auto"/>
          <w:sz w:val="32"/>
          <w:szCs w:val="32"/>
        </w:rPr>
        <w:t>六、供应商认为需要提供的其他有关资料</w:t>
      </w:r>
    </w:p>
    <w:p w14:paraId="67203C93">
      <w:pPr>
        <w:spacing w:line="360" w:lineRule="auto"/>
        <w:ind w:firstLine="5760" w:firstLineChars="1600"/>
        <w:rPr>
          <w:rFonts w:ascii="宋体" w:hAnsi="宋体" w:cs="宋体"/>
          <w:color w:val="auto"/>
          <w:sz w:val="36"/>
          <w:szCs w:val="36"/>
        </w:rPr>
      </w:pPr>
    </w:p>
    <w:p w14:paraId="12BA1728">
      <w:pPr>
        <w:spacing w:line="360" w:lineRule="auto"/>
        <w:ind w:firstLine="5760" w:firstLineChars="1600"/>
        <w:rPr>
          <w:rFonts w:ascii="宋体" w:hAnsi="宋体" w:cs="宋体"/>
          <w:color w:val="auto"/>
          <w:sz w:val="36"/>
          <w:szCs w:val="36"/>
        </w:rPr>
      </w:pPr>
    </w:p>
    <w:p w14:paraId="5C83A37D">
      <w:pPr>
        <w:spacing w:line="360" w:lineRule="auto"/>
        <w:ind w:firstLine="3840" w:firstLineChars="1600"/>
        <w:rPr>
          <w:rFonts w:ascii="宋体" w:hAnsi="宋体" w:cs="宋体"/>
          <w:color w:val="auto"/>
          <w:sz w:val="24"/>
        </w:rPr>
      </w:pPr>
      <w:r>
        <w:rPr>
          <w:rFonts w:hint="eastAsia" w:ascii="宋体" w:hAnsi="宋体" w:cs="宋体"/>
          <w:color w:val="auto"/>
          <w:kern w:val="0"/>
          <w:sz w:val="24"/>
        </w:rPr>
        <w:t>供应商名称（电子签章）：</w:t>
      </w:r>
    </w:p>
    <w:p w14:paraId="310F57B6">
      <w:pPr>
        <w:spacing w:line="360" w:lineRule="auto"/>
        <w:contextualSpacing/>
        <w:jc w:val="center"/>
        <w:rPr>
          <w:rFonts w:ascii="宋体" w:hAnsi="宋体" w:cs="宋体"/>
          <w:color w:val="auto"/>
          <w:kern w:val="0"/>
          <w:sz w:val="24"/>
        </w:rPr>
      </w:pPr>
      <w:r>
        <w:rPr>
          <w:rFonts w:hint="eastAsia" w:ascii="宋体" w:hAnsi="宋体" w:cs="宋体"/>
          <w:color w:val="auto"/>
          <w:kern w:val="0"/>
          <w:sz w:val="24"/>
        </w:rPr>
        <w:t xml:space="preserve">                                                   日期：  年  月   日</w:t>
      </w:r>
    </w:p>
    <w:p w14:paraId="23B4C57C">
      <w:pPr>
        <w:pStyle w:val="17"/>
        <w:rPr>
          <w:rFonts w:ascii="宋体" w:hAnsi="宋体" w:cs="宋体"/>
          <w:color w:val="auto"/>
        </w:rPr>
      </w:pPr>
    </w:p>
    <w:p w14:paraId="2916AD5C">
      <w:pPr>
        <w:pStyle w:val="17"/>
        <w:rPr>
          <w:rFonts w:ascii="宋体" w:hAnsi="宋体" w:cs="宋体"/>
          <w:color w:val="auto"/>
        </w:rPr>
      </w:pPr>
    </w:p>
    <w:p w14:paraId="12EF02A9">
      <w:pPr>
        <w:pStyle w:val="17"/>
        <w:rPr>
          <w:rFonts w:ascii="宋体" w:hAnsi="宋体" w:cs="宋体"/>
          <w:color w:val="auto"/>
        </w:rPr>
      </w:pPr>
    </w:p>
    <w:p w14:paraId="482FF124">
      <w:pPr>
        <w:pStyle w:val="17"/>
        <w:rPr>
          <w:rFonts w:ascii="宋体" w:hAnsi="宋体" w:cs="宋体"/>
          <w:color w:val="auto"/>
        </w:rPr>
      </w:pPr>
    </w:p>
    <w:p w14:paraId="50E56EE5">
      <w:pPr>
        <w:pStyle w:val="17"/>
        <w:rPr>
          <w:rFonts w:ascii="宋体" w:hAnsi="宋体" w:cs="宋体"/>
          <w:color w:val="auto"/>
        </w:rPr>
      </w:pPr>
    </w:p>
    <w:p w14:paraId="3C541265">
      <w:pPr>
        <w:pStyle w:val="17"/>
        <w:rPr>
          <w:rFonts w:ascii="宋体" w:hAnsi="宋体" w:cs="宋体"/>
          <w:color w:val="auto"/>
        </w:rPr>
      </w:pPr>
    </w:p>
    <w:p w14:paraId="0568F9A6">
      <w:pPr>
        <w:pStyle w:val="17"/>
        <w:rPr>
          <w:rFonts w:ascii="宋体" w:hAnsi="宋体" w:cs="宋体"/>
          <w:color w:val="auto"/>
        </w:rPr>
      </w:pPr>
    </w:p>
    <w:p w14:paraId="3EF7A609">
      <w:pPr>
        <w:pStyle w:val="17"/>
        <w:rPr>
          <w:rFonts w:ascii="宋体" w:hAnsi="宋体" w:cs="宋体"/>
          <w:color w:val="auto"/>
        </w:rPr>
      </w:pPr>
      <w:r>
        <w:rPr>
          <w:rFonts w:hint="eastAsia" w:ascii="宋体" w:hAnsi="宋体" w:cs="宋体"/>
          <w:color w:val="auto"/>
        </w:rPr>
        <w:br w:type="page"/>
      </w:r>
      <w:r>
        <w:rPr>
          <w:rFonts w:hint="eastAsia" w:ascii="宋体" w:hAnsi="宋体" w:cs="宋体"/>
          <w:b/>
          <w:color w:val="auto"/>
          <w:sz w:val="28"/>
          <w:szCs w:val="28"/>
        </w:rPr>
        <w:t>技术文件</w:t>
      </w:r>
    </w:p>
    <w:p w14:paraId="15B96146">
      <w:pPr>
        <w:pStyle w:val="17"/>
        <w:rPr>
          <w:rFonts w:ascii="宋体" w:hAnsi="宋体" w:cs="宋体"/>
          <w:color w:val="auto"/>
        </w:rPr>
      </w:pPr>
    </w:p>
    <w:p w14:paraId="0995E2C0">
      <w:pPr>
        <w:jc w:val="center"/>
        <w:rPr>
          <w:rFonts w:ascii="宋体" w:hAnsi="宋体" w:cs="宋体"/>
          <w:b/>
          <w:bCs/>
          <w:color w:val="auto"/>
          <w:sz w:val="32"/>
          <w:szCs w:val="32"/>
        </w:rPr>
      </w:pPr>
      <w:r>
        <w:rPr>
          <w:rFonts w:hint="eastAsia" w:ascii="宋体" w:hAnsi="宋体" w:cs="宋体"/>
          <w:b/>
          <w:bCs/>
          <w:color w:val="auto"/>
          <w:sz w:val="32"/>
          <w:szCs w:val="32"/>
        </w:rPr>
        <w:t>一、技术需求偏离表</w:t>
      </w:r>
    </w:p>
    <w:p w14:paraId="5C3A793C">
      <w:pPr>
        <w:spacing w:line="520" w:lineRule="exact"/>
        <w:rPr>
          <w:rFonts w:ascii="宋体" w:hAnsi="宋体" w:cs="宋体"/>
          <w:color w:val="auto"/>
          <w:sz w:val="32"/>
          <w:szCs w:val="32"/>
        </w:rPr>
      </w:pPr>
    </w:p>
    <w:p w14:paraId="1E1BD7D3">
      <w:pPr>
        <w:spacing w:line="360" w:lineRule="auto"/>
        <w:rPr>
          <w:rFonts w:ascii="宋体" w:hAnsi="宋体" w:cs="宋体"/>
          <w:color w:val="auto"/>
          <w:sz w:val="24"/>
          <w:u w:val="single"/>
        </w:rPr>
      </w:pPr>
      <w:r>
        <w:rPr>
          <w:rFonts w:hint="eastAsia" w:ascii="宋体" w:hAnsi="宋体" w:cs="宋体"/>
          <w:color w:val="auto"/>
          <w:sz w:val="24"/>
        </w:rPr>
        <w:t>项目编号：</w:t>
      </w:r>
      <w:r>
        <w:rPr>
          <w:rFonts w:hint="eastAsia" w:ascii="宋体" w:hAnsi="宋体" w:cs="宋体"/>
          <w:color w:val="auto"/>
          <w:sz w:val="24"/>
          <w:u w:val="single"/>
        </w:rPr>
        <w:t xml:space="preserve">                 </w:t>
      </w:r>
    </w:p>
    <w:p w14:paraId="41A2A19F">
      <w:pPr>
        <w:spacing w:line="360" w:lineRule="auto"/>
        <w:rPr>
          <w:rFonts w:ascii="宋体" w:hAnsi="宋体" w:cs="宋体"/>
          <w:color w:val="auto"/>
          <w:sz w:val="24"/>
          <w:u w:val="single"/>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107D60B8">
      <w:pPr>
        <w:spacing w:line="360" w:lineRule="auto"/>
        <w:rPr>
          <w:rFonts w:ascii="宋体" w:hAnsi="宋体" w:cs="宋体"/>
          <w:color w:val="auto"/>
          <w:sz w:val="24"/>
          <w:u w:val="single"/>
        </w:rPr>
      </w:pPr>
      <w:r>
        <w:rPr>
          <w:rFonts w:hint="eastAsia" w:ascii="宋体" w:hAnsi="宋体" w:cs="宋体"/>
          <w:color w:val="auto"/>
          <w:sz w:val="24"/>
        </w:rPr>
        <w:t>分标号（此处有分标时填写具体分标号，无分标时填写“无”）：</w:t>
      </w:r>
      <w:r>
        <w:rPr>
          <w:rFonts w:hint="eastAsia" w:ascii="宋体" w:hAnsi="宋体" w:cs="宋体"/>
          <w:color w:val="auto"/>
          <w:sz w:val="24"/>
          <w:u w:val="single"/>
        </w:rPr>
        <w:t xml:space="preserve">               </w:t>
      </w:r>
    </w:p>
    <w:p w14:paraId="3F07F5E4">
      <w:pPr>
        <w:pStyle w:val="17"/>
        <w:rPr>
          <w:rFonts w:ascii="宋体" w:hAnsi="宋体" w:cs="宋体"/>
          <w:color w:val="auto"/>
          <w:sz w:val="24"/>
          <w:szCs w:val="24"/>
        </w:rPr>
      </w:pPr>
    </w:p>
    <w:tbl>
      <w:tblPr>
        <w:tblStyle w:val="25"/>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327"/>
        <w:gridCol w:w="854"/>
        <w:gridCol w:w="1834"/>
        <w:gridCol w:w="1324"/>
        <w:gridCol w:w="764"/>
        <w:gridCol w:w="1334"/>
        <w:gridCol w:w="1272"/>
      </w:tblGrid>
      <w:tr w14:paraId="381B9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0" w:hRule="atLeast"/>
          <w:jc w:val="center"/>
        </w:trPr>
        <w:tc>
          <w:tcPr>
            <w:tcW w:w="689" w:type="dxa"/>
            <w:vMerge w:val="restart"/>
            <w:tcBorders>
              <w:top w:val="single" w:color="auto" w:sz="4" w:space="0"/>
              <w:left w:val="single" w:color="auto" w:sz="4" w:space="0"/>
              <w:bottom w:val="single" w:color="auto" w:sz="4" w:space="0"/>
              <w:right w:val="single" w:color="auto" w:sz="4" w:space="0"/>
            </w:tcBorders>
            <w:vAlign w:val="center"/>
          </w:tcPr>
          <w:p w14:paraId="2052D57D">
            <w:pPr>
              <w:rPr>
                <w:rFonts w:ascii="宋体" w:hAnsi="宋体" w:cs="宋体"/>
                <w:color w:val="auto"/>
                <w:sz w:val="24"/>
              </w:rPr>
            </w:pPr>
            <w:r>
              <w:rPr>
                <w:rFonts w:hint="eastAsia" w:ascii="宋体" w:hAnsi="宋体" w:cs="宋体"/>
                <w:color w:val="auto"/>
                <w:sz w:val="24"/>
              </w:rPr>
              <w:t>项号</w:t>
            </w:r>
          </w:p>
        </w:tc>
        <w:tc>
          <w:tcPr>
            <w:tcW w:w="4015" w:type="dxa"/>
            <w:gridSpan w:val="3"/>
            <w:tcBorders>
              <w:top w:val="single" w:color="auto" w:sz="4" w:space="0"/>
              <w:left w:val="single" w:color="auto" w:sz="4" w:space="0"/>
              <w:bottom w:val="single" w:color="auto" w:sz="4" w:space="0"/>
              <w:right w:val="single" w:color="auto" w:sz="4" w:space="0"/>
            </w:tcBorders>
            <w:vAlign w:val="center"/>
          </w:tcPr>
          <w:p w14:paraId="5F0CC747">
            <w:pPr>
              <w:jc w:val="center"/>
              <w:rPr>
                <w:rFonts w:ascii="宋体" w:hAnsi="宋体" w:cs="宋体"/>
                <w:color w:val="auto"/>
                <w:sz w:val="24"/>
              </w:rPr>
            </w:pPr>
            <w:r>
              <w:rPr>
                <w:rFonts w:hint="eastAsia" w:ascii="宋体" w:hAnsi="宋体" w:cs="宋体"/>
                <w:color w:val="auto"/>
                <w:sz w:val="24"/>
              </w:rPr>
              <w:t>竞争性谈判文件需求</w:t>
            </w:r>
          </w:p>
        </w:tc>
        <w:tc>
          <w:tcPr>
            <w:tcW w:w="3422" w:type="dxa"/>
            <w:gridSpan w:val="3"/>
            <w:tcBorders>
              <w:top w:val="single" w:color="auto" w:sz="4" w:space="0"/>
              <w:left w:val="single" w:color="auto" w:sz="4" w:space="0"/>
              <w:bottom w:val="single" w:color="auto" w:sz="4" w:space="0"/>
              <w:right w:val="single" w:color="auto" w:sz="4" w:space="0"/>
            </w:tcBorders>
            <w:vAlign w:val="center"/>
          </w:tcPr>
          <w:p w14:paraId="2287EB7E">
            <w:pPr>
              <w:jc w:val="center"/>
              <w:rPr>
                <w:rFonts w:ascii="宋体" w:hAnsi="宋体" w:cs="宋体"/>
                <w:color w:val="auto"/>
                <w:sz w:val="24"/>
              </w:rPr>
            </w:pPr>
            <w:r>
              <w:rPr>
                <w:rFonts w:hint="eastAsia" w:ascii="宋体" w:hAnsi="宋体" w:cs="宋体"/>
                <w:color w:val="auto"/>
                <w:sz w:val="24"/>
              </w:rPr>
              <w:t>响应文件承诺</w:t>
            </w:r>
          </w:p>
        </w:tc>
        <w:tc>
          <w:tcPr>
            <w:tcW w:w="1272" w:type="dxa"/>
            <w:vMerge w:val="restart"/>
            <w:tcBorders>
              <w:top w:val="single" w:color="auto" w:sz="4" w:space="0"/>
              <w:left w:val="single" w:color="auto" w:sz="4" w:space="0"/>
              <w:bottom w:val="single" w:color="auto" w:sz="4" w:space="0"/>
              <w:right w:val="single" w:color="auto" w:sz="4" w:space="0"/>
            </w:tcBorders>
            <w:vAlign w:val="center"/>
          </w:tcPr>
          <w:p w14:paraId="0139683D">
            <w:pPr>
              <w:rPr>
                <w:rFonts w:ascii="宋体" w:hAnsi="宋体" w:cs="宋体"/>
                <w:color w:val="auto"/>
                <w:sz w:val="24"/>
              </w:rPr>
            </w:pPr>
            <w:r>
              <w:rPr>
                <w:rFonts w:hint="eastAsia" w:ascii="宋体" w:hAnsi="宋体" w:cs="宋体"/>
                <w:color w:val="auto"/>
                <w:sz w:val="24"/>
              </w:rPr>
              <w:t>偏离说明</w:t>
            </w:r>
          </w:p>
        </w:tc>
      </w:tr>
      <w:tr w14:paraId="3A8E0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689" w:type="dxa"/>
            <w:vMerge w:val="continue"/>
            <w:tcBorders>
              <w:top w:val="single" w:color="auto" w:sz="4" w:space="0"/>
              <w:left w:val="single" w:color="auto" w:sz="4" w:space="0"/>
              <w:bottom w:val="single" w:color="auto" w:sz="4" w:space="0"/>
              <w:right w:val="single" w:color="auto" w:sz="4" w:space="0"/>
            </w:tcBorders>
            <w:vAlign w:val="center"/>
          </w:tcPr>
          <w:p w14:paraId="4F941D83">
            <w:pPr>
              <w:widowControl/>
              <w:jc w:val="left"/>
              <w:rPr>
                <w:rFonts w:ascii="宋体" w:hAnsi="宋体" w:cs="宋体"/>
                <w:color w:val="auto"/>
                <w:sz w:val="24"/>
              </w:rPr>
            </w:pPr>
          </w:p>
        </w:tc>
        <w:tc>
          <w:tcPr>
            <w:tcW w:w="1327" w:type="dxa"/>
            <w:tcBorders>
              <w:top w:val="single" w:color="auto" w:sz="4" w:space="0"/>
              <w:left w:val="single" w:color="auto" w:sz="4" w:space="0"/>
              <w:bottom w:val="single" w:color="auto" w:sz="4" w:space="0"/>
              <w:right w:val="single" w:color="auto" w:sz="4" w:space="0"/>
            </w:tcBorders>
            <w:vAlign w:val="center"/>
          </w:tcPr>
          <w:p w14:paraId="629BB2CF">
            <w:pPr>
              <w:rPr>
                <w:rFonts w:ascii="宋体" w:hAnsi="宋体" w:cs="宋体"/>
                <w:color w:val="auto"/>
                <w:sz w:val="24"/>
              </w:rPr>
            </w:pPr>
            <w:r>
              <w:rPr>
                <w:rFonts w:hint="eastAsia" w:ascii="宋体" w:hAnsi="宋体" w:cs="宋体"/>
                <w:color w:val="auto"/>
                <w:sz w:val="24"/>
              </w:rPr>
              <w:t>标的名称</w:t>
            </w:r>
          </w:p>
        </w:tc>
        <w:tc>
          <w:tcPr>
            <w:tcW w:w="854" w:type="dxa"/>
            <w:tcBorders>
              <w:top w:val="single" w:color="auto" w:sz="4" w:space="0"/>
              <w:left w:val="single" w:color="auto" w:sz="4" w:space="0"/>
              <w:bottom w:val="single" w:color="auto" w:sz="4" w:space="0"/>
              <w:right w:val="single" w:color="auto" w:sz="4" w:space="0"/>
            </w:tcBorders>
            <w:vAlign w:val="center"/>
          </w:tcPr>
          <w:p w14:paraId="20F810A2">
            <w:pPr>
              <w:rPr>
                <w:rFonts w:ascii="宋体" w:hAnsi="宋体" w:cs="宋体"/>
                <w:color w:val="auto"/>
                <w:sz w:val="24"/>
              </w:rPr>
            </w:pPr>
            <w:r>
              <w:rPr>
                <w:rFonts w:hint="eastAsia" w:ascii="宋体" w:hAnsi="宋体" w:cs="宋体"/>
                <w:color w:val="auto"/>
                <w:sz w:val="24"/>
              </w:rPr>
              <w:t>数量及单位</w:t>
            </w:r>
          </w:p>
        </w:tc>
        <w:tc>
          <w:tcPr>
            <w:tcW w:w="1834" w:type="dxa"/>
            <w:tcBorders>
              <w:top w:val="single" w:color="auto" w:sz="4" w:space="0"/>
              <w:left w:val="single" w:color="auto" w:sz="4" w:space="0"/>
              <w:bottom w:val="single" w:color="auto" w:sz="4" w:space="0"/>
              <w:right w:val="single" w:color="auto" w:sz="4" w:space="0"/>
            </w:tcBorders>
            <w:vAlign w:val="center"/>
          </w:tcPr>
          <w:p w14:paraId="6C84EF70">
            <w:pPr>
              <w:rPr>
                <w:rFonts w:ascii="宋体" w:hAnsi="宋体" w:cs="宋体"/>
                <w:color w:val="auto"/>
                <w:sz w:val="24"/>
              </w:rPr>
            </w:pPr>
            <w:r>
              <w:rPr>
                <w:rFonts w:hint="eastAsia" w:ascii="宋体" w:hAnsi="宋体" w:cs="宋体"/>
                <w:color w:val="auto"/>
                <w:sz w:val="24"/>
              </w:rPr>
              <w:t>技术参数及性能配置要求</w:t>
            </w:r>
          </w:p>
        </w:tc>
        <w:tc>
          <w:tcPr>
            <w:tcW w:w="1324" w:type="dxa"/>
            <w:tcBorders>
              <w:top w:val="single" w:color="auto" w:sz="4" w:space="0"/>
              <w:left w:val="single" w:color="auto" w:sz="4" w:space="0"/>
              <w:bottom w:val="single" w:color="auto" w:sz="4" w:space="0"/>
              <w:right w:val="single" w:color="auto" w:sz="4" w:space="0"/>
            </w:tcBorders>
            <w:vAlign w:val="center"/>
          </w:tcPr>
          <w:p w14:paraId="2AD58179">
            <w:pPr>
              <w:rPr>
                <w:rFonts w:ascii="宋体" w:hAnsi="宋体" w:cs="宋体"/>
                <w:color w:val="auto"/>
                <w:sz w:val="24"/>
              </w:rPr>
            </w:pPr>
            <w:r>
              <w:rPr>
                <w:rFonts w:hint="eastAsia" w:ascii="宋体" w:hAnsi="宋体" w:cs="宋体"/>
                <w:color w:val="auto"/>
                <w:sz w:val="24"/>
              </w:rPr>
              <w:t>标的名称</w:t>
            </w:r>
          </w:p>
        </w:tc>
        <w:tc>
          <w:tcPr>
            <w:tcW w:w="764" w:type="dxa"/>
            <w:tcBorders>
              <w:top w:val="single" w:color="auto" w:sz="4" w:space="0"/>
              <w:left w:val="single" w:color="auto" w:sz="4" w:space="0"/>
              <w:bottom w:val="single" w:color="auto" w:sz="4" w:space="0"/>
              <w:right w:val="single" w:color="auto" w:sz="4" w:space="0"/>
            </w:tcBorders>
            <w:vAlign w:val="center"/>
          </w:tcPr>
          <w:p w14:paraId="423436BF">
            <w:pPr>
              <w:rPr>
                <w:rFonts w:ascii="宋体" w:hAnsi="宋体" w:cs="宋体"/>
                <w:color w:val="auto"/>
                <w:sz w:val="24"/>
              </w:rPr>
            </w:pPr>
            <w:r>
              <w:rPr>
                <w:rFonts w:hint="eastAsia" w:ascii="宋体" w:hAnsi="宋体" w:cs="宋体"/>
                <w:color w:val="auto"/>
                <w:sz w:val="24"/>
              </w:rPr>
              <w:t>数量及单位</w:t>
            </w:r>
          </w:p>
        </w:tc>
        <w:tc>
          <w:tcPr>
            <w:tcW w:w="1334" w:type="dxa"/>
            <w:tcBorders>
              <w:top w:val="single" w:color="auto" w:sz="4" w:space="0"/>
              <w:left w:val="single" w:color="auto" w:sz="4" w:space="0"/>
              <w:bottom w:val="single" w:color="auto" w:sz="4" w:space="0"/>
              <w:right w:val="single" w:color="auto" w:sz="4" w:space="0"/>
            </w:tcBorders>
            <w:vAlign w:val="center"/>
          </w:tcPr>
          <w:p w14:paraId="6985C088">
            <w:pPr>
              <w:rPr>
                <w:rFonts w:ascii="宋体" w:hAnsi="宋体" w:cs="宋体"/>
                <w:color w:val="auto"/>
                <w:sz w:val="24"/>
              </w:rPr>
            </w:pPr>
            <w:r>
              <w:rPr>
                <w:rFonts w:hint="eastAsia" w:ascii="宋体" w:hAnsi="宋体" w:cs="宋体"/>
                <w:color w:val="auto"/>
                <w:sz w:val="24"/>
              </w:rPr>
              <w:t>技术参数</w:t>
            </w: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60D09F70">
            <w:pPr>
              <w:widowControl/>
              <w:jc w:val="left"/>
              <w:rPr>
                <w:rFonts w:ascii="宋体" w:hAnsi="宋体" w:cs="宋体"/>
                <w:color w:val="auto"/>
                <w:sz w:val="24"/>
              </w:rPr>
            </w:pPr>
          </w:p>
        </w:tc>
      </w:tr>
      <w:tr w14:paraId="64A30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398" w:type="dxa"/>
            <w:gridSpan w:val="8"/>
            <w:tcBorders>
              <w:top w:val="single" w:color="auto" w:sz="4" w:space="0"/>
              <w:left w:val="single" w:color="auto" w:sz="4" w:space="0"/>
              <w:bottom w:val="single" w:color="auto" w:sz="4" w:space="0"/>
              <w:right w:val="single" w:color="auto" w:sz="4" w:space="0"/>
            </w:tcBorders>
            <w:vAlign w:val="center"/>
          </w:tcPr>
          <w:p w14:paraId="2B639F79">
            <w:pPr>
              <w:rPr>
                <w:rFonts w:ascii="宋体" w:hAnsi="宋体" w:cs="宋体"/>
                <w:color w:val="auto"/>
                <w:sz w:val="24"/>
              </w:rPr>
            </w:pPr>
            <w:r>
              <w:rPr>
                <w:rFonts w:hint="eastAsia" w:ascii="宋体" w:hAnsi="宋体" w:cs="宋体"/>
                <w:color w:val="auto"/>
                <w:szCs w:val="21"/>
              </w:rPr>
              <w:t>一、认证支付底层数据服务</w:t>
            </w:r>
          </w:p>
        </w:tc>
      </w:tr>
      <w:tr w14:paraId="3E00E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04E3CCE5">
            <w:pPr>
              <w:rPr>
                <w:rFonts w:ascii="宋体" w:hAnsi="宋体" w:cs="宋体"/>
                <w:color w:val="auto"/>
                <w:sz w:val="24"/>
              </w:rPr>
            </w:pPr>
            <w:r>
              <w:rPr>
                <w:rFonts w:hint="eastAsia" w:ascii="宋体" w:hAnsi="宋体" w:cs="宋体"/>
                <w:color w:val="auto"/>
                <w:sz w:val="24"/>
              </w:rPr>
              <w:t>1</w:t>
            </w:r>
          </w:p>
        </w:tc>
        <w:tc>
          <w:tcPr>
            <w:tcW w:w="1327" w:type="dxa"/>
            <w:tcBorders>
              <w:top w:val="single" w:color="auto" w:sz="4" w:space="0"/>
              <w:left w:val="single" w:color="auto" w:sz="4" w:space="0"/>
              <w:bottom w:val="single" w:color="auto" w:sz="4" w:space="0"/>
              <w:right w:val="single" w:color="auto" w:sz="4" w:space="0"/>
            </w:tcBorders>
            <w:shd w:val="clear" w:color="auto" w:fill="auto"/>
            <w:vAlign w:val="center"/>
          </w:tcPr>
          <w:p w14:paraId="456ECEDC">
            <w:pPr>
              <w:rPr>
                <w:rFonts w:ascii="宋体" w:hAnsi="宋体" w:cs="宋体"/>
                <w:color w:val="auto"/>
                <w:sz w:val="24"/>
              </w:rPr>
            </w:pPr>
            <w:r>
              <w:rPr>
                <w:rFonts w:hint="eastAsia" w:ascii="宋体" w:hAnsi="宋体" w:cs="宋体"/>
                <w:color w:val="auto"/>
                <w:sz w:val="24"/>
              </w:rPr>
              <w:t>……</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21A07297">
            <w:pPr>
              <w:rPr>
                <w:rFonts w:ascii="宋体" w:hAnsi="宋体" w:cs="宋体"/>
                <w:color w:val="auto"/>
                <w:sz w:val="24"/>
              </w:rPr>
            </w:pPr>
            <w:r>
              <w:rPr>
                <w:rFonts w:hint="eastAsia" w:ascii="宋体" w:hAnsi="宋体" w:cs="宋体"/>
                <w:color w:val="auto"/>
                <w:sz w:val="24"/>
              </w:rPr>
              <w:t>…</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14:paraId="0464D3EF">
            <w:pPr>
              <w:rPr>
                <w:rFonts w:ascii="宋体" w:hAnsi="宋体" w:cs="宋体"/>
                <w:color w:val="auto"/>
                <w:sz w:val="24"/>
              </w:rPr>
            </w:pPr>
            <w:r>
              <w:rPr>
                <w:rFonts w:hint="eastAsia" w:ascii="宋体" w:hAnsi="宋体" w:cs="宋体"/>
                <w:color w:val="auto"/>
                <w:sz w:val="24"/>
              </w:rPr>
              <w:t>1  ……</w:t>
            </w:r>
          </w:p>
          <w:p w14:paraId="3566C5D6">
            <w:pPr>
              <w:rPr>
                <w:rFonts w:ascii="宋体" w:hAnsi="宋体" w:cs="宋体"/>
                <w:color w:val="auto"/>
                <w:sz w:val="24"/>
              </w:rPr>
            </w:pPr>
            <w:r>
              <w:rPr>
                <w:rFonts w:hint="eastAsia" w:ascii="宋体" w:hAnsi="宋体" w:cs="宋体"/>
                <w:color w:val="auto"/>
                <w:sz w:val="24"/>
              </w:rPr>
              <w:t>2  ……</w:t>
            </w:r>
          </w:p>
          <w:p w14:paraId="5BB9DAA5">
            <w:pPr>
              <w:rPr>
                <w:rFonts w:ascii="宋体" w:hAnsi="宋体" w:cs="宋体"/>
                <w:color w:val="auto"/>
                <w:sz w:val="24"/>
              </w:rPr>
            </w:pPr>
            <w:r>
              <w:rPr>
                <w:rFonts w:hint="eastAsia" w:ascii="宋体" w:hAnsi="宋体" w:cs="宋体"/>
                <w:color w:val="auto"/>
                <w:sz w:val="24"/>
              </w:rPr>
              <w:t>3  ……</w:t>
            </w:r>
          </w:p>
          <w:p w14:paraId="6866D5CC">
            <w:pPr>
              <w:rPr>
                <w:rFonts w:ascii="宋体" w:hAnsi="宋体" w:cs="宋体"/>
                <w:color w:val="auto"/>
                <w:sz w:val="24"/>
              </w:rPr>
            </w:pPr>
            <w:r>
              <w:rPr>
                <w:rFonts w:hint="eastAsia" w:ascii="宋体" w:hAnsi="宋体" w:cs="宋体"/>
                <w:color w:val="auto"/>
                <w:sz w:val="24"/>
              </w:rPr>
              <w:t>……</w:t>
            </w:r>
          </w:p>
        </w:tc>
        <w:tc>
          <w:tcPr>
            <w:tcW w:w="1324" w:type="dxa"/>
            <w:tcBorders>
              <w:top w:val="single" w:color="auto" w:sz="4" w:space="0"/>
              <w:left w:val="single" w:color="auto" w:sz="4" w:space="0"/>
              <w:bottom w:val="single" w:color="auto" w:sz="4" w:space="0"/>
              <w:right w:val="single" w:color="auto" w:sz="4" w:space="0"/>
            </w:tcBorders>
            <w:shd w:val="clear" w:color="auto" w:fill="auto"/>
            <w:vAlign w:val="center"/>
          </w:tcPr>
          <w:p w14:paraId="1B7261EB">
            <w:pPr>
              <w:rPr>
                <w:rFonts w:ascii="宋体" w:hAnsi="宋体" w:cs="宋体"/>
                <w:color w:val="auto"/>
                <w:sz w:val="24"/>
              </w:rPr>
            </w:pPr>
            <w:r>
              <w:rPr>
                <w:rFonts w:hint="eastAsia" w:ascii="宋体" w:hAnsi="宋体" w:cs="宋体"/>
                <w:color w:val="auto"/>
                <w:sz w:val="24"/>
              </w:rPr>
              <w:t>……</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14:paraId="203D7157">
            <w:pPr>
              <w:rPr>
                <w:rFonts w:ascii="宋体" w:hAnsi="宋体" w:cs="宋体"/>
                <w:color w:val="auto"/>
                <w:sz w:val="24"/>
              </w:rPr>
            </w:pPr>
            <w:r>
              <w:rPr>
                <w:rFonts w:hint="eastAsia" w:ascii="宋体" w:hAnsi="宋体" w:cs="宋体"/>
                <w:color w:val="auto"/>
                <w:sz w:val="24"/>
              </w:rPr>
              <w:t>…</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14:paraId="073FD142">
            <w:pPr>
              <w:rPr>
                <w:rFonts w:ascii="宋体" w:hAnsi="宋体" w:cs="宋体"/>
                <w:color w:val="auto"/>
                <w:sz w:val="24"/>
              </w:rPr>
            </w:pPr>
            <w:r>
              <w:rPr>
                <w:rFonts w:hint="eastAsia" w:ascii="宋体" w:hAnsi="宋体" w:cs="宋体"/>
                <w:color w:val="auto"/>
                <w:sz w:val="24"/>
              </w:rPr>
              <w:t>1  ……</w:t>
            </w:r>
          </w:p>
          <w:p w14:paraId="0C70511B">
            <w:pPr>
              <w:rPr>
                <w:rFonts w:ascii="宋体" w:hAnsi="宋体" w:cs="宋体"/>
                <w:color w:val="auto"/>
                <w:sz w:val="24"/>
              </w:rPr>
            </w:pPr>
            <w:r>
              <w:rPr>
                <w:rFonts w:hint="eastAsia" w:ascii="宋体" w:hAnsi="宋体" w:cs="宋体"/>
                <w:color w:val="auto"/>
                <w:sz w:val="24"/>
              </w:rPr>
              <w:t>2  ……</w:t>
            </w:r>
          </w:p>
          <w:p w14:paraId="3BE80ACD">
            <w:pPr>
              <w:rPr>
                <w:rFonts w:ascii="宋体" w:hAnsi="宋体" w:cs="宋体"/>
                <w:color w:val="auto"/>
                <w:sz w:val="24"/>
              </w:rPr>
            </w:pPr>
            <w:r>
              <w:rPr>
                <w:rFonts w:hint="eastAsia" w:ascii="宋体" w:hAnsi="宋体" w:cs="宋体"/>
                <w:color w:val="auto"/>
                <w:sz w:val="24"/>
              </w:rPr>
              <w:t>3  ……</w:t>
            </w:r>
          </w:p>
          <w:p w14:paraId="0E8D202A">
            <w:pPr>
              <w:rPr>
                <w:rFonts w:ascii="宋体" w:hAnsi="宋体" w:cs="宋体"/>
                <w:color w:val="auto"/>
                <w:sz w:val="24"/>
              </w:rPr>
            </w:pPr>
            <w:r>
              <w:rPr>
                <w:rFonts w:hint="eastAsia" w:ascii="宋体" w:hAnsi="宋体" w:cs="宋体"/>
                <w:color w:val="auto"/>
                <w:sz w:val="24"/>
              </w:rPr>
              <w:t>……</w:t>
            </w:r>
          </w:p>
        </w:tc>
        <w:tc>
          <w:tcPr>
            <w:tcW w:w="1272" w:type="dxa"/>
            <w:tcBorders>
              <w:top w:val="single" w:color="auto" w:sz="4" w:space="0"/>
              <w:left w:val="single" w:color="auto" w:sz="4" w:space="0"/>
              <w:bottom w:val="single" w:color="auto" w:sz="4" w:space="0"/>
              <w:right w:val="single" w:color="auto" w:sz="4" w:space="0"/>
            </w:tcBorders>
            <w:vAlign w:val="center"/>
          </w:tcPr>
          <w:p w14:paraId="3FCFECBD">
            <w:pPr>
              <w:rPr>
                <w:rFonts w:ascii="宋体" w:hAnsi="宋体" w:cs="宋体"/>
                <w:color w:val="auto"/>
                <w:sz w:val="24"/>
              </w:rPr>
            </w:pPr>
          </w:p>
        </w:tc>
      </w:tr>
      <w:tr w14:paraId="47502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14:paraId="4ED94213">
            <w:pPr>
              <w:rPr>
                <w:rFonts w:ascii="宋体" w:hAnsi="宋体" w:cs="宋体"/>
                <w:color w:val="auto"/>
                <w:sz w:val="24"/>
              </w:rPr>
            </w:pPr>
            <w:r>
              <w:rPr>
                <w:rFonts w:hint="eastAsia" w:ascii="宋体" w:hAnsi="宋体" w:cs="宋体"/>
                <w:color w:val="auto"/>
                <w:sz w:val="24"/>
              </w:rPr>
              <w:t>2</w:t>
            </w:r>
          </w:p>
        </w:tc>
        <w:tc>
          <w:tcPr>
            <w:tcW w:w="1327" w:type="dxa"/>
            <w:tcBorders>
              <w:top w:val="single" w:color="auto" w:sz="4" w:space="0"/>
              <w:left w:val="single" w:color="auto" w:sz="4" w:space="0"/>
              <w:bottom w:val="single" w:color="auto" w:sz="4" w:space="0"/>
              <w:right w:val="single" w:color="auto" w:sz="4" w:space="0"/>
            </w:tcBorders>
            <w:vAlign w:val="center"/>
          </w:tcPr>
          <w:p w14:paraId="2533834E">
            <w:pPr>
              <w:rPr>
                <w:rFonts w:ascii="宋体" w:hAnsi="宋体" w:cs="宋体"/>
                <w:color w:val="auto"/>
                <w:sz w:val="24"/>
              </w:rPr>
            </w:pPr>
            <w:r>
              <w:rPr>
                <w:rFonts w:hint="eastAsia" w:ascii="宋体" w:hAnsi="宋体" w:cs="宋体"/>
                <w:color w:val="auto"/>
                <w:sz w:val="24"/>
              </w:rPr>
              <w:t>……</w:t>
            </w:r>
          </w:p>
        </w:tc>
        <w:tc>
          <w:tcPr>
            <w:tcW w:w="854" w:type="dxa"/>
            <w:tcBorders>
              <w:top w:val="single" w:color="auto" w:sz="4" w:space="0"/>
              <w:left w:val="single" w:color="auto" w:sz="4" w:space="0"/>
              <w:bottom w:val="single" w:color="auto" w:sz="4" w:space="0"/>
              <w:right w:val="single" w:color="auto" w:sz="4" w:space="0"/>
            </w:tcBorders>
            <w:vAlign w:val="center"/>
          </w:tcPr>
          <w:p w14:paraId="192798AE">
            <w:pPr>
              <w:rPr>
                <w:rFonts w:ascii="宋体" w:hAnsi="宋体" w:cs="宋体"/>
                <w:color w:val="auto"/>
                <w:sz w:val="24"/>
              </w:rPr>
            </w:pPr>
            <w:r>
              <w:rPr>
                <w:rFonts w:hint="eastAsia" w:ascii="宋体" w:hAnsi="宋体" w:cs="宋体"/>
                <w:color w:val="auto"/>
                <w:sz w:val="24"/>
              </w:rPr>
              <w:t>…</w:t>
            </w:r>
          </w:p>
        </w:tc>
        <w:tc>
          <w:tcPr>
            <w:tcW w:w="1834" w:type="dxa"/>
            <w:tcBorders>
              <w:top w:val="single" w:color="auto" w:sz="4" w:space="0"/>
              <w:left w:val="single" w:color="auto" w:sz="4" w:space="0"/>
              <w:bottom w:val="single" w:color="auto" w:sz="4" w:space="0"/>
              <w:right w:val="single" w:color="auto" w:sz="4" w:space="0"/>
            </w:tcBorders>
            <w:vAlign w:val="center"/>
          </w:tcPr>
          <w:p w14:paraId="00F7FF00">
            <w:pPr>
              <w:rPr>
                <w:rFonts w:ascii="宋体" w:hAnsi="宋体" w:cs="宋体"/>
                <w:color w:val="auto"/>
                <w:sz w:val="24"/>
              </w:rPr>
            </w:pPr>
            <w:r>
              <w:rPr>
                <w:rFonts w:hint="eastAsia" w:ascii="宋体" w:hAnsi="宋体" w:cs="宋体"/>
                <w:color w:val="auto"/>
                <w:sz w:val="24"/>
              </w:rPr>
              <w:t>1  ……</w:t>
            </w:r>
          </w:p>
          <w:p w14:paraId="7A0E26B3">
            <w:pPr>
              <w:rPr>
                <w:rFonts w:ascii="宋体" w:hAnsi="宋体" w:cs="宋体"/>
                <w:color w:val="auto"/>
                <w:sz w:val="24"/>
              </w:rPr>
            </w:pPr>
            <w:r>
              <w:rPr>
                <w:rFonts w:hint="eastAsia" w:ascii="宋体" w:hAnsi="宋体" w:cs="宋体"/>
                <w:color w:val="auto"/>
                <w:sz w:val="24"/>
              </w:rPr>
              <w:t>2  ……</w:t>
            </w:r>
          </w:p>
          <w:p w14:paraId="783AC4FC">
            <w:pPr>
              <w:rPr>
                <w:rFonts w:ascii="宋体" w:hAnsi="宋体" w:cs="宋体"/>
                <w:color w:val="auto"/>
                <w:sz w:val="24"/>
              </w:rPr>
            </w:pPr>
            <w:r>
              <w:rPr>
                <w:rFonts w:hint="eastAsia" w:ascii="宋体" w:hAnsi="宋体" w:cs="宋体"/>
                <w:color w:val="auto"/>
                <w:sz w:val="24"/>
              </w:rPr>
              <w:t>3  ……</w:t>
            </w:r>
          </w:p>
          <w:p w14:paraId="72D1B3B2">
            <w:pPr>
              <w:rPr>
                <w:rFonts w:ascii="宋体" w:hAnsi="宋体" w:cs="宋体"/>
                <w:color w:val="auto"/>
                <w:sz w:val="24"/>
              </w:rPr>
            </w:pPr>
            <w:r>
              <w:rPr>
                <w:rFonts w:hint="eastAsia" w:ascii="宋体" w:hAnsi="宋体" w:cs="宋体"/>
                <w:color w:val="auto"/>
                <w:sz w:val="24"/>
              </w:rPr>
              <w:t>……</w:t>
            </w:r>
          </w:p>
        </w:tc>
        <w:tc>
          <w:tcPr>
            <w:tcW w:w="1324" w:type="dxa"/>
            <w:tcBorders>
              <w:top w:val="single" w:color="auto" w:sz="4" w:space="0"/>
              <w:left w:val="single" w:color="auto" w:sz="4" w:space="0"/>
              <w:bottom w:val="single" w:color="auto" w:sz="4" w:space="0"/>
              <w:right w:val="single" w:color="auto" w:sz="4" w:space="0"/>
            </w:tcBorders>
            <w:vAlign w:val="center"/>
          </w:tcPr>
          <w:p w14:paraId="42DED0E4">
            <w:pPr>
              <w:rPr>
                <w:rFonts w:ascii="宋体" w:hAnsi="宋体" w:cs="宋体"/>
                <w:color w:val="auto"/>
                <w:sz w:val="24"/>
              </w:rPr>
            </w:pPr>
            <w:r>
              <w:rPr>
                <w:rFonts w:hint="eastAsia" w:ascii="宋体" w:hAnsi="宋体" w:cs="宋体"/>
                <w:color w:val="auto"/>
                <w:sz w:val="24"/>
              </w:rPr>
              <w:t>……</w:t>
            </w:r>
          </w:p>
        </w:tc>
        <w:tc>
          <w:tcPr>
            <w:tcW w:w="764" w:type="dxa"/>
            <w:tcBorders>
              <w:top w:val="single" w:color="auto" w:sz="4" w:space="0"/>
              <w:left w:val="single" w:color="auto" w:sz="4" w:space="0"/>
              <w:bottom w:val="single" w:color="auto" w:sz="4" w:space="0"/>
              <w:right w:val="single" w:color="auto" w:sz="4" w:space="0"/>
            </w:tcBorders>
            <w:vAlign w:val="center"/>
          </w:tcPr>
          <w:p w14:paraId="0DF34EE7">
            <w:pPr>
              <w:rPr>
                <w:rFonts w:ascii="宋体" w:hAnsi="宋体" w:cs="宋体"/>
                <w:color w:val="auto"/>
                <w:sz w:val="24"/>
              </w:rPr>
            </w:pPr>
            <w:r>
              <w:rPr>
                <w:rFonts w:hint="eastAsia" w:ascii="宋体" w:hAnsi="宋体" w:cs="宋体"/>
                <w:color w:val="auto"/>
                <w:sz w:val="24"/>
              </w:rPr>
              <w:t>…</w:t>
            </w:r>
          </w:p>
        </w:tc>
        <w:tc>
          <w:tcPr>
            <w:tcW w:w="1334" w:type="dxa"/>
            <w:tcBorders>
              <w:top w:val="single" w:color="auto" w:sz="4" w:space="0"/>
              <w:left w:val="single" w:color="auto" w:sz="4" w:space="0"/>
              <w:bottom w:val="single" w:color="auto" w:sz="4" w:space="0"/>
              <w:right w:val="single" w:color="auto" w:sz="4" w:space="0"/>
            </w:tcBorders>
            <w:vAlign w:val="center"/>
          </w:tcPr>
          <w:p w14:paraId="544B5D35">
            <w:pPr>
              <w:rPr>
                <w:rFonts w:ascii="宋体" w:hAnsi="宋体" w:cs="宋体"/>
                <w:color w:val="auto"/>
                <w:sz w:val="24"/>
              </w:rPr>
            </w:pPr>
            <w:r>
              <w:rPr>
                <w:rFonts w:hint="eastAsia" w:ascii="宋体" w:hAnsi="宋体" w:cs="宋体"/>
                <w:color w:val="auto"/>
                <w:sz w:val="24"/>
              </w:rPr>
              <w:t>1  ……</w:t>
            </w:r>
          </w:p>
          <w:p w14:paraId="084BF8C4">
            <w:pPr>
              <w:rPr>
                <w:rFonts w:ascii="宋体" w:hAnsi="宋体" w:cs="宋体"/>
                <w:color w:val="auto"/>
                <w:sz w:val="24"/>
              </w:rPr>
            </w:pPr>
            <w:r>
              <w:rPr>
                <w:rFonts w:hint="eastAsia" w:ascii="宋体" w:hAnsi="宋体" w:cs="宋体"/>
                <w:color w:val="auto"/>
                <w:sz w:val="24"/>
              </w:rPr>
              <w:t>2  ……</w:t>
            </w:r>
          </w:p>
          <w:p w14:paraId="7C4B2EFC">
            <w:pPr>
              <w:rPr>
                <w:rFonts w:ascii="宋体" w:hAnsi="宋体" w:cs="宋体"/>
                <w:color w:val="auto"/>
                <w:sz w:val="24"/>
              </w:rPr>
            </w:pPr>
            <w:r>
              <w:rPr>
                <w:rFonts w:hint="eastAsia" w:ascii="宋体" w:hAnsi="宋体" w:cs="宋体"/>
                <w:color w:val="auto"/>
                <w:sz w:val="24"/>
              </w:rPr>
              <w:t>3  ……</w:t>
            </w:r>
          </w:p>
          <w:p w14:paraId="20074DF2">
            <w:pPr>
              <w:rPr>
                <w:rFonts w:ascii="宋体" w:hAnsi="宋体" w:cs="宋体"/>
                <w:color w:val="auto"/>
                <w:sz w:val="24"/>
              </w:rPr>
            </w:pPr>
            <w:r>
              <w:rPr>
                <w:rFonts w:hint="eastAsia" w:ascii="宋体" w:hAnsi="宋体" w:cs="宋体"/>
                <w:color w:val="auto"/>
                <w:sz w:val="24"/>
              </w:rPr>
              <w:t>……</w:t>
            </w:r>
          </w:p>
        </w:tc>
        <w:tc>
          <w:tcPr>
            <w:tcW w:w="1272" w:type="dxa"/>
            <w:tcBorders>
              <w:top w:val="single" w:color="auto" w:sz="4" w:space="0"/>
              <w:left w:val="single" w:color="auto" w:sz="4" w:space="0"/>
              <w:bottom w:val="single" w:color="auto" w:sz="4" w:space="0"/>
              <w:right w:val="single" w:color="auto" w:sz="4" w:space="0"/>
            </w:tcBorders>
            <w:vAlign w:val="center"/>
          </w:tcPr>
          <w:p w14:paraId="27E46C62">
            <w:pPr>
              <w:rPr>
                <w:rFonts w:ascii="宋体" w:hAnsi="宋体" w:cs="宋体"/>
                <w:color w:val="auto"/>
                <w:sz w:val="24"/>
              </w:rPr>
            </w:pPr>
          </w:p>
        </w:tc>
      </w:tr>
      <w:tr w14:paraId="43E3B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14:paraId="024B5F5A">
            <w:pPr>
              <w:rPr>
                <w:rFonts w:ascii="宋体" w:hAnsi="宋体" w:cs="宋体"/>
                <w:color w:val="auto"/>
                <w:sz w:val="24"/>
              </w:rPr>
            </w:pPr>
            <w:r>
              <w:rPr>
                <w:rFonts w:hint="eastAsia" w:ascii="宋体" w:hAnsi="宋体" w:cs="宋体"/>
                <w:color w:val="auto"/>
                <w:sz w:val="24"/>
              </w:rPr>
              <w:t>...</w:t>
            </w:r>
          </w:p>
        </w:tc>
        <w:tc>
          <w:tcPr>
            <w:tcW w:w="1327" w:type="dxa"/>
            <w:tcBorders>
              <w:top w:val="single" w:color="auto" w:sz="4" w:space="0"/>
              <w:left w:val="single" w:color="auto" w:sz="4" w:space="0"/>
              <w:bottom w:val="single" w:color="auto" w:sz="4" w:space="0"/>
              <w:right w:val="single" w:color="auto" w:sz="4" w:space="0"/>
            </w:tcBorders>
            <w:vAlign w:val="center"/>
          </w:tcPr>
          <w:p w14:paraId="05964E74">
            <w:pPr>
              <w:rPr>
                <w:rFonts w:ascii="宋体" w:hAnsi="宋体" w:cs="宋体"/>
                <w:color w:val="auto"/>
                <w:sz w:val="24"/>
              </w:rPr>
            </w:pPr>
          </w:p>
        </w:tc>
        <w:tc>
          <w:tcPr>
            <w:tcW w:w="854" w:type="dxa"/>
            <w:tcBorders>
              <w:top w:val="single" w:color="auto" w:sz="4" w:space="0"/>
              <w:left w:val="single" w:color="auto" w:sz="4" w:space="0"/>
              <w:bottom w:val="single" w:color="auto" w:sz="4" w:space="0"/>
              <w:right w:val="single" w:color="auto" w:sz="4" w:space="0"/>
            </w:tcBorders>
            <w:vAlign w:val="center"/>
          </w:tcPr>
          <w:p w14:paraId="7FB066EB">
            <w:pPr>
              <w:rPr>
                <w:rFonts w:ascii="宋体" w:hAnsi="宋体" w:cs="宋体"/>
                <w:color w:val="auto"/>
                <w:sz w:val="24"/>
              </w:rPr>
            </w:pPr>
          </w:p>
        </w:tc>
        <w:tc>
          <w:tcPr>
            <w:tcW w:w="1834" w:type="dxa"/>
            <w:tcBorders>
              <w:top w:val="single" w:color="auto" w:sz="4" w:space="0"/>
              <w:left w:val="single" w:color="auto" w:sz="4" w:space="0"/>
              <w:bottom w:val="single" w:color="auto" w:sz="4" w:space="0"/>
              <w:right w:val="single" w:color="auto" w:sz="4" w:space="0"/>
            </w:tcBorders>
            <w:vAlign w:val="center"/>
          </w:tcPr>
          <w:p w14:paraId="53BB82A6">
            <w:pPr>
              <w:rPr>
                <w:rFonts w:ascii="宋体" w:hAnsi="宋体" w:cs="宋体"/>
                <w:color w:val="auto"/>
                <w:sz w:val="24"/>
              </w:rPr>
            </w:pPr>
          </w:p>
        </w:tc>
        <w:tc>
          <w:tcPr>
            <w:tcW w:w="1324" w:type="dxa"/>
            <w:tcBorders>
              <w:top w:val="single" w:color="auto" w:sz="4" w:space="0"/>
              <w:left w:val="single" w:color="auto" w:sz="4" w:space="0"/>
              <w:bottom w:val="single" w:color="auto" w:sz="4" w:space="0"/>
              <w:right w:val="single" w:color="auto" w:sz="4" w:space="0"/>
            </w:tcBorders>
            <w:vAlign w:val="center"/>
          </w:tcPr>
          <w:p w14:paraId="71019D50">
            <w:pPr>
              <w:rPr>
                <w:rFonts w:ascii="宋体" w:hAnsi="宋体" w:cs="宋体"/>
                <w:color w:val="auto"/>
                <w:sz w:val="24"/>
              </w:rPr>
            </w:pPr>
          </w:p>
        </w:tc>
        <w:tc>
          <w:tcPr>
            <w:tcW w:w="764" w:type="dxa"/>
            <w:tcBorders>
              <w:top w:val="single" w:color="auto" w:sz="4" w:space="0"/>
              <w:left w:val="single" w:color="auto" w:sz="4" w:space="0"/>
              <w:bottom w:val="single" w:color="auto" w:sz="4" w:space="0"/>
              <w:right w:val="single" w:color="auto" w:sz="4" w:space="0"/>
            </w:tcBorders>
            <w:vAlign w:val="center"/>
          </w:tcPr>
          <w:p w14:paraId="698DA5B4">
            <w:pPr>
              <w:rPr>
                <w:rFonts w:ascii="宋体" w:hAnsi="宋体" w:cs="宋体"/>
                <w:color w:val="auto"/>
                <w:sz w:val="24"/>
              </w:rPr>
            </w:pPr>
          </w:p>
        </w:tc>
        <w:tc>
          <w:tcPr>
            <w:tcW w:w="1334" w:type="dxa"/>
            <w:tcBorders>
              <w:top w:val="single" w:color="auto" w:sz="4" w:space="0"/>
              <w:left w:val="single" w:color="auto" w:sz="4" w:space="0"/>
              <w:bottom w:val="single" w:color="auto" w:sz="4" w:space="0"/>
              <w:right w:val="single" w:color="auto" w:sz="4" w:space="0"/>
            </w:tcBorders>
            <w:vAlign w:val="center"/>
          </w:tcPr>
          <w:p w14:paraId="5F248256">
            <w:pPr>
              <w:rPr>
                <w:rFonts w:ascii="宋体" w:hAnsi="宋体" w:cs="宋体"/>
                <w:color w:val="auto"/>
                <w:sz w:val="24"/>
              </w:rPr>
            </w:pPr>
          </w:p>
        </w:tc>
        <w:tc>
          <w:tcPr>
            <w:tcW w:w="1272" w:type="dxa"/>
            <w:tcBorders>
              <w:top w:val="single" w:color="auto" w:sz="4" w:space="0"/>
              <w:left w:val="single" w:color="auto" w:sz="4" w:space="0"/>
              <w:bottom w:val="single" w:color="auto" w:sz="4" w:space="0"/>
              <w:right w:val="single" w:color="auto" w:sz="4" w:space="0"/>
            </w:tcBorders>
            <w:vAlign w:val="center"/>
          </w:tcPr>
          <w:p w14:paraId="593D1008">
            <w:pPr>
              <w:rPr>
                <w:rFonts w:ascii="宋体" w:hAnsi="宋体" w:cs="宋体"/>
                <w:color w:val="auto"/>
                <w:sz w:val="24"/>
              </w:rPr>
            </w:pPr>
          </w:p>
        </w:tc>
      </w:tr>
    </w:tbl>
    <w:p w14:paraId="2811104A">
      <w:pPr>
        <w:adjustRightInd w:val="0"/>
        <w:snapToGrid w:val="0"/>
        <w:spacing w:line="360" w:lineRule="auto"/>
        <w:rPr>
          <w:rFonts w:ascii="宋体" w:hAnsi="宋体" w:cs="宋体"/>
          <w:color w:val="auto"/>
          <w:sz w:val="24"/>
        </w:rPr>
      </w:pPr>
    </w:p>
    <w:p w14:paraId="408AB8D1">
      <w:pPr>
        <w:pStyle w:val="12"/>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注：</w:t>
      </w:r>
    </w:p>
    <w:p w14:paraId="1642378D">
      <w:pPr>
        <w:pStyle w:val="12"/>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 说明：应对照谈判文件“第三章 采购需求”中的技术需求逐条实质性响应，并作出偏离说明。</w:t>
      </w:r>
    </w:p>
    <w:p w14:paraId="6161550C">
      <w:pPr>
        <w:pStyle w:val="12"/>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2.供应商应根据自身的承诺，对照谈判文件要求，在“偏离说明”中注明“正偏离”“负偏离”或者“无偏离”。既不属于“正偏离”也不属于“负偏离”即为“无偏离”。</w:t>
      </w:r>
    </w:p>
    <w:p w14:paraId="6F103114">
      <w:pPr>
        <w:pStyle w:val="14"/>
        <w:spacing w:line="360" w:lineRule="auto"/>
        <w:rPr>
          <w:rFonts w:hAnsi="宋体" w:cs="宋体"/>
          <w:color w:val="auto"/>
          <w:sz w:val="24"/>
          <w:szCs w:val="24"/>
        </w:rPr>
      </w:pPr>
    </w:p>
    <w:p w14:paraId="116873CC">
      <w:pPr>
        <w:spacing w:line="360" w:lineRule="auto"/>
        <w:ind w:firstLine="3840" w:firstLineChars="1600"/>
        <w:rPr>
          <w:rFonts w:ascii="宋体" w:hAnsi="宋体" w:cs="宋体"/>
          <w:color w:val="auto"/>
          <w:sz w:val="24"/>
        </w:rPr>
      </w:pPr>
    </w:p>
    <w:p w14:paraId="37CDED38">
      <w:pPr>
        <w:spacing w:line="360" w:lineRule="auto"/>
        <w:ind w:firstLine="3840" w:firstLineChars="1600"/>
        <w:rPr>
          <w:rFonts w:ascii="宋体" w:hAnsi="宋体" w:cs="宋体"/>
          <w:color w:val="auto"/>
          <w:sz w:val="24"/>
        </w:rPr>
      </w:pPr>
      <w:r>
        <w:rPr>
          <w:rFonts w:hint="eastAsia" w:ascii="宋体" w:hAnsi="宋体" w:cs="宋体"/>
          <w:color w:val="auto"/>
          <w:kern w:val="0"/>
          <w:sz w:val="24"/>
        </w:rPr>
        <w:t>供应商名称（电子签章）：</w:t>
      </w:r>
    </w:p>
    <w:p w14:paraId="7D47A273">
      <w:pPr>
        <w:spacing w:line="360" w:lineRule="auto"/>
        <w:contextualSpacing/>
        <w:jc w:val="center"/>
        <w:rPr>
          <w:rFonts w:ascii="宋体" w:hAnsi="宋体" w:cs="宋体"/>
          <w:color w:val="auto"/>
          <w:kern w:val="0"/>
          <w:sz w:val="24"/>
        </w:rPr>
      </w:pPr>
      <w:r>
        <w:rPr>
          <w:rFonts w:hint="eastAsia" w:ascii="宋体" w:hAnsi="宋体" w:cs="宋体"/>
          <w:color w:val="auto"/>
          <w:kern w:val="0"/>
          <w:sz w:val="24"/>
        </w:rPr>
        <w:t xml:space="preserve">                                                   日期：  年  月   日</w:t>
      </w:r>
    </w:p>
    <w:p w14:paraId="29F2D154">
      <w:pPr>
        <w:snapToGrid w:val="0"/>
        <w:spacing w:before="156" w:beforeLines="50" w:after="50"/>
        <w:ind w:left="142"/>
        <w:jc w:val="left"/>
        <w:rPr>
          <w:rFonts w:ascii="宋体" w:hAnsi="宋体" w:cs="宋体"/>
          <w:color w:val="auto"/>
          <w:sz w:val="24"/>
        </w:rPr>
      </w:pPr>
    </w:p>
    <w:p w14:paraId="41392A49">
      <w:pPr>
        <w:snapToGrid w:val="0"/>
        <w:spacing w:before="156" w:beforeLines="50" w:after="50"/>
        <w:ind w:left="142"/>
        <w:jc w:val="left"/>
        <w:rPr>
          <w:rFonts w:ascii="宋体" w:hAnsi="宋体" w:cs="宋体"/>
          <w:color w:val="auto"/>
          <w:sz w:val="24"/>
        </w:rPr>
      </w:pPr>
    </w:p>
    <w:p w14:paraId="5C2AB0DB">
      <w:pPr>
        <w:jc w:val="center"/>
        <w:rPr>
          <w:rFonts w:ascii="宋体" w:hAnsi="宋体" w:cs="宋体"/>
          <w:color w:val="auto"/>
          <w:sz w:val="36"/>
          <w:szCs w:val="36"/>
        </w:rPr>
      </w:pPr>
      <w:r>
        <w:rPr>
          <w:rFonts w:hint="eastAsia" w:ascii="宋体" w:hAnsi="宋体" w:cs="宋体"/>
          <w:b/>
          <w:bCs/>
          <w:color w:val="auto"/>
          <w:sz w:val="32"/>
          <w:szCs w:val="32"/>
        </w:rPr>
        <w:t>二、配置清单（均不含报价）</w:t>
      </w:r>
    </w:p>
    <w:p w14:paraId="7FB06826">
      <w:pPr>
        <w:pStyle w:val="17"/>
        <w:rPr>
          <w:rFonts w:ascii="宋体" w:hAnsi="宋体" w:cs="宋体"/>
          <w:color w:val="auto"/>
        </w:rPr>
      </w:pPr>
    </w:p>
    <w:tbl>
      <w:tblPr>
        <w:tblStyle w:val="2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48"/>
        <w:gridCol w:w="1264"/>
        <w:gridCol w:w="817"/>
        <w:gridCol w:w="910"/>
        <w:gridCol w:w="1814"/>
        <w:gridCol w:w="1264"/>
        <w:gridCol w:w="748"/>
        <w:gridCol w:w="1530"/>
      </w:tblGrid>
      <w:tr w14:paraId="272A5E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617FC078">
            <w:pPr>
              <w:snapToGrid w:val="0"/>
              <w:spacing w:before="50" w:after="50"/>
              <w:jc w:val="center"/>
              <w:rPr>
                <w:rFonts w:ascii="宋体" w:hAnsi="宋体" w:cs="宋体"/>
                <w:color w:val="auto"/>
                <w:sz w:val="24"/>
              </w:rPr>
            </w:pPr>
            <w:r>
              <w:rPr>
                <w:rFonts w:hint="eastAsia" w:ascii="宋体" w:hAnsi="宋体" w:cs="宋体"/>
                <w:color w:val="auto"/>
                <w:sz w:val="24"/>
              </w:rPr>
              <w:t>序号</w:t>
            </w:r>
          </w:p>
        </w:tc>
        <w:tc>
          <w:tcPr>
            <w:tcW w:w="695" w:type="pct"/>
            <w:tcBorders>
              <w:top w:val="single" w:color="auto" w:sz="4" w:space="0"/>
              <w:left w:val="single" w:color="auto" w:sz="4" w:space="0"/>
              <w:bottom w:val="single" w:color="auto" w:sz="4" w:space="0"/>
              <w:right w:val="single" w:color="auto" w:sz="4" w:space="0"/>
            </w:tcBorders>
            <w:vAlign w:val="center"/>
          </w:tcPr>
          <w:p w14:paraId="3F7D63A1">
            <w:pPr>
              <w:snapToGrid w:val="0"/>
              <w:spacing w:before="50" w:after="50"/>
              <w:jc w:val="center"/>
              <w:rPr>
                <w:rFonts w:ascii="宋体" w:hAnsi="宋体" w:cs="宋体"/>
                <w:color w:val="auto"/>
                <w:sz w:val="24"/>
              </w:rPr>
            </w:pPr>
            <w:r>
              <w:rPr>
                <w:rFonts w:hint="eastAsia" w:ascii="宋体" w:hAnsi="宋体" w:cs="宋体"/>
                <w:color w:val="auto"/>
                <w:szCs w:val="21"/>
              </w:rPr>
              <w:t>标的名称</w:t>
            </w:r>
          </w:p>
        </w:tc>
        <w:tc>
          <w:tcPr>
            <w:tcW w:w="449" w:type="pct"/>
            <w:tcBorders>
              <w:top w:val="single" w:color="auto" w:sz="4" w:space="0"/>
              <w:left w:val="single" w:color="auto" w:sz="4" w:space="0"/>
              <w:bottom w:val="single" w:color="auto" w:sz="4" w:space="0"/>
              <w:right w:val="single" w:color="auto" w:sz="4" w:space="0"/>
            </w:tcBorders>
            <w:vAlign w:val="center"/>
          </w:tcPr>
          <w:p w14:paraId="0200DFDD">
            <w:pPr>
              <w:snapToGrid w:val="0"/>
              <w:spacing w:before="50" w:after="50"/>
              <w:jc w:val="center"/>
              <w:rPr>
                <w:rFonts w:ascii="宋体" w:hAnsi="宋体" w:cs="宋体"/>
                <w:color w:val="auto"/>
                <w:sz w:val="24"/>
              </w:rPr>
            </w:pPr>
            <w:r>
              <w:rPr>
                <w:rFonts w:hint="eastAsia" w:ascii="宋体" w:hAnsi="宋体" w:cs="宋体"/>
                <w:color w:val="auto"/>
                <w:sz w:val="24"/>
              </w:rPr>
              <w:t>数量及单位</w:t>
            </w:r>
          </w:p>
        </w:tc>
        <w:tc>
          <w:tcPr>
            <w:tcW w:w="500" w:type="pct"/>
            <w:tcBorders>
              <w:top w:val="single" w:color="auto" w:sz="4" w:space="0"/>
              <w:left w:val="single" w:color="auto" w:sz="4" w:space="0"/>
              <w:bottom w:val="single" w:color="auto" w:sz="4" w:space="0"/>
              <w:right w:val="single" w:color="auto" w:sz="4" w:space="0"/>
            </w:tcBorders>
            <w:vAlign w:val="center"/>
          </w:tcPr>
          <w:p w14:paraId="2548C090">
            <w:pPr>
              <w:snapToGrid w:val="0"/>
              <w:spacing w:before="50" w:after="50"/>
              <w:jc w:val="center"/>
              <w:rPr>
                <w:rFonts w:ascii="宋体" w:hAnsi="宋体" w:cs="宋体"/>
                <w:color w:val="auto"/>
                <w:sz w:val="24"/>
              </w:rPr>
            </w:pPr>
            <w:r>
              <w:rPr>
                <w:rFonts w:hint="eastAsia" w:ascii="宋体" w:hAnsi="宋体" w:cs="宋体"/>
                <w:color w:val="auto"/>
                <w:sz w:val="24"/>
              </w:rPr>
              <w:t>品牌</w:t>
            </w:r>
          </w:p>
        </w:tc>
        <w:tc>
          <w:tcPr>
            <w:tcW w:w="997" w:type="pct"/>
            <w:tcBorders>
              <w:top w:val="single" w:color="auto" w:sz="4" w:space="0"/>
              <w:left w:val="single" w:color="auto" w:sz="4" w:space="0"/>
              <w:bottom w:val="single" w:color="auto" w:sz="4" w:space="0"/>
              <w:right w:val="single" w:color="auto" w:sz="4" w:space="0"/>
            </w:tcBorders>
          </w:tcPr>
          <w:p w14:paraId="4CD6244E">
            <w:pPr>
              <w:snapToGrid w:val="0"/>
              <w:spacing w:before="50" w:after="50"/>
              <w:jc w:val="center"/>
              <w:rPr>
                <w:rFonts w:ascii="宋体" w:hAnsi="宋体" w:cs="宋体"/>
                <w:color w:val="auto"/>
                <w:sz w:val="24"/>
              </w:rPr>
            </w:pPr>
          </w:p>
          <w:p w14:paraId="3EBE2DC3">
            <w:pPr>
              <w:snapToGrid w:val="0"/>
              <w:spacing w:before="50" w:after="50"/>
              <w:jc w:val="center"/>
              <w:rPr>
                <w:rFonts w:ascii="宋体" w:hAnsi="宋体" w:cs="宋体"/>
                <w:color w:val="auto"/>
                <w:sz w:val="24"/>
              </w:rPr>
            </w:pPr>
            <w:r>
              <w:rPr>
                <w:rFonts w:hint="eastAsia" w:ascii="宋体" w:hAnsi="宋体" w:cs="宋体"/>
                <w:color w:val="auto"/>
                <w:sz w:val="24"/>
              </w:rPr>
              <w:t>规格型号</w:t>
            </w:r>
          </w:p>
        </w:tc>
        <w:tc>
          <w:tcPr>
            <w:tcW w:w="695" w:type="pct"/>
            <w:tcBorders>
              <w:top w:val="single" w:color="auto" w:sz="4" w:space="0"/>
              <w:left w:val="single" w:color="auto" w:sz="4" w:space="0"/>
              <w:bottom w:val="single" w:color="auto" w:sz="4" w:space="0"/>
              <w:right w:val="single" w:color="auto" w:sz="4" w:space="0"/>
            </w:tcBorders>
            <w:vAlign w:val="center"/>
          </w:tcPr>
          <w:p w14:paraId="6EA27DE0">
            <w:pPr>
              <w:snapToGrid w:val="0"/>
              <w:spacing w:before="50" w:after="50"/>
              <w:jc w:val="center"/>
              <w:rPr>
                <w:rFonts w:ascii="宋体" w:hAnsi="宋体" w:cs="宋体"/>
                <w:color w:val="auto"/>
                <w:sz w:val="24"/>
              </w:rPr>
            </w:pPr>
            <w:r>
              <w:rPr>
                <w:rFonts w:hint="eastAsia" w:ascii="宋体" w:hAnsi="宋体" w:cs="宋体"/>
                <w:color w:val="auto"/>
                <w:sz w:val="24"/>
              </w:rPr>
              <w:t>制造商</w:t>
            </w:r>
          </w:p>
        </w:tc>
        <w:tc>
          <w:tcPr>
            <w:tcW w:w="411" w:type="pct"/>
            <w:tcBorders>
              <w:top w:val="single" w:color="auto" w:sz="4" w:space="0"/>
              <w:left w:val="single" w:color="auto" w:sz="4" w:space="0"/>
              <w:bottom w:val="single" w:color="auto" w:sz="4" w:space="0"/>
              <w:right w:val="single" w:color="auto" w:sz="4" w:space="0"/>
            </w:tcBorders>
            <w:vAlign w:val="center"/>
          </w:tcPr>
          <w:p w14:paraId="3ACDF097">
            <w:pPr>
              <w:snapToGrid w:val="0"/>
              <w:spacing w:before="50" w:after="50"/>
              <w:jc w:val="center"/>
              <w:rPr>
                <w:rFonts w:ascii="宋体" w:hAnsi="宋体" w:cs="宋体"/>
                <w:color w:val="auto"/>
                <w:sz w:val="24"/>
              </w:rPr>
            </w:pPr>
            <w:r>
              <w:rPr>
                <w:rFonts w:hint="eastAsia" w:ascii="宋体" w:hAnsi="宋体" w:cs="宋体"/>
                <w:color w:val="auto"/>
                <w:sz w:val="24"/>
              </w:rPr>
              <w:t>原产地</w:t>
            </w:r>
          </w:p>
        </w:tc>
        <w:tc>
          <w:tcPr>
            <w:tcW w:w="837" w:type="pct"/>
            <w:tcBorders>
              <w:top w:val="single" w:color="auto" w:sz="4" w:space="0"/>
              <w:left w:val="single" w:color="auto" w:sz="4" w:space="0"/>
              <w:bottom w:val="single" w:color="auto" w:sz="4" w:space="0"/>
              <w:right w:val="single" w:color="auto" w:sz="4" w:space="0"/>
            </w:tcBorders>
            <w:vAlign w:val="center"/>
          </w:tcPr>
          <w:p w14:paraId="214A8E94">
            <w:pPr>
              <w:snapToGrid w:val="0"/>
              <w:spacing w:before="50" w:after="50"/>
              <w:jc w:val="center"/>
              <w:rPr>
                <w:rFonts w:ascii="宋体" w:hAnsi="宋体" w:cs="宋体"/>
                <w:color w:val="auto"/>
                <w:sz w:val="24"/>
              </w:rPr>
            </w:pPr>
            <w:r>
              <w:rPr>
                <w:rFonts w:hint="eastAsia" w:ascii="宋体" w:hAnsi="宋体" w:cs="宋体"/>
                <w:color w:val="auto"/>
                <w:sz w:val="24"/>
              </w:rPr>
              <w:t>参数性能、指标及配置</w:t>
            </w:r>
          </w:p>
        </w:tc>
      </w:tr>
      <w:tr w14:paraId="1855AF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505B53B3">
            <w:pPr>
              <w:snapToGrid w:val="0"/>
              <w:spacing w:before="50" w:after="50"/>
              <w:rPr>
                <w:rFonts w:ascii="宋体" w:hAnsi="宋体" w:cs="宋体"/>
                <w:color w:val="auto"/>
                <w:sz w:val="24"/>
              </w:rPr>
            </w:pPr>
            <w:r>
              <w:rPr>
                <w:rFonts w:hint="eastAsia" w:ascii="宋体" w:hAnsi="宋体" w:cs="宋体"/>
                <w:color w:val="auto"/>
                <w:szCs w:val="21"/>
              </w:rPr>
              <w:t>一、认证支付底层数据服务</w:t>
            </w:r>
          </w:p>
        </w:tc>
      </w:tr>
      <w:tr w14:paraId="1D0E22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766BF4CB">
            <w:pPr>
              <w:rPr>
                <w:rFonts w:ascii="宋体" w:hAnsi="宋体" w:cs="宋体"/>
                <w:color w:val="auto"/>
                <w:sz w:val="24"/>
              </w:rPr>
            </w:pPr>
            <w:r>
              <w:rPr>
                <w:rFonts w:hint="eastAsia" w:ascii="宋体" w:hAnsi="宋体" w:cs="宋体"/>
                <w:color w:val="auto"/>
                <w:sz w:val="24"/>
              </w:rPr>
              <w:t>1</w:t>
            </w:r>
          </w:p>
        </w:tc>
        <w:tc>
          <w:tcPr>
            <w:tcW w:w="695" w:type="pct"/>
            <w:tcBorders>
              <w:top w:val="single" w:color="auto" w:sz="4" w:space="0"/>
              <w:left w:val="single" w:color="auto" w:sz="4" w:space="0"/>
              <w:bottom w:val="single" w:color="auto" w:sz="4" w:space="0"/>
              <w:right w:val="single" w:color="auto" w:sz="4" w:space="0"/>
            </w:tcBorders>
            <w:vAlign w:val="center"/>
          </w:tcPr>
          <w:p w14:paraId="4C24A660">
            <w:pPr>
              <w:snapToGrid w:val="0"/>
              <w:spacing w:before="50" w:after="50"/>
              <w:jc w:val="center"/>
              <w:rPr>
                <w:rFonts w:ascii="宋体" w:hAnsi="宋体" w:cs="宋体"/>
                <w:color w:val="auto"/>
                <w:sz w:val="24"/>
              </w:rPr>
            </w:pPr>
          </w:p>
        </w:tc>
        <w:tc>
          <w:tcPr>
            <w:tcW w:w="449" w:type="pct"/>
            <w:tcBorders>
              <w:top w:val="single" w:color="auto" w:sz="4" w:space="0"/>
              <w:left w:val="single" w:color="auto" w:sz="4" w:space="0"/>
              <w:bottom w:val="single" w:color="auto" w:sz="4" w:space="0"/>
              <w:right w:val="single" w:color="auto" w:sz="4" w:space="0"/>
            </w:tcBorders>
            <w:vAlign w:val="center"/>
          </w:tcPr>
          <w:p w14:paraId="7C2303A1">
            <w:pPr>
              <w:snapToGrid w:val="0"/>
              <w:spacing w:before="50" w:after="50"/>
              <w:jc w:val="center"/>
              <w:rPr>
                <w:rFonts w:ascii="宋体" w:hAnsi="宋体" w:cs="宋体"/>
                <w:color w:val="auto"/>
                <w:sz w:val="24"/>
              </w:rPr>
            </w:pPr>
          </w:p>
        </w:tc>
        <w:tc>
          <w:tcPr>
            <w:tcW w:w="500" w:type="pct"/>
            <w:tcBorders>
              <w:top w:val="single" w:color="auto" w:sz="4" w:space="0"/>
              <w:left w:val="single" w:color="auto" w:sz="4" w:space="0"/>
              <w:bottom w:val="single" w:color="auto" w:sz="4" w:space="0"/>
              <w:right w:val="single" w:color="auto" w:sz="4" w:space="0"/>
            </w:tcBorders>
            <w:vAlign w:val="center"/>
          </w:tcPr>
          <w:p w14:paraId="752B1D57">
            <w:pPr>
              <w:snapToGrid w:val="0"/>
              <w:spacing w:before="50" w:after="50"/>
              <w:jc w:val="center"/>
              <w:rPr>
                <w:rFonts w:ascii="宋体" w:hAnsi="宋体" w:cs="宋体"/>
                <w:color w:val="auto"/>
                <w:sz w:val="24"/>
              </w:rPr>
            </w:pPr>
          </w:p>
        </w:tc>
        <w:tc>
          <w:tcPr>
            <w:tcW w:w="997" w:type="pct"/>
            <w:tcBorders>
              <w:top w:val="single" w:color="auto" w:sz="4" w:space="0"/>
              <w:left w:val="single" w:color="auto" w:sz="4" w:space="0"/>
              <w:bottom w:val="single" w:color="auto" w:sz="4" w:space="0"/>
              <w:right w:val="single" w:color="auto" w:sz="4" w:space="0"/>
            </w:tcBorders>
          </w:tcPr>
          <w:p w14:paraId="39833229">
            <w:pPr>
              <w:snapToGrid w:val="0"/>
              <w:spacing w:before="50" w:after="50"/>
              <w:jc w:val="center"/>
              <w:rPr>
                <w:rFonts w:ascii="宋体" w:hAnsi="宋体" w:cs="宋体"/>
                <w:color w:val="auto"/>
                <w:sz w:val="24"/>
              </w:rPr>
            </w:pPr>
          </w:p>
        </w:tc>
        <w:tc>
          <w:tcPr>
            <w:tcW w:w="695" w:type="pct"/>
            <w:tcBorders>
              <w:top w:val="single" w:color="auto" w:sz="4" w:space="0"/>
              <w:left w:val="single" w:color="auto" w:sz="4" w:space="0"/>
              <w:bottom w:val="single" w:color="auto" w:sz="4" w:space="0"/>
              <w:right w:val="single" w:color="auto" w:sz="4" w:space="0"/>
            </w:tcBorders>
            <w:vAlign w:val="center"/>
          </w:tcPr>
          <w:p w14:paraId="1C2DE483">
            <w:pPr>
              <w:snapToGrid w:val="0"/>
              <w:spacing w:before="50" w:after="50"/>
              <w:jc w:val="center"/>
              <w:rPr>
                <w:rFonts w:ascii="宋体" w:hAnsi="宋体" w:cs="宋体"/>
                <w:color w:val="auto"/>
                <w:sz w:val="24"/>
              </w:rPr>
            </w:pPr>
          </w:p>
        </w:tc>
        <w:tc>
          <w:tcPr>
            <w:tcW w:w="411" w:type="pct"/>
            <w:tcBorders>
              <w:top w:val="single" w:color="auto" w:sz="4" w:space="0"/>
              <w:left w:val="single" w:color="auto" w:sz="4" w:space="0"/>
              <w:bottom w:val="single" w:color="auto" w:sz="4" w:space="0"/>
              <w:right w:val="single" w:color="auto" w:sz="4" w:space="0"/>
            </w:tcBorders>
            <w:vAlign w:val="center"/>
          </w:tcPr>
          <w:p w14:paraId="43BF72B2">
            <w:pPr>
              <w:snapToGrid w:val="0"/>
              <w:spacing w:before="50" w:after="50"/>
              <w:jc w:val="center"/>
              <w:rPr>
                <w:rFonts w:ascii="宋体" w:hAnsi="宋体" w:cs="宋体"/>
                <w:color w:val="auto"/>
                <w:sz w:val="24"/>
              </w:rPr>
            </w:pPr>
          </w:p>
        </w:tc>
        <w:tc>
          <w:tcPr>
            <w:tcW w:w="837" w:type="pct"/>
            <w:tcBorders>
              <w:top w:val="single" w:color="auto" w:sz="4" w:space="0"/>
              <w:left w:val="single" w:color="auto" w:sz="4" w:space="0"/>
              <w:bottom w:val="single" w:color="auto" w:sz="4" w:space="0"/>
              <w:right w:val="single" w:color="auto" w:sz="4" w:space="0"/>
            </w:tcBorders>
            <w:vAlign w:val="center"/>
          </w:tcPr>
          <w:p w14:paraId="055CC750">
            <w:pPr>
              <w:snapToGrid w:val="0"/>
              <w:spacing w:before="50" w:after="50"/>
              <w:jc w:val="center"/>
              <w:rPr>
                <w:rFonts w:ascii="宋体" w:hAnsi="宋体" w:cs="宋体"/>
                <w:color w:val="auto"/>
                <w:sz w:val="24"/>
              </w:rPr>
            </w:pPr>
          </w:p>
        </w:tc>
      </w:tr>
      <w:tr w14:paraId="11CAB5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271C9E22">
            <w:pPr>
              <w:rPr>
                <w:rFonts w:ascii="宋体" w:hAnsi="宋体" w:cs="宋体"/>
                <w:color w:val="auto"/>
                <w:sz w:val="24"/>
              </w:rPr>
            </w:pPr>
            <w:r>
              <w:rPr>
                <w:rFonts w:hint="eastAsia" w:ascii="宋体" w:hAnsi="宋体" w:cs="宋体"/>
                <w:color w:val="auto"/>
                <w:sz w:val="24"/>
              </w:rPr>
              <w:t>2</w:t>
            </w:r>
          </w:p>
        </w:tc>
        <w:tc>
          <w:tcPr>
            <w:tcW w:w="695" w:type="pct"/>
            <w:tcBorders>
              <w:top w:val="single" w:color="auto" w:sz="4" w:space="0"/>
              <w:left w:val="single" w:color="auto" w:sz="4" w:space="0"/>
              <w:bottom w:val="single" w:color="auto" w:sz="4" w:space="0"/>
              <w:right w:val="single" w:color="auto" w:sz="4" w:space="0"/>
            </w:tcBorders>
            <w:vAlign w:val="center"/>
          </w:tcPr>
          <w:p w14:paraId="706FA4E7">
            <w:pPr>
              <w:snapToGrid w:val="0"/>
              <w:spacing w:before="50" w:after="50"/>
              <w:jc w:val="center"/>
              <w:rPr>
                <w:rFonts w:ascii="宋体" w:hAnsi="宋体" w:cs="宋体"/>
                <w:color w:val="auto"/>
                <w:sz w:val="24"/>
              </w:rPr>
            </w:pPr>
          </w:p>
        </w:tc>
        <w:tc>
          <w:tcPr>
            <w:tcW w:w="449" w:type="pct"/>
            <w:tcBorders>
              <w:top w:val="single" w:color="auto" w:sz="4" w:space="0"/>
              <w:left w:val="single" w:color="auto" w:sz="4" w:space="0"/>
              <w:bottom w:val="single" w:color="auto" w:sz="4" w:space="0"/>
              <w:right w:val="single" w:color="auto" w:sz="4" w:space="0"/>
            </w:tcBorders>
            <w:vAlign w:val="center"/>
          </w:tcPr>
          <w:p w14:paraId="27AD62DE">
            <w:pPr>
              <w:snapToGrid w:val="0"/>
              <w:spacing w:before="50" w:after="50"/>
              <w:jc w:val="center"/>
              <w:rPr>
                <w:rFonts w:ascii="宋体" w:hAnsi="宋体" w:cs="宋体"/>
                <w:color w:val="auto"/>
                <w:sz w:val="24"/>
              </w:rPr>
            </w:pPr>
          </w:p>
        </w:tc>
        <w:tc>
          <w:tcPr>
            <w:tcW w:w="500" w:type="pct"/>
            <w:tcBorders>
              <w:top w:val="single" w:color="auto" w:sz="4" w:space="0"/>
              <w:left w:val="single" w:color="auto" w:sz="4" w:space="0"/>
              <w:bottom w:val="single" w:color="auto" w:sz="4" w:space="0"/>
              <w:right w:val="single" w:color="auto" w:sz="4" w:space="0"/>
            </w:tcBorders>
            <w:vAlign w:val="center"/>
          </w:tcPr>
          <w:p w14:paraId="1721A8DC">
            <w:pPr>
              <w:snapToGrid w:val="0"/>
              <w:spacing w:before="50" w:after="50"/>
              <w:jc w:val="center"/>
              <w:rPr>
                <w:rFonts w:ascii="宋体" w:hAnsi="宋体" w:cs="宋体"/>
                <w:color w:val="auto"/>
                <w:sz w:val="24"/>
              </w:rPr>
            </w:pPr>
          </w:p>
        </w:tc>
        <w:tc>
          <w:tcPr>
            <w:tcW w:w="997" w:type="pct"/>
            <w:tcBorders>
              <w:top w:val="single" w:color="auto" w:sz="4" w:space="0"/>
              <w:left w:val="single" w:color="auto" w:sz="4" w:space="0"/>
              <w:bottom w:val="single" w:color="auto" w:sz="4" w:space="0"/>
              <w:right w:val="single" w:color="auto" w:sz="4" w:space="0"/>
            </w:tcBorders>
          </w:tcPr>
          <w:p w14:paraId="7D8F05A2">
            <w:pPr>
              <w:snapToGrid w:val="0"/>
              <w:spacing w:before="50" w:after="50"/>
              <w:jc w:val="center"/>
              <w:rPr>
                <w:rFonts w:ascii="宋体" w:hAnsi="宋体" w:cs="宋体"/>
                <w:color w:val="auto"/>
                <w:sz w:val="24"/>
              </w:rPr>
            </w:pPr>
          </w:p>
        </w:tc>
        <w:tc>
          <w:tcPr>
            <w:tcW w:w="695" w:type="pct"/>
            <w:tcBorders>
              <w:top w:val="single" w:color="auto" w:sz="4" w:space="0"/>
              <w:left w:val="single" w:color="auto" w:sz="4" w:space="0"/>
              <w:bottom w:val="single" w:color="auto" w:sz="4" w:space="0"/>
              <w:right w:val="single" w:color="auto" w:sz="4" w:space="0"/>
            </w:tcBorders>
            <w:vAlign w:val="center"/>
          </w:tcPr>
          <w:p w14:paraId="1A473F46">
            <w:pPr>
              <w:snapToGrid w:val="0"/>
              <w:spacing w:before="50" w:after="50"/>
              <w:jc w:val="center"/>
              <w:rPr>
                <w:rFonts w:ascii="宋体" w:hAnsi="宋体" w:cs="宋体"/>
                <w:color w:val="auto"/>
                <w:sz w:val="24"/>
              </w:rPr>
            </w:pPr>
          </w:p>
        </w:tc>
        <w:tc>
          <w:tcPr>
            <w:tcW w:w="411" w:type="pct"/>
            <w:tcBorders>
              <w:top w:val="single" w:color="auto" w:sz="4" w:space="0"/>
              <w:left w:val="single" w:color="auto" w:sz="4" w:space="0"/>
              <w:bottom w:val="single" w:color="auto" w:sz="4" w:space="0"/>
              <w:right w:val="single" w:color="auto" w:sz="4" w:space="0"/>
            </w:tcBorders>
            <w:vAlign w:val="center"/>
          </w:tcPr>
          <w:p w14:paraId="4BFD2213">
            <w:pPr>
              <w:snapToGrid w:val="0"/>
              <w:spacing w:before="50" w:after="50"/>
              <w:jc w:val="center"/>
              <w:rPr>
                <w:rFonts w:ascii="宋体" w:hAnsi="宋体" w:cs="宋体"/>
                <w:color w:val="auto"/>
                <w:sz w:val="24"/>
              </w:rPr>
            </w:pPr>
          </w:p>
        </w:tc>
        <w:tc>
          <w:tcPr>
            <w:tcW w:w="837" w:type="pct"/>
            <w:tcBorders>
              <w:top w:val="single" w:color="auto" w:sz="4" w:space="0"/>
              <w:left w:val="single" w:color="auto" w:sz="4" w:space="0"/>
              <w:bottom w:val="single" w:color="auto" w:sz="4" w:space="0"/>
              <w:right w:val="single" w:color="auto" w:sz="4" w:space="0"/>
            </w:tcBorders>
            <w:vAlign w:val="center"/>
          </w:tcPr>
          <w:p w14:paraId="69E944D1">
            <w:pPr>
              <w:snapToGrid w:val="0"/>
              <w:spacing w:before="50" w:after="50"/>
              <w:jc w:val="center"/>
              <w:rPr>
                <w:rFonts w:ascii="宋体" w:hAnsi="宋体" w:cs="宋体"/>
                <w:color w:val="auto"/>
                <w:sz w:val="24"/>
              </w:rPr>
            </w:pPr>
          </w:p>
        </w:tc>
      </w:tr>
      <w:tr w14:paraId="0A6BB6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12A19B60">
            <w:pPr>
              <w:rPr>
                <w:rFonts w:ascii="宋体" w:hAnsi="宋体" w:cs="宋体"/>
                <w:color w:val="auto"/>
                <w:sz w:val="24"/>
              </w:rPr>
            </w:pPr>
            <w:r>
              <w:rPr>
                <w:rFonts w:hint="eastAsia" w:ascii="宋体" w:hAnsi="宋体" w:cs="宋体"/>
                <w:color w:val="auto"/>
                <w:sz w:val="24"/>
              </w:rPr>
              <w:t>...</w:t>
            </w:r>
          </w:p>
        </w:tc>
        <w:tc>
          <w:tcPr>
            <w:tcW w:w="695" w:type="pct"/>
            <w:tcBorders>
              <w:top w:val="single" w:color="auto" w:sz="4" w:space="0"/>
              <w:left w:val="single" w:color="auto" w:sz="4" w:space="0"/>
              <w:bottom w:val="single" w:color="auto" w:sz="4" w:space="0"/>
              <w:right w:val="single" w:color="auto" w:sz="4" w:space="0"/>
            </w:tcBorders>
            <w:vAlign w:val="center"/>
          </w:tcPr>
          <w:p w14:paraId="7F5E24D5">
            <w:pPr>
              <w:snapToGrid w:val="0"/>
              <w:spacing w:before="50" w:after="50"/>
              <w:jc w:val="center"/>
              <w:rPr>
                <w:rFonts w:ascii="宋体" w:hAnsi="宋体" w:cs="宋体"/>
                <w:color w:val="auto"/>
                <w:sz w:val="24"/>
              </w:rPr>
            </w:pPr>
          </w:p>
        </w:tc>
        <w:tc>
          <w:tcPr>
            <w:tcW w:w="449" w:type="pct"/>
            <w:tcBorders>
              <w:top w:val="single" w:color="auto" w:sz="4" w:space="0"/>
              <w:left w:val="single" w:color="auto" w:sz="4" w:space="0"/>
              <w:bottom w:val="single" w:color="auto" w:sz="4" w:space="0"/>
              <w:right w:val="single" w:color="auto" w:sz="4" w:space="0"/>
            </w:tcBorders>
            <w:vAlign w:val="center"/>
          </w:tcPr>
          <w:p w14:paraId="6A000AAF">
            <w:pPr>
              <w:snapToGrid w:val="0"/>
              <w:spacing w:before="50" w:after="50"/>
              <w:jc w:val="center"/>
              <w:rPr>
                <w:rFonts w:ascii="宋体" w:hAnsi="宋体" w:cs="宋体"/>
                <w:color w:val="auto"/>
                <w:sz w:val="24"/>
              </w:rPr>
            </w:pPr>
          </w:p>
        </w:tc>
        <w:tc>
          <w:tcPr>
            <w:tcW w:w="500" w:type="pct"/>
            <w:tcBorders>
              <w:top w:val="single" w:color="auto" w:sz="4" w:space="0"/>
              <w:left w:val="single" w:color="auto" w:sz="4" w:space="0"/>
              <w:bottom w:val="single" w:color="auto" w:sz="4" w:space="0"/>
              <w:right w:val="single" w:color="auto" w:sz="4" w:space="0"/>
            </w:tcBorders>
            <w:vAlign w:val="center"/>
          </w:tcPr>
          <w:p w14:paraId="14483131">
            <w:pPr>
              <w:snapToGrid w:val="0"/>
              <w:spacing w:before="50" w:after="50"/>
              <w:jc w:val="center"/>
              <w:rPr>
                <w:rFonts w:ascii="宋体" w:hAnsi="宋体" w:cs="宋体"/>
                <w:color w:val="auto"/>
                <w:sz w:val="24"/>
              </w:rPr>
            </w:pPr>
          </w:p>
        </w:tc>
        <w:tc>
          <w:tcPr>
            <w:tcW w:w="997" w:type="pct"/>
            <w:tcBorders>
              <w:top w:val="single" w:color="auto" w:sz="4" w:space="0"/>
              <w:left w:val="single" w:color="auto" w:sz="4" w:space="0"/>
              <w:bottom w:val="single" w:color="auto" w:sz="4" w:space="0"/>
              <w:right w:val="single" w:color="auto" w:sz="4" w:space="0"/>
            </w:tcBorders>
          </w:tcPr>
          <w:p w14:paraId="2B2E9E0F">
            <w:pPr>
              <w:snapToGrid w:val="0"/>
              <w:spacing w:before="50" w:after="50"/>
              <w:jc w:val="center"/>
              <w:rPr>
                <w:rFonts w:ascii="宋体" w:hAnsi="宋体" w:cs="宋体"/>
                <w:color w:val="auto"/>
                <w:sz w:val="24"/>
              </w:rPr>
            </w:pPr>
          </w:p>
        </w:tc>
        <w:tc>
          <w:tcPr>
            <w:tcW w:w="695" w:type="pct"/>
            <w:tcBorders>
              <w:top w:val="single" w:color="auto" w:sz="4" w:space="0"/>
              <w:left w:val="single" w:color="auto" w:sz="4" w:space="0"/>
              <w:bottom w:val="single" w:color="auto" w:sz="4" w:space="0"/>
              <w:right w:val="single" w:color="auto" w:sz="4" w:space="0"/>
            </w:tcBorders>
            <w:vAlign w:val="center"/>
          </w:tcPr>
          <w:p w14:paraId="5652BC72">
            <w:pPr>
              <w:snapToGrid w:val="0"/>
              <w:spacing w:before="50" w:after="50"/>
              <w:jc w:val="center"/>
              <w:rPr>
                <w:rFonts w:ascii="宋体" w:hAnsi="宋体" w:cs="宋体"/>
                <w:color w:val="auto"/>
                <w:sz w:val="24"/>
              </w:rPr>
            </w:pPr>
          </w:p>
        </w:tc>
        <w:tc>
          <w:tcPr>
            <w:tcW w:w="411" w:type="pct"/>
            <w:tcBorders>
              <w:top w:val="single" w:color="auto" w:sz="4" w:space="0"/>
              <w:left w:val="single" w:color="auto" w:sz="4" w:space="0"/>
              <w:bottom w:val="single" w:color="auto" w:sz="4" w:space="0"/>
              <w:right w:val="single" w:color="auto" w:sz="4" w:space="0"/>
            </w:tcBorders>
            <w:vAlign w:val="center"/>
          </w:tcPr>
          <w:p w14:paraId="659F0AC6">
            <w:pPr>
              <w:snapToGrid w:val="0"/>
              <w:spacing w:before="50" w:after="50"/>
              <w:jc w:val="center"/>
              <w:rPr>
                <w:rFonts w:ascii="宋体" w:hAnsi="宋体" w:cs="宋体"/>
                <w:color w:val="auto"/>
                <w:sz w:val="24"/>
              </w:rPr>
            </w:pPr>
          </w:p>
        </w:tc>
        <w:tc>
          <w:tcPr>
            <w:tcW w:w="837" w:type="pct"/>
            <w:tcBorders>
              <w:top w:val="single" w:color="auto" w:sz="4" w:space="0"/>
              <w:left w:val="single" w:color="auto" w:sz="4" w:space="0"/>
              <w:bottom w:val="single" w:color="auto" w:sz="4" w:space="0"/>
              <w:right w:val="single" w:color="auto" w:sz="4" w:space="0"/>
            </w:tcBorders>
            <w:vAlign w:val="center"/>
          </w:tcPr>
          <w:p w14:paraId="07A2E6F1">
            <w:pPr>
              <w:snapToGrid w:val="0"/>
              <w:spacing w:before="50" w:after="50"/>
              <w:jc w:val="center"/>
              <w:rPr>
                <w:rFonts w:ascii="宋体" w:hAnsi="宋体" w:cs="宋体"/>
                <w:color w:val="auto"/>
                <w:sz w:val="24"/>
              </w:rPr>
            </w:pPr>
          </w:p>
        </w:tc>
      </w:tr>
      <w:tr w14:paraId="777744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24015D81">
            <w:pPr>
              <w:snapToGrid w:val="0"/>
              <w:spacing w:before="50" w:after="50"/>
              <w:jc w:val="center"/>
              <w:rPr>
                <w:rFonts w:ascii="宋体" w:hAnsi="宋体" w:cs="宋体"/>
                <w:color w:val="auto"/>
                <w:sz w:val="24"/>
              </w:rPr>
            </w:pPr>
          </w:p>
        </w:tc>
        <w:tc>
          <w:tcPr>
            <w:tcW w:w="695" w:type="pct"/>
            <w:tcBorders>
              <w:top w:val="single" w:color="auto" w:sz="4" w:space="0"/>
              <w:left w:val="single" w:color="auto" w:sz="4" w:space="0"/>
              <w:bottom w:val="single" w:color="auto" w:sz="4" w:space="0"/>
              <w:right w:val="single" w:color="auto" w:sz="4" w:space="0"/>
            </w:tcBorders>
            <w:vAlign w:val="center"/>
          </w:tcPr>
          <w:p w14:paraId="49D8F3F8">
            <w:pPr>
              <w:snapToGrid w:val="0"/>
              <w:spacing w:before="50" w:after="50"/>
              <w:jc w:val="center"/>
              <w:rPr>
                <w:rFonts w:ascii="宋体" w:hAnsi="宋体" w:cs="宋体"/>
                <w:color w:val="auto"/>
                <w:sz w:val="24"/>
              </w:rPr>
            </w:pPr>
          </w:p>
        </w:tc>
        <w:tc>
          <w:tcPr>
            <w:tcW w:w="449" w:type="pct"/>
            <w:tcBorders>
              <w:top w:val="single" w:color="auto" w:sz="4" w:space="0"/>
              <w:left w:val="single" w:color="auto" w:sz="4" w:space="0"/>
              <w:bottom w:val="single" w:color="auto" w:sz="4" w:space="0"/>
              <w:right w:val="single" w:color="auto" w:sz="4" w:space="0"/>
            </w:tcBorders>
            <w:vAlign w:val="center"/>
          </w:tcPr>
          <w:p w14:paraId="373CB1D0">
            <w:pPr>
              <w:snapToGrid w:val="0"/>
              <w:spacing w:before="50" w:after="50"/>
              <w:jc w:val="center"/>
              <w:rPr>
                <w:rFonts w:ascii="宋体" w:hAnsi="宋体" w:cs="宋体"/>
                <w:color w:val="auto"/>
                <w:sz w:val="24"/>
              </w:rPr>
            </w:pPr>
          </w:p>
        </w:tc>
        <w:tc>
          <w:tcPr>
            <w:tcW w:w="500" w:type="pct"/>
            <w:tcBorders>
              <w:top w:val="single" w:color="auto" w:sz="4" w:space="0"/>
              <w:left w:val="single" w:color="auto" w:sz="4" w:space="0"/>
              <w:bottom w:val="single" w:color="auto" w:sz="4" w:space="0"/>
              <w:right w:val="single" w:color="auto" w:sz="4" w:space="0"/>
            </w:tcBorders>
            <w:vAlign w:val="center"/>
          </w:tcPr>
          <w:p w14:paraId="523CB6A8">
            <w:pPr>
              <w:snapToGrid w:val="0"/>
              <w:spacing w:before="50" w:after="50"/>
              <w:jc w:val="center"/>
              <w:rPr>
                <w:rFonts w:ascii="宋体" w:hAnsi="宋体" w:cs="宋体"/>
                <w:color w:val="auto"/>
                <w:sz w:val="24"/>
              </w:rPr>
            </w:pPr>
          </w:p>
        </w:tc>
        <w:tc>
          <w:tcPr>
            <w:tcW w:w="997" w:type="pct"/>
            <w:tcBorders>
              <w:top w:val="single" w:color="auto" w:sz="4" w:space="0"/>
              <w:left w:val="single" w:color="auto" w:sz="4" w:space="0"/>
              <w:bottom w:val="single" w:color="auto" w:sz="4" w:space="0"/>
              <w:right w:val="single" w:color="auto" w:sz="4" w:space="0"/>
            </w:tcBorders>
          </w:tcPr>
          <w:p w14:paraId="1E1EB5AE">
            <w:pPr>
              <w:snapToGrid w:val="0"/>
              <w:spacing w:before="50" w:after="50"/>
              <w:jc w:val="center"/>
              <w:rPr>
                <w:rFonts w:ascii="宋体" w:hAnsi="宋体" w:cs="宋体"/>
                <w:color w:val="auto"/>
                <w:sz w:val="24"/>
              </w:rPr>
            </w:pPr>
          </w:p>
        </w:tc>
        <w:tc>
          <w:tcPr>
            <w:tcW w:w="695" w:type="pct"/>
            <w:tcBorders>
              <w:top w:val="single" w:color="auto" w:sz="4" w:space="0"/>
              <w:left w:val="single" w:color="auto" w:sz="4" w:space="0"/>
              <w:bottom w:val="single" w:color="auto" w:sz="4" w:space="0"/>
              <w:right w:val="single" w:color="auto" w:sz="4" w:space="0"/>
            </w:tcBorders>
            <w:vAlign w:val="center"/>
          </w:tcPr>
          <w:p w14:paraId="57C77B46">
            <w:pPr>
              <w:snapToGrid w:val="0"/>
              <w:spacing w:before="50" w:after="50"/>
              <w:jc w:val="center"/>
              <w:rPr>
                <w:rFonts w:ascii="宋体" w:hAnsi="宋体" w:cs="宋体"/>
                <w:color w:val="auto"/>
                <w:sz w:val="24"/>
              </w:rPr>
            </w:pPr>
          </w:p>
        </w:tc>
        <w:tc>
          <w:tcPr>
            <w:tcW w:w="411" w:type="pct"/>
            <w:tcBorders>
              <w:top w:val="single" w:color="auto" w:sz="4" w:space="0"/>
              <w:left w:val="single" w:color="auto" w:sz="4" w:space="0"/>
              <w:bottom w:val="single" w:color="auto" w:sz="4" w:space="0"/>
              <w:right w:val="single" w:color="auto" w:sz="4" w:space="0"/>
            </w:tcBorders>
            <w:vAlign w:val="center"/>
          </w:tcPr>
          <w:p w14:paraId="0A4859BA">
            <w:pPr>
              <w:snapToGrid w:val="0"/>
              <w:spacing w:before="50" w:after="50"/>
              <w:jc w:val="center"/>
              <w:rPr>
                <w:rFonts w:ascii="宋体" w:hAnsi="宋体" w:cs="宋体"/>
                <w:color w:val="auto"/>
                <w:sz w:val="24"/>
              </w:rPr>
            </w:pPr>
          </w:p>
        </w:tc>
        <w:tc>
          <w:tcPr>
            <w:tcW w:w="837" w:type="pct"/>
            <w:tcBorders>
              <w:top w:val="single" w:color="auto" w:sz="4" w:space="0"/>
              <w:left w:val="single" w:color="auto" w:sz="4" w:space="0"/>
              <w:bottom w:val="single" w:color="auto" w:sz="4" w:space="0"/>
              <w:right w:val="single" w:color="auto" w:sz="4" w:space="0"/>
            </w:tcBorders>
            <w:vAlign w:val="center"/>
          </w:tcPr>
          <w:p w14:paraId="56BF0765">
            <w:pPr>
              <w:snapToGrid w:val="0"/>
              <w:spacing w:before="50" w:after="50"/>
              <w:jc w:val="center"/>
              <w:rPr>
                <w:rFonts w:ascii="宋体" w:hAnsi="宋体" w:cs="宋体"/>
                <w:color w:val="auto"/>
                <w:sz w:val="24"/>
              </w:rPr>
            </w:pPr>
          </w:p>
        </w:tc>
      </w:tr>
    </w:tbl>
    <w:p w14:paraId="176272C6">
      <w:pPr>
        <w:spacing w:line="360" w:lineRule="auto"/>
        <w:contextualSpacing/>
        <w:rPr>
          <w:rFonts w:ascii="宋体" w:hAnsi="宋体" w:cs="宋体"/>
          <w:color w:val="auto"/>
          <w:sz w:val="24"/>
        </w:rPr>
      </w:pPr>
      <w:r>
        <w:rPr>
          <w:rFonts w:hint="eastAsia" w:ascii="宋体" w:hAnsi="宋体" w:cs="宋体"/>
          <w:color w:val="auto"/>
          <w:sz w:val="24"/>
        </w:rPr>
        <w:t>备注：</w:t>
      </w:r>
    </w:p>
    <w:p w14:paraId="6E882EF0">
      <w:pPr>
        <w:pStyle w:val="17"/>
        <w:rPr>
          <w:rFonts w:ascii="宋体" w:hAnsi="宋体" w:cs="宋体"/>
          <w:color w:val="auto"/>
        </w:rPr>
      </w:pPr>
      <w:r>
        <w:rPr>
          <w:rFonts w:hint="eastAsia" w:ascii="宋体" w:hAnsi="宋体" w:cs="宋体"/>
          <w:b/>
          <w:bCs/>
          <w:color w:val="auto"/>
          <w:sz w:val="24"/>
        </w:rPr>
        <w:t>以上性能配置清单中“标的名称、数量及单位、品牌、规格型号、制造商、原产地、参数性能、指标及配置”必须如实填写完整，品牌、规格型号没有则填无，填写有缺漏的，响应文件作无效处理</w:t>
      </w:r>
      <w:r>
        <w:rPr>
          <w:rFonts w:hint="eastAsia" w:ascii="宋体" w:hAnsi="宋体" w:cs="宋体"/>
          <w:b/>
          <w:color w:val="auto"/>
          <w:sz w:val="24"/>
        </w:rPr>
        <w:t>。标的名称</w:t>
      </w:r>
      <w:r>
        <w:rPr>
          <w:rFonts w:hint="eastAsia" w:ascii="宋体" w:hAnsi="宋体" w:cs="宋体"/>
          <w:color w:val="auto"/>
          <w:sz w:val="24"/>
        </w:rPr>
        <w:t>、数量及单位、品牌必须与“采购需求”一致，</w:t>
      </w:r>
      <w:r>
        <w:rPr>
          <w:rFonts w:hint="eastAsia" w:ascii="宋体" w:hAnsi="宋体" w:cs="宋体"/>
          <w:bCs/>
          <w:color w:val="auto"/>
          <w:sz w:val="24"/>
        </w:rPr>
        <w:t>否则响应文件作无效处理。</w:t>
      </w:r>
    </w:p>
    <w:p w14:paraId="76D5E4AA">
      <w:pPr>
        <w:snapToGrid w:val="0"/>
        <w:spacing w:before="50" w:after="50" w:line="360" w:lineRule="auto"/>
        <w:ind w:right="-817" w:rightChars="-389"/>
        <w:rPr>
          <w:rFonts w:ascii="宋体" w:hAnsi="宋体" w:cs="宋体"/>
          <w:color w:val="auto"/>
          <w:sz w:val="24"/>
        </w:rPr>
      </w:pPr>
    </w:p>
    <w:p w14:paraId="0DE7845E">
      <w:pPr>
        <w:spacing w:line="360" w:lineRule="auto"/>
        <w:ind w:firstLine="3840" w:firstLineChars="1600"/>
        <w:rPr>
          <w:rFonts w:ascii="宋体" w:hAnsi="宋体" w:cs="宋体"/>
          <w:color w:val="auto"/>
          <w:sz w:val="24"/>
        </w:rPr>
      </w:pPr>
      <w:r>
        <w:rPr>
          <w:rFonts w:hint="eastAsia" w:ascii="宋体" w:hAnsi="宋体" w:cs="宋体"/>
          <w:color w:val="auto"/>
          <w:kern w:val="0"/>
          <w:sz w:val="24"/>
        </w:rPr>
        <w:t>供应商名称（电子签章）：</w:t>
      </w:r>
    </w:p>
    <w:p w14:paraId="7D978420">
      <w:pPr>
        <w:spacing w:line="360" w:lineRule="auto"/>
        <w:contextualSpacing/>
        <w:jc w:val="center"/>
        <w:rPr>
          <w:rFonts w:ascii="宋体" w:hAnsi="宋体" w:cs="宋体"/>
          <w:color w:val="auto"/>
          <w:kern w:val="0"/>
          <w:sz w:val="24"/>
        </w:rPr>
      </w:pPr>
      <w:r>
        <w:rPr>
          <w:rFonts w:hint="eastAsia" w:ascii="宋体" w:hAnsi="宋体" w:cs="宋体"/>
          <w:color w:val="auto"/>
          <w:kern w:val="0"/>
          <w:sz w:val="24"/>
        </w:rPr>
        <w:t xml:space="preserve">                                                   日期：  年  月   日</w:t>
      </w:r>
    </w:p>
    <w:p w14:paraId="4C93D0E7">
      <w:pPr>
        <w:pStyle w:val="17"/>
        <w:rPr>
          <w:rFonts w:ascii="宋体" w:hAnsi="宋体" w:cs="宋体"/>
          <w:color w:val="auto"/>
        </w:rPr>
      </w:pPr>
    </w:p>
    <w:p w14:paraId="3F425563">
      <w:pPr>
        <w:pStyle w:val="17"/>
        <w:rPr>
          <w:rFonts w:ascii="宋体" w:hAnsi="宋体" w:cs="宋体"/>
          <w:color w:val="auto"/>
        </w:rPr>
      </w:pPr>
    </w:p>
    <w:p w14:paraId="4618A308">
      <w:pPr>
        <w:pStyle w:val="17"/>
        <w:rPr>
          <w:rFonts w:ascii="宋体" w:hAnsi="宋体" w:cs="宋体"/>
          <w:color w:val="auto"/>
        </w:rPr>
      </w:pPr>
    </w:p>
    <w:p w14:paraId="189A8B51">
      <w:pPr>
        <w:pStyle w:val="17"/>
        <w:rPr>
          <w:rFonts w:ascii="宋体" w:hAnsi="宋体" w:cs="宋体"/>
          <w:color w:val="auto"/>
        </w:rPr>
      </w:pPr>
    </w:p>
    <w:p w14:paraId="604AE20C">
      <w:pPr>
        <w:pStyle w:val="17"/>
        <w:rPr>
          <w:rFonts w:ascii="宋体" w:hAnsi="宋体" w:cs="宋体"/>
          <w:color w:val="auto"/>
        </w:rPr>
      </w:pPr>
    </w:p>
    <w:p w14:paraId="4D926E59">
      <w:pPr>
        <w:jc w:val="center"/>
        <w:rPr>
          <w:rFonts w:ascii="宋体" w:hAnsi="宋体" w:cs="宋体"/>
          <w:b/>
          <w:bCs/>
          <w:color w:val="auto"/>
          <w:sz w:val="32"/>
          <w:szCs w:val="32"/>
        </w:rPr>
      </w:pPr>
      <w:r>
        <w:rPr>
          <w:rFonts w:hint="eastAsia" w:ascii="宋体" w:hAnsi="宋体" w:cs="宋体"/>
          <w:b/>
          <w:bCs/>
          <w:color w:val="auto"/>
          <w:sz w:val="32"/>
          <w:szCs w:val="32"/>
        </w:rPr>
        <w:t>三、售后服务方案</w:t>
      </w:r>
    </w:p>
    <w:p w14:paraId="1D307E6D">
      <w:pPr>
        <w:pStyle w:val="17"/>
        <w:rPr>
          <w:rFonts w:ascii="宋体" w:hAnsi="宋体" w:cs="宋体"/>
          <w:b/>
          <w:bCs/>
          <w:color w:val="auto"/>
          <w:sz w:val="24"/>
        </w:rPr>
      </w:pPr>
    </w:p>
    <w:p w14:paraId="01F29F84">
      <w:pPr>
        <w:pStyle w:val="17"/>
        <w:rPr>
          <w:rFonts w:ascii="宋体" w:hAnsi="宋体" w:cs="宋体"/>
          <w:b/>
          <w:bCs/>
          <w:color w:val="auto"/>
          <w:sz w:val="24"/>
        </w:rPr>
      </w:pPr>
      <w:r>
        <w:rPr>
          <w:rFonts w:hint="eastAsia" w:ascii="宋体" w:hAnsi="宋体" w:cs="宋体"/>
          <w:b/>
          <w:bCs/>
          <w:color w:val="auto"/>
          <w:sz w:val="24"/>
        </w:rPr>
        <w:t>由供应商按本项目竞争性谈判文件第三章“采购需求”中商务条款部分的售后服务要求自行填写，其中要包含售后服务承诺书。</w:t>
      </w:r>
    </w:p>
    <w:p w14:paraId="74212756">
      <w:pPr>
        <w:pStyle w:val="17"/>
        <w:rPr>
          <w:rFonts w:ascii="宋体" w:hAnsi="宋体" w:cs="宋体"/>
          <w:color w:val="auto"/>
        </w:rPr>
      </w:pPr>
    </w:p>
    <w:p w14:paraId="42B91DA7">
      <w:pPr>
        <w:pStyle w:val="17"/>
        <w:rPr>
          <w:rFonts w:ascii="宋体" w:hAnsi="宋体" w:cs="宋体"/>
          <w:color w:val="auto"/>
        </w:rPr>
      </w:pPr>
    </w:p>
    <w:p w14:paraId="4774544C">
      <w:pPr>
        <w:pStyle w:val="17"/>
        <w:rPr>
          <w:rFonts w:ascii="宋体" w:hAnsi="宋体" w:cs="宋体"/>
          <w:color w:val="auto"/>
        </w:rPr>
      </w:pPr>
    </w:p>
    <w:p w14:paraId="2A0A2606">
      <w:pPr>
        <w:spacing w:line="360" w:lineRule="auto"/>
        <w:ind w:firstLine="3840" w:firstLineChars="1600"/>
        <w:rPr>
          <w:rFonts w:ascii="宋体" w:hAnsi="宋体" w:cs="宋体"/>
          <w:color w:val="auto"/>
          <w:sz w:val="24"/>
        </w:rPr>
      </w:pPr>
      <w:r>
        <w:rPr>
          <w:rFonts w:hint="eastAsia" w:ascii="宋体" w:hAnsi="宋体" w:cs="宋体"/>
          <w:color w:val="auto"/>
          <w:kern w:val="0"/>
          <w:sz w:val="24"/>
        </w:rPr>
        <w:t>供应商名称（电子签章）：</w:t>
      </w:r>
    </w:p>
    <w:p w14:paraId="698E44FD">
      <w:pPr>
        <w:spacing w:line="360" w:lineRule="auto"/>
        <w:contextualSpacing/>
        <w:jc w:val="center"/>
        <w:rPr>
          <w:rFonts w:ascii="宋体" w:hAnsi="宋体" w:cs="宋体"/>
          <w:color w:val="auto"/>
          <w:kern w:val="0"/>
          <w:sz w:val="24"/>
        </w:rPr>
      </w:pPr>
      <w:r>
        <w:rPr>
          <w:rFonts w:hint="eastAsia" w:ascii="宋体" w:hAnsi="宋体" w:cs="宋体"/>
          <w:color w:val="auto"/>
          <w:kern w:val="0"/>
          <w:sz w:val="24"/>
        </w:rPr>
        <w:t xml:space="preserve">                                                   日期：  年  月   日</w:t>
      </w:r>
    </w:p>
    <w:p w14:paraId="23E15F57">
      <w:pPr>
        <w:pStyle w:val="17"/>
        <w:rPr>
          <w:rFonts w:ascii="宋体" w:hAnsi="宋体" w:cs="宋体"/>
          <w:color w:val="auto"/>
        </w:rPr>
      </w:pPr>
    </w:p>
    <w:p w14:paraId="4FEA9033">
      <w:pPr>
        <w:pStyle w:val="17"/>
        <w:rPr>
          <w:rFonts w:ascii="宋体" w:hAnsi="宋体" w:cs="宋体"/>
          <w:color w:val="auto"/>
        </w:rPr>
      </w:pPr>
    </w:p>
    <w:p w14:paraId="28F46068">
      <w:pPr>
        <w:pStyle w:val="17"/>
        <w:rPr>
          <w:rFonts w:ascii="宋体" w:hAnsi="宋体" w:cs="宋体"/>
          <w:color w:val="auto"/>
        </w:rPr>
      </w:pPr>
    </w:p>
    <w:p w14:paraId="03374074">
      <w:pPr>
        <w:pStyle w:val="17"/>
        <w:rPr>
          <w:rFonts w:ascii="宋体" w:hAnsi="宋体" w:cs="宋体"/>
          <w:color w:val="auto"/>
        </w:rPr>
      </w:pPr>
    </w:p>
    <w:p w14:paraId="2B2D85DA">
      <w:pPr>
        <w:rPr>
          <w:rFonts w:ascii="宋体" w:hAnsi="宋体" w:cs="宋体"/>
          <w:b/>
          <w:bCs/>
          <w:color w:val="auto"/>
          <w:sz w:val="32"/>
          <w:szCs w:val="32"/>
        </w:rPr>
      </w:pPr>
      <w:r>
        <w:rPr>
          <w:rFonts w:hint="eastAsia" w:ascii="宋体" w:hAnsi="宋体" w:cs="宋体"/>
          <w:b/>
          <w:bCs/>
          <w:color w:val="auto"/>
          <w:sz w:val="32"/>
          <w:szCs w:val="32"/>
        </w:rPr>
        <w:br w:type="page"/>
      </w:r>
    </w:p>
    <w:p w14:paraId="40337609">
      <w:pPr>
        <w:jc w:val="center"/>
        <w:rPr>
          <w:rFonts w:ascii="宋体" w:hAnsi="宋体" w:cs="宋体"/>
          <w:b/>
          <w:bCs/>
          <w:color w:val="auto"/>
          <w:sz w:val="32"/>
          <w:szCs w:val="32"/>
        </w:rPr>
      </w:pPr>
      <w:r>
        <w:rPr>
          <w:rFonts w:hint="eastAsia" w:ascii="宋体" w:hAnsi="宋体" w:cs="宋体"/>
          <w:b/>
          <w:bCs/>
          <w:color w:val="auto"/>
          <w:sz w:val="32"/>
          <w:szCs w:val="32"/>
        </w:rPr>
        <w:t>四、项目实施人员一览表</w:t>
      </w:r>
    </w:p>
    <w:p w14:paraId="7119F482">
      <w:pPr>
        <w:rPr>
          <w:rFonts w:ascii="宋体" w:hAnsi="宋体" w:cs="宋体"/>
          <w:color w:val="auto"/>
        </w:rPr>
      </w:pPr>
    </w:p>
    <w:p w14:paraId="65E8DE3F">
      <w:pPr>
        <w:rPr>
          <w:rFonts w:ascii="宋体" w:hAnsi="宋体" w:cs="宋体"/>
          <w:color w:val="auto"/>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766"/>
        <w:gridCol w:w="1837"/>
        <w:gridCol w:w="1533"/>
        <w:gridCol w:w="1833"/>
        <w:gridCol w:w="1990"/>
      </w:tblGrid>
      <w:tr w14:paraId="1D51A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882" w:type="dxa"/>
            <w:vAlign w:val="center"/>
          </w:tcPr>
          <w:p w14:paraId="14B5F259">
            <w:pPr>
              <w:snapToGrid w:val="0"/>
              <w:spacing w:before="50" w:after="156" w:afterLines="50"/>
              <w:jc w:val="center"/>
              <w:rPr>
                <w:rFonts w:ascii="宋体" w:hAnsi="宋体" w:cs="宋体"/>
                <w:color w:val="auto"/>
                <w:sz w:val="24"/>
                <w:szCs w:val="20"/>
              </w:rPr>
            </w:pPr>
          </w:p>
          <w:p w14:paraId="5331F4C9">
            <w:pPr>
              <w:snapToGrid w:val="0"/>
              <w:spacing w:before="50" w:after="156" w:afterLines="50"/>
              <w:jc w:val="center"/>
              <w:rPr>
                <w:rFonts w:ascii="宋体" w:hAnsi="宋体" w:cs="宋体"/>
                <w:color w:val="auto"/>
                <w:sz w:val="24"/>
                <w:szCs w:val="20"/>
              </w:rPr>
            </w:pPr>
            <w:r>
              <w:rPr>
                <w:rFonts w:hint="eastAsia" w:ascii="宋体" w:hAnsi="宋体" w:cs="宋体"/>
                <w:color w:val="auto"/>
                <w:sz w:val="24"/>
                <w:szCs w:val="20"/>
              </w:rPr>
              <w:t>姓名</w:t>
            </w:r>
          </w:p>
        </w:tc>
        <w:tc>
          <w:tcPr>
            <w:tcW w:w="766" w:type="dxa"/>
            <w:vAlign w:val="center"/>
          </w:tcPr>
          <w:p w14:paraId="145CA800">
            <w:pPr>
              <w:snapToGrid w:val="0"/>
              <w:spacing w:before="50" w:after="156" w:afterLines="50"/>
              <w:jc w:val="center"/>
              <w:rPr>
                <w:rFonts w:ascii="宋体" w:hAnsi="宋体" w:cs="宋体"/>
                <w:color w:val="auto"/>
                <w:sz w:val="24"/>
                <w:szCs w:val="20"/>
              </w:rPr>
            </w:pPr>
            <w:r>
              <w:rPr>
                <w:rFonts w:hint="eastAsia" w:ascii="宋体" w:hAnsi="宋体" w:cs="宋体"/>
                <w:color w:val="auto"/>
                <w:sz w:val="24"/>
                <w:szCs w:val="20"/>
              </w:rPr>
              <w:t>职务</w:t>
            </w:r>
          </w:p>
        </w:tc>
        <w:tc>
          <w:tcPr>
            <w:tcW w:w="1837" w:type="dxa"/>
            <w:vAlign w:val="center"/>
          </w:tcPr>
          <w:p w14:paraId="7EAB04C2">
            <w:pPr>
              <w:snapToGrid w:val="0"/>
              <w:spacing w:before="50" w:after="156" w:afterLines="50"/>
              <w:jc w:val="center"/>
              <w:rPr>
                <w:rFonts w:ascii="宋体" w:hAnsi="宋体" w:cs="宋体"/>
                <w:color w:val="auto"/>
                <w:sz w:val="24"/>
                <w:szCs w:val="20"/>
              </w:rPr>
            </w:pPr>
            <w:r>
              <w:rPr>
                <w:rFonts w:hint="eastAsia" w:ascii="宋体" w:hAnsi="宋体" w:cs="宋体"/>
                <w:color w:val="auto"/>
                <w:sz w:val="24"/>
                <w:szCs w:val="20"/>
              </w:rPr>
              <w:t>专业技术资格（职称）或者职业资格或者执业资格证或者其他证书</w:t>
            </w:r>
          </w:p>
        </w:tc>
        <w:tc>
          <w:tcPr>
            <w:tcW w:w="1533" w:type="dxa"/>
            <w:vAlign w:val="center"/>
          </w:tcPr>
          <w:p w14:paraId="7F3355FD">
            <w:pPr>
              <w:snapToGrid w:val="0"/>
              <w:spacing w:before="50" w:after="156" w:afterLines="50"/>
              <w:jc w:val="center"/>
              <w:rPr>
                <w:rFonts w:ascii="宋体" w:hAnsi="宋体" w:cs="宋体"/>
                <w:color w:val="auto"/>
                <w:sz w:val="24"/>
                <w:szCs w:val="20"/>
              </w:rPr>
            </w:pPr>
            <w:r>
              <w:rPr>
                <w:rFonts w:hint="eastAsia" w:ascii="宋体" w:hAnsi="宋体" w:cs="宋体"/>
                <w:color w:val="auto"/>
                <w:sz w:val="24"/>
                <w:szCs w:val="20"/>
              </w:rPr>
              <w:t>证书编号</w:t>
            </w:r>
          </w:p>
        </w:tc>
        <w:tc>
          <w:tcPr>
            <w:tcW w:w="1833" w:type="dxa"/>
            <w:vAlign w:val="center"/>
          </w:tcPr>
          <w:p w14:paraId="409B443F">
            <w:pPr>
              <w:snapToGrid w:val="0"/>
              <w:spacing w:before="50" w:after="156" w:afterLines="50"/>
              <w:jc w:val="center"/>
              <w:rPr>
                <w:rFonts w:ascii="宋体" w:hAnsi="宋体" w:cs="宋体"/>
                <w:color w:val="auto"/>
                <w:sz w:val="24"/>
                <w:szCs w:val="20"/>
              </w:rPr>
            </w:pPr>
            <w:r>
              <w:rPr>
                <w:rFonts w:hint="eastAsia" w:ascii="宋体" w:hAnsi="宋体" w:cs="宋体"/>
                <w:color w:val="auto"/>
                <w:sz w:val="24"/>
                <w:szCs w:val="20"/>
              </w:rPr>
              <w:t>参加本单位</w:t>
            </w:r>
          </w:p>
          <w:p w14:paraId="5025F813">
            <w:pPr>
              <w:snapToGrid w:val="0"/>
              <w:spacing w:before="50" w:after="156" w:afterLines="50"/>
              <w:jc w:val="center"/>
              <w:rPr>
                <w:rFonts w:ascii="宋体" w:hAnsi="宋体" w:cs="宋体"/>
                <w:color w:val="auto"/>
                <w:sz w:val="24"/>
                <w:szCs w:val="20"/>
              </w:rPr>
            </w:pPr>
            <w:r>
              <w:rPr>
                <w:rFonts w:hint="eastAsia" w:ascii="宋体" w:hAnsi="宋体" w:cs="宋体"/>
                <w:color w:val="auto"/>
                <w:sz w:val="24"/>
                <w:szCs w:val="20"/>
              </w:rPr>
              <w:t>工作时间</w:t>
            </w:r>
          </w:p>
        </w:tc>
        <w:tc>
          <w:tcPr>
            <w:tcW w:w="1990" w:type="dxa"/>
            <w:vAlign w:val="center"/>
          </w:tcPr>
          <w:p w14:paraId="60952D3C">
            <w:pPr>
              <w:snapToGrid w:val="0"/>
              <w:spacing w:before="50" w:after="156" w:afterLines="50"/>
              <w:jc w:val="center"/>
              <w:rPr>
                <w:rFonts w:ascii="宋体" w:hAnsi="宋体" w:cs="宋体"/>
                <w:color w:val="auto"/>
                <w:sz w:val="24"/>
                <w:szCs w:val="20"/>
              </w:rPr>
            </w:pPr>
            <w:r>
              <w:rPr>
                <w:rFonts w:hint="eastAsia" w:ascii="宋体" w:hAnsi="宋体" w:cs="宋体"/>
                <w:color w:val="auto"/>
                <w:sz w:val="24"/>
                <w:szCs w:val="20"/>
              </w:rPr>
              <w:t>劳动合同编号</w:t>
            </w:r>
          </w:p>
        </w:tc>
      </w:tr>
      <w:tr w14:paraId="23FF8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82" w:type="dxa"/>
            <w:vAlign w:val="center"/>
          </w:tcPr>
          <w:p w14:paraId="0DA4CACA">
            <w:pPr>
              <w:snapToGrid w:val="0"/>
              <w:spacing w:before="50" w:after="156" w:afterLines="50"/>
              <w:jc w:val="center"/>
              <w:rPr>
                <w:rFonts w:ascii="宋体" w:hAnsi="宋体" w:cs="宋体"/>
                <w:color w:val="auto"/>
                <w:sz w:val="24"/>
                <w:szCs w:val="20"/>
              </w:rPr>
            </w:pPr>
          </w:p>
        </w:tc>
        <w:tc>
          <w:tcPr>
            <w:tcW w:w="766" w:type="dxa"/>
            <w:vAlign w:val="center"/>
          </w:tcPr>
          <w:p w14:paraId="42977D72">
            <w:pPr>
              <w:snapToGrid w:val="0"/>
              <w:spacing w:before="50" w:after="156" w:afterLines="50"/>
              <w:jc w:val="center"/>
              <w:rPr>
                <w:rFonts w:ascii="宋体" w:hAnsi="宋体" w:cs="宋体"/>
                <w:color w:val="auto"/>
                <w:sz w:val="24"/>
                <w:szCs w:val="20"/>
              </w:rPr>
            </w:pPr>
          </w:p>
        </w:tc>
        <w:tc>
          <w:tcPr>
            <w:tcW w:w="1837" w:type="dxa"/>
            <w:vAlign w:val="center"/>
          </w:tcPr>
          <w:p w14:paraId="4B64F40C">
            <w:pPr>
              <w:snapToGrid w:val="0"/>
              <w:spacing w:before="50" w:after="156" w:afterLines="50"/>
              <w:jc w:val="center"/>
              <w:rPr>
                <w:rFonts w:ascii="宋体" w:hAnsi="宋体" w:cs="宋体"/>
                <w:color w:val="auto"/>
                <w:sz w:val="24"/>
                <w:szCs w:val="20"/>
              </w:rPr>
            </w:pPr>
          </w:p>
        </w:tc>
        <w:tc>
          <w:tcPr>
            <w:tcW w:w="1533" w:type="dxa"/>
            <w:vAlign w:val="center"/>
          </w:tcPr>
          <w:p w14:paraId="76B910F9">
            <w:pPr>
              <w:snapToGrid w:val="0"/>
              <w:spacing w:before="50" w:after="156" w:afterLines="50"/>
              <w:jc w:val="center"/>
              <w:rPr>
                <w:rFonts w:ascii="宋体" w:hAnsi="宋体" w:cs="宋体"/>
                <w:color w:val="auto"/>
                <w:sz w:val="24"/>
                <w:szCs w:val="20"/>
              </w:rPr>
            </w:pPr>
          </w:p>
        </w:tc>
        <w:tc>
          <w:tcPr>
            <w:tcW w:w="1833" w:type="dxa"/>
            <w:vAlign w:val="center"/>
          </w:tcPr>
          <w:p w14:paraId="0F32A790">
            <w:pPr>
              <w:snapToGrid w:val="0"/>
              <w:spacing w:before="50" w:after="156" w:afterLines="50"/>
              <w:jc w:val="center"/>
              <w:rPr>
                <w:rFonts w:ascii="宋体" w:hAnsi="宋体" w:cs="宋体"/>
                <w:color w:val="auto"/>
                <w:sz w:val="24"/>
                <w:szCs w:val="20"/>
              </w:rPr>
            </w:pPr>
          </w:p>
        </w:tc>
        <w:tc>
          <w:tcPr>
            <w:tcW w:w="1990" w:type="dxa"/>
            <w:vAlign w:val="center"/>
          </w:tcPr>
          <w:p w14:paraId="524D54E3">
            <w:pPr>
              <w:snapToGrid w:val="0"/>
              <w:spacing w:before="50" w:after="156" w:afterLines="50"/>
              <w:jc w:val="center"/>
              <w:rPr>
                <w:rFonts w:ascii="宋体" w:hAnsi="宋体" w:cs="宋体"/>
                <w:color w:val="auto"/>
                <w:sz w:val="24"/>
                <w:szCs w:val="20"/>
              </w:rPr>
            </w:pPr>
          </w:p>
        </w:tc>
      </w:tr>
      <w:tr w14:paraId="091B1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82" w:type="dxa"/>
            <w:vAlign w:val="center"/>
          </w:tcPr>
          <w:p w14:paraId="666071A6">
            <w:pPr>
              <w:snapToGrid w:val="0"/>
              <w:spacing w:before="50" w:after="156" w:afterLines="50"/>
              <w:jc w:val="center"/>
              <w:rPr>
                <w:rFonts w:ascii="宋体" w:hAnsi="宋体" w:cs="宋体"/>
                <w:color w:val="auto"/>
                <w:sz w:val="24"/>
                <w:szCs w:val="20"/>
              </w:rPr>
            </w:pPr>
          </w:p>
        </w:tc>
        <w:tc>
          <w:tcPr>
            <w:tcW w:w="766" w:type="dxa"/>
            <w:vAlign w:val="center"/>
          </w:tcPr>
          <w:p w14:paraId="512F4868">
            <w:pPr>
              <w:snapToGrid w:val="0"/>
              <w:spacing w:before="50" w:after="156" w:afterLines="50"/>
              <w:jc w:val="center"/>
              <w:rPr>
                <w:rFonts w:ascii="宋体" w:hAnsi="宋体" w:cs="宋体"/>
                <w:color w:val="auto"/>
                <w:sz w:val="24"/>
                <w:szCs w:val="20"/>
              </w:rPr>
            </w:pPr>
          </w:p>
        </w:tc>
        <w:tc>
          <w:tcPr>
            <w:tcW w:w="1837" w:type="dxa"/>
            <w:vAlign w:val="center"/>
          </w:tcPr>
          <w:p w14:paraId="3DA3E44B">
            <w:pPr>
              <w:snapToGrid w:val="0"/>
              <w:spacing w:before="50" w:after="156" w:afterLines="50"/>
              <w:jc w:val="center"/>
              <w:rPr>
                <w:rFonts w:ascii="宋体" w:hAnsi="宋体" w:cs="宋体"/>
                <w:color w:val="auto"/>
                <w:sz w:val="24"/>
                <w:szCs w:val="20"/>
              </w:rPr>
            </w:pPr>
          </w:p>
        </w:tc>
        <w:tc>
          <w:tcPr>
            <w:tcW w:w="1533" w:type="dxa"/>
            <w:vAlign w:val="center"/>
          </w:tcPr>
          <w:p w14:paraId="4A324539">
            <w:pPr>
              <w:snapToGrid w:val="0"/>
              <w:spacing w:before="50" w:after="156" w:afterLines="50"/>
              <w:jc w:val="center"/>
              <w:rPr>
                <w:rFonts w:ascii="宋体" w:hAnsi="宋体" w:cs="宋体"/>
                <w:color w:val="auto"/>
                <w:sz w:val="24"/>
                <w:szCs w:val="20"/>
              </w:rPr>
            </w:pPr>
          </w:p>
        </w:tc>
        <w:tc>
          <w:tcPr>
            <w:tcW w:w="1833" w:type="dxa"/>
            <w:vAlign w:val="center"/>
          </w:tcPr>
          <w:p w14:paraId="448D8AEE">
            <w:pPr>
              <w:snapToGrid w:val="0"/>
              <w:spacing w:before="50" w:after="156" w:afterLines="50"/>
              <w:jc w:val="center"/>
              <w:rPr>
                <w:rFonts w:ascii="宋体" w:hAnsi="宋体" w:cs="宋体"/>
                <w:color w:val="auto"/>
                <w:sz w:val="24"/>
                <w:szCs w:val="20"/>
              </w:rPr>
            </w:pPr>
          </w:p>
        </w:tc>
        <w:tc>
          <w:tcPr>
            <w:tcW w:w="1990" w:type="dxa"/>
            <w:vAlign w:val="center"/>
          </w:tcPr>
          <w:p w14:paraId="6DF683F9">
            <w:pPr>
              <w:snapToGrid w:val="0"/>
              <w:spacing w:before="50" w:after="156" w:afterLines="50"/>
              <w:jc w:val="center"/>
              <w:rPr>
                <w:rFonts w:ascii="宋体" w:hAnsi="宋体" w:cs="宋体"/>
                <w:color w:val="auto"/>
                <w:sz w:val="24"/>
                <w:szCs w:val="20"/>
              </w:rPr>
            </w:pPr>
          </w:p>
        </w:tc>
      </w:tr>
      <w:tr w14:paraId="2F2C8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82" w:type="dxa"/>
            <w:vAlign w:val="center"/>
          </w:tcPr>
          <w:p w14:paraId="54BA36C0">
            <w:pPr>
              <w:snapToGrid w:val="0"/>
              <w:spacing w:before="50" w:after="156" w:afterLines="50"/>
              <w:jc w:val="center"/>
              <w:rPr>
                <w:rFonts w:ascii="宋体" w:hAnsi="宋体" w:cs="宋体"/>
                <w:color w:val="auto"/>
                <w:sz w:val="24"/>
                <w:szCs w:val="20"/>
              </w:rPr>
            </w:pPr>
          </w:p>
        </w:tc>
        <w:tc>
          <w:tcPr>
            <w:tcW w:w="766" w:type="dxa"/>
            <w:vAlign w:val="center"/>
          </w:tcPr>
          <w:p w14:paraId="681F0351">
            <w:pPr>
              <w:snapToGrid w:val="0"/>
              <w:spacing w:before="50" w:after="156" w:afterLines="50"/>
              <w:jc w:val="center"/>
              <w:rPr>
                <w:rFonts w:ascii="宋体" w:hAnsi="宋体" w:cs="宋体"/>
                <w:color w:val="auto"/>
                <w:sz w:val="24"/>
                <w:szCs w:val="20"/>
              </w:rPr>
            </w:pPr>
          </w:p>
        </w:tc>
        <w:tc>
          <w:tcPr>
            <w:tcW w:w="1837" w:type="dxa"/>
            <w:vAlign w:val="center"/>
          </w:tcPr>
          <w:p w14:paraId="26017F18">
            <w:pPr>
              <w:snapToGrid w:val="0"/>
              <w:spacing w:before="50" w:after="156" w:afterLines="50"/>
              <w:jc w:val="center"/>
              <w:rPr>
                <w:rFonts w:ascii="宋体" w:hAnsi="宋体" w:cs="宋体"/>
                <w:color w:val="auto"/>
                <w:sz w:val="24"/>
                <w:szCs w:val="20"/>
              </w:rPr>
            </w:pPr>
          </w:p>
        </w:tc>
        <w:tc>
          <w:tcPr>
            <w:tcW w:w="1533" w:type="dxa"/>
            <w:vAlign w:val="center"/>
          </w:tcPr>
          <w:p w14:paraId="326860E0">
            <w:pPr>
              <w:snapToGrid w:val="0"/>
              <w:spacing w:before="50" w:after="156" w:afterLines="50"/>
              <w:jc w:val="center"/>
              <w:rPr>
                <w:rFonts w:ascii="宋体" w:hAnsi="宋体" w:cs="宋体"/>
                <w:color w:val="auto"/>
                <w:sz w:val="24"/>
                <w:szCs w:val="20"/>
              </w:rPr>
            </w:pPr>
          </w:p>
        </w:tc>
        <w:tc>
          <w:tcPr>
            <w:tcW w:w="1833" w:type="dxa"/>
            <w:vAlign w:val="center"/>
          </w:tcPr>
          <w:p w14:paraId="4E341DF2">
            <w:pPr>
              <w:snapToGrid w:val="0"/>
              <w:spacing w:before="50" w:after="156" w:afterLines="50"/>
              <w:jc w:val="center"/>
              <w:rPr>
                <w:rFonts w:ascii="宋体" w:hAnsi="宋体" w:cs="宋体"/>
                <w:color w:val="auto"/>
                <w:sz w:val="24"/>
                <w:szCs w:val="20"/>
              </w:rPr>
            </w:pPr>
          </w:p>
        </w:tc>
        <w:tc>
          <w:tcPr>
            <w:tcW w:w="1990" w:type="dxa"/>
            <w:vAlign w:val="center"/>
          </w:tcPr>
          <w:p w14:paraId="643B84E7">
            <w:pPr>
              <w:snapToGrid w:val="0"/>
              <w:spacing w:before="50" w:after="156" w:afterLines="50"/>
              <w:jc w:val="center"/>
              <w:rPr>
                <w:rFonts w:ascii="宋体" w:hAnsi="宋体" w:cs="宋体"/>
                <w:color w:val="auto"/>
                <w:sz w:val="24"/>
                <w:szCs w:val="20"/>
              </w:rPr>
            </w:pPr>
          </w:p>
        </w:tc>
      </w:tr>
    </w:tbl>
    <w:p w14:paraId="56C30B0B">
      <w:pPr>
        <w:snapToGrid w:val="0"/>
        <w:spacing w:before="50" w:after="156" w:afterLines="50"/>
        <w:jc w:val="left"/>
        <w:rPr>
          <w:rFonts w:ascii="宋体" w:hAnsi="宋体" w:cs="宋体"/>
          <w:color w:val="auto"/>
          <w:sz w:val="24"/>
          <w:szCs w:val="20"/>
        </w:rPr>
      </w:pPr>
      <w:r>
        <w:rPr>
          <w:rFonts w:hint="eastAsia" w:ascii="宋体" w:hAnsi="宋体" w:cs="宋体"/>
          <w:color w:val="auto"/>
          <w:sz w:val="24"/>
          <w:szCs w:val="20"/>
        </w:rPr>
        <w:t>注：在填写时，如本表格不适合供应商的实际情况，可根据本表格式自行制表填写。</w:t>
      </w:r>
    </w:p>
    <w:p w14:paraId="2449663D">
      <w:pPr>
        <w:spacing w:line="360" w:lineRule="auto"/>
        <w:ind w:firstLine="3840" w:firstLineChars="1600"/>
        <w:rPr>
          <w:rFonts w:ascii="宋体" w:hAnsi="宋体" w:cs="宋体"/>
          <w:color w:val="auto"/>
          <w:kern w:val="0"/>
          <w:sz w:val="24"/>
        </w:rPr>
      </w:pPr>
    </w:p>
    <w:p w14:paraId="510A6FCD">
      <w:pPr>
        <w:spacing w:line="360" w:lineRule="auto"/>
        <w:ind w:firstLine="3840" w:firstLineChars="1600"/>
        <w:rPr>
          <w:rFonts w:ascii="宋体" w:hAnsi="宋体" w:cs="宋体"/>
          <w:color w:val="auto"/>
          <w:sz w:val="24"/>
        </w:rPr>
      </w:pPr>
      <w:r>
        <w:rPr>
          <w:rFonts w:hint="eastAsia" w:ascii="宋体" w:hAnsi="宋体" w:cs="宋体"/>
          <w:color w:val="auto"/>
          <w:kern w:val="0"/>
          <w:sz w:val="24"/>
        </w:rPr>
        <w:t>供应商名称（电子签章）：</w:t>
      </w:r>
    </w:p>
    <w:p w14:paraId="46365798">
      <w:pPr>
        <w:spacing w:line="360" w:lineRule="auto"/>
        <w:contextualSpacing/>
        <w:jc w:val="center"/>
        <w:rPr>
          <w:rFonts w:ascii="宋体" w:hAnsi="宋体" w:cs="宋体"/>
          <w:color w:val="auto"/>
          <w:kern w:val="0"/>
          <w:sz w:val="24"/>
        </w:rPr>
      </w:pPr>
      <w:r>
        <w:rPr>
          <w:rFonts w:hint="eastAsia" w:ascii="宋体" w:hAnsi="宋体" w:cs="宋体"/>
          <w:color w:val="auto"/>
          <w:kern w:val="0"/>
          <w:sz w:val="24"/>
        </w:rPr>
        <w:t xml:space="preserve">                                                   日期：  年  月   日</w:t>
      </w:r>
    </w:p>
    <w:p w14:paraId="0EEECE04">
      <w:pPr>
        <w:pStyle w:val="23"/>
        <w:ind w:firstLine="210"/>
        <w:rPr>
          <w:rFonts w:ascii="宋体" w:hAnsi="宋体" w:cs="宋体"/>
          <w:color w:val="auto"/>
        </w:rPr>
      </w:pPr>
    </w:p>
    <w:p w14:paraId="5EECF12F">
      <w:pPr>
        <w:pStyle w:val="17"/>
        <w:rPr>
          <w:rFonts w:ascii="宋体" w:hAnsi="宋体" w:cs="宋体"/>
          <w:color w:val="auto"/>
        </w:rPr>
      </w:pPr>
    </w:p>
    <w:p w14:paraId="622CC434">
      <w:pPr>
        <w:pStyle w:val="17"/>
        <w:rPr>
          <w:rFonts w:ascii="宋体" w:hAnsi="宋体" w:cs="宋体"/>
          <w:color w:val="auto"/>
        </w:rPr>
      </w:pPr>
    </w:p>
    <w:p w14:paraId="29CF800C">
      <w:pPr>
        <w:jc w:val="center"/>
        <w:rPr>
          <w:rFonts w:ascii="宋体" w:hAnsi="宋体" w:cs="宋体"/>
          <w:b/>
          <w:bCs/>
          <w:color w:val="auto"/>
          <w:sz w:val="32"/>
          <w:szCs w:val="32"/>
        </w:rPr>
      </w:pPr>
      <w:r>
        <w:rPr>
          <w:rFonts w:hint="eastAsia" w:ascii="宋体" w:hAnsi="宋体" w:cs="宋体"/>
          <w:b/>
          <w:bCs/>
          <w:color w:val="auto"/>
          <w:sz w:val="32"/>
          <w:szCs w:val="32"/>
        </w:rPr>
        <w:t>五、供应商认为需要提供的其他有关资料</w:t>
      </w:r>
    </w:p>
    <w:p w14:paraId="451ED963">
      <w:pPr>
        <w:spacing w:line="360" w:lineRule="auto"/>
        <w:ind w:firstLine="5760" w:firstLineChars="1600"/>
        <w:rPr>
          <w:rFonts w:ascii="宋体" w:hAnsi="宋体" w:cs="宋体"/>
          <w:color w:val="auto"/>
          <w:sz w:val="36"/>
          <w:szCs w:val="36"/>
        </w:rPr>
      </w:pPr>
    </w:p>
    <w:p w14:paraId="17A8EB6E">
      <w:pPr>
        <w:spacing w:line="360" w:lineRule="auto"/>
        <w:ind w:firstLine="3840" w:firstLineChars="1600"/>
        <w:rPr>
          <w:rFonts w:ascii="宋体" w:hAnsi="宋体" w:cs="宋体"/>
          <w:color w:val="auto"/>
          <w:sz w:val="24"/>
        </w:rPr>
      </w:pPr>
      <w:r>
        <w:rPr>
          <w:rFonts w:hint="eastAsia" w:ascii="宋体" w:hAnsi="宋体" w:cs="宋体"/>
          <w:color w:val="auto"/>
          <w:kern w:val="0"/>
          <w:sz w:val="24"/>
        </w:rPr>
        <w:t>供应商名称（电子签章）：</w:t>
      </w:r>
    </w:p>
    <w:p w14:paraId="1D59BCBC">
      <w:pPr>
        <w:spacing w:line="360" w:lineRule="auto"/>
        <w:contextualSpacing/>
        <w:jc w:val="center"/>
        <w:rPr>
          <w:rFonts w:ascii="宋体" w:hAnsi="宋体" w:cs="宋体"/>
          <w:color w:val="auto"/>
          <w:kern w:val="0"/>
          <w:sz w:val="24"/>
        </w:rPr>
      </w:pPr>
      <w:r>
        <w:rPr>
          <w:rFonts w:hint="eastAsia" w:ascii="宋体" w:hAnsi="宋体" w:cs="宋体"/>
          <w:color w:val="auto"/>
          <w:kern w:val="0"/>
          <w:sz w:val="24"/>
        </w:rPr>
        <w:t xml:space="preserve">                                                   日期：  年  月   日</w:t>
      </w:r>
    </w:p>
    <w:p w14:paraId="6CCDCA23">
      <w:pPr>
        <w:pStyle w:val="3"/>
        <w:rPr>
          <w:rFonts w:ascii="宋体" w:hAnsi="宋体" w:cs="宋体"/>
          <w:color w:val="auto"/>
        </w:rPr>
      </w:pPr>
      <w:r>
        <w:rPr>
          <w:rFonts w:hint="eastAsia" w:ascii="宋体" w:hAnsi="宋体" w:cs="宋体"/>
          <w:color w:val="auto"/>
        </w:rPr>
        <w:br w:type="page"/>
      </w:r>
      <w:bookmarkStart w:id="72" w:name="_Toc175"/>
      <w:r>
        <w:rPr>
          <w:rFonts w:hint="eastAsia" w:ascii="宋体" w:hAnsi="宋体" w:cs="宋体"/>
          <w:color w:val="auto"/>
        </w:rPr>
        <w:t>三、报价文件格式</w:t>
      </w:r>
      <w:bookmarkEnd w:id="72"/>
    </w:p>
    <w:p w14:paraId="41FAB3CD">
      <w:pPr>
        <w:snapToGrid w:val="0"/>
        <w:spacing w:before="156" w:beforeLines="50" w:after="50" w:line="360" w:lineRule="auto"/>
        <w:jc w:val="left"/>
        <w:rPr>
          <w:rFonts w:ascii="宋体" w:hAnsi="宋体" w:cs="宋体"/>
          <w:b/>
          <w:color w:val="auto"/>
          <w:sz w:val="24"/>
        </w:rPr>
      </w:pPr>
      <w:r>
        <w:rPr>
          <w:rFonts w:hint="eastAsia" w:ascii="宋体" w:hAnsi="宋体" w:cs="宋体"/>
          <w:b/>
          <w:color w:val="auto"/>
          <w:sz w:val="32"/>
          <w:szCs w:val="32"/>
        </w:rPr>
        <w:t>1.报价文件封面格式：</w:t>
      </w:r>
      <w:r>
        <w:rPr>
          <w:rFonts w:hint="eastAsia" w:ascii="宋体" w:hAnsi="宋体" w:cs="宋体"/>
          <w:b/>
          <w:color w:val="auto"/>
          <w:sz w:val="24"/>
        </w:rPr>
        <w:t xml:space="preserve"> </w:t>
      </w:r>
    </w:p>
    <w:p w14:paraId="16975A31">
      <w:pPr>
        <w:snapToGrid w:val="0"/>
        <w:spacing w:before="156" w:beforeLines="50" w:after="50"/>
        <w:rPr>
          <w:rFonts w:ascii="宋体" w:hAnsi="宋体" w:cs="宋体"/>
          <w:bCs/>
          <w:color w:val="auto"/>
          <w:sz w:val="32"/>
          <w:szCs w:val="20"/>
        </w:rPr>
      </w:pPr>
      <w:r>
        <w:rPr>
          <w:rFonts w:hint="eastAsia" w:ascii="宋体" w:hAnsi="宋体" w:cs="宋体"/>
          <w:color w:val="auto"/>
          <w:sz w:val="24"/>
        </w:rPr>
        <w:t xml:space="preserve">                                                </w:t>
      </w:r>
      <w:r>
        <w:rPr>
          <w:rFonts w:hint="eastAsia" w:ascii="宋体" w:hAnsi="宋体" w:cs="宋体"/>
          <w:bCs/>
          <w:color w:val="auto"/>
          <w:sz w:val="24"/>
        </w:rPr>
        <w:t>电子响应文件</w:t>
      </w:r>
    </w:p>
    <w:p w14:paraId="31BC95F1">
      <w:pPr>
        <w:snapToGrid w:val="0"/>
        <w:spacing w:before="156" w:beforeLines="50" w:after="50"/>
        <w:rPr>
          <w:rFonts w:ascii="宋体" w:hAnsi="宋体" w:cs="宋体"/>
          <w:color w:val="auto"/>
          <w:sz w:val="24"/>
          <w:szCs w:val="20"/>
        </w:rPr>
      </w:pPr>
    </w:p>
    <w:p w14:paraId="1A83848E">
      <w:pPr>
        <w:snapToGrid w:val="0"/>
        <w:spacing w:before="156" w:beforeLines="50" w:after="50"/>
        <w:rPr>
          <w:rFonts w:ascii="宋体" w:hAnsi="宋体" w:cs="宋体"/>
          <w:color w:val="auto"/>
          <w:sz w:val="24"/>
          <w:szCs w:val="20"/>
        </w:rPr>
      </w:pPr>
    </w:p>
    <w:p w14:paraId="09B43A5A">
      <w:pPr>
        <w:snapToGrid w:val="0"/>
        <w:spacing w:before="156" w:beforeLines="50" w:after="50"/>
        <w:jc w:val="center"/>
        <w:rPr>
          <w:rFonts w:ascii="宋体" w:hAnsi="宋体" w:cs="宋体"/>
          <w:bCs/>
          <w:color w:val="auto"/>
          <w:sz w:val="44"/>
          <w:szCs w:val="44"/>
        </w:rPr>
      </w:pPr>
      <w:r>
        <w:rPr>
          <w:rFonts w:hint="eastAsia" w:ascii="宋体" w:hAnsi="宋体" w:cs="宋体"/>
          <w:bCs/>
          <w:color w:val="auto"/>
          <w:sz w:val="44"/>
          <w:szCs w:val="44"/>
        </w:rPr>
        <w:t>报  价  文  件</w:t>
      </w:r>
    </w:p>
    <w:p w14:paraId="6C1320FA">
      <w:pPr>
        <w:snapToGrid w:val="0"/>
        <w:spacing w:before="156" w:beforeLines="50" w:after="50"/>
        <w:rPr>
          <w:rFonts w:ascii="宋体" w:hAnsi="宋体" w:cs="宋体"/>
          <w:bCs/>
          <w:color w:val="auto"/>
          <w:sz w:val="24"/>
          <w:szCs w:val="20"/>
        </w:rPr>
      </w:pPr>
    </w:p>
    <w:p w14:paraId="4D399CF9">
      <w:pPr>
        <w:snapToGrid w:val="0"/>
        <w:spacing w:before="156" w:beforeLines="50" w:after="50"/>
        <w:rPr>
          <w:rFonts w:ascii="宋体" w:hAnsi="宋体" w:cs="宋体"/>
          <w:bCs/>
          <w:color w:val="auto"/>
          <w:sz w:val="24"/>
          <w:szCs w:val="20"/>
        </w:rPr>
      </w:pPr>
    </w:p>
    <w:p w14:paraId="7CB71536">
      <w:pPr>
        <w:snapToGrid w:val="0"/>
        <w:spacing w:before="156" w:beforeLines="50" w:after="50"/>
        <w:rPr>
          <w:rFonts w:ascii="宋体" w:hAnsi="宋体" w:cs="宋体"/>
          <w:bCs/>
          <w:color w:val="auto"/>
          <w:sz w:val="24"/>
          <w:szCs w:val="20"/>
        </w:rPr>
      </w:pPr>
    </w:p>
    <w:p w14:paraId="393C3864">
      <w:pPr>
        <w:snapToGrid w:val="0"/>
        <w:spacing w:before="156" w:beforeLines="50" w:after="50"/>
        <w:rPr>
          <w:rFonts w:ascii="宋体" w:hAnsi="宋体" w:cs="宋体"/>
          <w:bCs/>
          <w:color w:val="auto"/>
          <w:sz w:val="24"/>
          <w:szCs w:val="20"/>
        </w:rPr>
      </w:pPr>
    </w:p>
    <w:p w14:paraId="27FD4F5D">
      <w:pPr>
        <w:snapToGrid w:val="0"/>
        <w:spacing w:before="156" w:beforeLines="50" w:after="50"/>
        <w:ind w:firstLine="640" w:firstLineChars="200"/>
        <w:rPr>
          <w:rFonts w:ascii="宋体" w:hAnsi="宋体" w:cs="宋体"/>
          <w:bCs/>
          <w:color w:val="auto"/>
          <w:sz w:val="32"/>
          <w:szCs w:val="32"/>
        </w:rPr>
      </w:pPr>
      <w:r>
        <w:rPr>
          <w:rFonts w:hint="eastAsia" w:ascii="宋体" w:hAnsi="宋体" w:cs="宋体"/>
          <w:bCs/>
          <w:color w:val="auto"/>
          <w:sz w:val="32"/>
          <w:szCs w:val="32"/>
        </w:rPr>
        <w:t>项目名称：</w:t>
      </w:r>
    </w:p>
    <w:p w14:paraId="1A901F4F">
      <w:pPr>
        <w:snapToGrid w:val="0"/>
        <w:spacing w:before="156" w:beforeLines="50" w:after="50"/>
        <w:ind w:firstLine="720" w:firstLineChars="225"/>
        <w:rPr>
          <w:rFonts w:ascii="宋体" w:hAnsi="宋体" w:cs="宋体"/>
          <w:bCs/>
          <w:color w:val="auto"/>
          <w:sz w:val="32"/>
          <w:szCs w:val="32"/>
        </w:rPr>
      </w:pPr>
    </w:p>
    <w:p w14:paraId="575279B8">
      <w:pPr>
        <w:snapToGrid w:val="0"/>
        <w:spacing w:before="156" w:beforeLines="50" w:after="50"/>
        <w:ind w:firstLine="720" w:firstLineChars="225"/>
        <w:rPr>
          <w:rFonts w:ascii="宋体" w:hAnsi="宋体" w:cs="宋体"/>
          <w:bCs/>
          <w:color w:val="auto"/>
          <w:sz w:val="32"/>
          <w:szCs w:val="32"/>
        </w:rPr>
      </w:pPr>
      <w:r>
        <w:rPr>
          <w:rFonts w:hint="eastAsia" w:ascii="宋体" w:hAnsi="宋体" w:cs="宋体"/>
          <w:bCs/>
          <w:color w:val="auto"/>
          <w:sz w:val="32"/>
          <w:szCs w:val="32"/>
        </w:rPr>
        <w:t>项目编号：</w:t>
      </w:r>
    </w:p>
    <w:p w14:paraId="7ED40526">
      <w:pPr>
        <w:snapToGrid w:val="0"/>
        <w:spacing w:before="156" w:beforeLines="50" w:after="50"/>
        <w:ind w:firstLine="720" w:firstLineChars="225"/>
        <w:rPr>
          <w:rFonts w:ascii="宋体" w:hAnsi="宋体" w:cs="宋体"/>
          <w:bCs/>
          <w:color w:val="auto"/>
          <w:sz w:val="32"/>
          <w:szCs w:val="32"/>
        </w:rPr>
      </w:pPr>
      <w:r>
        <w:rPr>
          <w:rFonts w:hint="eastAsia" w:ascii="宋体" w:hAnsi="宋体" w:cs="宋体"/>
          <w:bCs/>
          <w:color w:val="auto"/>
          <w:sz w:val="32"/>
          <w:szCs w:val="32"/>
        </w:rPr>
        <w:t xml:space="preserve"> </w:t>
      </w:r>
    </w:p>
    <w:p w14:paraId="1B68F52D">
      <w:pPr>
        <w:snapToGrid w:val="0"/>
        <w:spacing w:before="156" w:beforeLines="50" w:after="50"/>
        <w:ind w:firstLine="720" w:firstLineChars="225"/>
        <w:rPr>
          <w:rFonts w:ascii="宋体" w:hAnsi="宋体" w:cs="宋体"/>
          <w:bCs/>
          <w:color w:val="auto"/>
          <w:sz w:val="32"/>
          <w:szCs w:val="32"/>
        </w:rPr>
      </w:pPr>
      <w:r>
        <w:rPr>
          <w:rFonts w:hint="eastAsia" w:ascii="宋体" w:hAnsi="宋体" w:cs="宋体"/>
          <w:bCs/>
          <w:color w:val="auto"/>
          <w:sz w:val="32"/>
          <w:szCs w:val="32"/>
        </w:rPr>
        <w:t>所竞分标（如有则填写，无分标时填写“无”或者留空）：</w:t>
      </w:r>
    </w:p>
    <w:p w14:paraId="6CDF6DB0">
      <w:pPr>
        <w:snapToGrid w:val="0"/>
        <w:spacing w:before="156" w:beforeLines="50" w:after="50"/>
        <w:ind w:firstLine="720" w:firstLineChars="225"/>
        <w:rPr>
          <w:rFonts w:ascii="宋体" w:hAnsi="宋体" w:cs="宋体"/>
          <w:bCs/>
          <w:color w:val="auto"/>
          <w:sz w:val="32"/>
          <w:szCs w:val="32"/>
        </w:rPr>
      </w:pPr>
    </w:p>
    <w:p w14:paraId="4E921C26">
      <w:pPr>
        <w:pStyle w:val="7"/>
        <w:snapToGrid w:val="0"/>
        <w:spacing w:before="50" w:after="50"/>
        <w:ind w:firstLine="720" w:firstLineChars="225"/>
        <w:rPr>
          <w:rFonts w:ascii="宋体" w:hAnsi="宋体" w:cs="宋体"/>
          <w:bCs/>
          <w:color w:val="auto"/>
          <w:sz w:val="32"/>
          <w:szCs w:val="32"/>
        </w:rPr>
      </w:pPr>
      <w:r>
        <w:rPr>
          <w:rFonts w:hint="eastAsia" w:ascii="宋体" w:hAnsi="宋体" w:cs="宋体"/>
          <w:bCs/>
          <w:color w:val="auto"/>
          <w:sz w:val="32"/>
          <w:szCs w:val="32"/>
        </w:rPr>
        <w:t>供应商名称：</w:t>
      </w:r>
    </w:p>
    <w:p w14:paraId="01CCFFF5">
      <w:pPr>
        <w:pStyle w:val="7"/>
        <w:snapToGrid w:val="0"/>
        <w:spacing w:before="50" w:after="50"/>
        <w:ind w:firstLine="1280" w:firstLineChars="400"/>
        <w:rPr>
          <w:rFonts w:ascii="宋体" w:hAnsi="宋体" w:cs="宋体"/>
          <w:bCs/>
          <w:color w:val="auto"/>
          <w:sz w:val="32"/>
          <w:szCs w:val="32"/>
        </w:rPr>
      </w:pPr>
    </w:p>
    <w:p w14:paraId="290164C8">
      <w:pPr>
        <w:snapToGrid w:val="0"/>
        <w:spacing w:before="156" w:beforeLines="50" w:after="50"/>
        <w:jc w:val="center"/>
        <w:rPr>
          <w:rFonts w:ascii="宋体" w:hAnsi="宋体" w:cs="宋体"/>
          <w:color w:val="auto"/>
          <w:sz w:val="32"/>
          <w:szCs w:val="32"/>
        </w:rPr>
      </w:pPr>
      <w:r>
        <w:rPr>
          <w:rFonts w:hint="eastAsia" w:ascii="宋体" w:hAnsi="宋体" w:cs="宋体"/>
          <w:color w:val="auto"/>
          <w:sz w:val="32"/>
          <w:szCs w:val="32"/>
        </w:rPr>
        <w:t>年    月    日</w:t>
      </w:r>
    </w:p>
    <w:p w14:paraId="4AE6A6DE">
      <w:pPr>
        <w:snapToGrid w:val="0"/>
        <w:spacing w:before="156" w:beforeLines="50" w:after="50" w:line="360" w:lineRule="auto"/>
        <w:ind w:left="142"/>
        <w:jc w:val="left"/>
        <w:rPr>
          <w:rFonts w:ascii="宋体" w:hAnsi="宋体" w:cs="宋体"/>
          <w:b/>
          <w:bCs/>
          <w:color w:val="auto"/>
          <w:sz w:val="32"/>
          <w:szCs w:val="32"/>
        </w:rPr>
      </w:pPr>
      <w:r>
        <w:rPr>
          <w:rFonts w:hint="eastAsia" w:ascii="宋体" w:hAnsi="宋体" w:cs="宋体"/>
          <w:color w:val="auto"/>
          <w:sz w:val="24"/>
        </w:rPr>
        <w:br w:type="page"/>
      </w:r>
      <w:r>
        <w:rPr>
          <w:rFonts w:hint="eastAsia" w:ascii="宋体" w:hAnsi="宋体" w:cs="宋体"/>
          <w:b/>
          <w:bCs/>
          <w:color w:val="auto"/>
          <w:sz w:val="32"/>
          <w:szCs w:val="32"/>
        </w:rPr>
        <w:t>2.报价文件目录</w:t>
      </w:r>
    </w:p>
    <w:p w14:paraId="48151050">
      <w:pPr>
        <w:snapToGrid w:val="0"/>
        <w:spacing w:line="360" w:lineRule="auto"/>
        <w:rPr>
          <w:rFonts w:ascii="宋体" w:hAnsi="宋体" w:cs="宋体"/>
          <w:color w:val="auto"/>
          <w:kern w:val="0"/>
          <w:sz w:val="24"/>
        </w:rPr>
      </w:pPr>
      <w:r>
        <w:rPr>
          <w:rFonts w:hint="eastAsia" w:ascii="宋体" w:hAnsi="宋体" w:cs="宋体"/>
          <w:color w:val="auto"/>
          <w:kern w:val="0"/>
          <w:sz w:val="24"/>
        </w:rPr>
        <w:t>一、</w:t>
      </w:r>
      <w:r>
        <w:rPr>
          <w:rFonts w:hint="eastAsia" w:ascii="宋体" w:hAnsi="宋体" w:cs="宋体"/>
          <w:color w:val="auto"/>
          <w:sz w:val="24"/>
        </w:rPr>
        <w:t>响应函</w:t>
      </w:r>
      <w:r>
        <w:rPr>
          <w:rFonts w:hint="eastAsia" w:ascii="宋体" w:hAnsi="宋体" w:cs="宋体"/>
          <w:color w:val="auto"/>
          <w:kern w:val="0"/>
          <w:sz w:val="24"/>
        </w:rPr>
        <w:t>………………………………………………………………………（页码）</w:t>
      </w:r>
    </w:p>
    <w:p w14:paraId="0B91E8FD">
      <w:pPr>
        <w:snapToGrid w:val="0"/>
        <w:spacing w:line="360" w:lineRule="auto"/>
        <w:rPr>
          <w:rFonts w:ascii="宋体" w:hAnsi="宋体" w:cs="宋体"/>
          <w:color w:val="auto"/>
          <w:kern w:val="0"/>
          <w:sz w:val="24"/>
        </w:rPr>
      </w:pPr>
      <w:r>
        <w:rPr>
          <w:rFonts w:hint="eastAsia" w:ascii="宋体" w:hAnsi="宋体" w:cs="宋体"/>
          <w:color w:val="auto"/>
          <w:kern w:val="0"/>
          <w:sz w:val="24"/>
        </w:rPr>
        <w:t>二、响应报价表…………………………………………………………………（页码）</w:t>
      </w:r>
    </w:p>
    <w:p w14:paraId="697C7991">
      <w:pPr>
        <w:snapToGrid w:val="0"/>
        <w:spacing w:line="360" w:lineRule="auto"/>
        <w:rPr>
          <w:rFonts w:ascii="宋体" w:hAnsi="宋体" w:cs="宋体"/>
          <w:color w:val="auto"/>
          <w:kern w:val="0"/>
          <w:sz w:val="24"/>
        </w:rPr>
      </w:pPr>
      <w:r>
        <w:rPr>
          <w:rFonts w:hint="eastAsia" w:ascii="宋体" w:hAnsi="宋体" w:cs="宋体"/>
          <w:color w:val="auto"/>
          <w:kern w:val="0"/>
          <w:sz w:val="24"/>
        </w:rPr>
        <w:t>三、中小企业声明函或《残疾人福利性单位声明函》或属于监狱企业的证明文件…………………………………………………………………………………（页码）</w:t>
      </w:r>
    </w:p>
    <w:p w14:paraId="470E0AD8">
      <w:pPr>
        <w:rPr>
          <w:rFonts w:ascii="宋体" w:hAnsi="宋体" w:cs="宋体"/>
          <w:color w:val="auto"/>
          <w:sz w:val="24"/>
        </w:rPr>
      </w:pPr>
    </w:p>
    <w:p w14:paraId="5786B6BD">
      <w:pPr>
        <w:snapToGrid w:val="0"/>
        <w:spacing w:before="156" w:beforeLines="50" w:after="50" w:line="360" w:lineRule="auto"/>
        <w:ind w:firstLine="645"/>
        <w:rPr>
          <w:rFonts w:ascii="宋体" w:hAnsi="宋体" w:cs="宋体"/>
          <w:color w:val="auto"/>
          <w:sz w:val="24"/>
        </w:rPr>
      </w:pPr>
      <w:r>
        <w:rPr>
          <w:rFonts w:hint="eastAsia" w:ascii="宋体" w:hAnsi="宋体" w:cs="宋体"/>
          <w:b/>
          <w:bCs/>
          <w:color w:val="auto"/>
          <w:sz w:val="24"/>
        </w:rPr>
        <w:t>注：以上目录是编制供应商响应文件的基本格式要求，各供应商可根据自身情况进一步细化</w:t>
      </w:r>
      <w:r>
        <w:rPr>
          <w:rFonts w:hint="eastAsia" w:ascii="宋体" w:hAnsi="宋体" w:cs="宋体"/>
          <w:color w:val="auto"/>
          <w:sz w:val="24"/>
        </w:rPr>
        <w:t>。</w:t>
      </w:r>
    </w:p>
    <w:p w14:paraId="19C92A30">
      <w:pPr>
        <w:pStyle w:val="17"/>
        <w:rPr>
          <w:rFonts w:ascii="宋体" w:hAnsi="宋体" w:cs="宋体"/>
          <w:color w:val="auto"/>
        </w:rPr>
      </w:pPr>
    </w:p>
    <w:p w14:paraId="6FEFFC57">
      <w:pPr>
        <w:spacing w:line="520" w:lineRule="exact"/>
        <w:jc w:val="center"/>
        <w:rPr>
          <w:rFonts w:ascii="宋体" w:hAnsi="宋体" w:cs="宋体"/>
          <w:color w:val="auto"/>
        </w:rPr>
      </w:pPr>
      <w:r>
        <w:rPr>
          <w:rFonts w:hint="eastAsia" w:ascii="宋体" w:hAnsi="宋体" w:cs="宋体"/>
          <w:color w:val="auto"/>
        </w:rPr>
        <w:br w:type="page"/>
      </w:r>
      <w:r>
        <w:rPr>
          <w:rFonts w:hint="eastAsia" w:ascii="宋体" w:hAnsi="宋体" w:cs="宋体"/>
          <w:b/>
          <w:bCs/>
          <w:color w:val="auto"/>
          <w:sz w:val="32"/>
          <w:szCs w:val="32"/>
        </w:rPr>
        <w:t>一、响应函</w:t>
      </w:r>
    </w:p>
    <w:p w14:paraId="2845F5A8">
      <w:pPr>
        <w:rPr>
          <w:rFonts w:ascii="宋体" w:hAnsi="宋体" w:cs="宋体"/>
          <w:color w:val="auto"/>
        </w:rPr>
      </w:pPr>
    </w:p>
    <w:p w14:paraId="6B9603AE">
      <w:pPr>
        <w:pStyle w:val="14"/>
        <w:spacing w:line="440" w:lineRule="exact"/>
        <w:rPr>
          <w:rFonts w:hAnsi="宋体" w:cs="宋体"/>
          <w:color w:val="auto"/>
          <w:sz w:val="24"/>
          <w:szCs w:val="24"/>
        </w:rPr>
      </w:pPr>
      <w:r>
        <w:rPr>
          <w:rFonts w:hint="eastAsia" w:hAnsi="宋体" w:cs="宋体"/>
          <w:color w:val="auto"/>
          <w:sz w:val="24"/>
          <w:szCs w:val="24"/>
        </w:rPr>
        <w:t>致：</w:t>
      </w:r>
      <w:r>
        <w:rPr>
          <w:rFonts w:hint="eastAsia" w:hAnsi="宋体" w:cs="宋体"/>
          <w:color w:val="auto"/>
          <w:sz w:val="24"/>
          <w:szCs w:val="24"/>
          <w:u w:val="single"/>
        </w:rPr>
        <w:t>（采购人名称）</w:t>
      </w:r>
    </w:p>
    <w:p w14:paraId="1BCF72E0">
      <w:pPr>
        <w:pStyle w:val="14"/>
        <w:spacing w:line="440" w:lineRule="exact"/>
        <w:ind w:firstLine="480" w:firstLineChars="200"/>
        <w:rPr>
          <w:rFonts w:hAnsi="宋体" w:cs="宋体"/>
          <w:color w:val="auto"/>
          <w:sz w:val="24"/>
          <w:szCs w:val="24"/>
        </w:rPr>
      </w:pPr>
      <w:r>
        <w:rPr>
          <w:rFonts w:hint="eastAsia" w:hAnsi="宋体" w:cs="宋体"/>
          <w:color w:val="auto"/>
          <w:sz w:val="24"/>
          <w:szCs w:val="24"/>
        </w:rPr>
        <w:t>我方已仔细阅读了贵方组织的</w:t>
      </w:r>
      <w:r>
        <w:rPr>
          <w:rFonts w:hint="eastAsia" w:hAnsi="宋体" w:cs="宋体"/>
          <w:color w:val="auto"/>
          <w:sz w:val="24"/>
          <w:szCs w:val="24"/>
          <w:u w:val="single"/>
        </w:rPr>
        <w:t xml:space="preserve">  项目名称  </w:t>
      </w:r>
      <w:r>
        <w:rPr>
          <w:rFonts w:hint="eastAsia" w:hAnsi="宋体" w:cs="宋体"/>
          <w:color w:val="auto"/>
          <w:sz w:val="24"/>
          <w:szCs w:val="24"/>
        </w:rPr>
        <w:t>项目（项目编号：</w:t>
      </w:r>
      <w:r>
        <w:rPr>
          <w:rFonts w:hint="eastAsia" w:hAnsi="宋体" w:cs="宋体"/>
          <w:color w:val="auto"/>
          <w:sz w:val="24"/>
          <w:szCs w:val="24"/>
          <w:u w:val="single"/>
        </w:rPr>
        <w:t xml:space="preserve">      </w:t>
      </w:r>
      <w:r>
        <w:rPr>
          <w:rFonts w:hint="eastAsia" w:hAnsi="宋体" w:cs="宋体"/>
          <w:color w:val="auto"/>
          <w:sz w:val="24"/>
          <w:szCs w:val="24"/>
        </w:rPr>
        <w:t>）的</w:t>
      </w:r>
      <w:r>
        <w:rPr>
          <w:rFonts w:hint="eastAsia" w:hAnsi="宋体" w:cs="宋体"/>
          <w:color w:val="auto"/>
          <w:sz w:val="24"/>
        </w:rPr>
        <w:t>谈判</w:t>
      </w:r>
      <w:r>
        <w:rPr>
          <w:rFonts w:hint="eastAsia" w:hAnsi="宋体" w:cs="宋体"/>
          <w:color w:val="auto"/>
          <w:sz w:val="24"/>
          <w:szCs w:val="24"/>
        </w:rPr>
        <w:t>文件的全部内容，授权</w:t>
      </w:r>
      <w:r>
        <w:rPr>
          <w:rFonts w:hint="eastAsia" w:hAnsi="宋体" w:cs="宋体"/>
          <w:color w:val="auto"/>
          <w:sz w:val="24"/>
          <w:szCs w:val="24"/>
          <w:u w:val="single"/>
        </w:rPr>
        <w:t xml:space="preserve">             （</w:t>
      </w:r>
      <w:r>
        <w:rPr>
          <w:rFonts w:hint="eastAsia" w:hAnsi="宋体" w:cs="宋体"/>
          <w:color w:val="auto"/>
          <w:sz w:val="24"/>
          <w:szCs w:val="24"/>
        </w:rPr>
        <w:t>全权代表姓名）</w:t>
      </w:r>
      <w:r>
        <w:rPr>
          <w:rFonts w:hint="eastAsia" w:hAnsi="宋体" w:cs="宋体"/>
          <w:color w:val="auto"/>
          <w:sz w:val="24"/>
          <w:szCs w:val="24"/>
          <w:u w:val="single"/>
        </w:rPr>
        <w:t xml:space="preserve">         </w:t>
      </w:r>
      <w:r>
        <w:rPr>
          <w:rFonts w:hint="eastAsia" w:hAnsi="宋体" w:cs="宋体"/>
          <w:color w:val="auto"/>
          <w:sz w:val="24"/>
          <w:szCs w:val="24"/>
        </w:rPr>
        <w:t xml:space="preserve"> （职务、职称）为全权代表，现正式递交下述文件参加贵方组织的本次政府采购活动： </w:t>
      </w:r>
    </w:p>
    <w:p w14:paraId="3341B69E">
      <w:pPr>
        <w:pStyle w:val="14"/>
        <w:spacing w:line="440" w:lineRule="exact"/>
        <w:ind w:firstLine="480" w:firstLineChars="200"/>
        <w:rPr>
          <w:rFonts w:hAnsi="宋体" w:cs="宋体"/>
          <w:color w:val="auto"/>
          <w:sz w:val="24"/>
          <w:szCs w:val="24"/>
        </w:rPr>
      </w:pPr>
      <w:r>
        <w:rPr>
          <w:rFonts w:hint="eastAsia" w:hAnsi="宋体" w:cs="宋体"/>
          <w:color w:val="auto"/>
          <w:sz w:val="24"/>
          <w:szCs w:val="24"/>
        </w:rPr>
        <w:t>一、报价文件电子版一份（包含按供应商须知前附表要求提交的全部文件）；</w:t>
      </w:r>
    </w:p>
    <w:p w14:paraId="75DE35A1">
      <w:pPr>
        <w:pStyle w:val="14"/>
        <w:spacing w:line="440" w:lineRule="exact"/>
        <w:ind w:firstLine="480" w:firstLineChars="200"/>
        <w:rPr>
          <w:rFonts w:hAnsi="宋体" w:cs="宋体"/>
          <w:color w:val="auto"/>
          <w:sz w:val="24"/>
          <w:szCs w:val="24"/>
        </w:rPr>
      </w:pPr>
      <w:r>
        <w:rPr>
          <w:rFonts w:hint="eastAsia" w:hAnsi="宋体" w:cs="宋体"/>
          <w:color w:val="auto"/>
          <w:sz w:val="24"/>
          <w:szCs w:val="24"/>
        </w:rPr>
        <w:t>二、资格文件电子版一份（包含按供应商须知前附表要求提交的全部文件）；</w:t>
      </w:r>
    </w:p>
    <w:p w14:paraId="475AE3A7">
      <w:pPr>
        <w:pStyle w:val="14"/>
        <w:spacing w:line="440" w:lineRule="exact"/>
        <w:ind w:firstLine="480" w:firstLineChars="200"/>
        <w:rPr>
          <w:rFonts w:hAnsi="宋体" w:cs="宋体"/>
          <w:color w:val="auto"/>
          <w:sz w:val="24"/>
          <w:szCs w:val="24"/>
        </w:rPr>
      </w:pPr>
      <w:r>
        <w:rPr>
          <w:rFonts w:hint="eastAsia" w:hAnsi="宋体" w:cs="宋体"/>
          <w:color w:val="auto"/>
          <w:sz w:val="24"/>
          <w:szCs w:val="24"/>
        </w:rPr>
        <w:t>三、技术文件电子版一份（包含按供应商须知前附表要求提交的全部文件）；</w:t>
      </w:r>
    </w:p>
    <w:p w14:paraId="5FC3C626">
      <w:pPr>
        <w:pStyle w:val="14"/>
        <w:spacing w:line="440" w:lineRule="exact"/>
        <w:ind w:firstLine="480" w:firstLineChars="200"/>
        <w:rPr>
          <w:rFonts w:hAnsi="宋体" w:cs="宋体"/>
          <w:color w:val="auto"/>
          <w:sz w:val="24"/>
          <w:szCs w:val="24"/>
        </w:rPr>
      </w:pPr>
      <w:r>
        <w:rPr>
          <w:rFonts w:hint="eastAsia" w:hAnsi="宋体" w:cs="宋体"/>
          <w:color w:val="auto"/>
          <w:sz w:val="24"/>
          <w:szCs w:val="24"/>
        </w:rPr>
        <w:t>四、商务文件电子版一份（包含按供应商须知前附表要求提交的全部文件）；</w:t>
      </w:r>
    </w:p>
    <w:p w14:paraId="694366B6">
      <w:pPr>
        <w:pStyle w:val="14"/>
        <w:spacing w:line="440" w:lineRule="exact"/>
        <w:ind w:firstLine="480" w:firstLineChars="200"/>
        <w:rPr>
          <w:rFonts w:hAnsi="宋体" w:cs="宋体"/>
          <w:color w:val="auto"/>
          <w:sz w:val="24"/>
          <w:szCs w:val="24"/>
        </w:rPr>
      </w:pPr>
      <w:r>
        <w:rPr>
          <w:rFonts w:hint="eastAsia" w:hAnsi="宋体" w:cs="宋体"/>
          <w:color w:val="auto"/>
          <w:sz w:val="24"/>
          <w:szCs w:val="24"/>
        </w:rPr>
        <w:t>据此函，签字人兹宣布：</w:t>
      </w:r>
    </w:p>
    <w:p w14:paraId="4ED2DDFA">
      <w:pPr>
        <w:pStyle w:val="14"/>
        <w:spacing w:line="440" w:lineRule="exact"/>
        <w:ind w:firstLine="480" w:firstLineChars="200"/>
        <w:rPr>
          <w:rFonts w:hAnsi="宋体" w:cs="宋体"/>
          <w:color w:val="auto"/>
          <w:sz w:val="24"/>
          <w:szCs w:val="24"/>
        </w:rPr>
      </w:pPr>
      <w:r>
        <w:rPr>
          <w:rFonts w:hint="eastAsia" w:hAnsi="宋体" w:cs="宋体"/>
          <w:color w:val="auto"/>
          <w:sz w:val="24"/>
          <w:szCs w:val="24"/>
        </w:rPr>
        <w:t>1、我方愿意以（大写）人民币</w:t>
      </w:r>
      <w:r>
        <w:rPr>
          <w:rFonts w:hint="eastAsia" w:hAnsi="宋体" w:cs="宋体"/>
          <w:color w:val="auto"/>
          <w:sz w:val="24"/>
          <w:szCs w:val="24"/>
          <w:u w:val="single"/>
        </w:rPr>
        <w:t xml:space="preserve">              </w:t>
      </w:r>
      <w:r>
        <w:rPr>
          <w:rFonts w:hint="eastAsia" w:hAnsi="宋体" w:cs="宋体"/>
          <w:color w:val="auto"/>
          <w:sz w:val="24"/>
          <w:szCs w:val="24"/>
        </w:rPr>
        <w:t>元 （</w:t>
      </w:r>
      <w:r>
        <w:rPr>
          <w:rFonts w:ascii="Arial" w:hAnsi="Arial" w:cs="Arial"/>
          <w:color w:val="auto"/>
          <w:sz w:val="24"/>
          <w:szCs w:val="24"/>
        </w:rPr>
        <w:t>¥</w:t>
      </w:r>
      <w:r>
        <w:rPr>
          <w:rFonts w:hint="eastAsia" w:hAnsi="宋体" w:cs="宋体"/>
          <w:color w:val="auto"/>
          <w:sz w:val="24"/>
          <w:szCs w:val="24"/>
          <w:u w:val="single"/>
        </w:rPr>
        <w:t xml:space="preserve">         </w:t>
      </w:r>
      <w:r>
        <w:rPr>
          <w:rFonts w:hint="eastAsia" w:hAnsi="宋体" w:cs="宋体"/>
          <w:color w:val="auto"/>
          <w:sz w:val="24"/>
          <w:szCs w:val="24"/>
        </w:rPr>
        <w:t>元）的总报价，交付使用时间(合同履行期限)</w:t>
      </w:r>
      <w:r>
        <w:rPr>
          <w:rFonts w:hint="eastAsia" w:hAnsi="宋体" w:cs="宋体"/>
          <w:color w:val="auto"/>
          <w:sz w:val="24"/>
          <w:szCs w:val="24"/>
          <w:u w:val="single"/>
        </w:rPr>
        <w:t xml:space="preserve">              </w:t>
      </w:r>
      <w:r>
        <w:rPr>
          <w:rFonts w:hint="eastAsia" w:hAnsi="宋体" w:cs="宋体"/>
          <w:color w:val="auto"/>
          <w:sz w:val="24"/>
          <w:szCs w:val="24"/>
        </w:rPr>
        <w:t>，提供本项目</w:t>
      </w:r>
      <w:r>
        <w:rPr>
          <w:rFonts w:hint="eastAsia" w:hAnsi="宋体" w:cs="宋体"/>
          <w:color w:val="auto"/>
          <w:sz w:val="24"/>
        </w:rPr>
        <w:t>谈判</w:t>
      </w:r>
      <w:r>
        <w:rPr>
          <w:rFonts w:hint="eastAsia" w:hAnsi="宋体" w:cs="宋体"/>
          <w:color w:val="auto"/>
          <w:sz w:val="24"/>
          <w:szCs w:val="24"/>
        </w:rPr>
        <w:t>文件第三章“采购需求”中的相应的采购内容。</w:t>
      </w:r>
    </w:p>
    <w:p w14:paraId="2F8ADCEC">
      <w:pPr>
        <w:pStyle w:val="14"/>
        <w:spacing w:line="360" w:lineRule="exact"/>
        <w:ind w:firstLine="480" w:firstLineChars="200"/>
        <w:rPr>
          <w:rFonts w:hAnsi="宋体" w:cs="宋体"/>
          <w:color w:val="auto"/>
          <w:sz w:val="24"/>
          <w:szCs w:val="24"/>
          <w:u w:val="single"/>
        </w:rPr>
      </w:pPr>
      <w:r>
        <w:rPr>
          <w:rFonts w:hint="eastAsia" w:hAnsi="宋体" w:cs="宋体"/>
          <w:color w:val="auto"/>
          <w:sz w:val="24"/>
          <w:szCs w:val="24"/>
        </w:rPr>
        <w:t>2、我方同意自本项目</w:t>
      </w:r>
      <w:r>
        <w:rPr>
          <w:rFonts w:hint="eastAsia" w:hAnsi="宋体" w:cs="宋体"/>
          <w:color w:val="auto"/>
          <w:sz w:val="24"/>
        </w:rPr>
        <w:t>谈判</w:t>
      </w:r>
      <w:r>
        <w:rPr>
          <w:rFonts w:hint="eastAsia" w:hAnsi="宋体" w:cs="宋体"/>
          <w:color w:val="auto"/>
          <w:sz w:val="24"/>
          <w:szCs w:val="24"/>
        </w:rPr>
        <w:t>文件“第二章 供应商须知”第一节 供应商须知前附表第20.1项规定的截止时间（开标时间）起遵循本响应函，并承诺在“供应商须知前附表”第16.2项规定的响应有效期内不修改、撤销响应文件。</w:t>
      </w:r>
    </w:p>
    <w:p w14:paraId="46BB0F51">
      <w:pPr>
        <w:pStyle w:val="14"/>
        <w:spacing w:line="360" w:lineRule="exact"/>
        <w:ind w:firstLine="480" w:firstLineChars="200"/>
        <w:rPr>
          <w:rFonts w:hAnsi="宋体" w:cs="宋体"/>
          <w:color w:val="auto"/>
          <w:sz w:val="24"/>
          <w:szCs w:val="24"/>
          <w:u w:val="single"/>
        </w:rPr>
      </w:pPr>
      <w:r>
        <w:rPr>
          <w:rFonts w:hint="eastAsia" w:hAnsi="宋体" w:cs="宋体"/>
          <w:color w:val="auto"/>
          <w:sz w:val="24"/>
          <w:szCs w:val="24"/>
        </w:rPr>
        <w:t>3、我方所递交的响应文件及有关资料都是内容完整、真实和准确的。</w:t>
      </w:r>
    </w:p>
    <w:p w14:paraId="492F16C1">
      <w:pPr>
        <w:pStyle w:val="14"/>
        <w:spacing w:line="440" w:lineRule="exact"/>
        <w:ind w:firstLine="480" w:firstLineChars="200"/>
        <w:rPr>
          <w:rFonts w:hAnsi="宋体" w:cs="宋体"/>
          <w:color w:val="auto"/>
          <w:sz w:val="24"/>
          <w:szCs w:val="24"/>
        </w:rPr>
      </w:pPr>
      <w:r>
        <w:rPr>
          <w:rFonts w:hint="eastAsia" w:hAnsi="宋体" w:cs="宋体"/>
          <w:color w:val="auto"/>
          <w:sz w:val="24"/>
          <w:szCs w:val="24"/>
        </w:rPr>
        <w:t>4、如本项目采购内容涉及须符合国家强制规定的，我方承诺我方本次响应（包括资格条件和所投产品）均符合国家有关强制规定。</w:t>
      </w:r>
    </w:p>
    <w:p w14:paraId="6EA873C1">
      <w:pPr>
        <w:pStyle w:val="14"/>
        <w:spacing w:line="440" w:lineRule="exact"/>
        <w:ind w:firstLine="480" w:firstLineChars="200"/>
        <w:rPr>
          <w:rFonts w:hAnsi="宋体" w:cs="宋体"/>
          <w:color w:val="auto"/>
          <w:sz w:val="24"/>
          <w:szCs w:val="24"/>
        </w:rPr>
      </w:pPr>
      <w:r>
        <w:rPr>
          <w:rFonts w:hint="eastAsia" w:hAnsi="宋体" w:cs="宋体"/>
          <w:color w:val="auto"/>
          <w:sz w:val="24"/>
          <w:szCs w:val="24"/>
        </w:rPr>
        <w:t>5、如我方中标，我方承诺在收到成交通知书后，在成交通知书规定的期限内，根据</w:t>
      </w:r>
      <w:r>
        <w:rPr>
          <w:rFonts w:hint="eastAsia" w:hAnsi="宋体" w:cs="宋体"/>
          <w:color w:val="auto"/>
          <w:sz w:val="24"/>
        </w:rPr>
        <w:t>谈判</w:t>
      </w:r>
      <w:r>
        <w:rPr>
          <w:rFonts w:hint="eastAsia" w:hAnsi="宋体" w:cs="宋体"/>
          <w:color w:val="auto"/>
          <w:sz w:val="24"/>
          <w:szCs w:val="24"/>
        </w:rPr>
        <w:t>文件、我方的响应文件及有关澄清承诺书的要求按第六章“合同文本”与采购人订立书面合同，并按照合同约定承担完成合同的责任和义务。</w:t>
      </w:r>
    </w:p>
    <w:p w14:paraId="5086A40A">
      <w:pPr>
        <w:pStyle w:val="14"/>
        <w:spacing w:line="440" w:lineRule="exact"/>
        <w:ind w:firstLine="480" w:firstLineChars="200"/>
        <w:rPr>
          <w:rFonts w:hAnsi="宋体" w:cs="宋体"/>
          <w:color w:val="auto"/>
          <w:sz w:val="24"/>
          <w:szCs w:val="24"/>
        </w:rPr>
      </w:pPr>
      <w:r>
        <w:rPr>
          <w:rFonts w:hint="eastAsia" w:hAnsi="宋体" w:cs="宋体"/>
          <w:color w:val="auto"/>
          <w:sz w:val="24"/>
          <w:szCs w:val="24"/>
        </w:rPr>
        <w:t>6、我方已详细审核</w:t>
      </w:r>
      <w:r>
        <w:rPr>
          <w:rFonts w:hint="eastAsia" w:hAnsi="宋体" w:cs="宋体"/>
          <w:color w:val="auto"/>
          <w:sz w:val="24"/>
        </w:rPr>
        <w:t>谈判</w:t>
      </w:r>
      <w:r>
        <w:rPr>
          <w:rFonts w:hint="eastAsia" w:hAnsi="宋体" w:cs="宋体"/>
          <w:color w:val="auto"/>
          <w:sz w:val="24"/>
          <w:szCs w:val="24"/>
        </w:rPr>
        <w:t>文件，我方知道必须放弃提出含糊不清或误解问题的权利。</w:t>
      </w:r>
    </w:p>
    <w:p w14:paraId="189B3011">
      <w:pPr>
        <w:pStyle w:val="14"/>
        <w:spacing w:line="440" w:lineRule="exact"/>
        <w:ind w:firstLine="480" w:firstLineChars="200"/>
        <w:rPr>
          <w:rFonts w:hAnsi="宋体" w:cs="宋体"/>
          <w:color w:val="auto"/>
          <w:sz w:val="24"/>
          <w:szCs w:val="24"/>
        </w:rPr>
      </w:pPr>
      <w:r>
        <w:rPr>
          <w:rFonts w:hint="eastAsia" w:hAnsi="宋体" w:cs="宋体"/>
          <w:color w:val="auto"/>
          <w:sz w:val="24"/>
          <w:szCs w:val="24"/>
        </w:rPr>
        <w:t>7、我方同意应贵方要求提供与本响应有关的任何数据或资料。若贵方需要，我方愿意提供我方做出的一切承诺的证明材料。</w:t>
      </w:r>
    </w:p>
    <w:p w14:paraId="5E8C62BA">
      <w:pPr>
        <w:pStyle w:val="14"/>
        <w:spacing w:line="440" w:lineRule="exact"/>
        <w:ind w:firstLine="480" w:firstLineChars="200"/>
        <w:rPr>
          <w:rFonts w:hAnsi="宋体" w:cs="宋体"/>
          <w:color w:val="auto"/>
          <w:sz w:val="24"/>
          <w:szCs w:val="24"/>
        </w:rPr>
      </w:pPr>
      <w:r>
        <w:rPr>
          <w:rFonts w:hint="eastAsia" w:hAnsi="宋体" w:cs="宋体"/>
          <w:color w:val="auto"/>
          <w:sz w:val="24"/>
          <w:szCs w:val="24"/>
        </w:rPr>
        <w:t>8、我方完全理解贵方不一定接受响应报价最低的供应商为成交供应商的行为。</w:t>
      </w:r>
    </w:p>
    <w:p w14:paraId="11DAF199">
      <w:pPr>
        <w:pStyle w:val="14"/>
        <w:spacing w:line="440" w:lineRule="exact"/>
        <w:ind w:firstLine="480" w:firstLineChars="200"/>
        <w:rPr>
          <w:rFonts w:hAnsi="宋体" w:cs="宋体"/>
          <w:color w:val="auto"/>
          <w:sz w:val="24"/>
          <w:szCs w:val="24"/>
        </w:rPr>
      </w:pPr>
      <w:r>
        <w:rPr>
          <w:rFonts w:hint="eastAsia" w:hAnsi="宋体" w:cs="宋体"/>
          <w:color w:val="auto"/>
          <w:sz w:val="24"/>
          <w:szCs w:val="24"/>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FDC65C9">
      <w:pPr>
        <w:pStyle w:val="14"/>
        <w:spacing w:line="440" w:lineRule="exact"/>
        <w:ind w:left="420"/>
        <w:rPr>
          <w:rFonts w:hAnsi="宋体" w:cs="宋体"/>
          <w:color w:val="auto"/>
          <w:sz w:val="24"/>
          <w:szCs w:val="24"/>
        </w:rPr>
      </w:pPr>
      <w:r>
        <w:rPr>
          <w:rFonts w:hint="eastAsia" w:hAnsi="宋体" w:cs="宋体"/>
          <w:color w:val="auto"/>
          <w:sz w:val="24"/>
          <w:szCs w:val="24"/>
        </w:rPr>
        <w:t>（1）提供虚假材料谋取中标、成交的；</w:t>
      </w:r>
    </w:p>
    <w:p w14:paraId="0E7E5AE0">
      <w:pPr>
        <w:pStyle w:val="14"/>
        <w:spacing w:line="440" w:lineRule="exact"/>
        <w:ind w:left="420"/>
        <w:rPr>
          <w:rFonts w:hAnsi="宋体" w:cs="宋体"/>
          <w:color w:val="auto"/>
          <w:sz w:val="24"/>
          <w:szCs w:val="24"/>
        </w:rPr>
      </w:pPr>
      <w:r>
        <w:rPr>
          <w:rFonts w:hint="eastAsia" w:hAnsi="宋体" w:cs="宋体"/>
          <w:color w:val="auto"/>
          <w:sz w:val="24"/>
          <w:szCs w:val="24"/>
        </w:rPr>
        <w:t>（2）采取不正当手段诋毁、排挤其他供应商的；</w:t>
      </w:r>
    </w:p>
    <w:p w14:paraId="3025348C">
      <w:pPr>
        <w:pStyle w:val="14"/>
        <w:spacing w:line="440" w:lineRule="exact"/>
        <w:ind w:left="420"/>
        <w:rPr>
          <w:rFonts w:hAnsi="宋体" w:cs="宋体"/>
          <w:color w:val="auto"/>
          <w:sz w:val="24"/>
          <w:szCs w:val="24"/>
        </w:rPr>
      </w:pPr>
      <w:r>
        <w:rPr>
          <w:rFonts w:hint="eastAsia" w:hAnsi="宋体" w:cs="宋体"/>
          <w:color w:val="auto"/>
          <w:sz w:val="24"/>
          <w:szCs w:val="24"/>
        </w:rPr>
        <w:t>（3）与采购人、其他供应商或者采购代理机构恶意串通的；</w:t>
      </w:r>
    </w:p>
    <w:p w14:paraId="45640273">
      <w:pPr>
        <w:pStyle w:val="14"/>
        <w:spacing w:line="440" w:lineRule="exact"/>
        <w:ind w:left="420"/>
        <w:rPr>
          <w:rFonts w:hAnsi="宋体" w:cs="宋体"/>
          <w:color w:val="auto"/>
          <w:sz w:val="24"/>
          <w:szCs w:val="24"/>
        </w:rPr>
      </w:pPr>
      <w:r>
        <w:rPr>
          <w:rFonts w:hint="eastAsia" w:hAnsi="宋体" w:cs="宋体"/>
          <w:color w:val="auto"/>
          <w:sz w:val="24"/>
          <w:szCs w:val="24"/>
        </w:rPr>
        <w:t>（4）向采购人、采购代理机构行贿或者提供其他不正当利益的；</w:t>
      </w:r>
    </w:p>
    <w:p w14:paraId="0F6645FE">
      <w:pPr>
        <w:pStyle w:val="14"/>
        <w:spacing w:line="440" w:lineRule="exact"/>
        <w:ind w:left="420"/>
        <w:rPr>
          <w:rFonts w:hAnsi="宋体" w:cs="宋体"/>
          <w:color w:val="auto"/>
          <w:sz w:val="24"/>
          <w:szCs w:val="24"/>
        </w:rPr>
      </w:pPr>
      <w:r>
        <w:rPr>
          <w:rFonts w:hint="eastAsia" w:hAnsi="宋体" w:cs="宋体"/>
          <w:color w:val="auto"/>
          <w:sz w:val="24"/>
          <w:szCs w:val="24"/>
        </w:rPr>
        <w:t>（5）在招标采购过程中与采购人进行协商谈判的；</w:t>
      </w:r>
    </w:p>
    <w:p w14:paraId="46BBFCF8">
      <w:pPr>
        <w:pStyle w:val="14"/>
        <w:spacing w:line="440" w:lineRule="exact"/>
        <w:ind w:left="420"/>
        <w:rPr>
          <w:rFonts w:hAnsi="宋体" w:cs="宋体"/>
          <w:color w:val="auto"/>
          <w:sz w:val="24"/>
          <w:szCs w:val="24"/>
        </w:rPr>
      </w:pPr>
      <w:r>
        <w:rPr>
          <w:rFonts w:hint="eastAsia" w:hAnsi="宋体" w:cs="宋体"/>
          <w:color w:val="auto"/>
          <w:sz w:val="24"/>
          <w:szCs w:val="24"/>
        </w:rPr>
        <w:t>（6）拒绝有关部门监督检查或提供虚假情况的。</w:t>
      </w:r>
    </w:p>
    <w:p w14:paraId="6F94960F">
      <w:pPr>
        <w:pStyle w:val="14"/>
        <w:spacing w:line="440" w:lineRule="exact"/>
        <w:ind w:left="420"/>
        <w:rPr>
          <w:rFonts w:hAnsi="宋体" w:cs="宋体"/>
          <w:color w:val="auto"/>
          <w:sz w:val="24"/>
          <w:szCs w:val="24"/>
        </w:rPr>
      </w:pPr>
      <w:r>
        <w:rPr>
          <w:rFonts w:hint="eastAsia" w:hAnsi="宋体" w:cs="宋体"/>
          <w:color w:val="auto"/>
          <w:sz w:val="24"/>
          <w:szCs w:val="24"/>
        </w:rPr>
        <w:t>10、我方及由本人担任法定代表人的其他机构最近三年内被处罚的违法行为有：</w:t>
      </w:r>
      <w:r>
        <w:rPr>
          <w:rFonts w:hint="eastAsia" w:hAnsi="宋体" w:cs="宋体"/>
          <w:color w:val="auto"/>
          <w:sz w:val="24"/>
          <w:szCs w:val="24"/>
          <w:u w:val="single"/>
        </w:rPr>
        <w:t xml:space="preserve"> </w:t>
      </w:r>
    </w:p>
    <w:p w14:paraId="4DC15693">
      <w:pPr>
        <w:pStyle w:val="14"/>
        <w:spacing w:line="360" w:lineRule="auto"/>
        <w:ind w:firstLine="420"/>
        <w:rPr>
          <w:rFonts w:hAnsi="宋体" w:cs="宋体"/>
          <w:color w:val="auto"/>
          <w:sz w:val="24"/>
          <w:szCs w:val="24"/>
        </w:rPr>
      </w:pPr>
      <w:r>
        <w:rPr>
          <w:rFonts w:hint="eastAsia" w:hAnsi="宋体" w:cs="宋体"/>
          <w:color w:val="auto"/>
          <w:sz w:val="24"/>
          <w:szCs w:val="24"/>
        </w:rPr>
        <w:t>11、以上事项如有虚假或隐瞒，我方愿意承担一切后果，并不再寻求任何旨在减轻或免除法律责任的辩解。</w:t>
      </w:r>
    </w:p>
    <w:p w14:paraId="69030948">
      <w:pPr>
        <w:pStyle w:val="14"/>
        <w:spacing w:line="360" w:lineRule="auto"/>
        <w:ind w:firstLine="420"/>
        <w:rPr>
          <w:rFonts w:hAnsi="宋体" w:cs="宋体"/>
          <w:color w:val="auto"/>
          <w:sz w:val="24"/>
          <w:szCs w:val="24"/>
        </w:rPr>
      </w:pPr>
      <w:r>
        <w:rPr>
          <w:rFonts w:hint="eastAsia" w:hAnsi="宋体" w:cs="宋体"/>
          <w:color w:val="auto"/>
          <w:sz w:val="24"/>
          <w:szCs w:val="24"/>
        </w:rPr>
        <w:t>12、与本响应有关的一切正式往来信函请寄：</w:t>
      </w:r>
    </w:p>
    <w:p w14:paraId="27E15B04">
      <w:pPr>
        <w:pStyle w:val="14"/>
        <w:spacing w:line="360" w:lineRule="auto"/>
        <w:ind w:firstLine="420"/>
        <w:rPr>
          <w:rFonts w:hAnsi="宋体" w:cs="宋体"/>
          <w:color w:val="auto"/>
          <w:sz w:val="24"/>
          <w:szCs w:val="24"/>
        </w:rPr>
      </w:pPr>
      <w:r>
        <w:rPr>
          <w:rFonts w:hint="eastAsia" w:hAnsi="宋体" w:cs="宋体"/>
          <w:color w:val="auto"/>
          <w:sz w:val="24"/>
          <w:szCs w:val="24"/>
        </w:rPr>
        <w:t>地址：</w:t>
      </w:r>
      <w:r>
        <w:rPr>
          <w:rFonts w:hint="eastAsia" w:hAnsi="宋体" w:cs="宋体"/>
          <w:color w:val="auto"/>
          <w:sz w:val="24"/>
          <w:szCs w:val="24"/>
          <w:u w:val="single"/>
        </w:rPr>
        <w:t xml:space="preserve">                                                        </w:t>
      </w:r>
      <w:r>
        <w:rPr>
          <w:rFonts w:hint="eastAsia" w:hAnsi="宋体" w:cs="宋体"/>
          <w:color w:val="auto"/>
          <w:sz w:val="24"/>
          <w:szCs w:val="24"/>
        </w:rPr>
        <w:t xml:space="preserve"> </w:t>
      </w:r>
    </w:p>
    <w:p w14:paraId="1CA32CED">
      <w:pPr>
        <w:pStyle w:val="14"/>
        <w:spacing w:line="360" w:lineRule="auto"/>
        <w:ind w:firstLine="420"/>
        <w:rPr>
          <w:rFonts w:hAnsi="宋体" w:cs="宋体"/>
          <w:color w:val="auto"/>
          <w:sz w:val="24"/>
          <w:szCs w:val="24"/>
          <w:u w:val="single"/>
        </w:rPr>
      </w:pPr>
      <w:r>
        <w:rPr>
          <w:rFonts w:hint="eastAsia" w:hAnsi="宋体" w:cs="宋体"/>
          <w:color w:val="auto"/>
          <w:sz w:val="24"/>
          <w:szCs w:val="24"/>
        </w:rPr>
        <w:t>电话：</w:t>
      </w:r>
      <w:r>
        <w:rPr>
          <w:rFonts w:hint="eastAsia" w:hAnsi="宋体" w:cs="宋体"/>
          <w:color w:val="auto"/>
          <w:sz w:val="24"/>
          <w:szCs w:val="24"/>
          <w:u w:val="single"/>
        </w:rPr>
        <w:t xml:space="preserve">                                      　　　　　　　　　</w:t>
      </w:r>
    </w:p>
    <w:p w14:paraId="28BC0F79">
      <w:pPr>
        <w:pStyle w:val="14"/>
        <w:spacing w:line="360" w:lineRule="auto"/>
        <w:ind w:firstLine="420"/>
        <w:rPr>
          <w:rFonts w:hAnsi="宋体" w:cs="宋体"/>
          <w:color w:val="auto"/>
          <w:sz w:val="24"/>
          <w:szCs w:val="24"/>
        </w:rPr>
      </w:pPr>
      <w:r>
        <w:rPr>
          <w:rFonts w:hint="eastAsia" w:hAnsi="宋体" w:cs="宋体"/>
          <w:color w:val="auto"/>
          <w:sz w:val="24"/>
          <w:szCs w:val="24"/>
        </w:rPr>
        <w:t>传真：</w:t>
      </w:r>
      <w:r>
        <w:rPr>
          <w:rFonts w:hint="eastAsia" w:hAnsi="宋体" w:cs="宋体"/>
          <w:color w:val="auto"/>
          <w:sz w:val="24"/>
          <w:szCs w:val="24"/>
          <w:u w:val="single"/>
        </w:rPr>
        <w:t>　　　　　　　　　　　　　　　　　　　　　　　　　　　　</w:t>
      </w:r>
    </w:p>
    <w:p w14:paraId="61710B1F">
      <w:pPr>
        <w:pStyle w:val="14"/>
        <w:spacing w:line="360" w:lineRule="auto"/>
        <w:ind w:firstLine="420"/>
        <w:rPr>
          <w:rFonts w:hAnsi="宋体" w:cs="宋体"/>
          <w:color w:val="auto"/>
          <w:sz w:val="24"/>
          <w:szCs w:val="24"/>
          <w:u w:val="single"/>
        </w:rPr>
      </w:pPr>
      <w:r>
        <w:rPr>
          <w:rFonts w:hint="eastAsia" w:hAnsi="宋体" w:cs="宋体"/>
          <w:color w:val="auto"/>
          <w:sz w:val="24"/>
          <w:szCs w:val="24"/>
        </w:rPr>
        <w:t>邮政编码：</w:t>
      </w:r>
      <w:r>
        <w:rPr>
          <w:rFonts w:hint="eastAsia" w:hAnsi="宋体" w:cs="宋体"/>
          <w:color w:val="auto"/>
          <w:sz w:val="24"/>
          <w:szCs w:val="24"/>
          <w:u w:val="single"/>
        </w:rPr>
        <w:t xml:space="preserve">                                                    </w:t>
      </w:r>
    </w:p>
    <w:p w14:paraId="0B15778F">
      <w:pPr>
        <w:pStyle w:val="14"/>
        <w:spacing w:line="360" w:lineRule="auto"/>
        <w:ind w:firstLine="420"/>
        <w:rPr>
          <w:rFonts w:hAnsi="宋体" w:cs="宋体"/>
          <w:color w:val="auto"/>
          <w:sz w:val="24"/>
          <w:szCs w:val="24"/>
          <w:u w:val="single"/>
        </w:rPr>
      </w:pPr>
      <w:r>
        <w:rPr>
          <w:rFonts w:hint="eastAsia" w:hAnsi="宋体" w:cs="宋体"/>
          <w:color w:val="auto"/>
          <w:sz w:val="24"/>
          <w:szCs w:val="24"/>
        </w:rPr>
        <w:t>开户名称：</w:t>
      </w:r>
      <w:r>
        <w:rPr>
          <w:rFonts w:hint="eastAsia" w:hAnsi="宋体" w:cs="宋体"/>
          <w:color w:val="auto"/>
          <w:sz w:val="24"/>
          <w:szCs w:val="24"/>
          <w:u w:val="single"/>
        </w:rPr>
        <w:t xml:space="preserve">                                                    </w:t>
      </w:r>
    </w:p>
    <w:p w14:paraId="7ACD724C">
      <w:pPr>
        <w:pStyle w:val="14"/>
        <w:spacing w:line="360" w:lineRule="auto"/>
        <w:ind w:firstLine="420"/>
        <w:rPr>
          <w:rFonts w:hAnsi="宋体" w:cs="宋体"/>
          <w:color w:val="auto"/>
          <w:sz w:val="24"/>
          <w:szCs w:val="24"/>
          <w:u w:val="single"/>
        </w:rPr>
      </w:pPr>
      <w:r>
        <w:rPr>
          <w:rFonts w:hint="eastAsia" w:hAnsi="宋体" w:cs="宋体"/>
          <w:color w:val="auto"/>
          <w:sz w:val="24"/>
          <w:szCs w:val="24"/>
        </w:rPr>
        <w:t>开户银行：</w:t>
      </w:r>
      <w:r>
        <w:rPr>
          <w:rFonts w:hint="eastAsia" w:hAnsi="宋体" w:cs="宋体"/>
          <w:color w:val="auto"/>
          <w:sz w:val="24"/>
          <w:szCs w:val="24"/>
          <w:u w:val="single"/>
        </w:rPr>
        <w:t xml:space="preserve">                                                    </w:t>
      </w:r>
    </w:p>
    <w:p w14:paraId="1B485C36">
      <w:pPr>
        <w:pStyle w:val="14"/>
        <w:spacing w:line="360" w:lineRule="auto"/>
        <w:ind w:firstLine="420"/>
        <w:rPr>
          <w:rFonts w:hAnsi="宋体" w:cs="宋体"/>
          <w:color w:val="auto"/>
          <w:sz w:val="24"/>
          <w:szCs w:val="24"/>
          <w:u w:val="single"/>
        </w:rPr>
      </w:pPr>
      <w:r>
        <w:rPr>
          <w:rFonts w:hint="eastAsia" w:hAnsi="宋体" w:cs="宋体"/>
          <w:color w:val="auto"/>
          <w:sz w:val="24"/>
          <w:szCs w:val="24"/>
        </w:rPr>
        <w:t>银行账号：</w:t>
      </w:r>
      <w:r>
        <w:rPr>
          <w:rFonts w:hint="eastAsia" w:hAnsi="宋体" w:cs="宋体"/>
          <w:color w:val="auto"/>
          <w:sz w:val="24"/>
          <w:szCs w:val="24"/>
          <w:u w:val="single"/>
        </w:rPr>
        <w:t xml:space="preserve">                                                    </w:t>
      </w:r>
    </w:p>
    <w:p w14:paraId="23DF685D">
      <w:pPr>
        <w:snapToGrid w:val="0"/>
        <w:spacing w:line="360" w:lineRule="auto"/>
        <w:ind w:firstLine="5040" w:firstLineChars="2100"/>
        <w:rPr>
          <w:rFonts w:ascii="宋体" w:hAnsi="宋体" w:cs="宋体"/>
          <w:color w:val="auto"/>
          <w:kern w:val="0"/>
          <w:sz w:val="24"/>
          <w:lang w:val="zh-CN"/>
        </w:rPr>
      </w:pPr>
    </w:p>
    <w:p w14:paraId="6B8D4B1E">
      <w:pPr>
        <w:snapToGrid w:val="0"/>
        <w:spacing w:line="360" w:lineRule="auto"/>
        <w:ind w:firstLine="5040" w:firstLineChars="2100"/>
        <w:rPr>
          <w:rFonts w:ascii="宋体" w:hAnsi="宋体" w:cs="宋体"/>
          <w:color w:val="auto"/>
          <w:kern w:val="0"/>
          <w:sz w:val="24"/>
        </w:rPr>
      </w:pPr>
      <w:r>
        <w:rPr>
          <w:rFonts w:hint="eastAsia" w:ascii="宋体" w:hAnsi="宋体" w:cs="宋体"/>
          <w:color w:val="auto"/>
          <w:kern w:val="0"/>
          <w:sz w:val="24"/>
          <w:lang w:val="zh-CN"/>
        </w:rPr>
        <w:t>供应商名称（电子签章）：</w:t>
      </w:r>
    </w:p>
    <w:p w14:paraId="2787CB46">
      <w:pPr>
        <w:snapToGrid w:val="0"/>
        <w:spacing w:line="360" w:lineRule="auto"/>
        <w:ind w:firstLine="5160" w:firstLineChars="2150"/>
        <w:rPr>
          <w:rFonts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4C6FD4B9">
      <w:pPr>
        <w:snapToGrid w:val="0"/>
        <w:spacing w:line="360" w:lineRule="auto"/>
        <w:ind w:firstLine="5160" w:firstLineChars="2150"/>
        <w:rPr>
          <w:rFonts w:ascii="宋体" w:hAnsi="宋体" w:cs="宋体"/>
          <w:color w:val="auto"/>
          <w:kern w:val="0"/>
          <w:sz w:val="24"/>
          <w:lang w:val="zh-CN"/>
        </w:rPr>
      </w:pPr>
    </w:p>
    <w:p w14:paraId="2C1ED39A">
      <w:pPr>
        <w:spacing w:line="520" w:lineRule="exact"/>
        <w:jc w:val="center"/>
        <w:rPr>
          <w:rFonts w:ascii="宋体" w:hAnsi="宋体" w:cs="宋体"/>
          <w:bCs/>
          <w:color w:val="auto"/>
          <w:sz w:val="32"/>
          <w:szCs w:val="32"/>
        </w:rPr>
      </w:pPr>
      <w:r>
        <w:rPr>
          <w:rFonts w:hint="eastAsia" w:ascii="宋体" w:hAnsi="宋体" w:cs="宋体"/>
          <w:color w:val="auto"/>
        </w:rPr>
        <w:br w:type="page"/>
      </w:r>
      <w:r>
        <w:rPr>
          <w:rFonts w:hint="eastAsia" w:ascii="宋体" w:hAnsi="宋体" w:cs="宋体"/>
          <w:b/>
          <w:bCs/>
          <w:color w:val="auto"/>
          <w:sz w:val="32"/>
          <w:szCs w:val="32"/>
        </w:rPr>
        <w:t>二、响应报价表</w:t>
      </w:r>
    </w:p>
    <w:p w14:paraId="3510AD70">
      <w:pPr>
        <w:spacing w:line="440" w:lineRule="exact"/>
        <w:jc w:val="center"/>
        <w:rPr>
          <w:rFonts w:ascii="宋体" w:hAnsi="宋体" w:cs="宋体"/>
          <w:bCs/>
          <w:color w:val="auto"/>
          <w:sz w:val="32"/>
          <w:szCs w:val="32"/>
        </w:rPr>
      </w:pPr>
    </w:p>
    <w:p w14:paraId="4BD2E092">
      <w:pPr>
        <w:spacing w:line="360" w:lineRule="auto"/>
        <w:rPr>
          <w:rFonts w:ascii="宋体" w:hAnsi="宋体" w:cs="宋体"/>
          <w:color w:val="auto"/>
          <w:sz w:val="24"/>
          <w:u w:val="single"/>
        </w:rPr>
      </w:pPr>
      <w:r>
        <w:rPr>
          <w:rFonts w:hint="eastAsia" w:ascii="宋体" w:hAnsi="宋体" w:cs="宋体"/>
          <w:color w:val="auto"/>
          <w:sz w:val="24"/>
        </w:rPr>
        <w:t>项目编号：</w:t>
      </w:r>
      <w:r>
        <w:rPr>
          <w:rFonts w:hint="eastAsia" w:ascii="宋体" w:hAnsi="宋体" w:cs="宋体"/>
          <w:color w:val="auto"/>
          <w:sz w:val="24"/>
          <w:u w:val="single"/>
        </w:rPr>
        <w:t xml:space="preserve">                 </w:t>
      </w:r>
    </w:p>
    <w:p w14:paraId="13DEF0E2">
      <w:pPr>
        <w:spacing w:line="360" w:lineRule="auto"/>
        <w:rPr>
          <w:rFonts w:ascii="宋体" w:hAnsi="宋体" w:cs="宋体"/>
          <w:color w:val="auto"/>
          <w:sz w:val="24"/>
          <w:u w:val="single"/>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5D735800">
      <w:pPr>
        <w:spacing w:line="360" w:lineRule="auto"/>
        <w:rPr>
          <w:rFonts w:ascii="宋体" w:hAnsi="宋体" w:cs="宋体"/>
          <w:color w:val="auto"/>
          <w:sz w:val="24"/>
          <w:u w:val="single"/>
        </w:rPr>
      </w:pPr>
      <w:r>
        <w:rPr>
          <w:rFonts w:hint="eastAsia" w:ascii="宋体" w:hAnsi="宋体" w:cs="宋体"/>
          <w:color w:val="auto"/>
          <w:sz w:val="24"/>
        </w:rPr>
        <w:t>分标号（此处有分标时填写具体分标号，无分标时填写“无”）：</w:t>
      </w:r>
      <w:r>
        <w:rPr>
          <w:rFonts w:hint="eastAsia" w:ascii="宋体" w:hAnsi="宋体" w:cs="宋体"/>
          <w:color w:val="auto"/>
          <w:sz w:val="24"/>
          <w:u w:val="single"/>
        </w:rPr>
        <w:t xml:space="preserve">               </w:t>
      </w:r>
    </w:p>
    <w:p w14:paraId="0E5A2BD5">
      <w:pPr>
        <w:snapToGrid w:val="0"/>
        <w:spacing w:before="50" w:after="50" w:line="360" w:lineRule="auto"/>
        <w:rPr>
          <w:rFonts w:ascii="宋体" w:hAnsi="宋体" w:cs="宋体"/>
          <w:color w:val="auto"/>
          <w:sz w:val="24"/>
        </w:rPr>
      </w:pPr>
      <w:r>
        <w:rPr>
          <w:rFonts w:hint="eastAsia" w:ascii="宋体" w:hAnsi="宋体" w:cs="宋体"/>
          <w:color w:val="auto"/>
          <w:sz w:val="24"/>
        </w:rPr>
        <w:t xml:space="preserve">  </w:t>
      </w:r>
    </w:p>
    <w:p w14:paraId="08AA54DF">
      <w:pPr>
        <w:snapToGrid w:val="0"/>
        <w:spacing w:before="50" w:after="50" w:line="360" w:lineRule="auto"/>
        <w:rPr>
          <w:rFonts w:ascii="宋体" w:hAnsi="宋体" w:cs="宋体"/>
          <w:color w:val="auto"/>
          <w:sz w:val="24"/>
        </w:rPr>
      </w:pPr>
      <w:r>
        <w:rPr>
          <w:rFonts w:hint="eastAsia" w:ascii="宋体" w:hAnsi="宋体" w:cs="宋体"/>
          <w:color w:val="auto"/>
          <w:sz w:val="24"/>
        </w:rPr>
        <w:t xml:space="preserve">                                                单位：元</w:t>
      </w:r>
    </w:p>
    <w:tbl>
      <w:tblPr>
        <w:tblStyle w:val="25"/>
        <w:tblW w:w="977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91"/>
        <w:gridCol w:w="1378"/>
        <w:gridCol w:w="1918"/>
        <w:gridCol w:w="1211"/>
        <w:gridCol w:w="1075"/>
        <w:gridCol w:w="950"/>
        <w:gridCol w:w="1563"/>
        <w:gridCol w:w="1091"/>
      </w:tblGrid>
      <w:tr w14:paraId="254FC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jc w:val="center"/>
        </w:trPr>
        <w:tc>
          <w:tcPr>
            <w:tcW w:w="591" w:type="dxa"/>
            <w:tcBorders>
              <w:left w:val="single" w:color="000000" w:sz="4" w:space="0"/>
              <w:right w:val="single" w:color="000000" w:sz="4" w:space="0"/>
            </w:tcBorders>
            <w:vAlign w:val="center"/>
          </w:tcPr>
          <w:p w14:paraId="13EB05E5">
            <w:pPr>
              <w:jc w:val="center"/>
              <w:rPr>
                <w:rFonts w:ascii="宋体" w:hAnsi="宋体" w:cs="宋体"/>
                <w:color w:val="auto"/>
                <w:sz w:val="24"/>
              </w:rPr>
            </w:pPr>
            <w:r>
              <w:rPr>
                <w:rFonts w:hint="eastAsia" w:ascii="宋体" w:hAnsi="宋体" w:cs="宋体"/>
                <w:color w:val="auto"/>
                <w:sz w:val="24"/>
              </w:rPr>
              <w:t>序号</w:t>
            </w:r>
          </w:p>
        </w:tc>
        <w:tc>
          <w:tcPr>
            <w:tcW w:w="1378" w:type="dxa"/>
            <w:tcBorders>
              <w:left w:val="single" w:color="000000" w:sz="4" w:space="0"/>
              <w:right w:val="single" w:color="000000" w:sz="4" w:space="0"/>
            </w:tcBorders>
            <w:vAlign w:val="center"/>
          </w:tcPr>
          <w:p w14:paraId="429A2952">
            <w:pPr>
              <w:jc w:val="center"/>
              <w:rPr>
                <w:rFonts w:ascii="宋体" w:hAnsi="宋体" w:cs="宋体"/>
                <w:color w:val="auto"/>
                <w:sz w:val="24"/>
              </w:rPr>
            </w:pPr>
            <w:r>
              <w:rPr>
                <w:rFonts w:hint="eastAsia" w:ascii="宋体" w:hAnsi="宋体" w:cs="宋体"/>
                <w:color w:val="auto"/>
                <w:szCs w:val="21"/>
              </w:rPr>
              <w:t>标的名称</w:t>
            </w:r>
          </w:p>
        </w:tc>
        <w:tc>
          <w:tcPr>
            <w:tcW w:w="1918" w:type="dxa"/>
            <w:tcBorders>
              <w:left w:val="single" w:color="000000" w:sz="4" w:space="0"/>
              <w:right w:val="single" w:color="000000" w:sz="4" w:space="0"/>
            </w:tcBorders>
            <w:vAlign w:val="center"/>
          </w:tcPr>
          <w:p w14:paraId="7A76D566">
            <w:pPr>
              <w:jc w:val="center"/>
              <w:rPr>
                <w:rFonts w:ascii="宋体" w:hAnsi="宋体" w:cs="宋体"/>
                <w:color w:val="auto"/>
                <w:sz w:val="24"/>
              </w:rPr>
            </w:pPr>
            <w:r>
              <w:rPr>
                <w:rFonts w:hint="eastAsia" w:ascii="宋体" w:hAnsi="宋体" w:cs="宋体"/>
                <w:color w:val="auto"/>
                <w:sz w:val="24"/>
              </w:rPr>
              <w:t>规格型号</w:t>
            </w:r>
          </w:p>
        </w:tc>
        <w:tc>
          <w:tcPr>
            <w:tcW w:w="1211" w:type="dxa"/>
            <w:tcBorders>
              <w:left w:val="single" w:color="000000" w:sz="4" w:space="0"/>
              <w:right w:val="single" w:color="000000" w:sz="4" w:space="0"/>
            </w:tcBorders>
            <w:vAlign w:val="center"/>
          </w:tcPr>
          <w:p w14:paraId="6DC4F360">
            <w:pPr>
              <w:jc w:val="center"/>
              <w:rPr>
                <w:rFonts w:ascii="宋体" w:hAnsi="宋体" w:cs="宋体"/>
                <w:color w:val="auto"/>
                <w:sz w:val="24"/>
              </w:rPr>
            </w:pPr>
            <w:r>
              <w:rPr>
                <w:rFonts w:hint="eastAsia" w:ascii="宋体" w:hAnsi="宋体" w:cs="宋体"/>
                <w:color w:val="auto"/>
                <w:sz w:val="24"/>
              </w:rPr>
              <w:t>品牌（如有）</w:t>
            </w:r>
          </w:p>
        </w:tc>
        <w:tc>
          <w:tcPr>
            <w:tcW w:w="1075" w:type="dxa"/>
            <w:tcBorders>
              <w:left w:val="single" w:color="000000" w:sz="4" w:space="0"/>
              <w:right w:val="single" w:color="000000" w:sz="4" w:space="0"/>
            </w:tcBorders>
            <w:vAlign w:val="center"/>
          </w:tcPr>
          <w:p w14:paraId="15DCD786">
            <w:pPr>
              <w:jc w:val="center"/>
              <w:rPr>
                <w:rFonts w:ascii="宋体" w:hAnsi="宋体" w:cs="宋体"/>
                <w:color w:val="auto"/>
                <w:sz w:val="24"/>
              </w:rPr>
            </w:pPr>
            <w:r>
              <w:rPr>
                <w:rFonts w:hint="eastAsia" w:ascii="宋体" w:hAnsi="宋体" w:cs="宋体"/>
                <w:color w:val="auto"/>
                <w:sz w:val="24"/>
              </w:rPr>
              <w:t>数量①</w:t>
            </w:r>
          </w:p>
        </w:tc>
        <w:tc>
          <w:tcPr>
            <w:tcW w:w="950" w:type="dxa"/>
            <w:tcBorders>
              <w:left w:val="single" w:color="000000" w:sz="4" w:space="0"/>
              <w:right w:val="single" w:color="000000" w:sz="4" w:space="0"/>
            </w:tcBorders>
            <w:vAlign w:val="center"/>
          </w:tcPr>
          <w:p w14:paraId="75862409">
            <w:pPr>
              <w:jc w:val="center"/>
              <w:rPr>
                <w:rFonts w:ascii="宋体" w:hAnsi="宋体" w:cs="宋体"/>
                <w:color w:val="auto"/>
                <w:sz w:val="24"/>
              </w:rPr>
            </w:pPr>
            <w:r>
              <w:rPr>
                <w:rFonts w:hint="eastAsia" w:ascii="宋体" w:hAnsi="宋体" w:cs="宋体"/>
                <w:color w:val="auto"/>
                <w:sz w:val="24"/>
              </w:rPr>
              <w:t>单价（元）②</w:t>
            </w:r>
          </w:p>
        </w:tc>
        <w:tc>
          <w:tcPr>
            <w:tcW w:w="1563" w:type="dxa"/>
            <w:tcBorders>
              <w:left w:val="single" w:color="000000" w:sz="4" w:space="0"/>
              <w:right w:val="single" w:color="000000" w:sz="4" w:space="0"/>
            </w:tcBorders>
            <w:vAlign w:val="center"/>
          </w:tcPr>
          <w:p w14:paraId="1DF7DC69">
            <w:pPr>
              <w:jc w:val="center"/>
              <w:rPr>
                <w:rFonts w:ascii="宋体" w:hAnsi="宋体" w:cs="宋体"/>
                <w:color w:val="auto"/>
                <w:sz w:val="24"/>
              </w:rPr>
            </w:pPr>
            <w:r>
              <w:rPr>
                <w:rFonts w:hint="eastAsia" w:ascii="宋体" w:hAnsi="宋体" w:cs="宋体"/>
                <w:color w:val="auto"/>
                <w:sz w:val="24"/>
              </w:rPr>
              <w:t>单项合价</w:t>
            </w:r>
          </w:p>
          <w:p w14:paraId="000F1F93">
            <w:pPr>
              <w:jc w:val="center"/>
              <w:rPr>
                <w:rFonts w:ascii="宋体" w:hAnsi="宋体" w:cs="宋体"/>
                <w:color w:val="auto"/>
                <w:sz w:val="24"/>
              </w:rPr>
            </w:pPr>
            <w:r>
              <w:rPr>
                <w:rFonts w:hint="eastAsia" w:ascii="宋体" w:hAnsi="宋体" w:cs="宋体"/>
                <w:color w:val="auto"/>
                <w:sz w:val="24"/>
              </w:rPr>
              <w:t>（元）③ ＝ ① ×②</w:t>
            </w:r>
          </w:p>
        </w:tc>
        <w:tc>
          <w:tcPr>
            <w:tcW w:w="1091" w:type="dxa"/>
            <w:tcBorders>
              <w:left w:val="single" w:color="000000" w:sz="4" w:space="0"/>
              <w:right w:val="single" w:color="000000" w:sz="4" w:space="0"/>
            </w:tcBorders>
            <w:vAlign w:val="center"/>
          </w:tcPr>
          <w:p w14:paraId="1460C4E7">
            <w:pPr>
              <w:jc w:val="center"/>
              <w:rPr>
                <w:rFonts w:ascii="宋体" w:hAnsi="宋体" w:cs="宋体"/>
                <w:color w:val="auto"/>
                <w:sz w:val="24"/>
              </w:rPr>
            </w:pPr>
            <w:r>
              <w:rPr>
                <w:rFonts w:hint="eastAsia" w:ascii="宋体" w:hAnsi="宋体" w:cs="宋体"/>
                <w:color w:val="auto"/>
                <w:sz w:val="24"/>
              </w:rPr>
              <w:t>备注</w:t>
            </w:r>
          </w:p>
        </w:tc>
      </w:tr>
      <w:tr w14:paraId="3C464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jc w:val="center"/>
        </w:trPr>
        <w:tc>
          <w:tcPr>
            <w:tcW w:w="9777" w:type="dxa"/>
            <w:gridSpan w:val="8"/>
            <w:tcBorders>
              <w:left w:val="single" w:color="000000" w:sz="4" w:space="0"/>
              <w:right w:val="single" w:color="000000" w:sz="4" w:space="0"/>
            </w:tcBorders>
            <w:vAlign w:val="center"/>
          </w:tcPr>
          <w:p w14:paraId="6A9C2059">
            <w:pPr>
              <w:jc w:val="left"/>
              <w:rPr>
                <w:rFonts w:ascii="宋体" w:hAnsi="宋体" w:cs="宋体"/>
                <w:color w:val="auto"/>
                <w:sz w:val="24"/>
              </w:rPr>
            </w:pPr>
            <w:r>
              <w:rPr>
                <w:rFonts w:hint="eastAsia" w:ascii="宋体" w:hAnsi="宋体" w:cs="宋体"/>
                <w:color w:val="auto"/>
                <w:szCs w:val="21"/>
              </w:rPr>
              <w:t>一、认证支付底层数据服务</w:t>
            </w:r>
          </w:p>
        </w:tc>
      </w:tr>
      <w:tr w14:paraId="60954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jc w:val="center"/>
        </w:trPr>
        <w:tc>
          <w:tcPr>
            <w:tcW w:w="591" w:type="dxa"/>
            <w:tcBorders>
              <w:left w:val="single" w:color="000000" w:sz="4" w:space="0"/>
              <w:right w:val="single" w:color="000000" w:sz="4" w:space="0"/>
            </w:tcBorders>
            <w:vAlign w:val="center"/>
          </w:tcPr>
          <w:p w14:paraId="25804445">
            <w:pPr>
              <w:jc w:val="center"/>
              <w:rPr>
                <w:rFonts w:ascii="宋体" w:hAnsi="宋体" w:cs="宋体"/>
                <w:color w:val="auto"/>
                <w:sz w:val="24"/>
              </w:rPr>
            </w:pPr>
            <w:r>
              <w:rPr>
                <w:rFonts w:hint="eastAsia" w:ascii="宋体" w:hAnsi="宋体" w:cs="宋体"/>
                <w:color w:val="auto"/>
                <w:sz w:val="24"/>
              </w:rPr>
              <w:t>1</w:t>
            </w:r>
          </w:p>
        </w:tc>
        <w:tc>
          <w:tcPr>
            <w:tcW w:w="1378" w:type="dxa"/>
            <w:tcBorders>
              <w:left w:val="single" w:color="000000" w:sz="4" w:space="0"/>
              <w:right w:val="single" w:color="000000" w:sz="4" w:space="0"/>
            </w:tcBorders>
            <w:vAlign w:val="center"/>
          </w:tcPr>
          <w:p w14:paraId="2C8A0D77">
            <w:pPr>
              <w:jc w:val="center"/>
              <w:rPr>
                <w:rFonts w:ascii="宋体" w:hAnsi="宋体" w:cs="宋体"/>
                <w:color w:val="auto"/>
                <w:sz w:val="24"/>
              </w:rPr>
            </w:pPr>
          </w:p>
        </w:tc>
        <w:tc>
          <w:tcPr>
            <w:tcW w:w="1918" w:type="dxa"/>
            <w:tcBorders>
              <w:left w:val="single" w:color="000000" w:sz="4" w:space="0"/>
              <w:right w:val="single" w:color="000000" w:sz="4" w:space="0"/>
            </w:tcBorders>
            <w:vAlign w:val="center"/>
          </w:tcPr>
          <w:p w14:paraId="177A6894">
            <w:pPr>
              <w:jc w:val="center"/>
              <w:rPr>
                <w:rFonts w:ascii="宋体" w:hAnsi="宋体" w:cs="宋体"/>
                <w:color w:val="auto"/>
                <w:sz w:val="24"/>
              </w:rPr>
            </w:pPr>
          </w:p>
        </w:tc>
        <w:tc>
          <w:tcPr>
            <w:tcW w:w="1211" w:type="dxa"/>
            <w:tcBorders>
              <w:left w:val="single" w:color="000000" w:sz="4" w:space="0"/>
              <w:right w:val="single" w:color="000000" w:sz="4" w:space="0"/>
            </w:tcBorders>
            <w:vAlign w:val="center"/>
          </w:tcPr>
          <w:p w14:paraId="273BC526">
            <w:pPr>
              <w:jc w:val="center"/>
              <w:rPr>
                <w:rFonts w:ascii="宋体" w:hAnsi="宋体" w:cs="宋体"/>
                <w:color w:val="auto"/>
                <w:sz w:val="24"/>
              </w:rPr>
            </w:pPr>
          </w:p>
        </w:tc>
        <w:tc>
          <w:tcPr>
            <w:tcW w:w="1075" w:type="dxa"/>
            <w:tcBorders>
              <w:left w:val="single" w:color="000000" w:sz="4" w:space="0"/>
              <w:right w:val="single" w:color="000000" w:sz="4" w:space="0"/>
            </w:tcBorders>
            <w:vAlign w:val="center"/>
          </w:tcPr>
          <w:p w14:paraId="19810C61">
            <w:pPr>
              <w:jc w:val="center"/>
              <w:rPr>
                <w:rFonts w:ascii="宋体" w:hAnsi="宋体" w:cs="宋体"/>
                <w:color w:val="auto"/>
                <w:sz w:val="24"/>
              </w:rPr>
            </w:pPr>
          </w:p>
        </w:tc>
        <w:tc>
          <w:tcPr>
            <w:tcW w:w="950" w:type="dxa"/>
            <w:tcBorders>
              <w:left w:val="single" w:color="000000" w:sz="4" w:space="0"/>
              <w:right w:val="single" w:color="000000" w:sz="4" w:space="0"/>
            </w:tcBorders>
            <w:vAlign w:val="center"/>
          </w:tcPr>
          <w:p w14:paraId="4E0CBB14">
            <w:pPr>
              <w:jc w:val="center"/>
              <w:rPr>
                <w:rFonts w:ascii="宋体" w:hAnsi="宋体" w:cs="宋体"/>
                <w:color w:val="auto"/>
                <w:sz w:val="24"/>
              </w:rPr>
            </w:pPr>
          </w:p>
        </w:tc>
        <w:tc>
          <w:tcPr>
            <w:tcW w:w="1563" w:type="dxa"/>
            <w:tcBorders>
              <w:left w:val="single" w:color="000000" w:sz="4" w:space="0"/>
              <w:right w:val="single" w:color="000000" w:sz="4" w:space="0"/>
            </w:tcBorders>
            <w:vAlign w:val="center"/>
          </w:tcPr>
          <w:p w14:paraId="6BAACA65">
            <w:pPr>
              <w:jc w:val="center"/>
              <w:rPr>
                <w:rFonts w:ascii="宋体" w:hAnsi="宋体" w:cs="宋体"/>
                <w:color w:val="auto"/>
                <w:sz w:val="24"/>
              </w:rPr>
            </w:pPr>
          </w:p>
        </w:tc>
        <w:tc>
          <w:tcPr>
            <w:tcW w:w="1091" w:type="dxa"/>
            <w:tcBorders>
              <w:left w:val="single" w:color="000000" w:sz="4" w:space="0"/>
              <w:right w:val="single" w:color="000000" w:sz="4" w:space="0"/>
            </w:tcBorders>
            <w:vAlign w:val="center"/>
          </w:tcPr>
          <w:p w14:paraId="51B4F7B3">
            <w:pPr>
              <w:jc w:val="center"/>
              <w:rPr>
                <w:rFonts w:ascii="宋体" w:hAnsi="宋体" w:cs="宋体"/>
                <w:color w:val="auto"/>
                <w:sz w:val="24"/>
              </w:rPr>
            </w:pPr>
          </w:p>
        </w:tc>
      </w:tr>
      <w:tr w14:paraId="5AC54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6" w:hRule="atLeast"/>
          <w:jc w:val="center"/>
        </w:trPr>
        <w:tc>
          <w:tcPr>
            <w:tcW w:w="591" w:type="dxa"/>
            <w:tcBorders>
              <w:left w:val="single" w:color="000000" w:sz="4" w:space="0"/>
              <w:right w:val="single" w:color="000000" w:sz="4" w:space="0"/>
            </w:tcBorders>
            <w:vAlign w:val="center"/>
          </w:tcPr>
          <w:p w14:paraId="2B46A33B">
            <w:pPr>
              <w:jc w:val="center"/>
              <w:rPr>
                <w:rFonts w:ascii="宋体" w:hAnsi="宋体" w:cs="宋体"/>
                <w:color w:val="auto"/>
                <w:sz w:val="24"/>
              </w:rPr>
            </w:pPr>
            <w:r>
              <w:rPr>
                <w:rFonts w:hint="eastAsia" w:ascii="宋体" w:hAnsi="宋体" w:cs="宋体"/>
                <w:color w:val="auto"/>
                <w:sz w:val="24"/>
              </w:rPr>
              <w:t>2</w:t>
            </w:r>
          </w:p>
        </w:tc>
        <w:tc>
          <w:tcPr>
            <w:tcW w:w="1378" w:type="dxa"/>
            <w:tcBorders>
              <w:left w:val="single" w:color="000000" w:sz="4" w:space="0"/>
              <w:right w:val="single" w:color="000000" w:sz="4" w:space="0"/>
            </w:tcBorders>
            <w:vAlign w:val="center"/>
          </w:tcPr>
          <w:p w14:paraId="473F045E">
            <w:pPr>
              <w:jc w:val="center"/>
              <w:rPr>
                <w:rFonts w:ascii="宋体" w:hAnsi="宋体" w:cs="宋体"/>
                <w:color w:val="auto"/>
                <w:sz w:val="24"/>
              </w:rPr>
            </w:pPr>
          </w:p>
        </w:tc>
        <w:tc>
          <w:tcPr>
            <w:tcW w:w="1918" w:type="dxa"/>
            <w:tcBorders>
              <w:left w:val="single" w:color="000000" w:sz="4" w:space="0"/>
              <w:right w:val="single" w:color="000000" w:sz="4" w:space="0"/>
            </w:tcBorders>
            <w:vAlign w:val="center"/>
          </w:tcPr>
          <w:p w14:paraId="1F0AB0D2">
            <w:pPr>
              <w:jc w:val="center"/>
              <w:rPr>
                <w:rFonts w:ascii="宋体" w:hAnsi="宋体" w:cs="宋体"/>
                <w:color w:val="auto"/>
                <w:sz w:val="24"/>
              </w:rPr>
            </w:pPr>
          </w:p>
        </w:tc>
        <w:tc>
          <w:tcPr>
            <w:tcW w:w="1211" w:type="dxa"/>
            <w:tcBorders>
              <w:left w:val="single" w:color="000000" w:sz="4" w:space="0"/>
              <w:right w:val="single" w:color="000000" w:sz="4" w:space="0"/>
            </w:tcBorders>
            <w:vAlign w:val="center"/>
          </w:tcPr>
          <w:p w14:paraId="58CAE0F7">
            <w:pPr>
              <w:jc w:val="center"/>
              <w:rPr>
                <w:rFonts w:ascii="宋体" w:hAnsi="宋体" w:cs="宋体"/>
                <w:color w:val="auto"/>
                <w:sz w:val="24"/>
              </w:rPr>
            </w:pPr>
          </w:p>
        </w:tc>
        <w:tc>
          <w:tcPr>
            <w:tcW w:w="1075" w:type="dxa"/>
            <w:tcBorders>
              <w:left w:val="single" w:color="000000" w:sz="4" w:space="0"/>
              <w:right w:val="single" w:color="000000" w:sz="4" w:space="0"/>
            </w:tcBorders>
            <w:vAlign w:val="center"/>
          </w:tcPr>
          <w:p w14:paraId="7A796612">
            <w:pPr>
              <w:jc w:val="center"/>
              <w:rPr>
                <w:rFonts w:ascii="宋体" w:hAnsi="宋体" w:cs="宋体"/>
                <w:color w:val="auto"/>
                <w:sz w:val="24"/>
              </w:rPr>
            </w:pPr>
          </w:p>
        </w:tc>
        <w:tc>
          <w:tcPr>
            <w:tcW w:w="950" w:type="dxa"/>
            <w:tcBorders>
              <w:left w:val="single" w:color="000000" w:sz="4" w:space="0"/>
              <w:right w:val="single" w:color="000000" w:sz="4" w:space="0"/>
            </w:tcBorders>
            <w:vAlign w:val="center"/>
          </w:tcPr>
          <w:p w14:paraId="20049BCD">
            <w:pPr>
              <w:jc w:val="center"/>
              <w:rPr>
                <w:rFonts w:ascii="宋体" w:hAnsi="宋体" w:cs="宋体"/>
                <w:color w:val="auto"/>
                <w:sz w:val="24"/>
              </w:rPr>
            </w:pPr>
          </w:p>
        </w:tc>
        <w:tc>
          <w:tcPr>
            <w:tcW w:w="1563" w:type="dxa"/>
            <w:tcBorders>
              <w:left w:val="single" w:color="000000" w:sz="4" w:space="0"/>
              <w:right w:val="single" w:color="000000" w:sz="4" w:space="0"/>
            </w:tcBorders>
            <w:vAlign w:val="center"/>
          </w:tcPr>
          <w:p w14:paraId="7F9C91B2">
            <w:pPr>
              <w:jc w:val="center"/>
              <w:rPr>
                <w:rFonts w:ascii="宋体" w:hAnsi="宋体" w:cs="宋体"/>
                <w:color w:val="auto"/>
                <w:sz w:val="24"/>
              </w:rPr>
            </w:pPr>
          </w:p>
        </w:tc>
        <w:tc>
          <w:tcPr>
            <w:tcW w:w="1091" w:type="dxa"/>
            <w:tcBorders>
              <w:left w:val="single" w:color="000000" w:sz="4" w:space="0"/>
              <w:right w:val="single" w:color="000000" w:sz="4" w:space="0"/>
            </w:tcBorders>
            <w:vAlign w:val="center"/>
          </w:tcPr>
          <w:p w14:paraId="38F6FBAF">
            <w:pPr>
              <w:jc w:val="center"/>
              <w:rPr>
                <w:rFonts w:ascii="宋体" w:hAnsi="宋体" w:cs="宋体"/>
                <w:color w:val="auto"/>
                <w:sz w:val="24"/>
              </w:rPr>
            </w:pPr>
          </w:p>
        </w:tc>
      </w:tr>
      <w:tr w14:paraId="0F161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0" w:hRule="atLeast"/>
          <w:jc w:val="center"/>
        </w:trPr>
        <w:tc>
          <w:tcPr>
            <w:tcW w:w="591" w:type="dxa"/>
            <w:tcBorders>
              <w:left w:val="single" w:color="000000" w:sz="4" w:space="0"/>
              <w:right w:val="single" w:color="000000" w:sz="4" w:space="0"/>
            </w:tcBorders>
            <w:vAlign w:val="center"/>
          </w:tcPr>
          <w:p w14:paraId="3ABD229B">
            <w:pPr>
              <w:jc w:val="center"/>
              <w:rPr>
                <w:rFonts w:ascii="宋体" w:hAnsi="宋体" w:cs="宋体"/>
                <w:color w:val="auto"/>
                <w:sz w:val="24"/>
              </w:rPr>
            </w:pPr>
            <w:r>
              <w:rPr>
                <w:rFonts w:hint="eastAsia" w:ascii="宋体" w:hAnsi="宋体" w:cs="宋体"/>
                <w:color w:val="auto"/>
                <w:sz w:val="24"/>
              </w:rPr>
              <w:t>...</w:t>
            </w:r>
          </w:p>
        </w:tc>
        <w:tc>
          <w:tcPr>
            <w:tcW w:w="1378" w:type="dxa"/>
            <w:tcBorders>
              <w:left w:val="single" w:color="000000" w:sz="4" w:space="0"/>
              <w:right w:val="single" w:color="000000" w:sz="4" w:space="0"/>
            </w:tcBorders>
            <w:vAlign w:val="center"/>
          </w:tcPr>
          <w:p w14:paraId="30300AD7">
            <w:pPr>
              <w:jc w:val="center"/>
              <w:rPr>
                <w:rFonts w:ascii="宋体" w:hAnsi="宋体" w:cs="宋体"/>
                <w:color w:val="auto"/>
                <w:sz w:val="24"/>
              </w:rPr>
            </w:pPr>
          </w:p>
        </w:tc>
        <w:tc>
          <w:tcPr>
            <w:tcW w:w="1918" w:type="dxa"/>
            <w:tcBorders>
              <w:left w:val="single" w:color="000000" w:sz="4" w:space="0"/>
              <w:right w:val="single" w:color="000000" w:sz="4" w:space="0"/>
            </w:tcBorders>
            <w:vAlign w:val="center"/>
          </w:tcPr>
          <w:p w14:paraId="3F6A6780">
            <w:pPr>
              <w:jc w:val="center"/>
              <w:rPr>
                <w:rFonts w:ascii="宋体" w:hAnsi="宋体" w:cs="宋体"/>
                <w:color w:val="auto"/>
                <w:sz w:val="24"/>
              </w:rPr>
            </w:pPr>
          </w:p>
        </w:tc>
        <w:tc>
          <w:tcPr>
            <w:tcW w:w="1211" w:type="dxa"/>
            <w:tcBorders>
              <w:left w:val="single" w:color="000000" w:sz="4" w:space="0"/>
              <w:right w:val="single" w:color="000000" w:sz="4" w:space="0"/>
            </w:tcBorders>
            <w:vAlign w:val="center"/>
          </w:tcPr>
          <w:p w14:paraId="5A519EA9">
            <w:pPr>
              <w:jc w:val="center"/>
              <w:rPr>
                <w:rFonts w:ascii="宋体" w:hAnsi="宋体" w:cs="宋体"/>
                <w:color w:val="auto"/>
                <w:sz w:val="24"/>
              </w:rPr>
            </w:pPr>
          </w:p>
        </w:tc>
        <w:tc>
          <w:tcPr>
            <w:tcW w:w="1075" w:type="dxa"/>
            <w:tcBorders>
              <w:left w:val="single" w:color="000000" w:sz="4" w:space="0"/>
              <w:right w:val="single" w:color="000000" w:sz="4" w:space="0"/>
            </w:tcBorders>
            <w:vAlign w:val="center"/>
          </w:tcPr>
          <w:p w14:paraId="13CF7696">
            <w:pPr>
              <w:jc w:val="center"/>
              <w:rPr>
                <w:rFonts w:ascii="宋体" w:hAnsi="宋体" w:cs="宋体"/>
                <w:color w:val="auto"/>
                <w:sz w:val="24"/>
              </w:rPr>
            </w:pPr>
          </w:p>
        </w:tc>
        <w:tc>
          <w:tcPr>
            <w:tcW w:w="950" w:type="dxa"/>
            <w:tcBorders>
              <w:left w:val="single" w:color="000000" w:sz="4" w:space="0"/>
              <w:right w:val="single" w:color="000000" w:sz="4" w:space="0"/>
            </w:tcBorders>
            <w:vAlign w:val="center"/>
          </w:tcPr>
          <w:p w14:paraId="667365F0">
            <w:pPr>
              <w:jc w:val="center"/>
              <w:rPr>
                <w:rFonts w:ascii="宋体" w:hAnsi="宋体" w:cs="宋体"/>
                <w:color w:val="auto"/>
                <w:sz w:val="24"/>
              </w:rPr>
            </w:pPr>
          </w:p>
        </w:tc>
        <w:tc>
          <w:tcPr>
            <w:tcW w:w="1563" w:type="dxa"/>
            <w:tcBorders>
              <w:left w:val="single" w:color="000000" w:sz="4" w:space="0"/>
              <w:right w:val="single" w:color="000000" w:sz="4" w:space="0"/>
            </w:tcBorders>
            <w:vAlign w:val="center"/>
          </w:tcPr>
          <w:p w14:paraId="66657730">
            <w:pPr>
              <w:jc w:val="center"/>
              <w:rPr>
                <w:rFonts w:ascii="宋体" w:hAnsi="宋体" w:cs="宋体"/>
                <w:color w:val="auto"/>
                <w:sz w:val="24"/>
              </w:rPr>
            </w:pPr>
          </w:p>
        </w:tc>
        <w:tc>
          <w:tcPr>
            <w:tcW w:w="1091" w:type="dxa"/>
            <w:tcBorders>
              <w:left w:val="single" w:color="000000" w:sz="4" w:space="0"/>
              <w:right w:val="single" w:color="000000" w:sz="4" w:space="0"/>
            </w:tcBorders>
            <w:vAlign w:val="center"/>
          </w:tcPr>
          <w:p w14:paraId="7CD2A358">
            <w:pPr>
              <w:jc w:val="center"/>
              <w:rPr>
                <w:rFonts w:ascii="宋体" w:hAnsi="宋体" w:cs="宋体"/>
                <w:color w:val="auto"/>
                <w:sz w:val="24"/>
              </w:rPr>
            </w:pPr>
          </w:p>
        </w:tc>
      </w:tr>
      <w:tr w14:paraId="17A69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9" w:hRule="atLeast"/>
          <w:jc w:val="center"/>
        </w:trPr>
        <w:tc>
          <w:tcPr>
            <w:tcW w:w="9777" w:type="dxa"/>
            <w:gridSpan w:val="8"/>
            <w:tcBorders>
              <w:left w:val="single" w:color="000000" w:sz="4" w:space="0"/>
              <w:right w:val="single" w:color="000000" w:sz="4" w:space="0"/>
            </w:tcBorders>
            <w:vAlign w:val="center"/>
          </w:tcPr>
          <w:p w14:paraId="05D8CBDE">
            <w:pPr>
              <w:rPr>
                <w:rFonts w:ascii="宋体" w:hAnsi="宋体" w:cs="宋体"/>
                <w:color w:val="auto"/>
                <w:sz w:val="24"/>
              </w:rPr>
            </w:pPr>
            <w:r>
              <w:rPr>
                <w:rFonts w:hint="eastAsia" w:ascii="宋体" w:hAnsi="宋体" w:cs="宋体"/>
                <w:color w:val="auto"/>
                <w:sz w:val="24"/>
              </w:rPr>
              <w:t>报价合计（包含税费等所有费用）：（大写）人民币</w:t>
            </w:r>
            <w:r>
              <w:rPr>
                <w:rFonts w:hint="eastAsia" w:ascii="宋体" w:hAnsi="宋体" w:cs="宋体"/>
                <w:color w:val="auto"/>
                <w:sz w:val="24"/>
              </w:rPr>
              <w:tab/>
            </w:r>
            <w:r>
              <w:rPr>
                <w:rFonts w:hint="eastAsia" w:ascii="宋体" w:hAnsi="宋体" w:cs="宋体"/>
                <w:color w:val="auto"/>
                <w:sz w:val="24"/>
              </w:rPr>
              <w:t xml:space="preserve">          （¥             ）</w:t>
            </w:r>
          </w:p>
        </w:tc>
      </w:tr>
      <w:tr w14:paraId="1EABB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atLeast"/>
          <w:jc w:val="center"/>
        </w:trPr>
        <w:tc>
          <w:tcPr>
            <w:tcW w:w="9777" w:type="dxa"/>
            <w:gridSpan w:val="8"/>
            <w:tcBorders>
              <w:left w:val="single" w:color="000000" w:sz="4" w:space="0"/>
              <w:right w:val="single" w:color="000000" w:sz="4" w:space="0"/>
            </w:tcBorders>
            <w:vAlign w:val="center"/>
          </w:tcPr>
          <w:p w14:paraId="33FA1965">
            <w:pPr>
              <w:rPr>
                <w:rFonts w:ascii="宋体" w:hAnsi="宋体" w:cs="宋体"/>
                <w:color w:val="auto"/>
                <w:sz w:val="24"/>
              </w:rPr>
            </w:pPr>
            <w:r>
              <w:rPr>
                <w:rFonts w:hint="eastAsia" w:ascii="宋体" w:hAnsi="宋体" w:cs="宋体"/>
                <w:color w:val="auto"/>
                <w:sz w:val="24"/>
              </w:rPr>
              <w:t>验收标准：</w:t>
            </w:r>
          </w:p>
        </w:tc>
      </w:tr>
      <w:tr w14:paraId="5A6D0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0" w:hRule="atLeast"/>
          <w:jc w:val="center"/>
        </w:trPr>
        <w:tc>
          <w:tcPr>
            <w:tcW w:w="9777" w:type="dxa"/>
            <w:gridSpan w:val="8"/>
            <w:tcBorders>
              <w:left w:val="single" w:color="000000" w:sz="4" w:space="0"/>
              <w:right w:val="single" w:color="000000" w:sz="4" w:space="0"/>
            </w:tcBorders>
            <w:vAlign w:val="center"/>
          </w:tcPr>
          <w:p w14:paraId="03001AFA">
            <w:pPr>
              <w:rPr>
                <w:rFonts w:ascii="宋体" w:hAnsi="宋体" w:cs="宋体"/>
                <w:color w:val="auto"/>
                <w:sz w:val="24"/>
              </w:rPr>
            </w:pPr>
            <w:r>
              <w:rPr>
                <w:rFonts w:hint="eastAsia" w:ascii="宋体" w:hAnsi="宋体" w:cs="宋体"/>
                <w:color w:val="auto"/>
                <w:sz w:val="24"/>
              </w:rPr>
              <w:t>交付使用时间(合同履行期限)：</w:t>
            </w:r>
          </w:p>
        </w:tc>
      </w:tr>
    </w:tbl>
    <w:p w14:paraId="2569C3C0">
      <w:pPr>
        <w:rPr>
          <w:rFonts w:ascii="宋体" w:hAnsi="宋体" w:cs="宋体"/>
          <w:color w:val="auto"/>
          <w:sz w:val="24"/>
        </w:rPr>
      </w:pPr>
    </w:p>
    <w:p w14:paraId="6B625112">
      <w:pPr>
        <w:snapToGrid w:val="0"/>
        <w:spacing w:before="50" w:after="50" w:line="360" w:lineRule="auto"/>
        <w:jc w:val="left"/>
        <w:rPr>
          <w:rFonts w:ascii="宋体" w:hAnsi="宋体" w:cs="宋体"/>
          <w:color w:val="auto"/>
          <w:sz w:val="24"/>
        </w:rPr>
      </w:pPr>
      <w:r>
        <w:rPr>
          <w:rFonts w:hint="eastAsia" w:ascii="宋体" w:hAnsi="宋体" w:cs="宋体"/>
          <w:color w:val="auto"/>
          <w:sz w:val="24"/>
        </w:rPr>
        <w:t xml:space="preserve">注： </w:t>
      </w:r>
    </w:p>
    <w:p w14:paraId="546FFC03">
      <w:pPr>
        <w:snapToGrid w:val="0"/>
        <w:spacing w:before="50" w:after="50" w:line="360" w:lineRule="auto"/>
        <w:ind w:firstLine="480" w:firstLineChars="200"/>
        <w:jc w:val="left"/>
        <w:rPr>
          <w:rFonts w:ascii="宋体" w:hAnsi="宋体" w:cs="宋体"/>
          <w:color w:val="auto"/>
          <w:sz w:val="24"/>
        </w:rPr>
      </w:pPr>
      <w:r>
        <w:rPr>
          <w:rFonts w:hint="eastAsia" w:ascii="宋体" w:hAnsi="宋体" w:cs="宋体"/>
          <w:color w:val="auto"/>
          <w:sz w:val="24"/>
        </w:rPr>
        <w:t>1.供应商的报价表必须加盖供应商电子公章，</w:t>
      </w:r>
      <w:r>
        <w:rPr>
          <w:rFonts w:hint="eastAsia" w:ascii="宋体" w:hAnsi="宋体" w:cs="宋体"/>
          <w:b/>
          <w:color w:val="auto"/>
          <w:sz w:val="24"/>
        </w:rPr>
        <w:t>否则其响应文件按无效响应处理</w:t>
      </w:r>
      <w:r>
        <w:rPr>
          <w:rFonts w:hint="eastAsia" w:ascii="宋体" w:hAnsi="宋体" w:cs="宋体"/>
          <w:color w:val="auto"/>
          <w:sz w:val="24"/>
        </w:rPr>
        <w:t>。</w:t>
      </w:r>
    </w:p>
    <w:p w14:paraId="7AE28914">
      <w:pPr>
        <w:snapToGrid w:val="0"/>
        <w:spacing w:before="50" w:after="50" w:line="360" w:lineRule="auto"/>
        <w:ind w:firstLine="480" w:firstLineChars="200"/>
        <w:jc w:val="left"/>
        <w:rPr>
          <w:rFonts w:ascii="宋体" w:hAnsi="宋体" w:cs="宋体"/>
          <w:color w:val="auto"/>
          <w:sz w:val="24"/>
        </w:rPr>
      </w:pPr>
      <w:r>
        <w:rPr>
          <w:rFonts w:hint="eastAsia" w:ascii="宋体" w:hAnsi="宋体" w:cs="宋体"/>
          <w:bCs/>
          <w:color w:val="auto"/>
          <w:sz w:val="24"/>
        </w:rPr>
        <w:t>2.</w:t>
      </w:r>
      <w:r>
        <w:rPr>
          <w:rFonts w:hint="eastAsia" w:ascii="宋体" w:hAnsi="宋体" w:cs="宋体"/>
          <w:color w:val="auto"/>
          <w:sz w:val="24"/>
        </w:rPr>
        <w:t>如为联合体竞标，“供应商名称”处必须列明联合体各方名称，标注联合体牵头人名称，</w:t>
      </w:r>
      <w:r>
        <w:rPr>
          <w:rFonts w:hint="eastAsia" w:ascii="宋体" w:hAnsi="宋体" w:cs="宋体"/>
          <w:b/>
          <w:color w:val="auto"/>
          <w:sz w:val="24"/>
        </w:rPr>
        <w:t>否则其响应文件按无效响应处理。</w:t>
      </w:r>
    </w:p>
    <w:p w14:paraId="2DC08CCF">
      <w:pPr>
        <w:snapToGrid w:val="0"/>
        <w:spacing w:before="50" w:after="50" w:line="360" w:lineRule="auto"/>
        <w:ind w:firstLine="480" w:firstLineChars="200"/>
        <w:jc w:val="left"/>
        <w:rPr>
          <w:rFonts w:ascii="宋体" w:hAnsi="宋体" w:cs="宋体"/>
          <w:color w:val="auto"/>
          <w:sz w:val="24"/>
        </w:rPr>
      </w:pPr>
      <w:r>
        <w:rPr>
          <w:rFonts w:hint="eastAsia" w:ascii="宋体" w:hAnsi="宋体" w:cs="宋体"/>
          <w:color w:val="auto"/>
          <w:sz w:val="24"/>
        </w:rPr>
        <w:t>3.如为联合体竞标，盖章处须加盖联合体各方电子公章，</w:t>
      </w:r>
      <w:r>
        <w:rPr>
          <w:rFonts w:hint="eastAsia" w:ascii="宋体" w:hAnsi="宋体" w:cs="宋体"/>
          <w:b/>
          <w:color w:val="auto"/>
          <w:sz w:val="24"/>
        </w:rPr>
        <w:t>否则其响应文件按无效响应处理。</w:t>
      </w:r>
    </w:p>
    <w:p w14:paraId="27719374">
      <w:pPr>
        <w:snapToGrid w:val="0"/>
        <w:spacing w:before="50" w:after="50" w:line="360" w:lineRule="auto"/>
        <w:ind w:firstLine="480" w:firstLineChars="200"/>
        <w:rPr>
          <w:rFonts w:ascii="宋体" w:hAnsi="宋体" w:cs="宋体"/>
          <w:color w:val="auto"/>
          <w:sz w:val="24"/>
        </w:rPr>
      </w:pPr>
      <w:r>
        <w:rPr>
          <w:rFonts w:hint="eastAsia" w:ascii="宋体" w:hAnsi="宋体" w:cs="宋体"/>
          <w:color w:val="auto"/>
          <w:sz w:val="24"/>
        </w:rPr>
        <w:t>4.</w:t>
      </w:r>
      <w:r>
        <w:rPr>
          <w:rFonts w:hint="eastAsia" w:ascii="宋体" w:hAnsi="宋体" w:cs="宋体"/>
          <w:color w:val="auto"/>
          <w:spacing w:val="-6"/>
          <w:sz w:val="24"/>
        </w:rPr>
        <w:t>如有多分标，分别列明各分标的报价表，</w:t>
      </w:r>
      <w:r>
        <w:rPr>
          <w:rFonts w:hint="eastAsia" w:ascii="宋体" w:hAnsi="宋体" w:cs="宋体"/>
          <w:b/>
          <w:color w:val="auto"/>
          <w:spacing w:val="-6"/>
          <w:sz w:val="24"/>
        </w:rPr>
        <w:t>否则其响应文件按无效响应处理。</w:t>
      </w:r>
    </w:p>
    <w:p w14:paraId="4E7F374F">
      <w:pPr>
        <w:snapToGrid w:val="0"/>
        <w:spacing w:line="360" w:lineRule="auto"/>
        <w:ind w:firstLine="5040" w:firstLineChars="2100"/>
        <w:rPr>
          <w:rFonts w:ascii="宋体" w:hAnsi="宋体" w:cs="宋体"/>
          <w:color w:val="auto"/>
          <w:kern w:val="0"/>
          <w:sz w:val="24"/>
          <w:lang w:val="zh-CN"/>
        </w:rPr>
      </w:pPr>
    </w:p>
    <w:p w14:paraId="691D15C1">
      <w:pPr>
        <w:snapToGrid w:val="0"/>
        <w:spacing w:line="360" w:lineRule="auto"/>
        <w:ind w:firstLine="5040" w:firstLineChars="2100"/>
        <w:rPr>
          <w:rFonts w:ascii="宋体" w:hAnsi="宋体" w:cs="宋体"/>
          <w:color w:val="auto"/>
          <w:kern w:val="0"/>
          <w:sz w:val="24"/>
        </w:rPr>
      </w:pPr>
      <w:r>
        <w:rPr>
          <w:rFonts w:hint="eastAsia" w:ascii="宋体" w:hAnsi="宋体" w:cs="宋体"/>
          <w:color w:val="auto"/>
          <w:kern w:val="0"/>
          <w:sz w:val="24"/>
          <w:lang w:val="zh-CN"/>
        </w:rPr>
        <w:t>供应商名称（电子签章）：</w:t>
      </w:r>
    </w:p>
    <w:p w14:paraId="159D1A8F">
      <w:pPr>
        <w:snapToGrid w:val="0"/>
        <w:spacing w:line="360" w:lineRule="auto"/>
        <w:ind w:firstLine="5160" w:firstLineChars="2150"/>
        <w:rPr>
          <w:rFonts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1C6C397F">
      <w:pPr>
        <w:rPr>
          <w:rFonts w:ascii="宋体" w:hAnsi="宋体" w:cs="宋体"/>
          <w:color w:val="auto"/>
          <w:kern w:val="0"/>
          <w:sz w:val="24"/>
          <w:lang w:val="zh-CN"/>
        </w:rPr>
      </w:pPr>
      <w:r>
        <w:rPr>
          <w:rFonts w:hint="eastAsia" w:ascii="宋体" w:hAnsi="宋体" w:cs="宋体"/>
          <w:color w:val="auto"/>
          <w:kern w:val="0"/>
          <w:sz w:val="24"/>
          <w:lang w:val="zh-CN"/>
        </w:rPr>
        <w:br w:type="page"/>
      </w:r>
    </w:p>
    <w:p w14:paraId="0EDAD18E">
      <w:pPr>
        <w:spacing w:line="320" w:lineRule="exact"/>
        <w:rPr>
          <w:rFonts w:ascii="宋体" w:hAnsi="宋体" w:cs="宋体"/>
          <w:b/>
          <w:color w:val="auto"/>
          <w:sz w:val="32"/>
          <w:szCs w:val="32"/>
        </w:rPr>
      </w:pPr>
      <w:r>
        <w:rPr>
          <w:rFonts w:hint="eastAsia" w:ascii="宋体" w:hAnsi="宋体" w:cs="宋体"/>
          <w:b/>
          <w:color w:val="auto"/>
          <w:sz w:val="32"/>
          <w:szCs w:val="32"/>
        </w:rPr>
        <w:t>三、中小企业声明函或《残疾人福利性单位声明函》或属于监狱企业的证明文件</w:t>
      </w:r>
    </w:p>
    <w:p w14:paraId="242D97C3">
      <w:pPr>
        <w:pStyle w:val="17"/>
        <w:rPr>
          <w:rFonts w:ascii="宋体" w:hAnsi="宋体" w:cs="宋体"/>
          <w:color w:val="auto"/>
        </w:rPr>
      </w:pPr>
    </w:p>
    <w:p w14:paraId="45E98ACF">
      <w:pPr>
        <w:pStyle w:val="17"/>
        <w:rPr>
          <w:rFonts w:ascii="宋体" w:hAnsi="宋体" w:cs="宋体"/>
          <w:color w:val="auto"/>
        </w:rPr>
      </w:pPr>
    </w:p>
    <w:p w14:paraId="20B87140">
      <w:pPr>
        <w:pStyle w:val="17"/>
        <w:rPr>
          <w:rFonts w:ascii="宋体" w:hAnsi="宋体" w:cs="宋体"/>
          <w:color w:val="auto"/>
        </w:rPr>
      </w:pPr>
    </w:p>
    <w:p w14:paraId="1B11140E">
      <w:pPr>
        <w:jc w:val="center"/>
        <w:rPr>
          <w:rFonts w:ascii="宋体" w:hAnsi="宋体" w:cs="宋体"/>
          <w:b/>
          <w:bCs/>
          <w:color w:val="auto"/>
          <w:sz w:val="28"/>
          <w:szCs w:val="28"/>
        </w:rPr>
      </w:pPr>
      <w:r>
        <w:rPr>
          <w:rFonts w:hint="eastAsia" w:ascii="宋体" w:hAnsi="宋体" w:cs="宋体"/>
          <w:b/>
          <w:bCs/>
          <w:color w:val="auto"/>
          <w:sz w:val="28"/>
          <w:szCs w:val="28"/>
        </w:rPr>
        <w:t>中小企业声明函</w:t>
      </w:r>
    </w:p>
    <w:p w14:paraId="64409A16">
      <w:pPr>
        <w:spacing w:line="360" w:lineRule="auto"/>
        <w:rPr>
          <w:rFonts w:ascii="宋体" w:hAnsi="宋体" w:cs="宋体"/>
          <w:color w:val="auto"/>
          <w:sz w:val="24"/>
        </w:rPr>
      </w:pPr>
      <w:r>
        <w:rPr>
          <w:rFonts w:hint="eastAsia" w:ascii="宋体" w:hAnsi="宋体" w:cs="宋体"/>
          <w:b/>
          <w:bCs/>
          <w:color w:val="auto"/>
          <w:sz w:val="28"/>
          <w:szCs w:val="28"/>
        </w:rPr>
        <w:t xml:space="preserve">    </w:t>
      </w:r>
      <w:r>
        <w:rPr>
          <w:rFonts w:hint="eastAsia" w:ascii="宋体" w:hAnsi="宋体" w:cs="宋体"/>
          <w:b/>
          <w:bCs/>
          <w:color w:val="auto"/>
          <w:sz w:val="24"/>
        </w:rPr>
        <w:t xml:space="preserve"> </w:t>
      </w:r>
      <w:r>
        <w:rPr>
          <w:rFonts w:hint="eastAsia" w:ascii="宋体" w:hAnsi="宋体" w:cs="宋体"/>
          <w:color w:val="auto"/>
          <w:sz w:val="24"/>
        </w:rPr>
        <w:t>本公司（联合体）郑重声明，根据“政府采购促进中小企业发展管理办法”（财库〔2020〕46号）的规定，本公司（联合体）参加</w:t>
      </w:r>
      <w:r>
        <w:rPr>
          <w:rFonts w:hint="eastAsia" w:ascii="宋体" w:hAnsi="宋体" w:cs="宋体"/>
          <w:color w:val="auto"/>
          <w:sz w:val="24"/>
          <w:u w:val="single"/>
        </w:rPr>
        <w:t xml:space="preserve"> （单位名称）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采购活动，提供的货物全部由符合政策要求的中小企业制造。相关企业（含联合体中的中小企业、签订分包意向协议的中小企业）的具体情况如下：</w:t>
      </w:r>
    </w:p>
    <w:p w14:paraId="1E206309">
      <w:pPr>
        <w:spacing w:line="360" w:lineRule="auto"/>
        <w:ind w:firstLine="480" w:firstLineChars="200"/>
        <w:rPr>
          <w:rFonts w:ascii="宋体" w:hAnsi="宋体" w:cs="宋体"/>
          <w:color w:val="auto"/>
          <w:sz w:val="24"/>
          <w:u w:val="single"/>
        </w:rPr>
      </w:pPr>
      <w:r>
        <w:rPr>
          <w:rFonts w:hint="eastAsia" w:ascii="宋体" w:hAnsi="宋体" w:cs="宋体"/>
          <w:color w:val="auto"/>
          <w:sz w:val="24"/>
        </w:rPr>
        <w:t>1.（</w:t>
      </w:r>
      <w:r>
        <w:rPr>
          <w:rFonts w:hint="eastAsia" w:ascii="宋体" w:hAnsi="宋体" w:cs="宋体"/>
          <w:color w:val="auto"/>
          <w:sz w:val="24"/>
          <w:u w:val="single"/>
        </w:rPr>
        <w:t xml:space="preserve">标的名称） </w:t>
      </w:r>
      <w:r>
        <w:rPr>
          <w:rFonts w:hint="eastAsia" w:ascii="宋体" w:hAnsi="宋体" w:cs="宋体"/>
          <w:color w:val="auto"/>
          <w:sz w:val="24"/>
        </w:rPr>
        <w:t>， 属于</w:t>
      </w:r>
      <w:r>
        <w:rPr>
          <w:rFonts w:hint="eastAsia" w:ascii="宋体" w:hAnsi="宋体" w:cs="宋体"/>
          <w:color w:val="auto"/>
          <w:sz w:val="24"/>
          <w:u w:val="single"/>
        </w:rPr>
        <w:t xml:space="preserve"> （谈判文件中明确的所属行业） ；</w:t>
      </w:r>
      <w:r>
        <w:rPr>
          <w:rFonts w:hint="eastAsia" w:ascii="宋体" w:hAnsi="宋体" w:cs="宋体"/>
          <w:color w:val="auto"/>
          <w:sz w:val="24"/>
        </w:rPr>
        <w:t>承接企业为（</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sz w:val="24"/>
        </w:rPr>
        <w:t>人， 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w:t>
      </w:r>
    </w:p>
    <w:p w14:paraId="2C9F8603">
      <w:pPr>
        <w:spacing w:line="360"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标的名称） </w:t>
      </w:r>
      <w:r>
        <w:rPr>
          <w:rFonts w:hint="eastAsia" w:ascii="宋体" w:hAnsi="宋体" w:cs="宋体"/>
          <w:color w:val="auto"/>
          <w:sz w:val="24"/>
        </w:rPr>
        <w:t>， 属于</w:t>
      </w:r>
      <w:r>
        <w:rPr>
          <w:rFonts w:hint="eastAsia" w:ascii="宋体" w:hAnsi="宋体" w:cs="宋体"/>
          <w:color w:val="auto"/>
          <w:sz w:val="24"/>
          <w:u w:val="single"/>
        </w:rPr>
        <w:t xml:space="preserve"> （谈判文件中明确的所属行业） ；</w:t>
      </w:r>
      <w:r>
        <w:rPr>
          <w:rFonts w:hint="eastAsia" w:ascii="宋体" w:hAnsi="宋体" w:cs="宋体"/>
          <w:color w:val="auto"/>
          <w:sz w:val="24"/>
        </w:rPr>
        <w:t>承接企业为 （</w:t>
      </w:r>
      <w:r>
        <w:rPr>
          <w:rFonts w:hint="eastAsia" w:ascii="宋体" w:hAnsi="宋体" w:cs="宋体"/>
          <w:color w:val="auto"/>
          <w:sz w:val="24"/>
          <w:u w:val="single"/>
        </w:rPr>
        <w:t>企业名称2）</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sz w:val="24"/>
        </w:rPr>
        <w:t>人， 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w:t>
      </w:r>
    </w:p>
    <w:p w14:paraId="48E087CA">
      <w:pPr>
        <w:spacing w:line="360" w:lineRule="auto"/>
        <w:ind w:firstLine="480" w:firstLineChars="200"/>
        <w:rPr>
          <w:rFonts w:ascii="宋体" w:hAnsi="宋体" w:cs="宋体"/>
          <w:color w:val="auto"/>
          <w:sz w:val="24"/>
        </w:rPr>
      </w:pPr>
      <w:r>
        <w:rPr>
          <w:rFonts w:hint="eastAsia" w:ascii="宋体" w:hAnsi="宋体" w:cs="宋体"/>
          <w:color w:val="auto"/>
          <w:sz w:val="24"/>
        </w:rPr>
        <w:t>... ...</w:t>
      </w:r>
    </w:p>
    <w:p w14:paraId="3EE74441">
      <w:pPr>
        <w:spacing w:line="360" w:lineRule="auto"/>
        <w:ind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3A9DE6CE">
      <w:pPr>
        <w:spacing w:line="360" w:lineRule="auto"/>
        <w:ind w:firstLine="480" w:firstLineChars="200"/>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0488D725">
      <w:pPr>
        <w:spacing w:line="360" w:lineRule="auto"/>
        <w:ind w:firstLine="4320" w:firstLineChars="1800"/>
        <w:rPr>
          <w:rFonts w:ascii="宋体" w:hAnsi="宋体" w:cs="宋体"/>
          <w:color w:val="auto"/>
          <w:sz w:val="24"/>
        </w:rPr>
      </w:pPr>
    </w:p>
    <w:p w14:paraId="1DBDB19A">
      <w:pPr>
        <w:spacing w:line="360" w:lineRule="auto"/>
        <w:ind w:firstLine="4320" w:firstLineChars="1800"/>
        <w:rPr>
          <w:rFonts w:ascii="宋体" w:hAnsi="宋体" w:cs="宋体"/>
          <w:color w:val="auto"/>
          <w:sz w:val="24"/>
        </w:rPr>
      </w:pPr>
      <w:r>
        <w:rPr>
          <w:rFonts w:hint="eastAsia" w:ascii="宋体" w:hAnsi="宋体" w:cs="宋体"/>
          <w:color w:val="auto"/>
          <w:sz w:val="24"/>
        </w:rPr>
        <w:t>供应商名称（电子签章）：</w:t>
      </w:r>
    </w:p>
    <w:p w14:paraId="6040AEEB">
      <w:pPr>
        <w:spacing w:line="360" w:lineRule="auto"/>
        <w:ind w:firstLine="4320" w:firstLineChars="1800"/>
        <w:rPr>
          <w:rFonts w:ascii="宋体" w:hAnsi="宋体" w:cs="宋体"/>
          <w:color w:val="auto"/>
          <w:sz w:val="24"/>
        </w:rPr>
      </w:pPr>
      <w:r>
        <w:rPr>
          <w:rFonts w:hint="eastAsia" w:ascii="宋体" w:hAnsi="宋体" w:cs="宋体"/>
          <w:color w:val="auto"/>
          <w:sz w:val="24"/>
        </w:rPr>
        <w:t>日期：  年  月   日</w:t>
      </w:r>
    </w:p>
    <w:p w14:paraId="65BA8955">
      <w:pPr>
        <w:spacing w:line="360" w:lineRule="auto"/>
        <w:ind w:firstLine="4320" w:firstLineChars="1800"/>
        <w:rPr>
          <w:rFonts w:ascii="宋体" w:hAnsi="宋体" w:cs="宋体"/>
          <w:color w:val="auto"/>
          <w:sz w:val="24"/>
        </w:rPr>
      </w:pPr>
    </w:p>
    <w:p w14:paraId="27ED1F91">
      <w:pPr>
        <w:spacing w:line="360" w:lineRule="auto"/>
        <w:rPr>
          <w:rFonts w:ascii="宋体" w:hAnsi="宋体" w:cs="宋体"/>
          <w:b/>
          <w:bCs/>
          <w:color w:val="auto"/>
          <w:sz w:val="24"/>
        </w:rPr>
      </w:pPr>
      <w:r>
        <w:rPr>
          <w:rFonts w:hint="eastAsia" w:ascii="宋体" w:hAnsi="宋体" w:cs="宋体"/>
          <w:color w:val="auto"/>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157B10D2">
      <w:pPr>
        <w:pStyle w:val="17"/>
        <w:spacing w:line="276" w:lineRule="auto"/>
        <w:rPr>
          <w:rFonts w:ascii="宋体" w:hAnsi="宋体" w:cs="宋体"/>
          <w:color w:val="auto"/>
          <w:sz w:val="24"/>
          <w:szCs w:val="24"/>
        </w:rPr>
      </w:pPr>
    </w:p>
    <w:p w14:paraId="79CC659F">
      <w:pPr>
        <w:pStyle w:val="17"/>
        <w:spacing w:line="276" w:lineRule="auto"/>
        <w:rPr>
          <w:rFonts w:ascii="宋体" w:hAnsi="宋体" w:cs="宋体"/>
          <w:color w:val="auto"/>
          <w:sz w:val="24"/>
          <w:szCs w:val="24"/>
        </w:rPr>
      </w:pPr>
    </w:p>
    <w:p w14:paraId="2B9B76B5">
      <w:pPr>
        <w:spacing w:line="520" w:lineRule="exact"/>
        <w:jc w:val="center"/>
        <w:rPr>
          <w:rFonts w:ascii="宋体" w:hAnsi="宋体" w:cs="宋体"/>
          <w:color w:val="auto"/>
          <w:sz w:val="32"/>
          <w:szCs w:val="32"/>
        </w:rPr>
      </w:pPr>
      <w:r>
        <w:rPr>
          <w:rFonts w:hint="eastAsia" w:ascii="宋体" w:hAnsi="宋体" w:cs="宋体"/>
          <w:color w:val="auto"/>
          <w:sz w:val="24"/>
        </w:rPr>
        <w:br w:type="page"/>
      </w:r>
      <w:r>
        <w:rPr>
          <w:rFonts w:hint="eastAsia" w:ascii="宋体" w:hAnsi="宋体" w:cs="宋体"/>
          <w:b/>
          <w:bCs/>
          <w:color w:val="auto"/>
          <w:sz w:val="32"/>
          <w:szCs w:val="32"/>
        </w:rPr>
        <w:t>残疾人福利性单位声明函</w:t>
      </w:r>
    </w:p>
    <w:p w14:paraId="52F9B3BB">
      <w:pPr>
        <w:spacing w:line="520" w:lineRule="exact"/>
        <w:rPr>
          <w:rFonts w:ascii="宋体" w:hAnsi="宋体" w:cs="宋体"/>
          <w:color w:val="auto"/>
          <w:sz w:val="32"/>
          <w:szCs w:val="32"/>
        </w:rPr>
      </w:pPr>
    </w:p>
    <w:p w14:paraId="3B4B558C">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u w:val="single"/>
        </w:rPr>
        <w:t xml:space="preserve">       </w:t>
      </w:r>
      <w:r>
        <w:rPr>
          <w:rFonts w:hint="eastAsia" w:ascii="宋体" w:hAnsi="宋体" w:cs="宋体"/>
          <w:color w:val="auto"/>
          <w:sz w:val="24"/>
        </w:rPr>
        <w:t>单位的</w:t>
      </w:r>
      <w:r>
        <w:rPr>
          <w:rFonts w:hint="eastAsia" w:ascii="宋体" w:hAnsi="宋体" w:cs="宋体"/>
          <w:color w:val="auto"/>
          <w:sz w:val="24"/>
          <w:u w:val="single"/>
        </w:rPr>
        <w:t xml:space="preserve">        </w:t>
      </w:r>
      <w:r>
        <w:rPr>
          <w:rFonts w:hint="eastAsia" w:ascii="宋体" w:hAnsi="宋体" w:cs="宋体"/>
          <w:color w:val="auto"/>
          <w:sz w:val="24"/>
        </w:rPr>
        <w:t>项目采购活动由本单位提供服务。</w:t>
      </w:r>
    </w:p>
    <w:p w14:paraId="02D78DEC">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7748A7B0">
      <w:pPr>
        <w:spacing w:line="360" w:lineRule="auto"/>
        <w:rPr>
          <w:rFonts w:ascii="宋体" w:hAnsi="宋体" w:cs="宋体"/>
          <w:color w:val="auto"/>
          <w:sz w:val="24"/>
        </w:rPr>
      </w:pPr>
    </w:p>
    <w:p w14:paraId="68282C4C">
      <w:pPr>
        <w:spacing w:line="360" w:lineRule="auto"/>
        <w:rPr>
          <w:rFonts w:ascii="宋体" w:hAnsi="宋体" w:cs="宋体"/>
          <w:color w:val="auto"/>
          <w:sz w:val="24"/>
        </w:rPr>
      </w:pPr>
    </w:p>
    <w:p w14:paraId="01208C1F">
      <w:pPr>
        <w:spacing w:line="276" w:lineRule="auto"/>
        <w:ind w:firstLine="4320" w:firstLineChars="1800"/>
        <w:rPr>
          <w:rFonts w:ascii="宋体" w:hAnsi="宋体" w:cs="宋体"/>
          <w:color w:val="auto"/>
          <w:sz w:val="24"/>
        </w:rPr>
      </w:pPr>
    </w:p>
    <w:p w14:paraId="2C5DAE8F">
      <w:pPr>
        <w:spacing w:line="276" w:lineRule="auto"/>
        <w:ind w:firstLine="4320" w:firstLineChars="1800"/>
        <w:rPr>
          <w:rFonts w:ascii="宋体" w:hAnsi="宋体" w:cs="宋体"/>
          <w:color w:val="auto"/>
          <w:sz w:val="24"/>
        </w:rPr>
      </w:pPr>
      <w:r>
        <w:rPr>
          <w:rFonts w:hint="eastAsia" w:ascii="宋体" w:hAnsi="宋体" w:cs="宋体"/>
          <w:color w:val="auto"/>
          <w:sz w:val="24"/>
        </w:rPr>
        <w:t>供应商名称（电子签章）：</w:t>
      </w:r>
    </w:p>
    <w:p w14:paraId="4B7C1C31">
      <w:pPr>
        <w:spacing w:line="276" w:lineRule="auto"/>
        <w:ind w:firstLine="4320" w:firstLineChars="1800"/>
        <w:rPr>
          <w:rFonts w:ascii="宋体" w:hAnsi="宋体" w:cs="宋体"/>
          <w:color w:val="auto"/>
          <w:sz w:val="24"/>
        </w:rPr>
      </w:pPr>
      <w:r>
        <w:rPr>
          <w:rFonts w:hint="eastAsia" w:ascii="宋体" w:hAnsi="宋体" w:cs="宋体"/>
          <w:color w:val="auto"/>
          <w:sz w:val="24"/>
        </w:rPr>
        <w:t>日期：  年  月   日</w:t>
      </w:r>
    </w:p>
    <w:p w14:paraId="2AD7DDFC">
      <w:pPr>
        <w:spacing w:line="360" w:lineRule="auto"/>
        <w:rPr>
          <w:rFonts w:ascii="宋体" w:hAnsi="宋体" w:cs="宋体"/>
          <w:color w:val="auto"/>
          <w:sz w:val="24"/>
        </w:rPr>
      </w:pPr>
    </w:p>
    <w:p w14:paraId="7104CC70">
      <w:pPr>
        <w:spacing w:line="360" w:lineRule="auto"/>
        <w:rPr>
          <w:rFonts w:ascii="宋体" w:hAnsi="宋体" w:cs="宋体"/>
          <w:color w:val="auto"/>
          <w:sz w:val="24"/>
        </w:rPr>
      </w:pPr>
    </w:p>
    <w:p w14:paraId="24C1A90F">
      <w:pPr>
        <w:spacing w:line="360" w:lineRule="auto"/>
        <w:rPr>
          <w:rFonts w:ascii="宋体" w:hAnsi="宋体" w:cs="宋体"/>
          <w:color w:val="auto"/>
          <w:sz w:val="24"/>
        </w:rPr>
      </w:pPr>
    </w:p>
    <w:p w14:paraId="591D3A01">
      <w:pPr>
        <w:spacing w:line="360" w:lineRule="auto"/>
        <w:rPr>
          <w:rFonts w:ascii="宋体" w:hAnsi="宋体" w:cs="宋体"/>
          <w:color w:val="auto"/>
          <w:sz w:val="24"/>
        </w:rPr>
      </w:pPr>
      <w:r>
        <w:rPr>
          <w:rFonts w:hint="eastAsia" w:ascii="宋体" w:hAnsi="宋体" w:cs="宋体"/>
          <w:color w:val="auto"/>
          <w:sz w:val="24"/>
        </w:rPr>
        <w:t>注：请根据自己的真实情况出具《残疾人福利性单位声明函》。依法享受中小企业优惠政策的，采购人或者采购代理机构在公告成交结果时，同时公告其《残疾人福利性单位声明函》，接受社会监督。</w:t>
      </w:r>
    </w:p>
    <w:p w14:paraId="7F5B6642">
      <w:pPr>
        <w:pStyle w:val="17"/>
        <w:spacing w:line="276" w:lineRule="auto"/>
        <w:rPr>
          <w:rFonts w:ascii="宋体" w:hAnsi="宋体" w:cs="宋体"/>
          <w:color w:val="auto"/>
          <w:sz w:val="24"/>
          <w:szCs w:val="24"/>
        </w:rPr>
      </w:pPr>
    </w:p>
    <w:p w14:paraId="5C78DD24">
      <w:pPr>
        <w:pStyle w:val="17"/>
        <w:rPr>
          <w:rFonts w:ascii="宋体" w:hAnsi="宋体" w:cs="宋体"/>
          <w:color w:val="auto"/>
          <w:sz w:val="24"/>
          <w:szCs w:val="24"/>
        </w:rPr>
      </w:pPr>
    </w:p>
    <w:p w14:paraId="18AB880C">
      <w:pPr>
        <w:snapToGrid w:val="0"/>
        <w:spacing w:line="360" w:lineRule="auto"/>
        <w:ind w:firstLine="5160" w:firstLineChars="2150"/>
        <w:rPr>
          <w:rFonts w:ascii="宋体" w:hAnsi="宋体" w:cs="宋体"/>
          <w:color w:val="auto"/>
          <w:kern w:val="0"/>
          <w:sz w:val="24"/>
          <w:lang w:val="zh-CN"/>
        </w:rPr>
      </w:pPr>
    </w:p>
    <w:p w14:paraId="10F980EE">
      <w:pPr>
        <w:spacing w:line="300" w:lineRule="auto"/>
        <w:rPr>
          <w:rFonts w:ascii="宋体" w:hAnsi="宋体" w:cs="宋体"/>
          <w:color w:val="auto"/>
          <w:sz w:val="24"/>
        </w:rPr>
      </w:pPr>
      <w:r>
        <w:rPr>
          <w:rFonts w:hint="eastAsia" w:ascii="宋体" w:hAnsi="宋体" w:cs="宋体"/>
          <w:b/>
          <w:color w:val="auto"/>
          <w:sz w:val="32"/>
          <w:szCs w:val="32"/>
        </w:rPr>
        <w:br w:type="page"/>
      </w:r>
      <w:r>
        <w:rPr>
          <w:rFonts w:hint="eastAsia" w:ascii="宋体" w:hAnsi="宋体" w:cs="宋体"/>
          <w:b/>
          <w:bCs/>
          <w:color w:val="auto"/>
          <w:sz w:val="24"/>
        </w:rPr>
        <w:t>其他文书、文件格式</w:t>
      </w:r>
    </w:p>
    <w:p w14:paraId="071D57DD">
      <w:pPr>
        <w:spacing w:line="360" w:lineRule="auto"/>
        <w:jc w:val="center"/>
        <w:rPr>
          <w:rFonts w:ascii="宋体" w:hAnsi="宋体" w:cs="宋体"/>
          <w:b/>
          <w:bCs/>
          <w:color w:val="auto"/>
          <w:sz w:val="24"/>
        </w:rPr>
      </w:pPr>
    </w:p>
    <w:p w14:paraId="6C82B46A">
      <w:pPr>
        <w:pStyle w:val="17"/>
        <w:rPr>
          <w:rFonts w:ascii="宋体" w:hAnsi="宋体" w:cs="宋体"/>
          <w:color w:val="auto"/>
          <w:sz w:val="24"/>
          <w:szCs w:val="24"/>
        </w:rPr>
      </w:pPr>
    </w:p>
    <w:p w14:paraId="497248D8">
      <w:pPr>
        <w:jc w:val="center"/>
        <w:rPr>
          <w:rFonts w:ascii="宋体" w:hAnsi="宋体" w:cs="宋体"/>
          <w:b/>
          <w:bCs/>
          <w:color w:val="auto"/>
          <w:sz w:val="24"/>
        </w:rPr>
      </w:pPr>
      <w:r>
        <w:rPr>
          <w:rFonts w:hint="eastAsia" w:ascii="宋体" w:hAnsi="宋体" w:cs="宋体"/>
          <w:b/>
          <w:bCs/>
          <w:color w:val="auto"/>
          <w:sz w:val="24"/>
        </w:rPr>
        <w:t>知识产权合规性声明</w:t>
      </w:r>
    </w:p>
    <w:p w14:paraId="34205276">
      <w:pPr>
        <w:rPr>
          <w:rFonts w:ascii="宋体" w:hAnsi="宋体" w:cs="宋体"/>
          <w:color w:val="auto"/>
          <w:sz w:val="24"/>
        </w:rPr>
      </w:pPr>
      <w:r>
        <w:rPr>
          <w:rFonts w:hint="eastAsia" w:ascii="宋体" w:hAnsi="宋体" w:cs="宋体"/>
          <w:color w:val="auto"/>
          <w:sz w:val="24"/>
        </w:rPr>
        <w:t xml:space="preserve">    </w:t>
      </w:r>
    </w:p>
    <w:p w14:paraId="6E6071F9">
      <w:pPr>
        <w:spacing w:line="500" w:lineRule="exact"/>
        <w:rPr>
          <w:rFonts w:ascii="宋体" w:hAnsi="宋体" w:cs="宋体"/>
          <w:color w:val="auto"/>
          <w:sz w:val="24"/>
        </w:rPr>
      </w:pPr>
      <w:r>
        <w:rPr>
          <w:rFonts w:hint="eastAsia" w:ascii="宋体" w:hAnsi="宋体" w:cs="宋体"/>
          <w:color w:val="auto"/>
          <w:sz w:val="24"/>
        </w:rPr>
        <w:t xml:space="preserve">    本企业（单位）自愿参与政府投资政府采购的</w:t>
      </w:r>
      <w:r>
        <w:rPr>
          <w:rFonts w:hint="eastAsia" w:ascii="宋体" w:hAnsi="宋体" w:cs="宋体"/>
          <w:color w:val="auto"/>
          <w:sz w:val="24"/>
          <w:u w:val="single"/>
        </w:rPr>
        <w:t>学校新一代认证支付系统项目</w:t>
      </w:r>
      <w:r>
        <w:rPr>
          <w:rFonts w:hint="eastAsia" w:ascii="宋体" w:hAnsi="宋体" w:cs="宋体"/>
          <w:color w:val="auto"/>
          <w:sz w:val="24"/>
        </w:rPr>
        <w:t>，</w:t>
      </w:r>
      <w:r>
        <w:rPr>
          <w:rFonts w:hint="eastAsia" w:ascii="宋体" w:hAnsi="宋体" w:cs="宋体"/>
          <w:b/>
          <w:bCs/>
          <w:color w:val="auto"/>
          <w:sz w:val="24"/>
        </w:rPr>
        <w:t>在此郑重承诺：</w:t>
      </w:r>
      <w:r>
        <w:rPr>
          <w:rFonts w:hint="eastAsia" w:ascii="宋体" w:hAnsi="宋体" w:cs="宋体"/>
          <w:color w:val="auto"/>
          <w:sz w:val="24"/>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65C0E6B4">
      <w:pPr>
        <w:snapToGrid w:val="0"/>
        <w:spacing w:line="500" w:lineRule="exact"/>
        <w:ind w:left="5626" w:leftChars="1736" w:hanging="1980" w:hangingChars="825"/>
        <w:jc w:val="right"/>
        <w:rPr>
          <w:rFonts w:ascii="宋体" w:hAnsi="宋体" w:cs="宋体"/>
          <w:color w:val="auto"/>
          <w:sz w:val="24"/>
        </w:rPr>
      </w:pPr>
      <w:r>
        <w:rPr>
          <w:rFonts w:hint="eastAsia" w:ascii="宋体" w:hAnsi="宋体" w:cs="宋体"/>
          <w:color w:val="auto"/>
          <w:sz w:val="24"/>
        </w:rPr>
        <w:t xml:space="preserve">           </w:t>
      </w:r>
    </w:p>
    <w:p w14:paraId="39A6D9E2">
      <w:pPr>
        <w:pStyle w:val="17"/>
        <w:spacing w:line="500" w:lineRule="exact"/>
        <w:jc w:val="right"/>
        <w:rPr>
          <w:rFonts w:ascii="宋体" w:hAnsi="宋体" w:cs="宋体"/>
          <w:color w:val="auto"/>
          <w:sz w:val="24"/>
          <w:szCs w:val="24"/>
        </w:rPr>
      </w:pPr>
      <w:r>
        <w:rPr>
          <w:rFonts w:hint="eastAsia" w:ascii="宋体" w:hAnsi="宋体" w:cs="宋体"/>
          <w:color w:val="auto"/>
          <w:sz w:val="24"/>
          <w:szCs w:val="24"/>
        </w:rPr>
        <w:t>供应商名称（电子签章）：</w:t>
      </w:r>
    </w:p>
    <w:p w14:paraId="3C690527">
      <w:pPr>
        <w:pStyle w:val="17"/>
        <w:spacing w:line="500" w:lineRule="exact"/>
        <w:jc w:val="center"/>
        <w:rPr>
          <w:rFonts w:ascii="宋体" w:hAnsi="宋体" w:cs="宋体"/>
          <w:color w:val="auto"/>
          <w:sz w:val="24"/>
          <w:szCs w:val="24"/>
        </w:rPr>
      </w:pPr>
      <w:r>
        <w:rPr>
          <w:rFonts w:hint="eastAsia" w:ascii="宋体" w:hAnsi="宋体" w:cs="宋体"/>
          <w:color w:val="auto"/>
          <w:sz w:val="24"/>
          <w:szCs w:val="24"/>
        </w:rPr>
        <w:t xml:space="preserve">                                             日期：  年  月   日</w:t>
      </w:r>
    </w:p>
    <w:p w14:paraId="66BB13E2">
      <w:pPr>
        <w:pStyle w:val="17"/>
        <w:jc w:val="right"/>
        <w:rPr>
          <w:rFonts w:ascii="宋体" w:hAnsi="宋体" w:cs="宋体"/>
          <w:color w:val="auto"/>
          <w:sz w:val="28"/>
          <w:szCs w:val="28"/>
        </w:rPr>
      </w:pPr>
    </w:p>
    <w:p w14:paraId="4E3ECAAB">
      <w:pPr>
        <w:pStyle w:val="17"/>
        <w:jc w:val="right"/>
        <w:rPr>
          <w:rFonts w:ascii="宋体" w:hAnsi="宋体" w:cs="宋体"/>
          <w:color w:val="auto"/>
          <w:sz w:val="28"/>
          <w:szCs w:val="28"/>
        </w:rPr>
      </w:pPr>
    </w:p>
    <w:p w14:paraId="19793315">
      <w:pPr>
        <w:pStyle w:val="17"/>
        <w:jc w:val="right"/>
        <w:rPr>
          <w:rFonts w:ascii="宋体" w:hAnsi="宋体" w:cs="宋体"/>
          <w:color w:val="auto"/>
          <w:sz w:val="28"/>
          <w:szCs w:val="28"/>
        </w:rPr>
      </w:pPr>
    </w:p>
    <w:p w14:paraId="42FCFFEF">
      <w:pPr>
        <w:pStyle w:val="17"/>
        <w:jc w:val="right"/>
        <w:rPr>
          <w:rFonts w:ascii="宋体" w:hAnsi="宋体" w:cs="宋体"/>
          <w:color w:val="auto"/>
        </w:rPr>
      </w:pPr>
    </w:p>
    <w:p w14:paraId="4DCDDC79">
      <w:pPr>
        <w:spacing w:line="360" w:lineRule="auto"/>
        <w:jc w:val="center"/>
        <w:rPr>
          <w:rFonts w:ascii="宋体" w:hAnsi="宋体" w:cs="宋体"/>
          <w:b/>
          <w:bCs/>
          <w:color w:val="auto"/>
          <w:sz w:val="24"/>
        </w:rPr>
      </w:pPr>
      <w:r>
        <w:rPr>
          <w:rFonts w:hint="eastAsia" w:ascii="宋体" w:hAnsi="宋体" w:cs="宋体"/>
          <w:bCs/>
          <w:color w:val="auto"/>
          <w:sz w:val="32"/>
          <w:szCs w:val="32"/>
        </w:rPr>
        <w:br w:type="page"/>
      </w:r>
      <w:r>
        <w:rPr>
          <w:rFonts w:hint="eastAsia" w:ascii="宋体" w:hAnsi="宋体" w:cs="宋体"/>
          <w:b/>
          <w:bCs/>
          <w:color w:val="auto"/>
          <w:sz w:val="24"/>
        </w:rPr>
        <w:t>质疑函（格式）</w:t>
      </w:r>
    </w:p>
    <w:p w14:paraId="16C99722">
      <w:pPr>
        <w:pStyle w:val="14"/>
        <w:spacing w:line="360" w:lineRule="auto"/>
        <w:ind w:firstLine="482" w:firstLineChars="200"/>
        <w:contextualSpacing/>
        <w:rPr>
          <w:rFonts w:hAnsi="宋体" w:cs="宋体"/>
          <w:b/>
          <w:bCs/>
          <w:color w:val="auto"/>
          <w:sz w:val="24"/>
          <w:szCs w:val="24"/>
        </w:rPr>
      </w:pPr>
      <w:r>
        <w:rPr>
          <w:rFonts w:hint="eastAsia" w:hAnsi="宋体" w:cs="宋体"/>
          <w:b/>
          <w:bCs/>
          <w:color w:val="auto"/>
          <w:sz w:val="24"/>
          <w:szCs w:val="24"/>
        </w:rPr>
        <w:t>一、质疑供应商基本信息：</w:t>
      </w:r>
    </w:p>
    <w:p w14:paraId="2AE74BDB">
      <w:pPr>
        <w:pStyle w:val="14"/>
        <w:spacing w:line="360" w:lineRule="auto"/>
        <w:ind w:firstLine="480" w:firstLineChars="200"/>
        <w:contextualSpacing/>
        <w:rPr>
          <w:rFonts w:hAnsi="宋体" w:cs="宋体"/>
          <w:bCs/>
          <w:color w:val="auto"/>
          <w:sz w:val="24"/>
          <w:szCs w:val="24"/>
          <w:u w:val="single"/>
        </w:rPr>
      </w:pPr>
      <w:r>
        <w:rPr>
          <w:rFonts w:hint="eastAsia" w:hAnsi="宋体" w:cs="宋体"/>
          <w:bCs/>
          <w:color w:val="auto"/>
          <w:sz w:val="24"/>
          <w:szCs w:val="24"/>
        </w:rPr>
        <w:t>质疑供应商：</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14:paraId="229C4F41">
      <w:pPr>
        <w:pStyle w:val="14"/>
        <w:spacing w:line="360" w:lineRule="auto"/>
        <w:ind w:firstLine="480" w:firstLineChars="200"/>
        <w:contextualSpacing/>
        <w:rPr>
          <w:rFonts w:hAnsi="宋体" w:cs="宋体"/>
          <w:bCs/>
          <w:color w:val="auto"/>
          <w:sz w:val="24"/>
          <w:szCs w:val="24"/>
        </w:rPr>
      </w:pPr>
      <w:r>
        <w:rPr>
          <w:rFonts w:hint="eastAsia" w:hAnsi="宋体" w:cs="宋体"/>
          <w:bCs/>
          <w:color w:val="auto"/>
          <w:sz w:val="24"/>
          <w:szCs w:val="24"/>
        </w:rPr>
        <w:t>地址：</w:t>
      </w:r>
      <w:r>
        <w:rPr>
          <w:rFonts w:hint="eastAsia" w:hAnsi="宋体" w:cs="宋体"/>
          <w:bCs/>
          <w:color w:val="auto"/>
          <w:sz w:val="24"/>
          <w:szCs w:val="24"/>
          <w:u w:val="single"/>
        </w:rPr>
        <w:t xml:space="preserve">                       </w:t>
      </w:r>
      <w:r>
        <w:rPr>
          <w:rFonts w:hint="eastAsia" w:hAnsi="宋体" w:cs="宋体"/>
          <w:bCs/>
          <w:color w:val="auto"/>
          <w:sz w:val="24"/>
          <w:szCs w:val="24"/>
        </w:rPr>
        <w:t>邮编：</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14:paraId="146ECB89">
      <w:pPr>
        <w:pStyle w:val="14"/>
        <w:spacing w:line="360" w:lineRule="auto"/>
        <w:ind w:firstLine="480" w:firstLineChars="200"/>
        <w:contextualSpacing/>
        <w:rPr>
          <w:rFonts w:hAnsi="宋体" w:cs="宋体"/>
          <w:bCs/>
          <w:color w:val="auto"/>
          <w:sz w:val="24"/>
          <w:szCs w:val="24"/>
        </w:rPr>
      </w:pPr>
      <w:r>
        <w:rPr>
          <w:rFonts w:hint="eastAsia" w:hAnsi="宋体" w:cs="宋体"/>
          <w:bCs/>
          <w:color w:val="auto"/>
          <w:sz w:val="24"/>
          <w:szCs w:val="24"/>
        </w:rPr>
        <w:t>联系人：</w:t>
      </w:r>
      <w:r>
        <w:rPr>
          <w:rFonts w:hint="eastAsia" w:hAnsi="宋体" w:cs="宋体"/>
          <w:bCs/>
          <w:color w:val="auto"/>
          <w:sz w:val="24"/>
          <w:szCs w:val="24"/>
          <w:u w:val="single"/>
        </w:rPr>
        <w:t xml:space="preserve">                     </w:t>
      </w:r>
      <w:r>
        <w:rPr>
          <w:rFonts w:hint="eastAsia" w:hAnsi="宋体" w:cs="宋体"/>
          <w:bCs/>
          <w:color w:val="auto"/>
          <w:sz w:val="24"/>
          <w:szCs w:val="24"/>
        </w:rPr>
        <w:t>联系电话：</w:t>
      </w:r>
      <w:r>
        <w:rPr>
          <w:rFonts w:hint="eastAsia" w:hAnsi="宋体" w:cs="宋体"/>
          <w:bCs/>
          <w:color w:val="auto"/>
          <w:sz w:val="24"/>
          <w:szCs w:val="24"/>
          <w:u w:val="single"/>
        </w:rPr>
        <w:t xml:space="preserve">                 </w:t>
      </w:r>
    </w:p>
    <w:p w14:paraId="49CE8185">
      <w:pPr>
        <w:pStyle w:val="14"/>
        <w:spacing w:line="360" w:lineRule="auto"/>
        <w:ind w:firstLine="480" w:firstLineChars="200"/>
        <w:contextualSpacing/>
        <w:rPr>
          <w:rFonts w:hAnsi="宋体" w:cs="宋体"/>
          <w:bCs/>
          <w:color w:val="auto"/>
          <w:sz w:val="24"/>
          <w:szCs w:val="24"/>
        </w:rPr>
      </w:pPr>
      <w:r>
        <w:rPr>
          <w:rFonts w:hint="eastAsia" w:hAnsi="宋体" w:cs="宋体"/>
          <w:bCs/>
          <w:color w:val="auto"/>
          <w:sz w:val="24"/>
          <w:szCs w:val="24"/>
        </w:rPr>
        <w:t>授权代表：</w:t>
      </w:r>
      <w:r>
        <w:rPr>
          <w:rFonts w:hint="eastAsia" w:hAnsi="宋体" w:cs="宋体"/>
          <w:bCs/>
          <w:color w:val="auto"/>
          <w:sz w:val="24"/>
          <w:szCs w:val="24"/>
          <w:u w:val="single"/>
        </w:rPr>
        <w:t xml:space="preserve">                      </w:t>
      </w:r>
    </w:p>
    <w:p w14:paraId="1025BC55">
      <w:pPr>
        <w:pStyle w:val="14"/>
        <w:spacing w:line="360" w:lineRule="auto"/>
        <w:ind w:firstLine="480" w:firstLineChars="200"/>
        <w:contextualSpacing/>
        <w:rPr>
          <w:rFonts w:hAnsi="宋体" w:cs="宋体"/>
          <w:bCs/>
          <w:color w:val="auto"/>
          <w:sz w:val="24"/>
          <w:szCs w:val="24"/>
          <w:u w:val="single"/>
        </w:rPr>
      </w:pPr>
      <w:r>
        <w:rPr>
          <w:rFonts w:hint="eastAsia" w:hAnsi="宋体" w:cs="宋体"/>
          <w:bCs/>
          <w:color w:val="auto"/>
          <w:sz w:val="24"/>
          <w:szCs w:val="24"/>
        </w:rPr>
        <w:t>联系电话：</w:t>
      </w:r>
      <w:r>
        <w:rPr>
          <w:rFonts w:hint="eastAsia" w:hAnsi="宋体" w:cs="宋体"/>
          <w:bCs/>
          <w:color w:val="auto"/>
          <w:sz w:val="24"/>
          <w:szCs w:val="24"/>
          <w:u w:val="single"/>
        </w:rPr>
        <w:t xml:space="preserve">                      </w:t>
      </w:r>
    </w:p>
    <w:p w14:paraId="64BCF0F8">
      <w:pPr>
        <w:pStyle w:val="14"/>
        <w:spacing w:line="360" w:lineRule="auto"/>
        <w:ind w:firstLine="480" w:firstLineChars="200"/>
        <w:contextualSpacing/>
        <w:rPr>
          <w:rFonts w:hAnsi="宋体" w:cs="宋体"/>
          <w:bCs/>
          <w:color w:val="auto"/>
          <w:sz w:val="24"/>
          <w:szCs w:val="24"/>
        </w:rPr>
      </w:pPr>
      <w:r>
        <w:rPr>
          <w:rFonts w:hint="eastAsia" w:hAnsi="宋体" w:cs="宋体"/>
          <w:bCs/>
          <w:color w:val="auto"/>
          <w:sz w:val="24"/>
          <w:szCs w:val="24"/>
        </w:rPr>
        <w:t>地址：</w:t>
      </w:r>
      <w:r>
        <w:rPr>
          <w:rFonts w:hint="eastAsia" w:hAnsi="宋体" w:cs="宋体"/>
          <w:bCs/>
          <w:color w:val="auto"/>
          <w:sz w:val="24"/>
          <w:szCs w:val="24"/>
          <w:u w:val="single"/>
        </w:rPr>
        <w:t xml:space="preserve">                 </w:t>
      </w:r>
      <w:r>
        <w:rPr>
          <w:rFonts w:hint="eastAsia" w:hAnsi="宋体" w:cs="宋体"/>
          <w:bCs/>
          <w:color w:val="auto"/>
          <w:sz w:val="24"/>
          <w:szCs w:val="24"/>
        </w:rPr>
        <w:t>邮编：</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14:paraId="334F816A">
      <w:pPr>
        <w:pStyle w:val="14"/>
        <w:spacing w:line="360" w:lineRule="auto"/>
        <w:ind w:firstLine="482" w:firstLineChars="200"/>
        <w:contextualSpacing/>
        <w:rPr>
          <w:rFonts w:hAnsi="宋体" w:cs="宋体"/>
          <w:b/>
          <w:bCs/>
          <w:color w:val="auto"/>
          <w:sz w:val="24"/>
          <w:szCs w:val="24"/>
        </w:rPr>
      </w:pPr>
      <w:r>
        <w:rPr>
          <w:rFonts w:hint="eastAsia" w:hAnsi="宋体" w:cs="宋体"/>
          <w:b/>
          <w:bCs/>
          <w:color w:val="auto"/>
          <w:sz w:val="24"/>
          <w:szCs w:val="24"/>
        </w:rPr>
        <w:t>二、质疑项目基本情况：</w:t>
      </w:r>
    </w:p>
    <w:p w14:paraId="76B41B2E">
      <w:pPr>
        <w:pStyle w:val="14"/>
        <w:spacing w:line="360" w:lineRule="auto"/>
        <w:ind w:left="25" w:leftChars="12" w:firstLine="472" w:firstLineChars="197"/>
        <w:contextualSpacing/>
        <w:rPr>
          <w:rFonts w:hAnsi="宋体" w:cs="宋体"/>
          <w:color w:val="auto"/>
          <w:sz w:val="24"/>
          <w:szCs w:val="24"/>
        </w:rPr>
      </w:pPr>
      <w:r>
        <w:rPr>
          <w:rFonts w:hint="eastAsia" w:hAnsi="宋体" w:cs="宋体"/>
          <w:bCs/>
          <w:color w:val="auto"/>
          <w:sz w:val="24"/>
          <w:szCs w:val="24"/>
        </w:rPr>
        <w:t>质疑</w:t>
      </w:r>
      <w:r>
        <w:rPr>
          <w:rFonts w:hint="eastAsia" w:hAnsi="宋体" w:cs="宋体"/>
          <w:color w:val="auto"/>
          <w:sz w:val="24"/>
          <w:szCs w:val="24"/>
        </w:rPr>
        <w:t>项目的名称：</w:t>
      </w:r>
      <w:r>
        <w:rPr>
          <w:rFonts w:hint="eastAsia" w:hAnsi="宋体" w:cs="宋体"/>
          <w:bCs/>
          <w:color w:val="auto"/>
          <w:sz w:val="24"/>
          <w:szCs w:val="24"/>
          <w:u w:val="single"/>
        </w:rPr>
        <w:t xml:space="preserve">                  </w:t>
      </w:r>
    </w:p>
    <w:p w14:paraId="0008281A">
      <w:pPr>
        <w:pStyle w:val="14"/>
        <w:spacing w:line="360" w:lineRule="auto"/>
        <w:ind w:left="25" w:leftChars="12" w:firstLine="472" w:firstLineChars="197"/>
        <w:contextualSpacing/>
        <w:rPr>
          <w:rFonts w:hAnsi="宋体" w:cs="宋体"/>
          <w:color w:val="auto"/>
          <w:sz w:val="24"/>
          <w:szCs w:val="24"/>
        </w:rPr>
      </w:pPr>
      <w:r>
        <w:rPr>
          <w:rFonts w:hint="eastAsia" w:hAnsi="宋体" w:cs="宋体"/>
          <w:bCs/>
          <w:color w:val="auto"/>
          <w:sz w:val="24"/>
          <w:szCs w:val="24"/>
        </w:rPr>
        <w:t>质疑</w:t>
      </w:r>
      <w:r>
        <w:rPr>
          <w:rFonts w:hint="eastAsia" w:hAnsi="宋体" w:cs="宋体"/>
          <w:color w:val="auto"/>
          <w:sz w:val="24"/>
          <w:szCs w:val="24"/>
        </w:rPr>
        <w:t>项目的编号：</w:t>
      </w:r>
      <w:r>
        <w:rPr>
          <w:rFonts w:hint="eastAsia" w:hAnsi="宋体" w:cs="宋体"/>
          <w:bCs/>
          <w:color w:val="auto"/>
          <w:sz w:val="24"/>
          <w:szCs w:val="24"/>
          <w:u w:val="single"/>
        </w:rPr>
        <w:t xml:space="preserve"> </w:t>
      </w:r>
      <w:bookmarkStart w:id="73" w:name="PO_3000001871_PM001_9"/>
      <w:bookmarkEnd w:id="73"/>
      <w:r>
        <w:rPr>
          <w:rFonts w:hint="eastAsia" w:hAnsi="宋体" w:cs="宋体"/>
          <w:bCs/>
          <w:color w:val="auto"/>
          <w:sz w:val="24"/>
          <w:szCs w:val="24"/>
          <w:u w:val="single"/>
        </w:rPr>
        <w:t xml:space="preserve">                 </w:t>
      </w:r>
    </w:p>
    <w:p w14:paraId="5E48E082">
      <w:pPr>
        <w:pStyle w:val="14"/>
        <w:spacing w:line="360" w:lineRule="auto"/>
        <w:ind w:left="25" w:leftChars="12" w:firstLine="472" w:firstLineChars="197"/>
        <w:contextualSpacing/>
        <w:rPr>
          <w:rFonts w:hAnsi="宋体" w:cs="宋体"/>
          <w:color w:val="auto"/>
          <w:sz w:val="24"/>
          <w:szCs w:val="24"/>
        </w:rPr>
      </w:pPr>
      <w:r>
        <w:rPr>
          <w:rFonts w:hint="eastAsia" w:hAnsi="宋体" w:cs="宋体"/>
          <w:color w:val="auto"/>
          <w:sz w:val="24"/>
          <w:szCs w:val="24"/>
        </w:rPr>
        <w:t>采购人名称：</w:t>
      </w:r>
      <w:r>
        <w:rPr>
          <w:rFonts w:hint="eastAsia" w:hAnsi="宋体" w:cs="宋体"/>
          <w:bCs/>
          <w:color w:val="auto"/>
          <w:sz w:val="24"/>
          <w:szCs w:val="24"/>
          <w:u w:val="single"/>
        </w:rPr>
        <w:t xml:space="preserve">                      </w:t>
      </w:r>
    </w:p>
    <w:p w14:paraId="243FA2F9">
      <w:pPr>
        <w:pStyle w:val="14"/>
        <w:spacing w:line="360" w:lineRule="auto"/>
        <w:ind w:left="25" w:leftChars="12" w:firstLine="472" w:firstLineChars="197"/>
        <w:contextualSpacing/>
        <w:rPr>
          <w:rFonts w:hAnsi="宋体" w:cs="宋体"/>
          <w:color w:val="auto"/>
          <w:sz w:val="24"/>
          <w:szCs w:val="24"/>
        </w:rPr>
      </w:pPr>
      <w:r>
        <w:rPr>
          <w:rFonts w:hint="eastAsia" w:hAnsi="宋体" w:cs="宋体"/>
          <w:color w:val="auto"/>
          <w:sz w:val="24"/>
          <w:szCs w:val="24"/>
        </w:rPr>
        <w:t>质疑事项：</w:t>
      </w:r>
    </w:p>
    <w:p w14:paraId="00804199">
      <w:pPr>
        <w:pStyle w:val="14"/>
        <w:spacing w:line="360" w:lineRule="auto"/>
        <w:ind w:left="25" w:leftChars="12" w:firstLine="352" w:firstLineChars="147"/>
        <w:contextualSpacing/>
        <w:rPr>
          <w:rFonts w:hAnsi="宋体" w:cs="宋体"/>
          <w:color w:val="auto"/>
          <w:sz w:val="24"/>
          <w:szCs w:val="24"/>
        </w:rPr>
      </w:pPr>
      <w:r>
        <w:rPr>
          <w:rFonts w:hint="eastAsia" w:hAnsi="宋体" w:cs="宋体"/>
          <w:color w:val="auto"/>
          <w:sz w:val="24"/>
          <w:szCs w:val="24"/>
        </w:rPr>
        <w:t>□谈判文件   谈判文件获取日期：</w:t>
      </w:r>
      <w:r>
        <w:rPr>
          <w:rFonts w:hint="eastAsia" w:hAnsi="宋体" w:cs="宋体"/>
          <w:bCs/>
          <w:color w:val="auto"/>
          <w:sz w:val="24"/>
          <w:szCs w:val="24"/>
          <w:u w:val="single"/>
        </w:rPr>
        <w:t xml:space="preserve">                                   </w:t>
      </w:r>
    </w:p>
    <w:p w14:paraId="7DD56EEF">
      <w:pPr>
        <w:pStyle w:val="14"/>
        <w:spacing w:line="360" w:lineRule="auto"/>
        <w:ind w:left="25" w:leftChars="12" w:firstLine="352" w:firstLineChars="147"/>
        <w:contextualSpacing/>
        <w:rPr>
          <w:rFonts w:hAnsi="宋体" w:cs="宋体"/>
          <w:color w:val="auto"/>
          <w:sz w:val="24"/>
          <w:szCs w:val="24"/>
        </w:rPr>
      </w:pPr>
      <w:r>
        <w:rPr>
          <w:rFonts w:hint="eastAsia" w:hAnsi="宋体" w:cs="宋体"/>
          <w:color w:val="auto"/>
          <w:sz w:val="24"/>
          <w:szCs w:val="24"/>
        </w:rPr>
        <w:t xml:space="preserve">□采购过程   </w:t>
      </w:r>
    </w:p>
    <w:p w14:paraId="533F8B3C">
      <w:pPr>
        <w:pStyle w:val="14"/>
        <w:spacing w:line="360" w:lineRule="auto"/>
        <w:ind w:left="25" w:leftChars="12" w:firstLine="352" w:firstLineChars="147"/>
        <w:contextualSpacing/>
        <w:rPr>
          <w:rFonts w:hAnsi="宋体" w:cs="宋体"/>
          <w:bCs/>
          <w:color w:val="auto"/>
          <w:sz w:val="24"/>
          <w:szCs w:val="24"/>
          <w:u w:val="single"/>
        </w:rPr>
      </w:pPr>
      <w:r>
        <w:rPr>
          <w:rFonts w:hint="eastAsia" w:hAnsi="宋体" w:cs="宋体"/>
          <w:color w:val="auto"/>
          <w:sz w:val="24"/>
          <w:szCs w:val="24"/>
        </w:rPr>
        <w:t xml:space="preserve">□成交结果   </w:t>
      </w:r>
    </w:p>
    <w:p w14:paraId="4B1B7C8E">
      <w:pPr>
        <w:pStyle w:val="14"/>
        <w:spacing w:line="360" w:lineRule="auto"/>
        <w:ind w:left="25" w:leftChars="12" w:firstLine="472" w:firstLineChars="196"/>
        <w:contextualSpacing/>
        <w:rPr>
          <w:rFonts w:hAnsi="宋体" w:cs="宋体"/>
          <w:b/>
          <w:color w:val="auto"/>
          <w:sz w:val="24"/>
          <w:szCs w:val="24"/>
        </w:rPr>
      </w:pPr>
      <w:r>
        <w:rPr>
          <w:rFonts w:hint="eastAsia" w:hAnsi="宋体" w:cs="宋体"/>
          <w:b/>
          <w:color w:val="auto"/>
          <w:sz w:val="24"/>
          <w:szCs w:val="24"/>
        </w:rPr>
        <w:t>三、质疑事项具体内容</w:t>
      </w:r>
    </w:p>
    <w:p w14:paraId="636D28A1">
      <w:pPr>
        <w:pStyle w:val="14"/>
        <w:spacing w:line="360" w:lineRule="auto"/>
        <w:ind w:left="25" w:leftChars="12" w:firstLine="472" w:firstLineChars="197"/>
        <w:contextualSpacing/>
        <w:rPr>
          <w:rFonts w:hAnsi="宋体" w:cs="宋体"/>
          <w:color w:val="auto"/>
          <w:sz w:val="24"/>
          <w:szCs w:val="24"/>
        </w:rPr>
      </w:pPr>
      <w:r>
        <w:rPr>
          <w:rFonts w:hint="eastAsia" w:hAnsi="宋体" w:cs="宋体"/>
          <w:color w:val="auto"/>
          <w:sz w:val="24"/>
          <w:szCs w:val="24"/>
        </w:rPr>
        <w:t>质疑事项1：</w:t>
      </w:r>
      <w:r>
        <w:rPr>
          <w:rFonts w:hint="eastAsia" w:hAnsi="宋体" w:cs="宋体"/>
          <w:bCs/>
          <w:color w:val="auto"/>
          <w:sz w:val="24"/>
          <w:szCs w:val="24"/>
          <w:u w:val="single"/>
        </w:rPr>
        <w:t xml:space="preserve">                                                                    </w:t>
      </w:r>
    </w:p>
    <w:p w14:paraId="5B773AB2">
      <w:pPr>
        <w:pStyle w:val="14"/>
        <w:spacing w:line="360" w:lineRule="auto"/>
        <w:ind w:left="25" w:leftChars="12" w:firstLine="472" w:firstLineChars="197"/>
        <w:contextualSpacing/>
        <w:rPr>
          <w:rFonts w:hAnsi="宋体" w:cs="宋体"/>
          <w:color w:val="auto"/>
          <w:sz w:val="24"/>
          <w:szCs w:val="24"/>
        </w:rPr>
      </w:pPr>
      <w:r>
        <w:rPr>
          <w:rFonts w:hint="eastAsia" w:hAnsi="宋体" w:cs="宋体"/>
          <w:color w:val="auto"/>
          <w:sz w:val="24"/>
          <w:szCs w:val="24"/>
        </w:rPr>
        <w:t>事实依据：</w:t>
      </w:r>
      <w:r>
        <w:rPr>
          <w:rFonts w:hint="eastAsia" w:hAnsi="宋体" w:cs="宋体"/>
          <w:bCs/>
          <w:color w:val="auto"/>
          <w:sz w:val="24"/>
          <w:szCs w:val="24"/>
          <w:u w:val="single"/>
        </w:rPr>
        <w:t xml:space="preserve">                                                                      </w:t>
      </w:r>
    </w:p>
    <w:p w14:paraId="41A7934A">
      <w:pPr>
        <w:pStyle w:val="14"/>
        <w:spacing w:line="360" w:lineRule="auto"/>
        <w:ind w:left="25" w:leftChars="12" w:firstLine="472" w:firstLineChars="197"/>
        <w:contextualSpacing/>
        <w:rPr>
          <w:rFonts w:hAnsi="宋体" w:cs="宋体"/>
          <w:color w:val="auto"/>
          <w:sz w:val="24"/>
          <w:szCs w:val="24"/>
        </w:rPr>
      </w:pPr>
      <w:r>
        <w:rPr>
          <w:rFonts w:hint="eastAsia" w:hAnsi="宋体" w:cs="宋体"/>
          <w:color w:val="auto"/>
          <w:sz w:val="24"/>
          <w:szCs w:val="24"/>
        </w:rPr>
        <w:t>法律依据：</w:t>
      </w:r>
      <w:r>
        <w:rPr>
          <w:rFonts w:hint="eastAsia" w:hAnsi="宋体" w:cs="宋体"/>
          <w:color w:val="auto"/>
          <w:sz w:val="24"/>
          <w:szCs w:val="24"/>
          <w:u w:val="single"/>
        </w:rPr>
        <w:t xml:space="preserve">                                                        </w:t>
      </w:r>
      <w:r>
        <w:rPr>
          <w:rFonts w:hint="eastAsia" w:hAnsi="宋体" w:cs="宋体"/>
          <w:bCs/>
          <w:color w:val="auto"/>
          <w:sz w:val="24"/>
          <w:szCs w:val="24"/>
          <w:u w:val="single"/>
        </w:rPr>
        <w:t xml:space="preserve">               </w:t>
      </w:r>
    </w:p>
    <w:p w14:paraId="2C8B9DAD">
      <w:pPr>
        <w:pStyle w:val="14"/>
        <w:spacing w:line="360" w:lineRule="auto"/>
        <w:ind w:left="25" w:leftChars="12" w:firstLine="472" w:firstLineChars="197"/>
        <w:contextualSpacing/>
        <w:rPr>
          <w:rFonts w:hAnsi="宋体" w:cs="宋体"/>
          <w:color w:val="auto"/>
          <w:sz w:val="24"/>
          <w:szCs w:val="24"/>
        </w:rPr>
      </w:pPr>
      <w:r>
        <w:rPr>
          <w:rFonts w:hint="eastAsia" w:hAnsi="宋体" w:cs="宋体"/>
          <w:color w:val="auto"/>
          <w:sz w:val="24"/>
          <w:szCs w:val="24"/>
        </w:rPr>
        <w:t>质疑事项2</w:t>
      </w:r>
    </w:p>
    <w:p w14:paraId="7C1C60BC">
      <w:pPr>
        <w:pStyle w:val="14"/>
        <w:spacing w:line="360" w:lineRule="auto"/>
        <w:ind w:left="25" w:leftChars="12" w:firstLine="472" w:firstLineChars="197"/>
        <w:contextualSpacing/>
        <w:rPr>
          <w:rFonts w:hAnsi="宋体" w:cs="宋体"/>
          <w:color w:val="auto"/>
          <w:sz w:val="24"/>
          <w:szCs w:val="24"/>
        </w:rPr>
      </w:pPr>
      <w:r>
        <w:rPr>
          <w:rFonts w:hint="eastAsia" w:hAnsi="宋体" w:cs="宋体"/>
          <w:color w:val="auto"/>
          <w:sz w:val="24"/>
          <w:szCs w:val="24"/>
        </w:rPr>
        <w:t>……</w:t>
      </w:r>
    </w:p>
    <w:p w14:paraId="3D7F0F9D">
      <w:pPr>
        <w:pStyle w:val="14"/>
        <w:spacing w:line="360" w:lineRule="auto"/>
        <w:ind w:left="25" w:leftChars="12" w:firstLine="472" w:firstLineChars="197"/>
        <w:contextualSpacing/>
        <w:rPr>
          <w:rFonts w:hAnsi="宋体" w:cs="宋体"/>
          <w:color w:val="auto"/>
          <w:sz w:val="24"/>
          <w:szCs w:val="24"/>
        </w:rPr>
      </w:pPr>
      <w:r>
        <w:rPr>
          <w:rFonts w:hint="eastAsia" w:hAnsi="宋体" w:cs="宋体"/>
          <w:color w:val="auto"/>
          <w:sz w:val="24"/>
          <w:szCs w:val="24"/>
        </w:rPr>
        <w:t>四、与质疑事项相关的质疑请求：</w:t>
      </w:r>
    </w:p>
    <w:p w14:paraId="48B94E67">
      <w:pPr>
        <w:pStyle w:val="14"/>
        <w:spacing w:line="360" w:lineRule="auto"/>
        <w:ind w:left="25" w:leftChars="12" w:firstLine="472" w:firstLineChars="197"/>
        <w:contextualSpacing/>
        <w:rPr>
          <w:rFonts w:hAnsi="宋体" w:cs="宋体"/>
          <w:color w:val="auto"/>
          <w:sz w:val="24"/>
          <w:szCs w:val="24"/>
        </w:rPr>
      </w:pPr>
      <w:r>
        <w:rPr>
          <w:rFonts w:hint="eastAsia" w:hAnsi="宋体" w:cs="宋体"/>
          <w:color w:val="auto"/>
          <w:sz w:val="24"/>
          <w:szCs w:val="24"/>
        </w:rPr>
        <w:t>请求：</w:t>
      </w:r>
      <w:r>
        <w:rPr>
          <w:rFonts w:hint="eastAsia" w:hAnsi="宋体" w:cs="宋体"/>
          <w:bCs/>
          <w:color w:val="auto"/>
          <w:sz w:val="24"/>
          <w:szCs w:val="24"/>
          <w:u w:val="single"/>
        </w:rPr>
        <w:t xml:space="preserve">                                                                </w:t>
      </w:r>
    </w:p>
    <w:p w14:paraId="325CB1B6">
      <w:pPr>
        <w:rPr>
          <w:rFonts w:ascii="宋体" w:hAnsi="宋体" w:cs="宋体"/>
          <w:color w:val="auto"/>
          <w:sz w:val="24"/>
        </w:rPr>
      </w:pPr>
      <w:r>
        <w:rPr>
          <w:rFonts w:hint="eastAsia" w:ascii="宋体" w:hAnsi="宋体" w:cs="宋体"/>
          <w:color w:val="auto"/>
          <w:sz w:val="24"/>
        </w:rPr>
        <w:t xml:space="preserve"> </w:t>
      </w:r>
    </w:p>
    <w:p w14:paraId="5CE9DF3F">
      <w:pPr>
        <w:pStyle w:val="14"/>
        <w:spacing w:line="360" w:lineRule="auto"/>
        <w:ind w:left="25" w:leftChars="12" w:firstLine="472" w:firstLineChars="197"/>
        <w:contextualSpacing/>
        <w:rPr>
          <w:rFonts w:hAnsi="宋体" w:cs="宋体"/>
          <w:color w:val="auto"/>
          <w:sz w:val="24"/>
          <w:szCs w:val="24"/>
        </w:rPr>
      </w:pPr>
      <w:r>
        <w:rPr>
          <w:rFonts w:hint="eastAsia" w:hAnsi="宋体" w:cs="宋体"/>
          <w:color w:val="auto"/>
          <w:sz w:val="24"/>
          <w:szCs w:val="24"/>
        </w:rPr>
        <w:t>签字（签章）：                                       公章：</w:t>
      </w:r>
    </w:p>
    <w:p w14:paraId="5F78BE64">
      <w:pPr>
        <w:rPr>
          <w:rFonts w:ascii="宋体" w:hAnsi="宋体" w:cs="宋体"/>
          <w:color w:val="auto"/>
          <w:sz w:val="24"/>
        </w:rPr>
      </w:pPr>
      <w:r>
        <w:rPr>
          <w:rFonts w:hint="eastAsia" w:ascii="宋体" w:hAnsi="宋体" w:cs="宋体"/>
          <w:color w:val="auto"/>
          <w:sz w:val="24"/>
        </w:rPr>
        <w:t xml:space="preserve"> </w:t>
      </w:r>
    </w:p>
    <w:p w14:paraId="6439452D">
      <w:pPr>
        <w:pStyle w:val="14"/>
        <w:spacing w:line="360" w:lineRule="auto"/>
        <w:ind w:left="25" w:leftChars="12" w:firstLine="472" w:firstLineChars="197"/>
        <w:contextualSpacing/>
        <w:rPr>
          <w:rFonts w:hAnsi="宋体" w:cs="宋体"/>
          <w:color w:val="auto"/>
          <w:sz w:val="24"/>
          <w:szCs w:val="24"/>
        </w:rPr>
      </w:pPr>
      <w:r>
        <w:rPr>
          <w:rFonts w:hint="eastAsia" w:hAnsi="宋体" w:cs="宋体"/>
          <w:color w:val="auto"/>
          <w:sz w:val="24"/>
          <w:szCs w:val="24"/>
        </w:rPr>
        <w:t>日期：</w:t>
      </w:r>
    </w:p>
    <w:p w14:paraId="0B405D79">
      <w:pPr>
        <w:pStyle w:val="14"/>
        <w:spacing w:line="360" w:lineRule="auto"/>
        <w:contextualSpacing/>
        <w:rPr>
          <w:rFonts w:hAnsi="宋体" w:cs="宋体"/>
          <w:b/>
          <w:color w:val="auto"/>
          <w:sz w:val="24"/>
          <w:szCs w:val="24"/>
        </w:rPr>
      </w:pPr>
      <w:r>
        <w:rPr>
          <w:rFonts w:hint="eastAsia" w:hAnsi="宋体" w:cs="宋体"/>
          <w:b/>
          <w:color w:val="auto"/>
          <w:sz w:val="24"/>
          <w:szCs w:val="24"/>
        </w:rPr>
        <w:t xml:space="preserve"> </w:t>
      </w:r>
    </w:p>
    <w:p w14:paraId="3D4647C5">
      <w:pPr>
        <w:pStyle w:val="14"/>
        <w:spacing w:line="360" w:lineRule="auto"/>
        <w:contextualSpacing/>
        <w:rPr>
          <w:rFonts w:hAnsi="宋体" w:cs="宋体"/>
          <w:b/>
          <w:color w:val="auto"/>
          <w:sz w:val="24"/>
          <w:szCs w:val="24"/>
        </w:rPr>
      </w:pPr>
      <w:r>
        <w:rPr>
          <w:rFonts w:hint="eastAsia" w:hAnsi="宋体" w:cs="宋体"/>
          <w:b/>
          <w:color w:val="auto"/>
          <w:sz w:val="24"/>
          <w:szCs w:val="24"/>
        </w:rPr>
        <w:br w:type="page"/>
      </w:r>
      <w:r>
        <w:rPr>
          <w:rFonts w:hint="eastAsia" w:hAnsi="宋体" w:cs="宋体"/>
          <w:b/>
          <w:color w:val="auto"/>
          <w:sz w:val="24"/>
          <w:szCs w:val="24"/>
        </w:rPr>
        <w:t>说明：</w:t>
      </w:r>
    </w:p>
    <w:p w14:paraId="209DF88E">
      <w:pPr>
        <w:pStyle w:val="14"/>
        <w:spacing w:line="360" w:lineRule="auto"/>
        <w:ind w:left="25" w:leftChars="12" w:firstLine="354" w:firstLineChars="147"/>
        <w:contextualSpacing/>
        <w:rPr>
          <w:rFonts w:hAnsi="宋体" w:cs="宋体"/>
          <w:b/>
          <w:bCs/>
          <w:color w:val="auto"/>
          <w:sz w:val="24"/>
          <w:szCs w:val="24"/>
        </w:rPr>
      </w:pPr>
      <w:r>
        <w:rPr>
          <w:rFonts w:hint="eastAsia" w:hAnsi="宋体" w:cs="宋体"/>
          <w:b/>
          <w:color w:val="auto"/>
          <w:sz w:val="24"/>
          <w:szCs w:val="24"/>
        </w:rPr>
        <w:t>1.供应商提出质疑时，应提交质疑函和必要的证明材料</w:t>
      </w:r>
      <w:r>
        <w:rPr>
          <w:rFonts w:hint="eastAsia" w:hAnsi="宋体" w:cs="宋体"/>
          <w:b/>
          <w:bCs/>
          <w:color w:val="auto"/>
          <w:sz w:val="24"/>
          <w:szCs w:val="24"/>
        </w:rPr>
        <w:t>。</w:t>
      </w:r>
    </w:p>
    <w:p w14:paraId="443C466D">
      <w:pPr>
        <w:pStyle w:val="14"/>
        <w:spacing w:line="360" w:lineRule="auto"/>
        <w:ind w:left="25" w:leftChars="12" w:firstLine="354" w:firstLineChars="147"/>
        <w:contextualSpacing/>
        <w:rPr>
          <w:rFonts w:hAnsi="宋体" w:cs="宋体"/>
          <w:b/>
          <w:color w:val="auto"/>
          <w:sz w:val="24"/>
          <w:szCs w:val="24"/>
        </w:rPr>
      </w:pPr>
      <w:r>
        <w:rPr>
          <w:rFonts w:hint="eastAsia" w:hAnsi="宋体" w:cs="宋体"/>
          <w:b/>
          <w:color w:val="auto"/>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34738D9">
      <w:pPr>
        <w:pStyle w:val="14"/>
        <w:spacing w:line="360" w:lineRule="auto"/>
        <w:ind w:left="25" w:leftChars="12" w:firstLine="354" w:firstLineChars="147"/>
        <w:contextualSpacing/>
        <w:rPr>
          <w:rFonts w:hAnsi="宋体" w:cs="宋体"/>
          <w:b/>
          <w:color w:val="auto"/>
          <w:sz w:val="24"/>
          <w:szCs w:val="24"/>
        </w:rPr>
      </w:pPr>
      <w:r>
        <w:rPr>
          <w:rFonts w:hint="eastAsia" w:hAnsi="宋体" w:cs="宋体"/>
          <w:b/>
          <w:color w:val="auto"/>
          <w:sz w:val="24"/>
          <w:szCs w:val="24"/>
        </w:rPr>
        <w:t>3.质疑函的质疑事项应具体、明确，并有必要的事实依据和法律依据。</w:t>
      </w:r>
    </w:p>
    <w:p w14:paraId="4C1FADB2">
      <w:pPr>
        <w:pStyle w:val="14"/>
        <w:spacing w:line="360" w:lineRule="auto"/>
        <w:ind w:left="25" w:leftChars="12" w:firstLine="354" w:firstLineChars="147"/>
        <w:contextualSpacing/>
        <w:rPr>
          <w:rFonts w:hAnsi="宋体" w:cs="宋体"/>
          <w:b/>
          <w:color w:val="auto"/>
          <w:sz w:val="24"/>
          <w:szCs w:val="24"/>
        </w:rPr>
      </w:pPr>
      <w:r>
        <w:rPr>
          <w:rFonts w:hint="eastAsia" w:hAnsi="宋体" w:cs="宋体"/>
          <w:b/>
          <w:color w:val="auto"/>
          <w:sz w:val="24"/>
          <w:szCs w:val="24"/>
        </w:rPr>
        <w:t>4.质疑函的质疑请求应与质疑事项相关。</w:t>
      </w:r>
    </w:p>
    <w:p w14:paraId="045C16C2">
      <w:pPr>
        <w:pStyle w:val="14"/>
        <w:spacing w:line="360" w:lineRule="auto"/>
        <w:ind w:left="25" w:leftChars="12" w:firstLine="354" w:firstLineChars="147"/>
        <w:contextualSpacing/>
        <w:rPr>
          <w:rFonts w:hAnsi="宋体" w:cs="宋体"/>
          <w:b/>
          <w:color w:val="auto"/>
          <w:sz w:val="24"/>
          <w:szCs w:val="24"/>
        </w:rPr>
      </w:pPr>
      <w:r>
        <w:rPr>
          <w:rFonts w:hint="eastAsia" w:hAnsi="宋体" w:cs="宋体"/>
          <w:b/>
          <w:color w:val="auto"/>
          <w:sz w:val="24"/>
          <w:szCs w:val="24"/>
        </w:rPr>
        <w:t>5.质疑供应商为法人或者其他组织的，质疑函应由法定代表人、主要负责人，或者其授权代表签字或者盖章，并加盖公章。</w:t>
      </w:r>
    </w:p>
    <w:p w14:paraId="06611474">
      <w:pPr>
        <w:pStyle w:val="14"/>
        <w:snapToGrid w:val="0"/>
        <w:rPr>
          <w:rFonts w:hAnsi="宋体" w:cs="宋体"/>
          <w:b/>
          <w:color w:val="auto"/>
          <w:sz w:val="24"/>
          <w:szCs w:val="24"/>
        </w:rPr>
      </w:pPr>
      <w:r>
        <w:rPr>
          <w:rFonts w:hint="eastAsia" w:hAnsi="宋体" w:cs="宋体"/>
          <w:b/>
          <w:color w:val="auto"/>
          <w:sz w:val="24"/>
          <w:szCs w:val="24"/>
        </w:rPr>
        <w:t xml:space="preserve"> </w:t>
      </w:r>
    </w:p>
    <w:p w14:paraId="5F3F6800">
      <w:pPr>
        <w:spacing w:line="460" w:lineRule="exact"/>
        <w:jc w:val="center"/>
        <w:rPr>
          <w:rFonts w:ascii="宋体" w:hAnsi="宋体" w:cs="宋体"/>
          <w:color w:val="auto"/>
          <w:sz w:val="44"/>
          <w:szCs w:val="44"/>
        </w:rPr>
      </w:pPr>
      <w:r>
        <w:rPr>
          <w:rFonts w:hint="eastAsia" w:ascii="宋体" w:hAnsi="宋体" w:cs="宋体"/>
          <w:color w:val="auto"/>
          <w:sz w:val="44"/>
          <w:szCs w:val="44"/>
        </w:rPr>
        <w:br w:type="page"/>
      </w:r>
    </w:p>
    <w:p w14:paraId="158BF5EA">
      <w:pPr>
        <w:spacing w:line="360" w:lineRule="auto"/>
        <w:jc w:val="center"/>
        <w:rPr>
          <w:rFonts w:ascii="宋体" w:hAnsi="宋体" w:cs="宋体"/>
          <w:b/>
          <w:bCs/>
          <w:color w:val="auto"/>
          <w:sz w:val="32"/>
          <w:szCs w:val="32"/>
        </w:rPr>
      </w:pPr>
      <w:r>
        <w:rPr>
          <w:rFonts w:hint="eastAsia" w:ascii="宋体" w:hAnsi="宋体" w:cs="宋体"/>
          <w:b/>
          <w:bCs/>
          <w:color w:val="auto"/>
          <w:sz w:val="32"/>
          <w:szCs w:val="32"/>
        </w:rPr>
        <w:t>投诉书（格式）</w:t>
      </w:r>
    </w:p>
    <w:p w14:paraId="3125E52F">
      <w:pPr>
        <w:pStyle w:val="14"/>
        <w:snapToGrid w:val="0"/>
        <w:spacing w:line="360" w:lineRule="auto"/>
        <w:ind w:firstLine="482" w:firstLineChars="200"/>
        <w:rPr>
          <w:rFonts w:hAnsi="宋体" w:cs="宋体"/>
          <w:b/>
          <w:bCs/>
          <w:color w:val="auto"/>
          <w:sz w:val="24"/>
          <w:szCs w:val="24"/>
        </w:rPr>
      </w:pPr>
      <w:r>
        <w:rPr>
          <w:rFonts w:hint="eastAsia" w:hAnsi="宋体" w:cs="宋体"/>
          <w:b/>
          <w:bCs/>
          <w:color w:val="auto"/>
          <w:sz w:val="24"/>
          <w:szCs w:val="24"/>
        </w:rPr>
        <w:t>一、投诉相关主体基本情况：</w:t>
      </w:r>
    </w:p>
    <w:p w14:paraId="5FD77080">
      <w:pPr>
        <w:pStyle w:val="14"/>
        <w:snapToGrid w:val="0"/>
        <w:spacing w:line="360" w:lineRule="auto"/>
        <w:ind w:firstLine="480" w:firstLineChars="200"/>
        <w:rPr>
          <w:rFonts w:hAnsi="宋体" w:cs="宋体"/>
          <w:bCs/>
          <w:color w:val="auto"/>
          <w:sz w:val="24"/>
          <w:szCs w:val="24"/>
          <w:u w:val="single"/>
        </w:rPr>
      </w:pPr>
      <w:r>
        <w:rPr>
          <w:rFonts w:hint="eastAsia" w:hAnsi="宋体" w:cs="宋体"/>
          <w:bCs/>
          <w:color w:val="auto"/>
          <w:sz w:val="24"/>
          <w:szCs w:val="24"/>
        </w:rPr>
        <w:t>供应商：</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14:paraId="4524D2F7">
      <w:pPr>
        <w:pStyle w:val="14"/>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地址：</w:t>
      </w:r>
      <w:r>
        <w:rPr>
          <w:rFonts w:hint="eastAsia" w:hAnsi="宋体" w:cs="宋体"/>
          <w:bCs/>
          <w:color w:val="auto"/>
          <w:sz w:val="24"/>
          <w:szCs w:val="24"/>
          <w:u w:val="single"/>
        </w:rPr>
        <w:t xml:space="preserve">                                          </w:t>
      </w:r>
      <w:r>
        <w:rPr>
          <w:rFonts w:hint="eastAsia" w:hAnsi="宋体" w:cs="宋体"/>
          <w:bCs/>
          <w:color w:val="auto"/>
          <w:sz w:val="24"/>
          <w:szCs w:val="24"/>
        </w:rPr>
        <w:t>邮编：</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14:paraId="22CD0DF2">
      <w:pPr>
        <w:pStyle w:val="14"/>
        <w:snapToGrid w:val="0"/>
        <w:spacing w:line="360" w:lineRule="auto"/>
        <w:ind w:firstLine="480" w:firstLineChars="200"/>
        <w:rPr>
          <w:rFonts w:hAnsi="宋体" w:cs="宋体"/>
          <w:bCs/>
          <w:color w:val="auto"/>
          <w:sz w:val="24"/>
          <w:szCs w:val="24"/>
          <w:u w:val="single"/>
        </w:rPr>
      </w:pPr>
      <w:r>
        <w:rPr>
          <w:rFonts w:hint="eastAsia" w:hAnsi="宋体" w:cs="宋体"/>
          <w:bCs/>
          <w:color w:val="auto"/>
          <w:sz w:val="24"/>
          <w:szCs w:val="24"/>
        </w:rPr>
        <w:t>法定代表人/主要负责人：</w:t>
      </w:r>
      <w:r>
        <w:rPr>
          <w:rFonts w:hint="eastAsia" w:hAnsi="宋体" w:cs="宋体"/>
          <w:bCs/>
          <w:color w:val="auto"/>
          <w:sz w:val="24"/>
          <w:szCs w:val="24"/>
          <w:u w:val="single"/>
        </w:rPr>
        <w:t xml:space="preserve">                                                         </w:t>
      </w:r>
    </w:p>
    <w:p w14:paraId="1CE72E25">
      <w:pPr>
        <w:pStyle w:val="14"/>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联系电话：</w:t>
      </w:r>
      <w:r>
        <w:rPr>
          <w:rFonts w:hint="eastAsia" w:hAnsi="宋体" w:cs="宋体"/>
          <w:bCs/>
          <w:color w:val="auto"/>
          <w:sz w:val="24"/>
          <w:szCs w:val="24"/>
          <w:u w:val="single"/>
        </w:rPr>
        <w:t xml:space="preserve">                                         </w:t>
      </w:r>
    </w:p>
    <w:p w14:paraId="7E80F873">
      <w:pPr>
        <w:pStyle w:val="14"/>
        <w:snapToGrid w:val="0"/>
        <w:spacing w:line="360" w:lineRule="auto"/>
        <w:ind w:firstLine="480" w:firstLineChars="200"/>
        <w:rPr>
          <w:rFonts w:hAnsi="宋体" w:cs="宋体"/>
          <w:bCs/>
          <w:color w:val="auto"/>
          <w:sz w:val="24"/>
          <w:szCs w:val="24"/>
          <w:u w:val="single"/>
        </w:rPr>
      </w:pPr>
      <w:r>
        <w:rPr>
          <w:rFonts w:hint="eastAsia" w:hAnsi="宋体" w:cs="宋体"/>
          <w:bCs/>
          <w:color w:val="auto"/>
          <w:sz w:val="24"/>
          <w:szCs w:val="24"/>
        </w:rPr>
        <w:t>授权代表：</w:t>
      </w:r>
      <w:r>
        <w:rPr>
          <w:rFonts w:hint="eastAsia" w:hAnsi="宋体" w:cs="宋体"/>
          <w:bCs/>
          <w:color w:val="auto"/>
          <w:sz w:val="24"/>
          <w:szCs w:val="24"/>
          <w:u w:val="single"/>
        </w:rPr>
        <w:t xml:space="preserve">                                         </w:t>
      </w:r>
      <w:r>
        <w:rPr>
          <w:rFonts w:hint="eastAsia" w:hAnsi="宋体" w:cs="宋体"/>
          <w:bCs/>
          <w:color w:val="auto"/>
          <w:sz w:val="24"/>
          <w:szCs w:val="24"/>
        </w:rPr>
        <w:t>联系电话：</w:t>
      </w:r>
      <w:r>
        <w:rPr>
          <w:rFonts w:hint="eastAsia" w:hAnsi="宋体" w:cs="宋体"/>
          <w:bCs/>
          <w:color w:val="auto"/>
          <w:sz w:val="24"/>
          <w:szCs w:val="24"/>
          <w:u w:val="single"/>
        </w:rPr>
        <w:t xml:space="preserve">                   </w:t>
      </w:r>
    </w:p>
    <w:p w14:paraId="42B0E328">
      <w:pPr>
        <w:pStyle w:val="14"/>
        <w:snapToGrid w:val="0"/>
        <w:spacing w:line="360" w:lineRule="auto"/>
        <w:ind w:firstLine="480" w:firstLineChars="200"/>
        <w:rPr>
          <w:rFonts w:hAnsi="宋体" w:cs="宋体"/>
          <w:bCs/>
          <w:color w:val="auto"/>
          <w:sz w:val="24"/>
          <w:szCs w:val="24"/>
          <w:u w:val="single"/>
        </w:rPr>
      </w:pPr>
      <w:r>
        <w:rPr>
          <w:rFonts w:hint="eastAsia" w:hAnsi="宋体" w:cs="宋体"/>
          <w:bCs/>
          <w:color w:val="auto"/>
          <w:sz w:val="24"/>
          <w:szCs w:val="24"/>
        </w:rPr>
        <w:t>地址：</w:t>
      </w:r>
      <w:r>
        <w:rPr>
          <w:rFonts w:hint="eastAsia" w:hAnsi="宋体" w:cs="宋体"/>
          <w:bCs/>
          <w:color w:val="auto"/>
          <w:sz w:val="24"/>
          <w:szCs w:val="24"/>
          <w:u w:val="single"/>
        </w:rPr>
        <w:t xml:space="preserve">                                                            </w:t>
      </w:r>
    </w:p>
    <w:p w14:paraId="2197C1FF">
      <w:pPr>
        <w:pStyle w:val="14"/>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邮编：</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14:paraId="475A5287">
      <w:pPr>
        <w:pStyle w:val="14"/>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被投诉人1：</w:t>
      </w:r>
    </w:p>
    <w:p w14:paraId="6DB98C73">
      <w:pPr>
        <w:pStyle w:val="14"/>
        <w:snapToGrid w:val="0"/>
        <w:spacing w:line="360" w:lineRule="auto"/>
        <w:ind w:firstLine="480" w:firstLineChars="200"/>
        <w:rPr>
          <w:rFonts w:hAnsi="宋体" w:cs="宋体"/>
          <w:bCs/>
          <w:color w:val="auto"/>
          <w:sz w:val="24"/>
          <w:szCs w:val="24"/>
          <w:u w:val="single"/>
        </w:rPr>
      </w:pPr>
      <w:r>
        <w:rPr>
          <w:rFonts w:hint="eastAsia" w:hAnsi="宋体" w:cs="宋体"/>
          <w:bCs/>
          <w:color w:val="auto"/>
          <w:sz w:val="24"/>
          <w:szCs w:val="24"/>
        </w:rPr>
        <w:t>地址：</w:t>
      </w:r>
      <w:r>
        <w:rPr>
          <w:rFonts w:hint="eastAsia" w:hAnsi="宋体" w:cs="宋体"/>
          <w:bCs/>
          <w:color w:val="auto"/>
          <w:sz w:val="24"/>
          <w:szCs w:val="24"/>
          <w:u w:val="single"/>
        </w:rPr>
        <w:t xml:space="preserve">                                                            </w:t>
      </w:r>
    </w:p>
    <w:p w14:paraId="0A59192C">
      <w:pPr>
        <w:pStyle w:val="14"/>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邮编：</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14:paraId="7C2B6CF7">
      <w:pPr>
        <w:pStyle w:val="14"/>
        <w:snapToGrid w:val="0"/>
        <w:spacing w:line="360" w:lineRule="auto"/>
        <w:ind w:firstLine="480" w:firstLineChars="200"/>
        <w:rPr>
          <w:rFonts w:hAnsi="宋体" w:cs="宋体"/>
          <w:bCs/>
          <w:color w:val="auto"/>
          <w:sz w:val="24"/>
          <w:szCs w:val="24"/>
          <w:u w:val="single"/>
        </w:rPr>
      </w:pPr>
      <w:r>
        <w:rPr>
          <w:rFonts w:hint="eastAsia" w:hAnsi="宋体" w:cs="宋体"/>
          <w:bCs/>
          <w:color w:val="auto"/>
          <w:sz w:val="24"/>
          <w:szCs w:val="24"/>
        </w:rPr>
        <w:t>联系人：</w:t>
      </w:r>
      <w:r>
        <w:rPr>
          <w:rFonts w:hint="eastAsia" w:hAnsi="宋体" w:cs="宋体"/>
          <w:bCs/>
          <w:color w:val="auto"/>
          <w:sz w:val="24"/>
          <w:szCs w:val="24"/>
          <w:u w:val="single"/>
        </w:rPr>
        <w:t xml:space="preserve">                                                </w:t>
      </w:r>
      <w:r>
        <w:rPr>
          <w:rFonts w:hint="eastAsia" w:hAnsi="宋体" w:cs="宋体"/>
          <w:bCs/>
          <w:color w:val="auto"/>
          <w:sz w:val="24"/>
          <w:szCs w:val="24"/>
        </w:rPr>
        <w:t>联系电话：</w:t>
      </w:r>
      <w:r>
        <w:rPr>
          <w:rFonts w:hint="eastAsia" w:hAnsi="宋体" w:cs="宋体"/>
          <w:bCs/>
          <w:color w:val="auto"/>
          <w:sz w:val="24"/>
          <w:szCs w:val="24"/>
          <w:u w:val="single"/>
        </w:rPr>
        <w:t xml:space="preserve">                </w:t>
      </w:r>
    </w:p>
    <w:p w14:paraId="56A1B1F3">
      <w:pPr>
        <w:pStyle w:val="14"/>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被投诉人2：</w:t>
      </w:r>
    </w:p>
    <w:p w14:paraId="65F3886E">
      <w:pPr>
        <w:pStyle w:val="14"/>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w:t>
      </w:r>
    </w:p>
    <w:p w14:paraId="29CBF90C">
      <w:pPr>
        <w:pStyle w:val="14"/>
        <w:snapToGrid w:val="0"/>
        <w:spacing w:line="360" w:lineRule="auto"/>
        <w:ind w:firstLine="480" w:firstLineChars="200"/>
        <w:rPr>
          <w:rFonts w:hAnsi="宋体" w:cs="宋体"/>
          <w:bCs/>
          <w:color w:val="auto"/>
          <w:sz w:val="24"/>
          <w:szCs w:val="24"/>
          <w:u w:val="single"/>
        </w:rPr>
      </w:pPr>
      <w:r>
        <w:rPr>
          <w:rFonts w:hint="eastAsia" w:hAnsi="宋体" w:cs="宋体"/>
          <w:bCs/>
          <w:color w:val="auto"/>
          <w:sz w:val="24"/>
          <w:szCs w:val="24"/>
        </w:rPr>
        <w:t>相关供应商：</w:t>
      </w:r>
      <w:r>
        <w:rPr>
          <w:rFonts w:hint="eastAsia" w:hAnsi="宋体" w:cs="宋体"/>
          <w:bCs/>
          <w:color w:val="auto"/>
          <w:sz w:val="24"/>
          <w:szCs w:val="24"/>
          <w:u w:val="single"/>
        </w:rPr>
        <w:t xml:space="preserve">                                                                       </w:t>
      </w:r>
    </w:p>
    <w:p w14:paraId="1F094CC7">
      <w:pPr>
        <w:pStyle w:val="14"/>
        <w:snapToGrid w:val="0"/>
        <w:spacing w:line="360" w:lineRule="auto"/>
        <w:ind w:firstLine="480" w:firstLineChars="200"/>
        <w:rPr>
          <w:rFonts w:hAnsi="宋体" w:cs="宋体"/>
          <w:bCs/>
          <w:color w:val="auto"/>
          <w:sz w:val="24"/>
          <w:szCs w:val="24"/>
          <w:u w:val="single"/>
        </w:rPr>
      </w:pPr>
      <w:r>
        <w:rPr>
          <w:rFonts w:hint="eastAsia" w:hAnsi="宋体" w:cs="宋体"/>
          <w:bCs/>
          <w:color w:val="auto"/>
          <w:sz w:val="24"/>
          <w:szCs w:val="24"/>
        </w:rPr>
        <w:t>地址：</w:t>
      </w:r>
      <w:r>
        <w:rPr>
          <w:rFonts w:hint="eastAsia" w:hAnsi="宋体" w:cs="宋体"/>
          <w:bCs/>
          <w:color w:val="auto"/>
          <w:sz w:val="24"/>
          <w:szCs w:val="24"/>
          <w:u w:val="single"/>
        </w:rPr>
        <w:t xml:space="preserve">                                              </w:t>
      </w:r>
      <w:r>
        <w:rPr>
          <w:rFonts w:hint="eastAsia" w:hAnsi="宋体" w:cs="宋体"/>
          <w:bCs/>
          <w:color w:val="auto"/>
          <w:sz w:val="24"/>
          <w:szCs w:val="24"/>
        </w:rPr>
        <w:t>邮编：</w:t>
      </w:r>
      <w:r>
        <w:rPr>
          <w:rFonts w:hint="eastAsia" w:hAnsi="宋体" w:cs="宋体"/>
          <w:bCs/>
          <w:color w:val="auto"/>
          <w:sz w:val="24"/>
          <w:szCs w:val="24"/>
          <w:u w:val="single"/>
        </w:rPr>
        <w:t xml:space="preserve">                         </w:t>
      </w:r>
    </w:p>
    <w:p w14:paraId="7A3BAA97">
      <w:pPr>
        <w:pStyle w:val="14"/>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联系人：</w:t>
      </w:r>
      <w:r>
        <w:rPr>
          <w:rFonts w:hint="eastAsia" w:hAnsi="宋体" w:cs="宋体"/>
          <w:bCs/>
          <w:color w:val="auto"/>
          <w:sz w:val="24"/>
          <w:szCs w:val="24"/>
          <w:u w:val="single"/>
        </w:rPr>
        <w:t xml:space="preserve">                                            </w:t>
      </w:r>
      <w:r>
        <w:rPr>
          <w:rFonts w:hint="eastAsia" w:hAnsi="宋体" w:cs="宋体"/>
          <w:bCs/>
          <w:color w:val="auto"/>
          <w:sz w:val="24"/>
          <w:szCs w:val="24"/>
        </w:rPr>
        <w:t>联系电话：</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14:paraId="29D5C640">
      <w:pPr>
        <w:pStyle w:val="14"/>
        <w:snapToGrid w:val="0"/>
        <w:spacing w:line="360" w:lineRule="auto"/>
        <w:ind w:firstLine="482" w:firstLineChars="200"/>
        <w:rPr>
          <w:rFonts w:hAnsi="宋体" w:cs="宋体"/>
          <w:b/>
          <w:bCs/>
          <w:color w:val="auto"/>
          <w:sz w:val="24"/>
          <w:szCs w:val="24"/>
        </w:rPr>
      </w:pPr>
      <w:r>
        <w:rPr>
          <w:rFonts w:hint="eastAsia" w:hAnsi="宋体" w:cs="宋体"/>
          <w:b/>
          <w:bCs/>
          <w:color w:val="auto"/>
          <w:sz w:val="24"/>
          <w:szCs w:val="24"/>
        </w:rPr>
        <w:t>二、投诉项目基本情况：</w:t>
      </w:r>
    </w:p>
    <w:p w14:paraId="11D34903">
      <w:pPr>
        <w:pStyle w:val="14"/>
        <w:spacing w:line="360" w:lineRule="auto"/>
        <w:ind w:left="25" w:leftChars="12" w:firstLine="472" w:firstLineChars="197"/>
        <w:rPr>
          <w:rFonts w:hAnsi="宋体" w:cs="宋体"/>
          <w:color w:val="auto"/>
          <w:sz w:val="24"/>
          <w:szCs w:val="24"/>
        </w:rPr>
      </w:pPr>
      <w:r>
        <w:rPr>
          <w:rFonts w:hint="eastAsia" w:hAnsi="宋体" w:cs="宋体"/>
          <w:bCs/>
          <w:color w:val="auto"/>
          <w:sz w:val="24"/>
          <w:szCs w:val="24"/>
        </w:rPr>
        <w:t>采购</w:t>
      </w:r>
      <w:r>
        <w:rPr>
          <w:rFonts w:hint="eastAsia" w:hAnsi="宋体" w:cs="宋体"/>
          <w:color w:val="auto"/>
          <w:sz w:val="24"/>
          <w:szCs w:val="24"/>
        </w:rPr>
        <w:t>项目的名称：</w:t>
      </w:r>
      <w:r>
        <w:rPr>
          <w:rFonts w:hint="eastAsia" w:hAnsi="宋体" w:cs="宋体"/>
          <w:bCs/>
          <w:color w:val="auto"/>
          <w:sz w:val="24"/>
          <w:szCs w:val="24"/>
          <w:u w:val="single"/>
        </w:rPr>
        <w:t xml:space="preserve">                      </w:t>
      </w:r>
    </w:p>
    <w:p w14:paraId="2FD2433A">
      <w:pPr>
        <w:pStyle w:val="14"/>
        <w:spacing w:line="360" w:lineRule="auto"/>
        <w:ind w:left="25" w:leftChars="12" w:firstLine="472" w:firstLineChars="197"/>
        <w:rPr>
          <w:rFonts w:hAnsi="宋体" w:cs="宋体"/>
          <w:color w:val="auto"/>
          <w:sz w:val="24"/>
          <w:szCs w:val="24"/>
        </w:rPr>
      </w:pPr>
      <w:r>
        <w:rPr>
          <w:rFonts w:hint="eastAsia" w:hAnsi="宋体" w:cs="宋体"/>
          <w:bCs/>
          <w:color w:val="auto"/>
          <w:sz w:val="24"/>
          <w:szCs w:val="24"/>
        </w:rPr>
        <w:t>采购</w:t>
      </w:r>
      <w:r>
        <w:rPr>
          <w:rFonts w:hint="eastAsia" w:hAnsi="宋体" w:cs="宋体"/>
          <w:color w:val="auto"/>
          <w:sz w:val="24"/>
          <w:szCs w:val="24"/>
        </w:rPr>
        <w:t>项目的编号：</w:t>
      </w:r>
      <w:bookmarkStart w:id="74" w:name="PO_3000001871_PM001_10"/>
      <w:bookmarkEnd w:id="74"/>
      <w:r>
        <w:rPr>
          <w:rFonts w:hint="eastAsia" w:hAnsi="宋体" w:cs="宋体"/>
          <w:bCs/>
          <w:color w:val="auto"/>
          <w:sz w:val="24"/>
          <w:szCs w:val="24"/>
          <w:u w:val="single"/>
        </w:rPr>
        <w:t xml:space="preserve">                      </w:t>
      </w:r>
    </w:p>
    <w:p w14:paraId="58445629">
      <w:pPr>
        <w:pStyle w:val="14"/>
        <w:spacing w:line="360" w:lineRule="auto"/>
        <w:ind w:left="25" w:leftChars="12" w:firstLine="472" w:firstLineChars="197"/>
        <w:rPr>
          <w:rFonts w:hAnsi="宋体" w:cs="宋体"/>
          <w:bCs/>
          <w:color w:val="auto"/>
          <w:sz w:val="24"/>
          <w:szCs w:val="24"/>
          <w:u w:val="single"/>
        </w:rPr>
      </w:pPr>
      <w:r>
        <w:rPr>
          <w:rFonts w:hint="eastAsia" w:hAnsi="宋体" w:cs="宋体"/>
          <w:color w:val="auto"/>
          <w:sz w:val="24"/>
          <w:szCs w:val="24"/>
        </w:rPr>
        <w:t>采购人名称：</w:t>
      </w:r>
      <w:r>
        <w:rPr>
          <w:rFonts w:hint="eastAsia" w:hAnsi="宋体" w:cs="宋体"/>
          <w:bCs/>
          <w:color w:val="auto"/>
          <w:sz w:val="24"/>
          <w:szCs w:val="24"/>
          <w:u w:val="single"/>
        </w:rPr>
        <w:t xml:space="preserve">                          </w:t>
      </w:r>
    </w:p>
    <w:p w14:paraId="785640F0">
      <w:pPr>
        <w:pStyle w:val="14"/>
        <w:spacing w:line="360" w:lineRule="auto"/>
        <w:ind w:left="25" w:leftChars="12" w:firstLine="472" w:firstLineChars="197"/>
        <w:rPr>
          <w:rFonts w:hAnsi="宋体" w:cs="宋体"/>
          <w:bCs/>
          <w:color w:val="auto"/>
          <w:sz w:val="24"/>
          <w:szCs w:val="24"/>
          <w:u w:val="single"/>
        </w:rPr>
      </w:pPr>
      <w:r>
        <w:rPr>
          <w:rFonts w:hint="eastAsia" w:hAnsi="宋体" w:cs="宋体"/>
          <w:color w:val="auto"/>
          <w:sz w:val="24"/>
          <w:szCs w:val="24"/>
        </w:rPr>
        <w:t>代理机构名称：</w:t>
      </w:r>
      <w:bookmarkStart w:id="75" w:name="PO_3000001871_PM031_5"/>
      <w:bookmarkEnd w:id="75"/>
      <w:r>
        <w:rPr>
          <w:rFonts w:hint="eastAsia" w:hAnsi="宋体" w:cs="宋体"/>
          <w:bCs/>
          <w:color w:val="auto"/>
          <w:sz w:val="24"/>
          <w:szCs w:val="24"/>
          <w:u w:val="single"/>
        </w:rPr>
        <w:t xml:space="preserve">                        </w:t>
      </w:r>
    </w:p>
    <w:p w14:paraId="796DC346">
      <w:pPr>
        <w:pStyle w:val="14"/>
        <w:spacing w:line="360" w:lineRule="auto"/>
        <w:ind w:left="25" w:leftChars="12" w:firstLine="472" w:firstLineChars="197"/>
        <w:rPr>
          <w:rFonts w:hAnsi="宋体" w:cs="宋体"/>
          <w:bCs/>
          <w:color w:val="auto"/>
          <w:sz w:val="24"/>
          <w:szCs w:val="24"/>
          <w:u w:val="single"/>
        </w:rPr>
      </w:pPr>
      <w:r>
        <w:rPr>
          <w:rFonts w:hint="eastAsia" w:hAnsi="宋体" w:cs="宋体"/>
          <w:color w:val="auto"/>
          <w:sz w:val="24"/>
        </w:rPr>
        <w:t>谈判</w:t>
      </w:r>
      <w:r>
        <w:rPr>
          <w:rFonts w:hint="eastAsia" w:hAnsi="宋体" w:cs="宋体"/>
          <w:bCs/>
          <w:color w:val="auto"/>
          <w:sz w:val="24"/>
          <w:szCs w:val="24"/>
        </w:rPr>
        <w:t>文件公告：</w:t>
      </w:r>
      <w:r>
        <w:rPr>
          <w:rFonts w:hint="eastAsia" w:hAnsi="宋体" w:cs="宋体"/>
          <w:bCs/>
          <w:color w:val="auto"/>
          <w:sz w:val="24"/>
          <w:szCs w:val="24"/>
          <w:u w:val="single"/>
        </w:rPr>
        <w:t>是/否</w:t>
      </w:r>
      <w:r>
        <w:rPr>
          <w:rFonts w:hint="eastAsia" w:hAnsi="宋体" w:cs="宋体"/>
          <w:bCs/>
          <w:color w:val="auto"/>
          <w:sz w:val="24"/>
          <w:szCs w:val="24"/>
        </w:rPr>
        <w:t>公告期限：</w:t>
      </w:r>
      <w:r>
        <w:rPr>
          <w:rFonts w:hint="eastAsia" w:hAnsi="宋体" w:cs="宋体"/>
          <w:bCs/>
          <w:color w:val="auto"/>
          <w:sz w:val="24"/>
          <w:szCs w:val="24"/>
          <w:u w:val="single"/>
        </w:rPr>
        <w:t xml:space="preserve">                                                       </w:t>
      </w:r>
    </w:p>
    <w:p w14:paraId="37AF459E">
      <w:pPr>
        <w:pStyle w:val="14"/>
        <w:spacing w:line="360" w:lineRule="auto"/>
        <w:ind w:left="25" w:leftChars="12" w:firstLine="472" w:firstLineChars="197"/>
        <w:rPr>
          <w:rFonts w:hAnsi="宋体" w:cs="宋体"/>
          <w:b/>
          <w:color w:val="auto"/>
          <w:sz w:val="24"/>
          <w:szCs w:val="24"/>
        </w:rPr>
      </w:pPr>
      <w:r>
        <w:rPr>
          <w:rFonts w:hint="eastAsia" w:hAnsi="宋体" w:cs="宋体"/>
          <w:bCs/>
          <w:color w:val="auto"/>
          <w:sz w:val="24"/>
          <w:szCs w:val="24"/>
        </w:rPr>
        <w:t>采购结果公告：</w:t>
      </w:r>
      <w:r>
        <w:rPr>
          <w:rFonts w:hint="eastAsia" w:hAnsi="宋体" w:cs="宋体"/>
          <w:bCs/>
          <w:color w:val="auto"/>
          <w:sz w:val="24"/>
          <w:szCs w:val="24"/>
          <w:u w:val="single"/>
        </w:rPr>
        <w:t>是/否</w:t>
      </w:r>
      <w:r>
        <w:rPr>
          <w:rFonts w:hint="eastAsia" w:hAnsi="宋体" w:cs="宋体"/>
          <w:bCs/>
          <w:color w:val="auto"/>
          <w:sz w:val="24"/>
          <w:szCs w:val="24"/>
        </w:rPr>
        <w:t>公告期限：</w:t>
      </w:r>
      <w:r>
        <w:rPr>
          <w:rFonts w:hint="eastAsia" w:hAnsi="宋体" w:cs="宋体"/>
          <w:bCs/>
          <w:color w:val="auto"/>
          <w:sz w:val="24"/>
          <w:szCs w:val="24"/>
          <w:u w:val="single"/>
        </w:rPr>
        <w:t xml:space="preserve">                                                       </w:t>
      </w:r>
    </w:p>
    <w:p w14:paraId="6FB7EE44">
      <w:pPr>
        <w:pStyle w:val="14"/>
        <w:spacing w:line="360" w:lineRule="auto"/>
        <w:ind w:left="25" w:leftChars="12" w:firstLine="472" w:firstLineChars="196"/>
        <w:rPr>
          <w:rFonts w:hAnsi="宋体" w:cs="宋体"/>
          <w:b/>
          <w:color w:val="auto"/>
          <w:sz w:val="24"/>
          <w:szCs w:val="24"/>
        </w:rPr>
      </w:pPr>
      <w:r>
        <w:rPr>
          <w:rFonts w:hint="eastAsia" w:hAnsi="宋体" w:cs="宋体"/>
          <w:b/>
          <w:color w:val="auto"/>
          <w:sz w:val="24"/>
          <w:szCs w:val="24"/>
        </w:rPr>
        <w:t>三、质疑基本情况</w:t>
      </w:r>
    </w:p>
    <w:p w14:paraId="5C17AFE7">
      <w:pPr>
        <w:pStyle w:val="14"/>
        <w:spacing w:line="360" w:lineRule="auto"/>
        <w:ind w:firstLine="480" w:firstLineChars="200"/>
        <w:rPr>
          <w:rFonts w:hAnsi="宋体" w:cs="宋体"/>
          <w:color w:val="auto"/>
          <w:sz w:val="24"/>
          <w:szCs w:val="24"/>
        </w:rPr>
      </w:pPr>
      <w:r>
        <w:rPr>
          <w:rFonts w:hint="eastAsia" w:hAnsi="宋体" w:cs="宋体"/>
          <w:color w:val="auto"/>
          <w:sz w:val="24"/>
          <w:szCs w:val="24"/>
        </w:rPr>
        <w:t>投诉人于</w:t>
      </w:r>
      <w:r>
        <w:rPr>
          <w:rFonts w:hint="eastAsia" w:hAnsi="宋体" w:cs="宋体"/>
          <w:color w:val="auto"/>
          <w:sz w:val="24"/>
          <w:szCs w:val="24"/>
          <w:u w:val="single"/>
        </w:rPr>
        <w:t xml:space="preserve">      </w:t>
      </w:r>
      <w:r>
        <w:rPr>
          <w:rFonts w:hint="eastAsia" w:hAnsi="宋体" w:cs="宋体"/>
          <w:color w:val="auto"/>
          <w:sz w:val="24"/>
          <w:szCs w:val="24"/>
        </w:rPr>
        <w:t>年</w:t>
      </w:r>
      <w:r>
        <w:rPr>
          <w:rFonts w:hint="eastAsia" w:hAnsi="宋体" w:cs="宋体"/>
          <w:color w:val="auto"/>
          <w:sz w:val="24"/>
          <w:szCs w:val="24"/>
          <w:u w:val="single"/>
        </w:rPr>
        <w:t xml:space="preserve">   </w:t>
      </w:r>
      <w:r>
        <w:rPr>
          <w:rFonts w:hint="eastAsia" w:hAnsi="宋体" w:cs="宋体"/>
          <w:color w:val="auto"/>
          <w:sz w:val="24"/>
          <w:szCs w:val="24"/>
        </w:rPr>
        <w:t>月</w:t>
      </w:r>
      <w:r>
        <w:rPr>
          <w:rFonts w:hint="eastAsia" w:hAnsi="宋体" w:cs="宋体"/>
          <w:color w:val="auto"/>
          <w:sz w:val="24"/>
          <w:szCs w:val="24"/>
          <w:u w:val="single"/>
        </w:rPr>
        <w:t xml:space="preserve">   </w:t>
      </w:r>
      <w:r>
        <w:rPr>
          <w:rFonts w:hint="eastAsia" w:hAnsi="宋体" w:cs="宋体"/>
          <w:color w:val="auto"/>
          <w:sz w:val="24"/>
          <w:szCs w:val="24"/>
        </w:rPr>
        <w:t>日，向</w:t>
      </w:r>
      <w:r>
        <w:rPr>
          <w:rFonts w:hint="eastAsia" w:hAnsi="宋体" w:cs="宋体"/>
          <w:color w:val="auto"/>
          <w:sz w:val="24"/>
          <w:szCs w:val="24"/>
          <w:u w:val="single"/>
        </w:rPr>
        <w:t xml:space="preserve">                                质疑</w:t>
      </w:r>
      <w:r>
        <w:rPr>
          <w:rFonts w:hint="eastAsia" w:hAnsi="宋体" w:cs="宋体"/>
          <w:color w:val="auto"/>
          <w:sz w:val="24"/>
          <w:szCs w:val="24"/>
        </w:rPr>
        <w:t>，质疑事项为：</w:t>
      </w:r>
    </w:p>
    <w:p w14:paraId="10F7A2F4">
      <w:pPr>
        <w:pStyle w:val="14"/>
        <w:spacing w:line="360" w:lineRule="auto"/>
        <w:ind w:firstLine="241"/>
        <w:rPr>
          <w:rFonts w:hAnsi="宋体" w:cs="宋体"/>
          <w:bCs/>
          <w:color w:val="auto"/>
          <w:sz w:val="24"/>
          <w:szCs w:val="24"/>
          <w:u w:val="single"/>
        </w:rPr>
      </w:pPr>
      <w:r>
        <w:rPr>
          <w:rFonts w:hint="eastAsia" w:hAnsi="宋体" w:cs="宋体"/>
          <w:color w:val="auto"/>
          <w:sz w:val="24"/>
          <w:szCs w:val="24"/>
        </w:rPr>
        <w:t xml:space="preserve">    </w:t>
      </w:r>
      <w:r>
        <w:rPr>
          <w:rFonts w:hint="eastAsia" w:hAnsi="宋体" w:cs="宋体"/>
          <w:bCs/>
          <w:color w:val="auto"/>
          <w:sz w:val="24"/>
          <w:szCs w:val="24"/>
          <w:u w:val="single"/>
        </w:rPr>
        <w:t xml:space="preserve">                                                                                      </w:t>
      </w:r>
    </w:p>
    <w:p w14:paraId="18992CE1">
      <w:pPr>
        <w:pStyle w:val="14"/>
        <w:spacing w:line="360" w:lineRule="auto"/>
        <w:ind w:firstLine="241"/>
        <w:rPr>
          <w:rFonts w:hAnsi="宋体" w:cs="宋体"/>
          <w:bCs/>
          <w:color w:val="auto"/>
          <w:sz w:val="24"/>
          <w:szCs w:val="24"/>
          <w:u w:val="single"/>
        </w:rPr>
      </w:pPr>
      <w:r>
        <w:rPr>
          <w:rFonts w:hint="eastAsia" w:hAnsi="宋体" w:cs="宋体"/>
          <w:bCs/>
          <w:color w:val="auto"/>
          <w:sz w:val="24"/>
          <w:szCs w:val="24"/>
        </w:rPr>
        <w:t xml:space="preserve">    </w:t>
      </w:r>
      <w:r>
        <w:rPr>
          <w:rFonts w:hint="eastAsia" w:hAnsi="宋体" w:cs="宋体"/>
          <w:bCs/>
          <w:color w:val="auto"/>
          <w:sz w:val="24"/>
          <w:szCs w:val="24"/>
          <w:u w:val="single"/>
        </w:rPr>
        <w:t xml:space="preserve">                                                                                      </w:t>
      </w:r>
    </w:p>
    <w:p w14:paraId="6FFCEDFE">
      <w:pPr>
        <w:pStyle w:val="14"/>
        <w:spacing w:line="360" w:lineRule="auto"/>
        <w:ind w:firstLine="480" w:firstLineChars="200"/>
        <w:rPr>
          <w:rFonts w:hAnsi="宋体" w:cs="宋体"/>
          <w:color w:val="auto"/>
          <w:sz w:val="24"/>
          <w:szCs w:val="24"/>
        </w:rPr>
      </w:pPr>
      <w:r>
        <w:rPr>
          <w:rFonts w:hint="eastAsia" w:hAnsi="宋体" w:cs="宋体"/>
          <w:bCs/>
          <w:color w:val="auto"/>
          <w:sz w:val="24"/>
          <w:szCs w:val="24"/>
          <w:u w:val="single"/>
        </w:rPr>
        <w:t>采购人/代理机构</w:t>
      </w:r>
      <w:r>
        <w:rPr>
          <w:rFonts w:hint="eastAsia" w:hAnsi="宋体" w:cs="宋体"/>
          <w:bCs/>
          <w:color w:val="auto"/>
          <w:sz w:val="24"/>
          <w:szCs w:val="24"/>
        </w:rPr>
        <w:t>于</w:t>
      </w:r>
      <w:r>
        <w:rPr>
          <w:rFonts w:hint="eastAsia" w:hAnsi="宋体" w:cs="宋体"/>
          <w:color w:val="auto"/>
          <w:sz w:val="24"/>
          <w:szCs w:val="24"/>
          <w:u w:val="single"/>
        </w:rPr>
        <w:t xml:space="preserve">      </w:t>
      </w:r>
      <w:r>
        <w:rPr>
          <w:rFonts w:hint="eastAsia" w:hAnsi="宋体" w:cs="宋体"/>
          <w:color w:val="auto"/>
          <w:sz w:val="24"/>
          <w:szCs w:val="24"/>
        </w:rPr>
        <w:t>年</w:t>
      </w:r>
      <w:r>
        <w:rPr>
          <w:rFonts w:hint="eastAsia" w:hAnsi="宋体" w:cs="宋体"/>
          <w:color w:val="auto"/>
          <w:sz w:val="24"/>
          <w:szCs w:val="24"/>
          <w:u w:val="single"/>
        </w:rPr>
        <w:t xml:space="preserve">   </w:t>
      </w:r>
      <w:r>
        <w:rPr>
          <w:rFonts w:hint="eastAsia" w:hAnsi="宋体" w:cs="宋体"/>
          <w:color w:val="auto"/>
          <w:sz w:val="24"/>
          <w:szCs w:val="24"/>
        </w:rPr>
        <w:t>月</w:t>
      </w:r>
      <w:r>
        <w:rPr>
          <w:rFonts w:hint="eastAsia" w:hAnsi="宋体" w:cs="宋体"/>
          <w:color w:val="auto"/>
          <w:sz w:val="24"/>
          <w:szCs w:val="24"/>
          <w:u w:val="single"/>
        </w:rPr>
        <w:t xml:space="preserve">   </w:t>
      </w:r>
      <w:r>
        <w:rPr>
          <w:rFonts w:hint="eastAsia" w:hAnsi="宋体" w:cs="宋体"/>
          <w:color w:val="auto"/>
          <w:sz w:val="24"/>
          <w:szCs w:val="24"/>
        </w:rPr>
        <w:t>日，</w:t>
      </w:r>
      <w:r>
        <w:rPr>
          <w:rFonts w:hint="eastAsia" w:hAnsi="宋体" w:cs="宋体"/>
          <w:bCs/>
          <w:color w:val="auto"/>
          <w:sz w:val="24"/>
          <w:szCs w:val="24"/>
        </w:rPr>
        <w:t xml:space="preserve">就质疑事项作出了答复/没有在法定期限内作出答复。                                                                                             </w:t>
      </w:r>
    </w:p>
    <w:p w14:paraId="49445E99">
      <w:pPr>
        <w:pStyle w:val="14"/>
        <w:spacing w:line="360" w:lineRule="auto"/>
        <w:ind w:left="25" w:leftChars="12" w:firstLine="472" w:firstLineChars="196"/>
        <w:rPr>
          <w:rFonts w:hAnsi="宋体" w:cs="宋体"/>
          <w:b/>
          <w:color w:val="auto"/>
          <w:sz w:val="24"/>
          <w:szCs w:val="24"/>
        </w:rPr>
      </w:pPr>
      <w:r>
        <w:rPr>
          <w:rFonts w:hint="eastAsia" w:hAnsi="宋体" w:cs="宋体"/>
          <w:b/>
          <w:color w:val="auto"/>
          <w:sz w:val="24"/>
          <w:szCs w:val="24"/>
        </w:rPr>
        <w:t>四、投诉事项具体内容</w:t>
      </w:r>
    </w:p>
    <w:p w14:paraId="19AD2ACB">
      <w:pPr>
        <w:pStyle w:val="14"/>
        <w:spacing w:line="360" w:lineRule="auto"/>
        <w:ind w:left="25" w:leftChars="12" w:firstLine="472" w:firstLineChars="197"/>
        <w:rPr>
          <w:rFonts w:hAnsi="宋体" w:cs="宋体"/>
          <w:bCs/>
          <w:color w:val="auto"/>
          <w:sz w:val="24"/>
          <w:szCs w:val="24"/>
          <w:u w:val="single"/>
        </w:rPr>
      </w:pPr>
      <w:r>
        <w:rPr>
          <w:rFonts w:hint="eastAsia" w:hAnsi="宋体" w:cs="宋体"/>
          <w:color w:val="auto"/>
          <w:sz w:val="24"/>
          <w:szCs w:val="24"/>
        </w:rPr>
        <w:t>投诉事项1：</w:t>
      </w:r>
      <w:r>
        <w:rPr>
          <w:rFonts w:hint="eastAsia" w:hAnsi="宋体" w:cs="宋体"/>
          <w:bCs/>
          <w:color w:val="auto"/>
          <w:sz w:val="24"/>
          <w:szCs w:val="24"/>
          <w:u w:val="single"/>
        </w:rPr>
        <w:t xml:space="preserve">                                                                           </w:t>
      </w:r>
    </w:p>
    <w:p w14:paraId="383C8462">
      <w:pPr>
        <w:pStyle w:val="14"/>
        <w:spacing w:line="360" w:lineRule="auto"/>
        <w:ind w:firstLine="480" w:firstLineChars="200"/>
        <w:rPr>
          <w:rFonts w:hAnsi="宋体" w:cs="宋体"/>
          <w:bCs/>
          <w:color w:val="auto"/>
          <w:sz w:val="24"/>
          <w:szCs w:val="24"/>
          <w:u w:val="single"/>
        </w:rPr>
      </w:pPr>
      <w:r>
        <w:rPr>
          <w:rFonts w:hint="eastAsia" w:hAnsi="宋体" w:cs="宋体"/>
          <w:bCs/>
          <w:color w:val="auto"/>
          <w:sz w:val="24"/>
          <w:szCs w:val="24"/>
        </w:rPr>
        <w:t>事实依据：</w:t>
      </w:r>
      <w:r>
        <w:rPr>
          <w:rFonts w:hint="eastAsia" w:hAnsi="宋体" w:cs="宋体"/>
          <w:color w:val="auto"/>
          <w:sz w:val="24"/>
          <w:szCs w:val="24"/>
        </w:rPr>
        <w:t xml:space="preserve"> </w:t>
      </w:r>
      <w:r>
        <w:rPr>
          <w:rFonts w:hint="eastAsia" w:hAnsi="宋体" w:cs="宋体"/>
          <w:bCs/>
          <w:color w:val="auto"/>
          <w:sz w:val="24"/>
          <w:szCs w:val="24"/>
          <w:u w:val="single"/>
        </w:rPr>
        <w:t xml:space="preserve">                                                                                      </w:t>
      </w:r>
    </w:p>
    <w:p w14:paraId="54BFACC4">
      <w:pPr>
        <w:pStyle w:val="14"/>
        <w:spacing w:line="360" w:lineRule="auto"/>
        <w:ind w:left="25" w:leftChars="12" w:firstLine="472" w:firstLineChars="197"/>
        <w:rPr>
          <w:rFonts w:hAnsi="宋体" w:cs="宋体"/>
          <w:color w:val="auto"/>
          <w:sz w:val="24"/>
          <w:szCs w:val="24"/>
        </w:rPr>
      </w:pPr>
      <w:r>
        <w:rPr>
          <w:rFonts w:hint="eastAsia" w:hAnsi="宋体" w:cs="宋体"/>
          <w:bCs/>
          <w:color w:val="auto"/>
          <w:sz w:val="24"/>
          <w:szCs w:val="24"/>
          <w:u w:val="single"/>
        </w:rPr>
        <w:t xml:space="preserve">                                                                                        </w:t>
      </w:r>
    </w:p>
    <w:p w14:paraId="6A6EF720">
      <w:pPr>
        <w:pStyle w:val="14"/>
        <w:spacing w:line="360" w:lineRule="auto"/>
        <w:ind w:firstLine="480" w:firstLineChars="200"/>
        <w:rPr>
          <w:rFonts w:hAnsi="宋体" w:cs="宋体"/>
          <w:bCs/>
          <w:color w:val="auto"/>
          <w:sz w:val="24"/>
          <w:szCs w:val="24"/>
          <w:u w:val="single"/>
        </w:rPr>
      </w:pPr>
      <w:r>
        <w:rPr>
          <w:rFonts w:hint="eastAsia" w:hAnsi="宋体" w:cs="宋体"/>
          <w:bCs/>
          <w:color w:val="auto"/>
          <w:sz w:val="24"/>
          <w:szCs w:val="24"/>
        </w:rPr>
        <w:t>法律依据：</w:t>
      </w:r>
      <w:r>
        <w:rPr>
          <w:rFonts w:hint="eastAsia" w:hAnsi="宋体" w:cs="宋体"/>
          <w:color w:val="auto"/>
          <w:sz w:val="24"/>
          <w:szCs w:val="24"/>
        </w:rPr>
        <w:t xml:space="preserve"> </w:t>
      </w:r>
      <w:r>
        <w:rPr>
          <w:rFonts w:hint="eastAsia" w:hAnsi="宋体" w:cs="宋体"/>
          <w:bCs/>
          <w:color w:val="auto"/>
          <w:sz w:val="24"/>
          <w:szCs w:val="24"/>
          <w:u w:val="single"/>
        </w:rPr>
        <w:t xml:space="preserve">                                                                                      </w:t>
      </w:r>
    </w:p>
    <w:p w14:paraId="5E35557A">
      <w:pPr>
        <w:pStyle w:val="14"/>
        <w:spacing w:line="360" w:lineRule="auto"/>
        <w:ind w:left="25" w:leftChars="12" w:firstLine="352" w:firstLineChars="147"/>
        <w:rPr>
          <w:rFonts w:hAnsi="宋体" w:cs="宋体"/>
          <w:bCs/>
          <w:color w:val="auto"/>
          <w:sz w:val="24"/>
          <w:szCs w:val="24"/>
          <w:u w:val="single"/>
        </w:rPr>
      </w:pPr>
      <w:r>
        <w:rPr>
          <w:rFonts w:hint="eastAsia" w:hAnsi="宋体" w:cs="宋体"/>
          <w:bCs/>
          <w:color w:val="auto"/>
          <w:sz w:val="24"/>
          <w:szCs w:val="24"/>
        </w:rPr>
        <w:t xml:space="preserve"> </w:t>
      </w:r>
      <w:r>
        <w:rPr>
          <w:rFonts w:hint="eastAsia" w:hAnsi="宋体" w:cs="宋体"/>
          <w:bCs/>
          <w:color w:val="auto"/>
          <w:sz w:val="24"/>
          <w:szCs w:val="24"/>
          <w:u w:val="single"/>
        </w:rPr>
        <w:t xml:space="preserve">                                                                                        </w:t>
      </w:r>
    </w:p>
    <w:p w14:paraId="7E457743">
      <w:pPr>
        <w:pStyle w:val="14"/>
        <w:spacing w:line="360" w:lineRule="auto"/>
        <w:ind w:left="25" w:leftChars="12" w:firstLine="472" w:firstLineChars="197"/>
        <w:rPr>
          <w:rFonts w:hAnsi="宋体" w:cs="宋体"/>
          <w:bCs/>
          <w:color w:val="auto"/>
          <w:sz w:val="24"/>
          <w:szCs w:val="24"/>
        </w:rPr>
      </w:pPr>
      <w:r>
        <w:rPr>
          <w:rFonts w:hint="eastAsia" w:hAnsi="宋体" w:cs="宋体"/>
          <w:color w:val="auto"/>
          <w:sz w:val="24"/>
          <w:szCs w:val="24"/>
        </w:rPr>
        <w:t xml:space="preserve">投诉事项2  </w:t>
      </w:r>
      <w:r>
        <w:rPr>
          <w:rFonts w:hint="eastAsia" w:hAnsi="宋体" w:cs="宋体"/>
          <w:bCs/>
          <w:color w:val="auto"/>
          <w:sz w:val="24"/>
          <w:szCs w:val="24"/>
        </w:rPr>
        <w:t xml:space="preserve">   </w:t>
      </w:r>
    </w:p>
    <w:p w14:paraId="3B6595E6">
      <w:pPr>
        <w:pStyle w:val="14"/>
        <w:spacing w:line="360" w:lineRule="auto"/>
        <w:ind w:left="25" w:leftChars="12" w:firstLine="472" w:firstLineChars="197"/>
        <w:rPr>
          <w:rFonts w:hAnsi="宋体" w:cs="宋体"/>
          <w:bCs/>
          <w:color w:val="auto"/>
          <w:sz w:val="24"/>
          <w:szCs w:val="24"/>
        </w:rPr>
      </w:pPr>
      <w:r>
        <w:rPr>
          <w:rFonts w:hint="eastAsia" w:hAnsi="宋体" w:cs="宋体"/>
          <w:bCs/>
          <w:color w:val="auto"/>
          <w:sz w:val="24"/>
          <w:szCs w:val="24"/>
        </w:rPr>
        <w:t>……</w:t>
      </w:r>
    </w:p>
    <w:p w14:paraId="4402B051">
      <w:pPr>
        <w:pStyle w:val="14"/>
        <w:spacing w:line="360" w:lineRule="auto"/>
        <w:ind w:left="25" w:leftChars="12" w:firstLine="472" w:firstLineChars="196"/>
        <w:rPr>
          <w:rFonts w:hAnsi="宋体" w:cs="宋体"/>
          <w:b/>
          <w:color w:val="auto"/>
          <w:sz w:val="24"/>
          <w:szCs w:val="24"/>
        </w:rPr>
      </w:pPr>
      <w:r>
        <w:rPr>
          <w:rFonts w:hint="eastAsia" w:hAnsi="宋体" w:cs="宋体"/>
          <w:b/>
          <w:color w:val="auto"/>
          <w:sz w:val="24"/>
          <w:szCs w:val="24"/>
        </w:rPr>
        <w:t>五、与投诉事项相关的投诉请求：</w:t>
      </w:r>
    </w:p>
    <w:p w14:paraId="0CC74559">
      <w:pPr>
        <w:pStyle w:val="14"/>
        <w:spacing w:line="360" w:lineRule="auto"/>
        <w:ind w:left="25" w:leftChars="12" w:firstLine="472" w:firstLineChars="197"/>
        <w:rPr>
          <w:rFonts w:hAnsi="宋体" w:cs="宋体"/>
          <w:color w:val="auto"/>
          <w:sz w:val="24"/>
          <w:szCs w:val="24"/>
        </w:rPr>
      </w:pPr>
      <w:r>
        <w:rPr>
          <w:rFonts w:hint="eastAsia" w:hAnsi="宋体" w:cs="宋体"/>
          <w:color w:val="auto"/>
          <w:sz w:val="24"/>
          <w:szCs w:val="24"/>
        </w:rPr>
        <w:t>请求：</w:t>
      </w:r>
      <w:r>
        <w:rPr>
          <w:rFonts w:hint="eastAsia" w:hAnsi="宋体" w:cs="宋体"/>
          <w:bCs/>
          <w:color w:val="auto"/>
          <w:sz w:val="24"/>
          <w:szCs w:val="24"/>
          <w:u w:val="single"/>
        </w:rPr>
        <w:t xml:space="preserve">                                                                                 </w:t>
      </w:r>
    </w:p>
    <w:p w14:paraId="50A21AFD">
      <w:pPr>
        <w:rPr>
          <w:rFonts w:ascii="宋体" w:hAnsi="宋体" w:cs="宋体"/>
          <w:color w:val="auto"/>
        </w:rPr>
      </w:pPr>
      <w:r>
        <w:rPr>
          <w:rFonts w:hint="eastAsia" w:ascii="宋体" w:hAnsi="宋体" w:cs="宋体"/>
          <w:color w:val="auto"/>
        </w:rPr>
        <w:t xml:space="preserve"> </w:t>
      </w:r>
    </w:p>
    <w:p w14:paraId="13B66964">
      <w:pPr>
        <w:pStyle w:val="14"/>
        <w:spacing w:line="360" w:lineRule="auto"/>
        <w:ind w:left="25" w:leftChars="12" w:firstLine="472" w:firstLineChars="197"/>
        <w:rPr>
          <w:rFonts w:hAnsi="宋体" w:cs="宋体"/>
          <w:color w:val="auto"/>
          <w:sz w:val="24"/>
          <w:szCs w:val="24"/>
        </w:rPr>
      </w:pPr>
      <w:r>
        <w:rPr>
          <w:rFonts w:hint="eastAsia" w:hAnsi="宋体" w:cs="宋体"/>
          <w:color w:val="auto"/>
          <w:sz w:val="24"/>
          <w:szCs w:val="24"/>
        </w:rPr>
        <w:t>签字（签章）：                                       公章：</w:t>
      </w:r>
    </w:p>
    <w:p w14:paraId="6A39583F">
      <w:pPr>
        <w:rPr>
          <w:rFonts w:ascii="宋体" w:hAnsi="宋体" w:cs="宋体"/>
          <w:color w:val="auto"/>
        </w:rPr>
      </w:pPr>
      <w:r>
        <w:rPr>
          <w:rFonts w:hint="eastAsia" w:ascii="宋体" w:hAnsi="宋体" w:cs="宋体"/>
          <w:color w:val="auto"/>
        </w:rPr>
        <w:t xml:space="preserve"> </w:t>
      </w:r>
    </w:p>
    <w:p w14:paraId="2FCD19E0">
      <w:pPr>
        <w:pStyle w:val="14"/>
        <w:spacing w:line="360" w:lineRule="auto"/>
        <w:ind w:left="25" w:leftChars="12" w:firstLine="472" w:firstLineChars="197"/>
        <w:rPr>
          <w:rFonts w:hAnsi="宋体" w:cs="宋体"/>
          <w:color w:val="auto"/>
          <w:sz w:val="24"/>
          <w:szCs w:val="24"/>
        </w:rPr>
      </w:pPr>
      <w:r>
        <w:rPr>
          <w:rFonts w:hint="eastAsia" w:hAnsi="宋体" w:cs="宋体"/>
          <w:color w:val="auto"/>
          <w:sz w:val="24"/>
          <w:szCs w:val="24"/>
        </w:rPr>
        <w:t>日期：</w:t>
      </w:r>
    </w:p>
    <w:p w14:paraId="157676E8">
      <w:pPr>
        <w:rPr>
          <w:rFonts w:ascii="宋体" w:hAnsi="宋体" w:cs="宋体"/>
          <w:color w:val="auto"/>
        </w:rPr>
      </w:pPr>
    </w:p>
    <w:p w14:paraId="1737DAD9">
      <w:pPr>
        <w:pStyle w:val="14"/>
        <w:snapToGrid w:val="0"/>
        <w:spacing w:line="360" w:lineRule="auto"/>
        <w:rPr>
          <w:rFonts w:hAnsi="宋体" w:cs="宋体"/>
          <w:b/>
          <w:color w:val="auto"/>
          <w:sz w:val="24"/>
          <w:szCs w:val="24"/>
        </w:rPr>
      </w:pPr>
      <w:r>
        <w:rPr>
          <w:rFonts w:hint="eastAsia" w:hAnsi="宋体" w:cs="宋体"/>
          <w:b/>
          <w:color w:val="auto"/>
          <w:sz w:val="24"/>
          <w:szCs w:val="24"/>
        </w:rPr>
        <w:t>说明：</w:t>
      </w:r>
    </w:p>
    <w:p w14:paraId="1CFCD9B4">
      <w:pPr>
        <w:pStyle w:val="14"/>
        <w:spacing w:line="360" w:lineRule="auto"/>
        <w:ind w:left="25" w:leftChars="12" w:firstLine="354" w:firstLineChars="147"/>
        <w:rPr>
          <w:rFonts w:hAnsi="宋体" w:cs="宋体"/>
          <w:b/>
          <w:bCs/>
          <w:color w:val="auto"/>
          <w:sz w:val="24"/>
          <w:szCs w:val="24"/>
        </w:rPr>
      </w:pPr>
      <w:r>
        <w:rPr>
          <w:rFonts w:hint="eastAsia" w:hAnsi="宋体" w:cs="宋体"/>
          <w:b/>
          <w:color w:val="auto"/>
          <w:sz w:val="24"/>
          <w:szCs w:val="24"/>
        </w:rPr>
        <w:t>1.投诉人提起投诉时，应当提交投诉书和必要的证明材料，并按照被投诉人和与投诉事项有关的供应商数量提供投诉书副本</w:t>
      </w:r>
      <w:r>
        <w:rPr>
          <w:rFonts w:hint="eastAsia" w:hAnsi="宋体" w:cs="宋体"/>
          <w:b/>
          <w:bCs/>
          <w:color w:val="auto"/>
          <w:sz w:val="24"/>
          <w:szCs w:val="24"/>
        </w:rPr>
        <w:t>。</w:t>
      </w:r>
    </w:p>
    <w:p w14:paraId="171C6773">
      <w:pPr>
        <w:pStyle w:val="14"/>
        <w:spacing w:line="360" w:lineRule="auto"/>
        <w:ind w:left="25" w:leftChars="12" w:firstLine="354" w:firstLineChars="147"/>
        <w:rPr>
          <w:rFonts w:hAnsi="宋体" w:cs="宋体"/>
          <w:b/>
          <w:color w:val="auto"/>
          <w:sz w:val="24"/>
          <w:szCs w:val="24"/>
        </w:rPr>
      </w:pPr>
      <w:r>
        <w:rPr>
          <w:rFonts w:hint="eastAsia" w:hAnsi="宋体" w:cs="宋体"/>
          <w:b/>
          <w:color w:val="auto"/>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0C518E45">
      <w:pPr>
        <w:pStyle w:val="14"/>
        <w:spacing w:line="360" w:lineRule="auto"/>
        <w:ind w:left="25" w:leftChars="12" w:firstLine="354" w:firstLineChars="147"/>
        <w:rPr>
          <w:rFonts w:hAnsi="宋体" w:cs="宋体"/>
          <w:b/>
          <w:color w:val="auto"/>
          <w:sz w:val="24"/>
          <w:szCs w:val="24"/>
        </w:rPr>
      </w:pPr>
      <w:r>
        <w:rPr>
          <w:rFonts w:hint="eastAsia" w:hAnsi="宋体" w:cs="宋体"/>
          <w:b/>
          <w:color w:val="auto"/>
          <w:sz w:val="24"/>
          <w:szCs w:val="24"/>
        </w:rPr>
        <w:t>3.投诉书应简要列明质疑事项，质疑函、质疑答复等作为附件材料提供。</w:t>
      </w:r>
    </w:p>
    <w:p w14:paraId="77634C22">
      <w:pPr>
        <w:pStyle w:val="14"/>
        <w:spacing w:line="360" w:lineRule="auto"/>
        <w:ind w:left="25" w:leftChars="12" w:firstLine="354" w:firstLineChars="147"/>
        <w:rPr>
          <w:rFonts w:hAnsi="宋体" w:cs="宋体"/>
          <w:b/>
          <w:color w:val="auto"/>
          <w:sz w:val="24"/>
          <w:szCs w:val="24"/>
        </w:rPr>
      </w:pPr>
      <w:r>
        <w:rPr>
          <w:rFonts w:hint="eastAsia" w:hAnsi="宋体" w:cs="宋体"/>
          <w:b/>
          <w:color w:val="auto"/>
          <w:sz w:val="24"/>
          <w:szCs w:val="24"/>
        </w:rPr>
        <w:t>4.投诉书的投诉事项应具体、明确，并有必要的事实依据和法律依据。</w:t>
      </w:r>
    </w:p>
    <w:p w14:paraId="6EA0F471">
      <w:pPr>
        <w:pStyle w:val="14"/>
        <w:spacing w:line="360" w:lineRule="auto"/>
        <w:ind w:left="25" w:leftChars="12" w:firstLine="354" w:firstLineChars="147"/>
        <w:rPr>
          <w:rFonts w:hAnsi="宋体" w:cs="宋体"/>
          <w:b/>
          <w:color w:val="auto"/>
          <w:sz w:val="24"/>
          <w:szCs w:val="24"/>
        </w:rPr>
      </w:pPr>
      <w:r>
        <w:rPr>
          <w:rFonts w:hint="eastAsia" w:hAnsi="宋体" w:cs="宋体"/>
          <w:b/>
          <w:color w:val="auto"/>
          <w:sz w:val="24"/>
          <w:szCs w:val="24"/>
        </w:rPr>
        <w:t>5.投诉书的投诉请求应与投诉事项相关。</w:t>
      </w:r>
    </w:p>
    <w:p w14:paraId="68E9F5B0">
      <w:pPr>
        <w:pStyle w:val="14"/>
        <w:spacing w:line="360" w:lineRule="auto"/>
        <w:ind w:left="25" w:leftChars="12" w:firstLine="354" w:firstLineChars="147"/>
        <w:rPr>
          <w:rFonts w:hAnsi="宋体" w:cs="宋体"/>
          <w:b/>
          <w:color w:val="auto"/>
          <w:szCs w:val="20"/>
        </w:rPr>
      </w:pPr>
      <w:r>
        <w:rPr>
          <w:rFonts w:hint="eastAsia" w:hAnsi="宋体" w:cs="宋体"/>
          <w:b/>
          <w:color w:val="auto"/>
          <w:sz w:val="24"/>
          <w:szCs w:val="24"/>
        </w:rPr>
        <w:t>6.投诉人为法人或者其他组织的，投诉书应由法定代表人、主要负责人，或者其授权代表签字或者盖章，并加盖公章。</w:t>
      </w:r>
    </w:p>
    <w:p w14:paraId="0D815380">
      <w:pPr>
        <w:pStyle w:val="14"/>
        <w:snapToGrid w:val="0"/>
        <w:rPr>
          <w:rFonts w:hAnsi="宋体" w:cs="宋体"/>
          <w:b/>
          <w:color w:val="auto"/>
          <w:sz w:val="24"/>
          <w:szCs w:val="24"/>
        </w:rPr>
      </w:pPr>
    </w:p>
    <w:p w14:paraId="4B16D051">
      <w:pPr>
        <w:rPr>
          <w:color w:val="auto"/>
        </w:rPr>
      </w:pPr>
    </w:p>
    <w:p w14:paraId="3E362560">
      <w:pPr>
        <w:rPr>
          <w:rFonts w:ascii="宋体" w:hAnsi="宋体" w:cs="宋体"/>
          <w:color w:val="auto"/>
        </w:rPr>
      </w:pPr>
      <w:r>
        <w:rPr>
          <w:rFonts w:hint="eastAsia" w:ascii="宋体" w:hAnsi="宋体" w:cs="宋体"/>
          <w:b/>
          <w:bCs/>
          <w:color w:val="auto"/>
          <w:sz w:val="28"/>
          <w:szCs w:val="28"/>
        </w:rPr>
        <w:t>谈判保证金退还申请（格式）</w:t>
      </w:r>
      <w:r>
        <w:rPr>
          <w:rFonts w:hint="eastAsia" w:ascii="宋体" w:hAnsi="宋体" w:cs="宋体"/>
          <w:b/>
          <w:bCs/>
          <w:color w:val="auto"/>
        </w:rPr>
        <w:t>：</w:t>
      </w:r>
      <w:r>
        <w:rPr>
          <w:rFonts w:hint="eastAsia" w:ascii="宋体" w:hAnsi="宋体" w:cs="宋体"/>
          <w:color w:val="auto"/>
          <w:sz w:val="28"/>
          <w:szCs w:val="28"/>
        </w:rPr>
        <w:t>供参考</w:t>
      </w:r>
    </w:p>
    <w:p w14:paraId="25BB8E4E">
      <w:pPr>
        <w:jc w:val="center"/>
        <w:rPr>
          <w:rFonts w:ascii="宋体" w:hAnsi="宋体" w:cs="宋体"/>
          <w:color w:val="auto"/>
          <w:sz w:val="32"/>
          <w:szCs w:val="32"/>
        </w:rPr>
      </w:pPr>
    </w:p>
    <w:p w14:paraId="6A7722BF">
      <w:pPr>
        <w:jc w:val="center"/>
        <w:rPr>
          <w:rFonts w:ascii="宋体" w:hAnsi="宋体" w:cs="宋体"/>
          <w:color w:val="auto"/>
          <w:sz w:val="32"/>
          <w:szCs w:val="32"/>
        </w:rPr>
      </w:pPr>
      <w:r>
        <w:rPr>
          <w:rFonts w:hint="eastAsia" w:ascii="宋体" w:hAnsi="宋体" w:cs="宋体"/>
          <w:color w:val="auto"/>
          <w:sz w:val="32"/>
          <w:szCs w:val="32"/>
        </w:rPr>
        <w:t>退谈判保证金申请函</w:t>
      </w:r>
    </w:p>
    <w:p w14:paraId="1A3B22A6">
      <w:pPr>
        <w:rPr>
          <w:rFonts w:ascii="宋体" w:hAnsi="宋体" w:cs="宋体"/>
          <w:color w:val="auto"/>
        </w:rPr>
      </w:pPr>
    </w:p>
    <w:p w14:paraId="3B972019">
      <w:pPr>
        <w:spacing w:line="360" w:lineRule="auto"/>
        <w:rPr>
          <w:rFonts w:ascii="宋体" w:hAnsi="宋体" w:cs="宋体"/>
          <w:color w:val="auto"/>
          <w:sz w:val="24"/>
        </w:rPr>
      </w:pPr>
      <w:r>
        <w:rPr>
          <w:rFonts w:hint="eastAsia" w:ascii="宋体" w:hAnsi="宋体" w:cs="宋体"/>
          <w:color w:val="auto"/>
          <w:sz w:val="24"/>
        </w:rPr>
        <w:t>广西中信恒泰工程顾问有限公司：</w:t>
      </w:r>
    </w:p>
    <w:p w14:paraId="39D043F9">
      <w:pPr>
        <w:spacing w:line="360" w:lineRule="auto"/>
        <w:ind w:firstLine="480" w:firstLineChars="200"/>
        <w:rPr>
          <w:rFonts w:ascii="宋体" w:hAnsi="宋体" w:cs="宋体"/>
          <w:color w:val="auto"/>
          <w:sz w:val="24"/>
        </w:rPr>
      </w:pPr>
      <w:r>
        <w:rPr>
          <w:rFonts w:hint="eastAsia" w:ascii="宋体" w:hAnsi="宋体" w:cs="宋体"/>
          <w:color w:val="auto"/>
          <w:sz w:val="24"/>
        </w:rPr>
        <w:t>兹有我单位参加贵公司组织采购的</w:t>
      </w:r>
      <w:r>
        <w:rPr>
          <w:rFonts w:hint="eastAsia" w:ascii="宋体" w:hAnsi="宋体" w:cs="宋体"/>
          <w:color w:val="auto"/>
          <w:sz w:val="24"/>
          <w:u w:val="single"/>
        </w:rPr>
        <w:t xml:space="preserve">      项目（项目编号：    ）</w:t>
      </w:r>
      <w:r>
        <w:rPr>
          <w:rFonts w:hint="eastAsia" w:ascii="宋体" w:hAnsi="宋体" w:cs="宋体"/>
          <w:color w:val="auto"/>
          <w:sz w:val="24"/>
        </w:rPr>
        <w:t>的谈判，于</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日以</w:t>
      </w:r>
      <w:r>
        <w:rPr>
          <w:rFonts w:hint="eastAsia" w:ascii="宋体" w:hAnsi="宋体" w:cs="宋体"/>
          <w:color w:val="auto"/>
          <w:sz w:val="24"/>
          <w:u w:val="single"/>
        </w:rPr>
        <w:t xml:space="preserve"> 转账 </w:t>
      </w:r>
      <w:r>
        <w:rPr>
          <w:rFonts w:hint="eastAsia" w:ascii="宋体" w:hAnsi="宋体" w:cs="宋体"/>
          <w:color w:val="auto"/>
          <w:sz w:val="24"/>
        </w:rPr>
        <w:t>形式缴纳谈判保证金</w:t>
      </w:r>
      <w:r>
        <w:rPr>
          <w:rFonts w:hint="eastAsia" w:ascii="宋体" w:hAnsi="宋体" w:cs="宋体"/>
          <w:color w:val="auto"/>
          <w:sz w:val="24"/>
          <w:u w:val="single"/>
        </w:rPr>
        <w:t xml:space="preserve">       元整（¥     ）</w:t>
      </w:r>
      <w:r>
        <w:rPr>
          <w:rFonts w:hint="eastAsia" w:ascii="宋体" w:hAnsi="宋体" w:cs="宋体"/>
          <w:color w:val="auto"/>
          <w:sz w:val="24"/>
        </w:rPr>
        <w:t>，该项目于</w:t>
      </w:r>
      <w:r>
        <w:rPr>
          <w:rFonts w:hint="eastAsia" w:ascii="宋体" w:hAnsi="宋体" w:cs="宋体"/>
          <w:b/>
          <w:color w:val="auto"/>
          <w:sz w:val="24"/>
          <w:u w:val="single"/>
        </w:rPr>
        <w:t xml:space="preserve">   </w:t>
      </w:r>
      <w:r>
        <w:rPr>
          <w:rFonts w:hint="eastAsia" w:ascii="宋体" w:hAnsi="宋体" w:cs="宋体"/>
          <w:color w:val="auto"/>
          <w:sz w:val="24"/>
        </w:rPr>
        <w:t>年</w:t>
      </w:r>
      <w:r>
        <w:rPr>
          <w:rFonts w:hint="eastAsia" w:ascii="宋体" w:hAnsi="宋体" w:cs="宋体"/>
          <w:b/>
          <w:color w:val="auto"/>
          <w:sz w:val="24"/>
          <w:u w:val="single"/>
        </w:rPr>
        <w:t xml:space="preserve">   </w:t>
      </w:r>
      <w:r>
        <w:rPr>
          <w:rFonts w:hint="eastAsia" w:ascii="宋体" w:hAnsi="宋体" w:cs="宋体"/>
          <w:color w:val="auto"/>
          <w:sz w:val="24"/>
        </w:rPr>
        <w:t>月</w:t>
      </w:r>
      <w:r>
        <w:rPr>
          <w:rFonts w:hint="eastAsia" w:ascii="宋体" w:hAnsi="宋体" w:cs="宋体"/>
          <w:b/>
          <w:color w:val="auto"/>
          <w:sz w:val="24"/>
          <w:u w:val="single"/>
        </w:rPr>
        <w:t xml:space="preserve">   </w:t>
      </w:r>
      <w:r>
        <w:rPr>
          <w:rFonts w:hint="eastAsia" w:ascii="宋体" w:hAnsi="宋体" w:cs="宋体"/>
          <w:color w:val="auto"/>
          <w:sz w:val="24"/>
        </w:rPr>
        <w:t>日开标，本单位</w:t>
      </w:r>
      <w:r>
        <w:rPr>
          <w:rFonts w:hint="eastAsia" w:ascii="宋体" w:hAnsi="宋体" w:cs="宋体"/>
          <w:color w:val="auto"/>
          <w:sz w:val="24"/>
          <w:u w:val="single"/>
        </w:rPr>
        <w:t>成交/未成交</w:t>
      </w:r>
      <w:r>
        <w:rPr>
          <w:rFonts w:hint="eastAsia" w:ascii="宋体" w:hAnsi="宋体" w:cs="宋体"/>
          <w:color w:val="auto"/>
          <w:sz w:val="24"/>
        </w:rPr>
        <w:t>，请贵公司将该项谈判保证金给予办理退还，并退还到我单位以下账户中：</w:t>
      </w:r>
    </w:p>
    <w:p w14:paraId="481A968C">
      <w:pPr>
        <w:spacing w:line="360" w:lineRule="auto"/>
        <w:ind w:firstLine="660"/>
        <w:rPr>
          <w:rFonts w:ascii="宋体" w:hAnsi="宋体" w:cs="宋体"/>
          <w:color w:val="auto"/>
          <w:sz w:val="24"/>
        </w:rPr>
      </w:pPr>
      <w:r>
        <w:rPr>
          <w:rFonts w:hint="eastAsia" w:ascii="宋体" w:hAnsi="宋体" w:cs="宋体"/>
          <w:b/>
          <w:color w:val="auto"/>
          <w:sz w:val="24"/>
        </w:rPr>
        <w:t>单位名称：</w:t>
      </w:r>
      <w:r>
        <w:rPr>
          <w:rFonts w:hint="eastAsia" w:ascii="宋体" w:hAnsi="宋体" w:cs="宋体"/>
          <w:bCs/>
          <w:color w:val="auto"/>
          <w:sz w:val="24"/>
        </w:rPr>
        <w:t xml:space="preserve"> </w:t>
      </w:r>
    </w:p>
    <w:p w14:paraId="5D3736C2">
      <w:pPr>
        <w:spacing w:line="360" w:lineRule="auto"/>
        <w:ind w:firstLine="660"/>
        <w:rPr>
          <w:rFonts w:ascii="宋体" w:hAnsi="宋体" w:cs="宋体"/>
          <w:color w:val="auto"/>
          <w:sz w:val="24"/>
        </w:rPr>
      </w:pPr>
      <w:r>
        <w:rPr>
          <w:rFonts w:hint="eastAsia" w:ascii="宋体" w:hAnsi="宋体" w:cs="宋体"/>
          <w:b/>
          <w:color w:val="auto"/>
          <w:sz w:val="24"/>
        </w:rPr>
        <w:t>开户银行：</w:t>
      </w:r>
      <w:r>
        <w:rPr>
          <w:rFonts w:hint="eastAsia" w:ascii="宋体" w:hAnsi="宋体" w:cs="宋体"/>
          <w:color w:val="auto"/>
          <w:sz w:val="24"/>
        </w:rPr>
        <w:t xml:space="preserve">  </w:t>
      </w:r>
    </w:p>
    <w:p w14:paraId="6498489A">
      <w:pPr>
        <w:spacing w:line="360" w:lineRule="auto"/>
        <w:ind w:firstLine="660"/>
        <w:rPr>
          <w:rFonts w:ascii="宋体" w:hAnsi="宋体" w:cs="宋体"/>
          <w:color w:val="auto"/>
          <w:sz w:val="24"/>
        </w:rPr>
      </w:pPr>
      <w:r>
        <w:rPr>
          <w:rFonts w:hint="eastAsia" w:ascii="宋体" w:hAnsi="宋体" w:cs="宋体"/>
          <w:b/>
          <w:color w:val="auto"/>
          <w:sz w:val="24"/>
        </w:rPr>
        <w:t xml:space="preserve">银行账号： </w:t>
      </w:r>
    </w:p>
    <w:p w14:paraId="40A092F0">
      <w:pPr>
        <w:spacing w:line="360" w:lineRule="auto"/>
        <w:ind w:firstLine="660"/>
        <w:rPr>
          <w:rFonts w:ascii="宋体" w:hAnsi="宋体" w:cs="宋体"/>
          <w:color w:val="auto"/>
          <w:sz w:val="24"/>
        </w:rPr>
      </w:pPr>
      <w:r>
        <w:rPr>
          <w:rFonts w:hint="eastAsia" w:ascii="宋体" w:hAnsi="宋体" w:cs="宋体"/>
          <w:b/>
          <w:color w:val="auto"/>
          <w:sz w:val="24"/>
        </w:rPr>
        <w:t>开户地所属省份、市县</w:t>
      </w:r>
      <w:r>
        <w:rPr>
          <w:rFonts w:hint="eastAsia" w:ascii="宋体" w:hAnsi="宋体" w:cs="宋体"/>
          <w:color w:val="auto"/>
          <w:sz w:val="24"/>
        </w:rPr>
        <w:t xml:space="preserve">： </w:t>
      </w:r>
    </w:p>
    <w:p w14:paraId="39569F42">
      <w:pPr>
        <w:spacing w:line="360" w:lineRule="auto"/>
        <w:rPr>
          <w:rFonts w:ascii="宋体" w:hAnsi="宋体" w:cs="宋体"/>
          <w:color w:val="auto"/>
          <w:sz w:val="24"/>
        </w:rPr>
      </w:pPr>
      <w:r>
        <w:rPr>
          <w:rFonts w:hint="eastAsia" w:ascii="宋体" w:hAnsi="宋体" w:cs="宋体"/>
          <w:color w:val="auto"/>
          <w:sz w:val="24"/>
        </w:rPr>
        <w:t xml:space="preserve">  </w:t>
      </w:r>
    </w:p>
    <w:p w14:paraId="4B47A896">
      <w:pPr>
        <w:spacing w:line="360" w:lineRule="auto"/>
        <w:ind w:firstLine="723" w:firstLineChars="300"/>
        <w:rPr>
          <w:rFonts w:ascii="宋体" w:hAnsi="宋体" w:cs="宋体"/>
          <w:b/>
          <w:bCs/>
          <w:color w:val="auto"/>
          <w:sz w:val="24"/>
        </w:rPr>
      </w:pPr>
      <w:r>
        <w:rPr>
          <w:rFonts w:hint="eastAsia" w:ascii="宋体" w:hAnsi="宋体" w:cs="宋体"/>
          <w:b/>
          <w:bCs/>
          <w:color w:val="auto"/>
          <w:sz w:val="24"/>
        </w:rPr>
        <w:t>联系人及联系电话：</w:t>
      </w:r>
    </w:p>
    <w:p w14:paraId="3FBC2F04">
      <w:pPr>
        <w:pStyle w:val="2"/>
        <w:rPr>
          <w:color w:val="auto"/>
        </w:rPr>
      </w:pPr>
    </w:p>
    <w:p w14:paraId="353172B8">
      <w:pPr>
        <w:spacing w:line="360" w:lineRule="auto"/>
        <w:rPr>
          <w:rFonts w:ascii="宋体" w:hAnsi="宋体" w:cs="宋体"/>
          <w:color w:val="auto"/>
          <w:sz w:val="24"/>
        </w:rPr>
      </w:pPr>
      <w:r>
        <w:rPr>
          <w:rFonts w:hint="eastAsia" w:ascii="宋体" w:hAnsi="宋体" w:cs="宋体"/>
          <w:color w:val="auto"/>
          <w:sz w:val="24"/>
        </w:rPr>
        <w:t>供应商全称：</w:t>
      </w:r>
      <w:r>
        <w:rPr>
          <w:rFonts w:hint="eastAsia" w:ascii="宋体" w:hAnsi="宋体" w:cs="宋体"/>
          <w:bCs/>
          <w:color w:val="auto"/>
          <w:sz w:val="24"/>
        </w:rPr>
        <w:t xml:space="preserve">         </w:t>
      </w:r>
      <w:r>
        <w:rPr>
          <w:rFonts w:hint="eastAsia" w:ascii="宋体" w:hAnsi="宋体" w:cs="宋体"/>
          <w:color w:val="auto"/>
          <w:sz w:val="24"/>
        </w:rPr>
        <w:t>（加盖公章）</w:t>
      </w:r>
    </w:p>
    <w:p w14:paraId="22BE62C1">
      <w:pPr>
        <w:spacing w:line="360" w:lineRule="auto"/>
        <w:rPr>
          <w:rFonts w:ascii="宋体" w:hAnsi="宋体" w:cs="宋体"/>
          <w:color w:val="auto"/>
          <w:sz w:val="24"/>
        </w:rPr>
      </w:pPr>
      <w:r>
        <w:rPr>
          <w:rFonts w:hint="eastAsia" w:ascii="宋体" w:hAnsi="宋体" w:cs="宋体"/>
          <w:color w:val="auto"/>
          <w:sz w:val="24"/>
        </w:rPr>
        <w:t>时间：    年   月   日</w:t>
      </w:r>
    </w:p>
    <w:p w14:paraId="2B2F4D6B">
      <w:pPr>
        <w:spacing w:line="360" w:lineRule="auto"/>
        <w:rPr>
          <w:rFonts w:ascii="宋体" w:hAnsi="宋体" w:cs="宋体"/>
          <w:color w:val="auto"/>
          <w:sz w:val="24"/>
        </w:rPr>
      </w:pPr>
    </w:p>
    <w:p w14:paraId="41FF643F">
      <w:pPr>
        <w:spacing w:line="360" w:lineRule="auto"/>
        <w:rPr>
          <w:rFonts w:ascii="宋体" w:hAnsi="宋体" w:cs="宋体"/>
          <w:color w:val="auto"/>
          <w:sz w:val="24"/>
        </w:rPr>
      </w:pPr>
      <w:r>
        <w:rPr>
          <w:rFonts w:hint="eastAsia" w:ascii="宋体" w:hAnsi="宋体" w:cs="宋体"/>
          <w:b/>
          <w:bCs/>
          <w:color w:val="auto"/>
          <w:sz w:val="24"/>
        </w:rPr>
        <w:t>说明</w:t>
      </w:r>
      <w:r>
        <w:rPr>
          <w:rFonts w:hint="eastAsia" w:ascii="宋体" w:hAnsi="宋体" w:cs="宋体"/>
          <w:color w:val="auto"/>
          <w:sz w:val="24"/>
        </w:rPr>
        <w:t>：退谈判保证金申请函可提前做出，可在开标当天邮寄给采购代理机构工作人员，以便发布成交通知书后退还，也可在成交通知书发布后递交。</w:t>
      </w:r>
    </w:p>
    <w:p w14:paraId="15F67278">
      <w:pPr>
        <w:spacing w:line="360" w:lineRule="auto"/>
        <w:rPr>
          <w:rFonts w:ascii="宋体" w:hAnsi="宋体" w:cs="宋体"/>
          <w:color w:val="auto"/>
          <w:sz w:val="32"/>
          <w:szCs w:val="32"/>
        </w:rPr>
      </w:pPr>
    </w:p>
    <w:p w14:paraId="3828E292">
      <w:pPr>
        <w:spacing w:line="520" w:lineRule="exact"/>
        <w:rPr>
          <w:rFonts w:ascii="宋体" w:hAnsi="宋体" w:cs="宋体"/>
          <w:color w:val="auto"/>
          <w:sz w:val="32"/>
          <w:szCs w:val="32"/>
        </w:rPr>
      </w:pPr>
    </w:p>
    <w:p w14:paraId="118C31DC">
      <w:pPr>
        <w:spacing w:line="520" w:lineRule="exact"/>
        <w:rPr>
          <w:rFonts w:ascii="宋体" w:hAnsi="宋体" w:cs="宋体"/>
          <w:color w:val="auto"/>
          <w:sz w:val="32"/>
          <w:szCs w:val="32"/>
        </w:rPr>
      </w:pPr>
    </w:p>
    <w:p w14:paraId="0F19CCAC">
      <w:pPr>
        <w:spacing w:line="520" w:lineRule="exact"/>
        <w:rPr>
          <w:rFonts w:ascii="宋体" w:hAnsi="宋体" w:cs="宋体"/>
          <w:color w:val="auto"/>
          <w:sz w:val="32"/>
          <w:szCs w:val="32"/>
        </w:rPr>
      </w:pPr>
    </w:p>
    <w:p w14:paraId="08D61655">
      <w:pPr>
        <w:autoSpaceDE w:val="0"/>
        <w:autoSpaceDN w:val="0"/>
        <w:spacing w:line="300" w:lineRule="auto"/>
        <w:rPr>
          <w:rFonts w:ascii="宋体" w:hAnsi="宋体" w:cs="宋体"/>
          <w:color w:val="auto"/>
          <w:szCs w:val="21"/>
        </w:rPr>
      </w:pPr>
    </w:p>
    <w:p w14:paraId="54DDFEBC">
      <w:pPr>
        <w:pStyle w:val="3"/>
        <w:numPr>
          <w:ilvl w:val="0"/>
          <w:numId w:val="4"/>
        </w:numPr>
        <w:spacing w:line="520" w:lineRule="exact"/>
        <w:jc w:val="center"/>
        <w:rPr>
          <w:rFonts w:ascii="宋体" w:hAnsi="宋体" w:cs="宋体"/>
          <w:color w:val="auto"/>
        </w:rPr>
      </w:pPr>
      <w:r>
        <w:rPr>
          <w:rFonts w:hint="eastAsia" w:ascii="宋体" w:hAnsi="宋体" w:cs="宋体"/>
          <w:color w:val="auto"/>
        </w:rPr>
        <w:br w:type="page"/>
      </w:r>
      <w:r>
        <w:rPr>
          <w:rFonts w:hint="eastAsia" w:ascii="宋体" w:hAnsi="宋体" w:cs="宋体"/>
          <w:color w:val="auto"/>
        </w:rPr>
        <w:t xml:space="preserve"> </w:t>
      </w:r>
      <w:bookmarkStart w:id="76" w:name="_Toc15631"/>
      <w:r>
        <w:rPr>
          <w:rFonts w:hint="eastAsia" w:ascii="宋体" w:hAnsi="宋体" w:cs="宋体"/>
          <w:color w:val="auto"/>
        </w:rPr>
        <w:t>合同文本</w:t>
      </w:r>
      <w:bookmarkEnd w:id="76"/>
    </w:p>
    <w:p w14:paraId="5019D974">
      <w:pPr>
        <w:rPr>
          <w:rFonts w:ascii="宋体" w:hAnsi="宋体" w:cs="宋体"/>
          <w:color w:val="auto"/>
        </w:rPr>
      </w:pPr>
    </w:p>
    <w:p w14:paraId="207EBCD2">
      <w:pPr>
        <w:pStyle w:val="2"/>
        <w:rPr>
          <w:rFonts w:ascii="宋体" w:hAnsi="宋体" w:cs="宋体"/>
          <w:color w:val="auto"/>
        </w:rPr>
      </w:pPr>
    </w:p>
    <w:p w14:paraId="52161D73">
      <w:pPr>
        <w:pStyle w:val="2"/>
        <w:rPr>
          <w:rFonts w:ascii="宋体" w:hAnsi="宋体" w:cs="宋体"/>
          <w:color w:val="auto"/>
        </w:rPr>
      </w:pPr>
    </w:p>
    <w:p w14:paraId="6FE88AC7">
      <w:pPr>
        <w:pStyle w:val="2"/>
        <w:rPr>
          <w:rFonts w:ascii="宋体" w:hAnsi="宋体" w:cs="宋体"/>
          <w:color w:val="auto"/>
        </w:rPr>
      </w:pPr>
    </w:p>
    <w:p w14:paraId="0BB27582">
      <w:pPr>
        <w:pStyle w:val="14"/>
        <w:jc w:val="center"/>
        <w:rPr>
          <w:rFonts w:hAnsi="宋体" w:cs="宋体"/>
          <w:bCs/>
          <w:color w:val="auto"/>
          <w:sz w:val="72"/>
          <w:szCs w:val="72"/>
        </w:rPr>
      </w:pPr>
      <w:r>
        <w:rPr>
          <w:rFonts w:hint="eastAsia" w:hAnsi="宋体" w:cs="宋体"/>
          <w:bCs/>
          <w:color w:val="auto"/>
          <w:sz w:val="72"/>
          <w:szCs w:val="72"/>
        </w:rPr>
        <w:t>采购合同</w:t>
      </w:r>
    </w:p>
    <w:p w14:paraId="744C9BB7">
      <w:pPr>
        <w:pStyle w:val="14"/>
        <w:rPr>
          <w:rFonts w:hAnsi="宋体" w:cs="宋体"/>
          <w:color w:val="auto"/>
        </w:rPr>
      </w:pPr>
    </w:p>
    <w:p w14:paraId="66F17EBC">
      <w:pPr>
        <w:pStyle w:val="14"/>
        <w:rPr>
          <w:rFonts w:hAnsi="宋体" w:cs="宋体"/>
          <w:color w:val="auto"/>
        </w:rPr>
      </w:pPr>
    </w:p>
    <w:p w14:paraId="58CF6B0C">
      <w:pPr>
        <w:pStyle w:val="14"/>
        <w:rPr>
          <w:rFonts w:hAnsi="宋体" w:cs="宋体"/>
          <w:color w:val="auto"/>
        </w:rPr>
      </w:pPr>
    </w:p>
    <w:p w14:paraId="7D3BB024">
      <w:pPr>
        <w:pStyle w:val="14"/>
        <w:rPr>
          <w:rFonts w:hAnsi="宋体" w:cs="宋体"/>
          <w:color w:val="auto"/>
        </w:rPr>
      </w:pPr>
    </w:p>
    <w:p w14:paraId="53671815">
      <w:pPr>
        <w:pStyle w:val="14"/>
        <w:rPr>
          <w:rFonts w:hAnsi="宋体" w:cs="宋体"/>
          <w:color w:val="auto"/>
        </w:rPr>
      </w:pPr>
    </w:p>
    <w:p w14:paraId="32E9013F">
      <w:pPr>
        <w:pStyle w:val="14"/>
        <w:rPr>
          <w:rFonts w:hAnsi="宋体" w:cs="宋体"/>
          <w:color w:val="auto"/>
        </w:rPr>
      </w:pPr>
    </w:p>
    <w:p w14:paraId="7A319362">
      <w:pPr>
        <w:pStyle w:val="14"/>
        <w:rPr>
          <w:rFonts w:hAnsi="宋体" w:cs="宋体"/>
          <w:color w:val="auto"/>
        </w:rPr>
      </w:pPr>
    </w:p>
    <w:p w14:paraId="317B9CD6">
      <w:pPr>
        <w:pStyle w:val="14"/>
        <w:ind w:firstLine="1584" w:firstLineChars="495"/>
        <w:rPr>
          <w:rFonts w:hAnsi="宋体" w:cs="宋体"/>
          <w:bCs/>
          <w:color w:val="auto"/>
          <w:sz w:val="32"/>
          <w:szCs w:val="32"/>
          <w:u w:val="single"/>
        </w:rPr>
      </w:pPr>
      <w:r>
        <w:rPr>
          <w:rFonts w:hint="eastAsia" w:hAnsi="宋体" w:cs="宋体"/>
          <w:bCs/>
          <w:color w:val="auto"/>
          <w:sz w:val="32"/>
          <w:szCs w:val="32"/>
        </w:rPr>
        <w:t>合同名称：</w:t>
      </w:r>
      <w:r>
        <w:rPr>
          <w:rFonts w:hint="eastAsia" w:hAnsi="宋体" w:cs="宋体"/>
          <w:bCs/>
          <w:color w:val="auto"/>
          <w:sz w:val="32"/>
          <w:szCs w:val="32"/>
          <w:u w:val="single"/>
        </w:rPr>
        <w:t>学校新一代认证支付系统项目</w:t>
      </w:r>
    </w:p>
    <w:p w14:paraId="5169BFA8">
      <w:pPr>
        <w:pStyle w:val="14"/>
        <w:ind w:firstLine="1584" w:firstLineChars="495"/>
        <w:rPr>
          <w:rFonts w:hAnsi="宋体" w:cs="宋体"/>
          <w:bCs/>
          <w:color w:val="auto"/>
          <w:sz w:val="32"/>
          <w:szCs w:val="32"/>
          <w:u w:val="single"/>
        </w:rPr>
      </w:pPr>
    </w:p>
    <w:p w14:paraId="63D09E1B">
      <w:pPr>
        <w:pStyle w:val="14"/>
        <w:ind w:firstLine="1584" w:firstLineChars="495"/>
        <w:rPr>
          <w:rFonts w:hAnsi="宋体" w:cs="宋体"/>
          <w:bCs/>
          <w:color w:val="auto"/>
          <w:sz w:val="32"/>
          <w:szCs w:val="32"/>
          <w:u w:val="single"/>
        </w:rPr>
      </w:pPr>
      <w:r>
        <w:rPr>
          <w:rFonts w:hint="eastAsia" w:hAnsi="宋体" w:cs="宋体"/>
          <w:bCs/>
          <w:color w:val="auto"/>
          <w:sz w:val="32"/>
          <w:szCs w:val="32"/>
        </w:rPr>
        <w:t>合同编号：</w:t>
      </w:r>
      <w:r>
        <w:rPr>
          <w:rFonts w:hint="eastAsia" w:hAnsi="宋体" w:cs="宋体"/>
          <w:bCs/>
          <w:color w:val="auto"/>
          <w:sz w:val="32"/>
          <w:szCs w:val="32"/>
          <w:u w:val="single"/>
        </w:rPr>
        <w:t xml:space="preserve">                    </w:t>
      </w:r>
    </w:p>
    <w:p w14:paraId="18168807">
      <w:pPr>
        <w:pStyle w:val="14"/>
        <w:jc w:val="center"/>
        <w:rPr>
          <w:rFonts w:hAnsi="宋体" w:cs="宋体"/>
          <w:bCs/>
          <w:color w:val="auto"/>
        </w:rPr>
      </w:pPr>
    </w:p>
    <w:p w14:paraId="27AACB85">
      <w:pPr>
        <w:pStyle w:val="14"/>
        <w:jc w:val="center"/>
        <w:rPr>
          <w:rFonts w:hAnsi="宋体" w:cs="宋体"/>
          <w:bCs/>
          <w:color w:val="auto"/>
        </w:rPr>
      </w:pPr>
    </w:p>
    <w:p w14:paraId="6EA9D5E9">
      <w:pPr>
        <w:pStyle w:val="14"/>
        <w:jc w:val="center"/>
        <w:rPr>
          <w:rFonts w:hAnsi="宋体" w:cs="宋体"/>
          <w:bCs/>
          <w:color w:val="auto"/>
        </w:rPr>
      </w:pPr>
    </w:p>
    <w:p w14:paraId="7F93BABE">
      <w:pPr>
        <w:pStyle w:val="14"/>
        <w:jc w:val="center"/>
        <w:rPr>
          <w:rFonts w:hAnsi="宋体" w:cs="宋体"/>
          <w:bCs/>
          <w:color w:val="auto"/>
        </w:rPr>
      </w:pPr>
    </w:p>
    <w:p w14:paraId="43879B03">
      <w:pPr>
        <w:pStyle w:val="14"/>
        <w:jc w:val="center"/>
        <w:rPr>
          <w:rFonts w:hAnsi="宋体" w:cs="宋体"/>
          <w:bCs/>
          <w:color w:val="auto"/>
        </w:rPr>
      </w:pPr>
    </w:p>
    <w:p w14:paraId="306A9187">
      <w:pPr>
        <w:pStyle w:val="14"/>
        <w:spacing w:line="340" w:lineRule="exact"/>
        <w:ind w:firstLine="1584" w:firstLineChars="495"/>
        <w:rPr>
          <w:rFonts w:hAnsi="宋体" w:cs="宋体"/>
          <w:bCs/>
          <w:color w:val="auto"/>
          <w:sz w:val="32"/>
          <w:szCs w:val="32"/>
        </w:rPr>
      </w:pPr>
      <w:r>
        <w:rPr>
          <w:rFonts w:hint="eastAsia" w:hAnsi="宋体" w:cs="宋体"/>
          <w:bCs/>
          <w:color w:val="auto"/>
          <w:sz w:val="32"/>
          <w:szCs w:val="32"/>
        </w:rPr>
        <w:t>采购单位（甲方）</w:t>
      </w:r>
      <w:r>
        <w:rPr>
          <w:rFonts w:hint="eastAsia" w:hAnsi="宋体" w:cs="宋体"/>
          <w:bCs/>
          <w:color w:val="auto"/>
          <w:sz w:val="32"/>
          <w:szCs w:val="32"/>
          <w:u w:val="single"/>
        </w:rPr>
        <w:t xml:space="preserve">                    </w:t>
      </w:r>
    </w:p>
    <w:p w14:paraId="24C908E9">
      <w:pPr>
        <w:pStyle w:val="14"/>
        <w:spacing w:line="340" w:lineRule="exact"/>
        <w:ind w:firstLine="1584" w:firstLineChars="495"/>
        <w:rPr>
          <w:rFonts w:hAnsi="宋体" w:cs="宋体"/>
          <w:bCs/>
          <w:color w:val="auto"/>
          <w:sz w:val="32"/>
          <w:szCs w:val="32"/>
        </w:rPr>
      </w:pPr>
    </w:p>
    <w:p w14:paraId="363B9812">
      <w:pPr>
        <w:pStyle w:val="14"/>
        <w:spacing w:line="340" w:lineRule="exact"/>
        <w:rPr>
          <w:rFonts w:hAnsi="宋体" w:cs="宋体"/>
          <w:bCs/>
          <w:color w:val="auto"/>
          <w:sz w:val="32"/>
          <w:szCs w:val="32"/>
        </w:rPr>
      </w:pPr>
    </w:p>
    <w:p w14:paraId="5AB16629">
      <w:pPr>
        <w:pStyle w:val="14"/>
        <w:spacing w:line="340" w:lineRule="exact"/>
        <w:ind w:firstLine="1584" w:firstLineChars="495"/>
        <w:rPr>
          <w:rFonts w:hAnsi="宋体" w:cs="宋体"/>
          <w:bCs/>
          <w:color w:val="auto"/>
          <w:sz w:val="32"/>
          <w:szCs w:val="32"/>
        </w:rPr>
      </w:pPr>
      <w:r>
        <w:rPr>
          <w:rFonts w:hint="eastAsia" w:hAnsi="宋体" w:cs="宋体"/>
          <w:bCs/>
          <w:color w:val="auto"/>
          <w:sz w:val="32"/>
          <w:szCs w:val="32"/>
        </w:rPr>
        <w:t>供 应 商（乙方）</w:t>
      </w:r>
      <w:r>
        <w:rPr>
          <w:rFonts w:hint="eastAsia" w:hAnsi="宋体" w:cs="宋体"/>
          <w:bCs/>
          <w:color w:val="auto"/>
          <w:sz w:val="32"/>
          <w:szCs w:val="32"/>
          <w:u w:val="single"/>
        </w:rPr>
        <w:t xml:space="preserve">                   </w:t>
      </w:r>
    </w:p>
    <w:p w14:paraId="16B51A71">
      <w:pPr>
        <w:pStyle w:val="14"/>
        <w:spacing w:line="340" w:lineRule="exact"/>
        <w:ind w:firstLine="990" w:firstLineChars="495"/>
        <w:rPr>
          <w:rFonts w:hAnsi="宋体" w:cs="宋体"/>
          <w:bCs/>
          <w:color w:val="auto"/>
        </w:rPr>
      </w:pPr>
      <w:r>
        <w:rPr>
          <w:rFonts w:hint="eastAsia" w:hAnsi="宋体" w:cs="宋体"/>
          <w:bCs/>
          <w:color w:val="auto"/>
        </w:rPr>
        <w:t xml:space="preserve">     </w:t>
      </w:r>
    </w:p>
    <w:p w14:paraId="0680F04B">
      <w:pPr>
        <w:jc w:val="center"/>
        <w:rPr>
          <w:rFonts w:ascii="宋体" w:hAnsi="宋体" w:cs="宋体"/>
          <w:color w:val="auto"/>
        </w:rPr>
      </w:pPr>
      <w:r>
        <w:rPr>
          <w:rFonts w:hint="eastAsia" w:ascii="宋体" w:hAnsi="宋体" w:cs="宋体"/>
          <w:b/>
          <w:bCs/>
          <w:color w:val="auto"/>
          <w:sz w:val="44"/>
        </w:rPr>
        <w:br w:type="page"/>
      </w:r>
      <w:r>
        <w:rPr>
          <w:rFonts w:hint="eastAsia" w:ascii="宋体" w:hAnsi="宋体" w:cs="宋体"/>
          <w:b/>
          <w:bCs/>
          <w:color w:val="auto"/>
          <w:sz w:val="32"/>
          <w:szCs w:val="32"/>
        </w:rPr>
        <w:t>《学校新一代认证支付系统项目采购合同》</w:t>
      </w:r>
    </w:p>
    <w:p w14:paraId="2E8A7681">
      <w:pPr>
        <w:wordWrap w:val="0"/>
        <w:spacing w:line="360" w:lineRule="auto"/>
        <w:ind w:right="800"/>
        <w:jc w:val="right"/>
        <w:rPr>
          <w:rFonts w:ascii="宋体" w:hAnsi="宋体" w:cs="宋体"/>
          <w:bCs/>
          <w:color w:val="auto"/>
          <w:szCs w:val="21"/>
          <w:u w:val="single"/>
        </w:rPr>
      </w:pPr>
      <w:r>
        <w:rPr>
          <w:rFonts w:hint="eastAsia" w:ascii="宋体" w:hAnsi="宋体" w:cs="宋体"/>
          <w:bCs/>
          <w:color w:val="auto"/>
          <w:szCs w:val="21"/>
        </w:rPr>
        <w:t xml:space="preserve">            合同编号：</w:t>
      </w:r>
      <w:r>
        <w:rPr>
          <w:rFonts w:hint="eastAsia" w:ascii="宋体" w:hAnsi="宋体" w:cs="宋体"/>
          <w:color w:val="auto"/>
          <w:szCs w:val="21"/>
          <w:u w:val="single"/>
        </w:rPr>
        <w:t xml:space="preserve">                  </w:t>
      </w:r>
    </w:p>
    <w:p w14:paraId="3EE081E2">
      <w:pPr>
        <w:spacing w:line="360" w:lineRule="auto"/>
        <w:rPr>
          <w:rFonts w:ascii="宋体" w:hAnsi="宋体" w:cs="宋体"/>
          <w:color w:val="auto"/>
          <w:szCs w:val="21"/>
          <w:u w:val="single"/>
        </w:rPr>
      </w:pPr>
      <w:r>
        <w:rPr>
          <w:rFonts w:hint="eastAsia" w:ascii="宋体" w:hAnsi="宋体" w:cs="宋体"/>
          <w:color w:val="auto"/>
          <w:szCs w:val="21"/>
        </w:rPr>
        <w:t>采购人（甲方）：</w:t>
      </w:r>
      <w:r>
        <w:rPr>
          <w:rFonts w:hint="eastAsia" w:ascii="宋体" w:hAnsi="宋体" w:cs="宋体"/>
          <w:color w:val="auto"/>
          <w:szCs w:val="21"/>
          <w:u w:val="single"/>
        </w:rPr>
        <w:t xml:space="preserve">广西职业师范学院   </w:t>
      </w:r>
      <w:r>
        <w:rPr>
          <w:rFonts w:hint="eastAsia" w:ascii="宋体" w:hAnsi="宋体" w:cs="宋体"/>
          <w:color w:val="auto"/>
          <w:szCs w:val="21"/>
        </w:rPr>
        <w:t xml:space="preserve">     供应商（乙方）：</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44DDF740">
      <w:pPr>
        <w:spacing w:line="360" w:lineRule="auto"/>
        <w:rPr>
          <w:rFonts w:ascii="宋体" w:hAnsi="宋体" w:cs="宋体"/>
          <w:color w:val="auto"/>
          <w:szCs w:val="21"/>
          <w:u w:val="single"/>
        </w:rPr>
      </w:pPr>
      <w:r>
        <w:rPr>
          <w:rFonts w:hint="eastAsia" w:ascii="宋体" w:hAnsi="宋体" w:cs="宋体"/>
          <w:color w:val="auto"/>
          <w:szCs w:val="21"/>
        </w:rPr>
        <w:t>项目名称：</w:t>
      </w:r>
      <w:r>
        <w:rPr>
          <w:rFonts w:hint="eastAsia" w:ascii="宋体" w:hAnsi="宋体" w:cs="宋体"/>
          <w:color w:val="auto"/>
          <w:szCs w:val="21"/>
          <w:u w:val="single"/>
        </w:rPr>
        <w:t>学校新一代认证支付系统项目</w:t>
      </w:r>
      <w:r>
        <w:rPr>
          <w:rFonts w:hint="eastAsia" w:ascii="宋体" w:hAnsi="宋体" w:cs="宋体"/>
          <w:color w:val="auto"/>
          <w:szCs w:val="21"/>
        </w:rPr>
        <w:t xml:space="preserve">    项目编号：</w:t>
      </w:r>
      <w:r>
        <w:rPr>
          <w:rFonts w:hint="eastAsia" w:ascii="宋体" w:hAnsi="宋体" w:cs="宋体"/>
          <w:color w:val="auto"/>
          <w:szCs w:val="21"/>
          <w:u w:val="single"/>
        </w:rPr>
        <w:t xml:space="preserve">                          </w:t>
      </w:r>
    </w:p>
    <w:p w14:paraId="07F3E50C">
      <w:pPr>
        <w:spacing w:line="360" w:lineRule="auto"/>
        <w:rPr>
          <w:rFonts w:ascii="宋体" w:hAnsi="宋体" w:cs="宋体"/>
          <w:color w:val="auto"/>
          <w:szCs w:val="21"/>
          <w:u w:val="single"/>
        </w:rPr>
      </w:pPr>
      <w:r>
        <w:rPr>
          <w:rFonts w:hint="eastAsia" w:ascii="宋体" w:hAnsi="宋体" w:cs="宋体"/>
          <w:color w:val="auto"/>
          <w:szCs w:val="21"/>
        </w:rPr>
        <w:t>签订地点：</w:t>
      </w:r>
      <w:r>
        <w:rPr>
          <w:rFonts w:hint="eastAsia" w:ascii="宋体" w:hAnsi="宋体" w:cs="宋体"/>
          <w:color w:val="auto"/>
          <w:szCs w:val="21"/>
          <w:u w:val="single"/>
        </w:rPr>
        <w:t xml:space="preserve">                          </w:t>
      </w:r>
      <w:r>
        <w:rPr>
          <w:rFonts w:hint="eastAsia" w:ascii="宋体" w:hAnsi="宋体" w:cs="宋体"/>
          <w:color w:val="auto"/>
          <w:szCs w:val="21"/>
        </w:rPr>
        <w:t xml:space="preserve">    签订时间：</w:t>
      </w:r>
      <w:r>
        <w:rPr>
          <w:rFonts w:hint="eastAsia" w:ascii="宋体" w:hAnsi="宋体" w:cs="宋体"/>
          <w:color w:val="auto"/>
          <w:szCs w:val="21"/>
          <w:u w:val="single"/>
        </w:rPr>
        <w:t xml:space="preserve">                          </w:t>
      </w:r>
    </w:p>
    <w:p w14:paraId="4E26DCE5">
      <w:pPr>
        <w:spacing w:line="360" w:lineRule="auto"/>
        <w:ind w:firstLine="420" w:firstLineChars="200"/>
        <w:rPr>
          <w:rFonts w:ascii="宋体" w:hAnsi="宋体" w:cs="宋体"/>
          <w:color w:val="auto"/>
          <w:szCs w:val="21"/>
        </w:rPr>
      </w:pPr>
    </w:p>
    <w:p w14:paraId="4A7B3BF6">
      <w:pPr>
        <w:spacing w:line="360" w:lineRule="auto"/>
        <w:ind w:firstLine="420" w:firstLineChars="200"/>
        <w:rPr>
          <w:rFonts w:ascii="宋体" w:hAnsi="宋体" w:cs="宋体"/>
          <w:color w:val="auto"/>
          <w:szCs w:val="21"/>
        </w:rPr>
      </w:pPr>
      <w:r>
        <w:rPr>
          <w:rFonts w:hint="eastAsia" w:ascii="宋体" w:hAnsi="宋体" w:cs="宋体"/>
          <w:color w:val="auto"/>
          <w:szCs w:val="21"/>
        </w:rPr>
        <w:t>根据《中华人民共和国民法典》等法律法规规定，按照谈判文件规定条款和乙方响应文件及其承诺，甲乙双方签订本合同。</w:t>
      </w:r>
    </w:p>
    <w:p w14:paraId="62D423F5">
      <w:pPr>
        <w:spacing w:line="360" w:lineRule="auto"/>
        <w:ind w:firstLine="422" w:firstLineChars="200"/>
        <w:rPr>
          <w:rFonts w:ascii="宋体" w:hAnsi="宋体" w:cs="宋体"/>
          <w:b/>
          <w:color w:val="auto"/>
          <w:szCs w:val="21"/>
        </w:rPr>
      </w:pPr>
      <w:r>
        <w:rPr>
          <w:rFonts w:hint="eastAsia" w:ascii="宋体" w:hAnsi="宋体" w:cs="宋体"/>
          <w:b/>
          <w:color w:val="auto"/>
          <w:szCs w:val="21"/>
        </w:rPr>
        <w:t>第一条　合同标的</w:t>
      </w:r>
    </w:p>
    <w:p w14:paraId="69AAEC77">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1.供货一览表</w:t>
      </w:r>
    </w:p>
    <w:tbl>
      <w:tblPr>
        <w:tblStyle w:val="25"/>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1059"/>
        <w:gridCol w:w="1233"/>
        <w:gridCol w:w="1210"/>
        <w:gridCol w:w="737"/>
        <w:gridCol w:w="735"/>
        <w:gridCol w:w="1095"/>
        <w:gridCol w:w="1145"/>
      </w:tblGrid>
      <w:tr w14:paraId="51F07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09" w:type="dxa"/>
            <w:vAlign w:val="center"/>
          </w:tcPr>
          <w:p w14:paraId="2EDE0724">
            <w:pPr>
              <w:snapToGrid w:val="0"/>
              <w:spacing w:line="360" w:lineRule="auto"/>
              <w:jc w:val="center"/>
              <w:rPr>
                <w:rFonts w:ascii="宋体" w:hAnsi="宋体" w:cs="宋体"/>
                <w:color w:val="auto"/>
                <w:szCs w:val="21"/>
              </w:rPr>
            </w:pPr>
            <w:r>
              <w:rPr>
                <w:rFonts w:hint="eastAsia" w:ascii="宋体" w:hAnsi="宋体" w:cs="宋体"/>
                <w:color w:val="auto"/>
                <w:szCs w:val="21"/>
              </w:rPr>
              <w:t>序号</w:t>
            </w:r>
          </w:p>
        </w:tc>
        <w:tc>
          <w:tcPr>
            <w:tcW w:w="1233" w:type="dxa"/>
            <w:vAlign w:val="center"/>
          </w:tcPr>
          <w:p w14:paraId="52812821">
            <w:pPr>
              <w:snapToGrid w:val="0"/>
              <w:spacing w:line="360" w:lineRule="auto"/>
              <w:jc w:val="center"/>
              <w:rPr>
                <w:rFonts w:ascii="宋体" w:hAnsi="宋体" w:cs="宋体"/>
                <w:color w:val="auto"/>
                <w:szCs w:val="21"/>
              </w:rPr>
            </w:pPr>
            <w:r>
              <w:rPr>
                <w:rFonts w:hint="eastAsia" w:ascii="宋体" w:hAnsi="宋体" w:cs="宋体"/>
                <w:color w:val="auto"/>
                <w:szCs w:val="21"/>
              </w:rPr>
              <w:t>产品名称</w:t>
            </w:r>
          </w:p>
        </w:tc>
        <w:tc>
          <w:tcPr>
            <w:tcW w:w="1059" w:type="dxa"/>
            <w:vAlign w:val="center"/>
          </w:tcPr>
          <w:p w14:paraId="48CC778D">
            <w:pPr>
              <w:snapToGrid w:val="0"/>
              <w:spacing w:line="360" w:lineRule="auto"/>
              <w:jc w:val="center"/>
              <w:rPr>
                <w:rFonts w:ascii="宋体" w:hAnsi="宋体" w:cs="宋体"/>
                <w:color w:val="auto"/>
                <w:szCs w:val="21"/>
              </w:rPr>
            </w:pPr>
            <w:r>
              <w:rPr>
                <w:rFonts w:hint="eastAsia" w:ascii="宋体" w:hAnsi="宋体" w:cs="宋体"/>
                <w:color w:val="auto"/>
                <w:szCs w:val="21"/>
              </w:rPr>
              <w:t>商标品牌</w:t>
            </w:r>
          </w:p>
        </w:tc>
        <w:tc>
          <w:tcPr>
            <w:tcW w:w="1233" w:type="dxa"/>
            <w:vAlign w:val="center"/>
          </w:tcPr>
          <w:p w14:paraId="74D50864">
            <w:pPr>
              <w:snapToGrid w:val="0"/>
              <w:spacing w:line="360" w:lineRule="auto"/>
              <w:jc w:val="center"/>
              <w:rPr>
                <w:rFonts w:ascii="宋体" w:hAnsi="宋体" w:cs="宋体"/>
                <w:color w:val="auto"/>
                <w:szCs w:val="21"/>
              </w:rPr>
            </w:pPr>
            <w:r>
              <w:rPr>
                <w:rFonts w:hint="eastAsia" w:ascii="宋体" w:hAnsi="宋体" w:cs="宋体"/>
                <w:color w:val="auto"/>
                <w:szCs w:val="21"/>
              </w:rPr>
              <w:t>规格型号</w:t>
            </w:r>
          </w:p>
        </w:tc>
        <w:tc>
          <w:tcPr>
            <w:tcW w:w="1210" w:type="dxa"/>
            <w:vAlign w:val="center"/>
          </w:tcPr>
          <w:p w14:paraId="1918BE59">
            <w:pPr>
              <w:snapToGrid w:val="0"/>
              <w:spacing w:line="360" w:lineRule="auto"/>
              <w:jc w:val="center"/>
              <w:rPr>
                <w:rFonts w:ascii="宋体" w:hAnsi="宋体" w:cs="宋体"/>
                <w:color w:val="auto"/>
                <w:szCs w:val="21"/>
              </w:rPr>
            </w:pPr>
            <w:r>
              <w:rPr>
                <w:rFonts w:hint="eastAsia" w:ascii="宋体" w:hAnsi="宋体" w:cs="宋体"/>
                <w:color w:val="auto"/>
                <w:szCs w:val="21"/>
              </w:rPr>
              <w:t>生产厂家</w:t>
            </w:r>
          </w:p>
        </w:tc>
        <w:tc>
          <w:tcPr>
            <w:tcW w:w="737" w:type="dxa"/>
            <w:vAlign w:val="center"/>
          </w:tcPr>
          <w:p w14:paraId="799947C6">
            <w:pPr>
              <w:snapToGrid w:val="0"/>
              <w:spacing w:line="360" w:lineRule="auto"/>
              <w:jc w:val="center"/>
              <w:rPr>
                <w:rFonts w:ascii="宋体" w:hAnsi="宋体" w:cs="宋体"/>
                <w:color w:val="auto"/>
                <w:szCs w:val="21"/>
              </w:rPr>
            </w:pPr>
            <w:r>
              <w:rPr>
                <w:rFonts w:hint="eastAsia" w:ascii="宋体" w:hAnsi="宋体" w:cs="宋体"/>
                <w:color w:val="auto"/>
                <w:szCs w:val="21"/>
              </w:rPr>
              <w:t>数量</w:t>
            </w:r>
          </w:p>
        </w:tc>
        <w:tc>
          <w:tcPr>
            <w:tcW w:w="735" w:type="dxa"/>
            <w:vAlign w:val="center"/>
          </w:tcPr>
          <w:p w14:paraId="564B0827">
            <w:pPr>
              <w:snapToGrid w:val="0"/>
              <w:spacing w:line="360" w:lineRule="auto"/>
              <w:jc w:val="center"/>
              <w:rPr>
                <w:rFonts w:ascii="宋体" w:hAnsi="宋体" w:cs="宋体"/>
                <w:color w:val="auto"/>
                <w:szCs w:val="21"/>
              </w:rPr>
            </w:pPr>
            <w:r>
              <w:rPr>
                <w:rFonts w:hint="eastAsia" w:ascii="宋体" w:hAnsi="宋体" w:cs="宋体"/>
                <w:color w:val="auto"/>
                <w:szCs w:val="21"/>
              </w:rPr>
              <w:t>单位</w:t>
            </w:r>
          </w:p>
        </w:tc>
        <w:tc>
          <w:tcPr>
            <w:tcW w:w="1095" w:type="dxa"/>
            <w:vAlign w:val="center"/>
          </w:tcPr>
          <w:p w14:paraId="0C73151E">
            <w:pPr>
              <w:snapToGrid w:val="0"/>
              <w:spacing w:line="360" w:lineRule="auto"/>
              <w:jc w:val="center"/>
              <w:rPr>
                <w:rFonts w:ascii="宋体" w:hAnsi="宋体" w:cs="宋体"/>
                <w:color w:val="auto"/>
                <w:szCs w:val="21"/>
              </w:rPr>
            </w:pPr>
            <w:r>
              <w:rPr>
                <w:rFonts w:hint="eastAsia" w:ascii="宋体" w:hAnsi="宋体" w:cs="宋体"/>
                <w:color w:val="auto"/>
                <w:szCs w:val="21"/>
              </w:rPr>
              <w:t>单价（元）</w:t>
            </w:r>
          </w:p>
        </w:tc>
        <w:tc>
          <w:tcPr>
            <w:tcW w:w="1145" w:type="dxa"/>
            <w:vAlign w:val="center"/>
          </w:tcPr>
          <w:p w14:paraId="4B218893">
            <w:pPr>
              <w:snapToGrid w:val="0"/>
              <w:spacing w:line="360" w:lineRule="auto"/>
              <w:jc w:val="center"/>
              <w:rPr>
                <w:rFonts w:ascii="宋体" w:hAnsi="宋体" w:cs="宋体"/>
                <w:color w:val="auto"/>
                <w:szCs w:val="21"/>
              </w:rPr>
            </w:pPr>
            <w:r>
              <w:rPr>
                <w:rFonts w:hint="eastAsia" w:ascii="宋体" w:hAnsi="宋体" w:cs="宋体"/>
                <w:color w:val="auto"/>
                <w:szCs w:val="21"/>
              </w:rPr>
              <w:t>金额（元）</w:t>
            </w:r>
          </w:p>
        </w:tc>
      </w:tr>
      <w:tr w14:paraId="74F89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14:paraId="3E34B44C">
            <w:pPr>
              <w:snapToGrid w:val="0"/>
              <w:spacing w:line="360" w:lineRule="auto"/>
              <w:jc w:val="center"/>
              <w:rPr>
                <w:rFonts w:ascii="宋体" w:hAnsi="宋体" w:cs="宋体"/>
                <w:color w:val="auto"/>
                <w:szCs w:val="21"/>
              </w:rPr>
            </w:pPr>
            <w:r>
              <w:rPr>
                <w:rFonts w:hint="eastAsia" w:ascii="宋体" w:hAnsi="宋体" w:cs="宋体"/>
                <w:color w:val="auto"/>
                <w:szCs w:val="21"/>
              </w:rPr>
              <w:t>1</w:t>
            </w:r>
          </w:p>
        </w:tc>
        <w:tc>
          <w:tcPr>
            <w:tcW w:w="1233" w:type="dxa"/>
            <w:vAlign w:val="center"/>
          </w:tcPr>
          <w:p w14:paraId="75A818E4">
            <w:pPr>
              <w:snapToGrid w:val="0"/>
              <w:spacing w:line="360" w:lineRule="auto"/>
              <w:jc w:val="center"/>
              <w:rPr>
                <w:rFonts w:ascii="宋体" w:hAnsi="宋体" w:cs="宋体"/>
                <w:color w:val="auto"/>
                <w:szCs w:val="21"/>
              </w:rPr>
            </w:pPr>
          </w:p>
        </w:tc>
        <w:tc>
          <w:tcPr>
            <w:tcW w:w="1059" w:type="dxa"/>
            <w:vAlign w:val="center"/>
          </w:tcPr>
          <w:p w14:paraId="63E7B779">
            <w:pPr>
              <w:snapToGrid w:val="0"/>
              <w:spacing w:line="360" w:lineRule="auto"/>
              <w:jc w:val="center"/>
              <w:rPr>
                <w:rFonts w:ascii="宋体" w:hAnsi="宋体" w:cs="宋体"/>
                <w:color w:val="auto"/>
                <w:szCs w:val="21"/>
              </w:rPr>
            </w:pPr>
          </w:p>
        </w:tc>
        <w:tc>
          <w:tcPr>
            <w:tcW w:w="1233" w:type="dxa"/>
            <w:vAlign w:val="center"/>
          </w:tcPr>
          <w:p w14:paraId="77B67A53">
            <w:pPr>
              <w:snapToGrid w:val="0"/>
              <w:spacing w:line="360" w:lineRule="auto"/>
              <w:jc w:val="center"/>
              <w:rPr>
                <w:rFonts w:ascii="宋体" w:hAnsi="宋体" w:cs="宋体"/>
                <w:color w:val="auto"/>
                <w:szCs w:val="21"/>
              </w:rPr>
            </w:pPr>
          </w:p>
        </w:tc>
        <w:tc>
          <w:tcPr>
            <w:tcW w:w="1210" w:type="dxa"/>
          </w:tcPr>
          <w:p w14:paraId="752BD712">
            <w:pPr>
              <w:snapToGrid w:val="0"/>
              <w:spacing w:line="360" w:lineRule="auto"/>
              <w:jc w:val="center"/>
              <w:rPr>
                <w:rFonts w:ascii="宋体" w:hAnsi="宋体" w:cs="宋体"/>
                <w:color w:val="auto"/>
                <w:szCs w:val="21"/>
              </w:rPr>
            </w:pPr>
          </w:p>
        </w:tc>
        <w:tc>
          <w:tcPr>
            <w:tcW w:w="737" w:type="dxa"/>
          </w:tcPr>
          <w:p w14:paraId="5E304E05">
            <w:pPr>
              <w:snapToGrid w:val="0"/>
              <w:spacing w:line="360" w:lineRule="auto"/>
              <w:jc w:val="center"/>
              <w:rPr>
                <w:rFonts w:ascii="宋体" w:hAnsi="宋体" w:cs="宋体"/>
                <w:color w:val="auto"/>
                <w:szCs w:val="21"/>
              </w:rPr>
            </w:pPr>
          </w:p>
        </w:tc>
        <w:tc>
          <w:tcPr>
            <w:tcW w:w="735" w:type="dxa"/>
          </w:tcPr>
          <w:p w14:paraId="05BFF2D0">
            <w:pPr>
              <w:snapToGrid w:val="0"/>
              <w:spacing w:line="360" w:lineRule="auto"/>
              <w:jc w:val="center"/>
              <w:rPr>
                <w:rFonts w:ascii="宋体" w:hAnsi="宋体" w:cs="宋体"/>
                <w:color w:val="auto"/>
                <w:szCs w:val="21"/>
              </w:rPr>
            </w:pPr>
          </w:p>
        </w:tc>
        <w:tc>
          <w:tcPr>
            <w:tcW w:w="1095" w:type="dxa"/>
            <w:vAlign w:val="center"/>
          </w:tcPr>
          <w:p w14:paraId="0D3CF865">
            <w:pPr>
              <w:snapToGrid w:val="0"/>
              <w:spacing w:line="360" w:lineRule="auto"/>
              <w:jc w:val="center"/>
              <w:rPr>
                <w:rFonts w:ascii="宋体" w:hAnsi="宋体" w:cs="宋体"/>
                <w:color w:val="auto"/>
                <w:szCs w:val="21"/>
              </w:rPr>
            </w:pPr>
          </w:p>
        </w:tc>
        <w:tc>
          <w:tcPr>
            <w:tcW w:w="1145" w:type="dxa"/>
            <w:vAlign w:val="center"/>
          </w:tcPr>
          <w:p w14:paraId="6678F172">
            <w:pPr>
              <w:snapToGrid w:val="0"/>
              <w:spacing w:line="360" w:lineRule="auto"/>
              <w:jc w:val="center"/>
              <w:rPr>
                <w:rFonts w:ascii="宋体" w:hAnsi="宋体" w:cs="宋体"/>
                <w:color w:val="auto"/>
                <w:szCs w:val="21"/>
              </w:rPr>
            </w:pPr>
          </w:p>
        </w:tc>
      </w:tr>
      <w:tr w14:paraId="5E60F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14:paraId="23D1BBB6">
            <w:pPr>
              <w:snapToGrid w:val="0"/>
              <w:spacing w:line="360" w:lineRule="auto"/>
              <w:jc w:val="center"/>
              <w:rPr>
                <w:rFonts w:ascii="宋体" w:hAnsi="宋体" w:cs="宋体"/>
                <w:color w:val="auto"/>
                <w:szCs w:val="21"/>
              </w:rPr>
            </w:pPr>
            <w:r>
              <w:rPr>
                <w:rFonts w:hint="eastAsia" w:ascii="宋体" w:hAnsi="宋体" w:cs="宋体"/>
                <w:color w:val="auto"/>
                <w:szCs w:val="21"/>
              </w:rPr>
              <w:t>2</w:t>
            </w:r>
          </w:p>
        </w:tc>
        <w:tc>
          <w:tcPr>
            <w:tcW w:w="1233" w:type="dxa"/>
            <w:vAlign w:val="center"/>
          </w:tcPr>
          <w:p w14:paraId="0A5CC2CB">
            <w:pPr>
              <w:snapToGrid w:val="0"/>
              <w:spacing w:line="360" w:lineRule="auto"/>
              <w:jc w:val="center"/>
              <w:rPr>
                <w:rFonts w:ascii="宋体" w:hAnsi="宋体" w:cs="宋体"/>
                <w:color w:val="auto"/>
                <w:szCs w:val="21"/>
              </w:rPr>
            </w:pPr>
          </w:p>
        </w:tc>
        <w:tc>
          <w:tcPr>
            <w:tcW w:w="1059" w:type="dxa"/>
            <w:vAlign w:val="center"/>
          </w:tcPr>
          <w:p w14:paraId="617A0D10">
            <w:pPr>
              <w:snapToGrid w:val="0"/>
              <w:spacing w:line="360" w:lineRule="auto"/>
              <w:jc w:val="center"/>
              <w:rPr>
                <w:rFonts w:ascii="宋体" w:hAnsi="宋体" w:cs="宋体"/>
                <w:color w:val="auto"/>
                <w:szCs w:val="21"/>
              </w:rPr>
            </w:pPr>
          </w:p>
        </w:tc>
        <w:tc>
          <w:tcPr>
            <w:tcW w:w="1233" w:type="dxa"/>
            <w:vAlign w:val="center"/>
          </w:tcPr>
          <w:p w14:paraId="2CFB91B8">
            <w:pPr>
              <w:snapToGrid w:val="0"/>
              <w:spacing w:line="360" w:lineRule="auto"/>
              <w:jc w:val="center"/>
              <w:rPr>
                <w:rFonts w:ascii="宋体" w:hAnsi="宋体" w:cs="宋体"/>
                <w:color w:val="auto"/>
                <w:szCs w:val="21"/>
              </w:rPr>
            </w:pPr>
          </w:p>
        </w:tc>
        <w:tc>
          <w:tcPr>
            <w:tcW w:w="1210" w:type="dxa"/>
          </w:tcPr>
          <w:p w14:paraId="3328EC88">
            <w:pPr>
              <w:snapToGrid w:val="0"/>
              <w:spacing w:line="360" w:lineRule="auto"/>
              <w:jc w:val="center"/>
              <w:rPr>
                <w:rFonts w:ascii="宋体" w:hAnsi="宋体" w:cs="宋体"/>
                <w:color w:val="auto"/>
                <w:szCs w:val="21"/>
              </w:rPr>
            </w:pPr>
          </w:p>
        </w:tc>
        <w:tc>
          <w:tcPr>
            <w:tcW w:w="737" w:type="dxa"/>
          </w:tcPr>
          <w:p w14:paraId="640F77B3">
            <w:pPr>
              <w:snapToGrid w:val="0"/>
              <w:spacing w:line="360" w:lineRule="auto"/>
              <w:jc w:val="center"/>
              <w:rPr>
                <w:rFonts w:ascii="宋体" w:hAnsi="宋体" w:cs="宋体"/>
                <w:color w:val="auto"/>
                <w:szCs w:val="21"/>
              </w:rPr>
            </w:pPr>
          </w:p>
        </w:tc>
        <w:tc>
          <w:tcPr>
            <w:tcW w:w="735" w:type="dxa"/>
          </w:tcPr>
          <w:p w14:paraId="550CE931">
            <w:pPr>
              <w:snapToGrid w:val="0"/>
              <w:spacing w:line="360" w:lineRule="auto"/>
              <w:jc w:val="center"/>
              <w:rPr>
                <w:rFonts w:ascii="宋体" w:hAnsi="宋体" w:cs="宋体"/>
                <w:color w:val="auto"/>
                <w:szCs w:val="21"/>
              </w:rPr>
            </w:pPr>
          </w:p>
        </w:tc>
        <w:tc>
          <w:tcPr>
            <w:tcW w:w="1095" w:type="dxa"/>
            <w:vAlign w:val="center"/>
          </w:tcPr>
          <w:p w14:paraId="66D1E6B4">
            <w:pPr>
              <w:snapToGrid w:val="0"/>
              <w:spacing w:line="360" w:lineRule="auto"/>
              <w:jc w:val="center"/>
              <w:rPr>
                <w:rFonts w:ascii="宋体" w:hAnsi="宋体" w:cs="宋体"/>
                <w:color w:val="auto"/>
                <w:szCs w:val="21"/>
              </w:rPr>
            </w:pPr>
          </w:p>
        </w:tc>
        <w:tc>
          <w:tcPr>
            <w:tcW w:w="1145" w:type="dxa"/>
            <w:vAlign w:val="center"/>
          </w:tcPr>
          <w:p w14:paraId="05E81D94">
            <w:pPr>
              <w:snapToGrid w:val="0"/>
              <w:spacing w:line="360" w:lineRule="auto"/>
              <w:jc w:val="center"/>
              <w:rPr>
                <w:rFonts w:ascii="宋体" w:hAnsi="宋体" w:cs="宋体"/>
                <w:color w:val="auto"/>
                <w:szCs w:val="21"/>
              </w:rPr>
            </w:pPr>
          </w:p>
        </w:tc>
      </w:tr>
      <w:tr w14:paraId="2A8FB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14:paraId="68EA3761">
            <w:pPr>
              <w:snapToGrid w:val="0"/>
              <w:spacing w:line="360" w:lineRule="auto"/>
              <w:jc w:val="center"/>
              <w:rPr>
                <w:rFonts w:ascii="宋体" w:hAnsi="宋体" w:cs="宋体"/>
                <w:color w:val="auto"/>
                <w:szCs w:val="21"/>
              </w:rPr>
            </w:pPr>
            <w:r>
              <w:rPr>
                <w:rFonts w:hint="eastAsia" w:ascii="宋体" w:hAnsi="宋体" w:cs="宋体"/>
                <w:color w:val="auto"/>
                <w:szCs w:val="21"/>
              </w:rPr>
              <w:t>3</w:t>
            </w:r>
          </w:p>
        </w:tc>
        <w:tc>
          <w:tcPr>
            <w:tcW w:w="1233" w:type="dxa"/>
            <w:vAlign w:val="center"/>
          </w:tcPr>
          <w:p w14:paraId="4EBBE422">
            <w:pPr>
              <w:snapToGrid w:val="0"/>
              <w:spacing w:line="360" w:lineRule="auto"/>
              <w:jc w:val="center"/>
              <w:rPr>
                <w:rFonts w:ascii="宋体" w:hAnsi="宋体" w:cs="宋体"/>
                <w:color w:val="auto"/>
                <w:szCs w:val="21"/>
              </w:rPr>
            </w:pPr>
          </w:p>
        </w:tc>
        <w:tc>
          <w:tcPr>
            <w:tcW w:w="1059" w:type="dxa"/>
            <w:vAlign w:val="center"/>
          </w:tcPr>
          <w:p w14:paraId="73116E5E">
            <w:pPr>
              <w:snapToGrid w:val="0"/>
              <w:spacing w:line="360" w:lineRule="auto"/>
              <w:jc w:val="center"/>
              <w:rPr>
                <w:rFonts w:ascii="宋体" w:hAnsi="宋体" w:cs="宋体"/>
                <w:color w:val="auto"/>
                <w:szCs w:val="21"/>
              </w:rPr>
            </w:pPr>
          </w:p>
        </w:tc>
        <w:tc>
          <w:tcPr>
            <w:tcW w:w="1233" w:type="dxa"/>
            <w:vAlign w:val="center"/>
          </w:tcPr>
          <w:p w14:paraId="7C66E428">
            <w:pPr>
              <w:snapToGrid w:val="0"/>
              <w:spacing w:line="360" w:lineRule="auto"/>
              <w:jc w:val="center"/>
              <w:rPr>
                <w:rFonts w:ascii="宋体" w:hAnsi="宋体" w:cs="宋体"/>
                <w:color w:val="auto"/>
                <w:szCs w:val="21"/>
              </w:rPr>
            </w:pPr>
          </w:p>
        </w:tc>
        <w:tc>
          <w:tcPr>
            <w:tcW w:w="1210" w:type="dxa"/>
          </w:tcPr>
          <w:p w14:paraId="183CF583">
            <w:pPr>
              <w:snapToGrid w:val="0"/>
              <w:spacing w:line="360" w:lineRule="auto"/>
              <w:jc w:val="center"/>
              <w:rPr>
                <w:rFonts w:ascii="宋体" w:hAnsi="宋体" w:cs="宋体"/>
                <w:color w:val="auto"/>
                <w:szCs w:val="21"/>
              </w:rPr>
            </w:pPr>
          </w:p>
        </w:tc>
        <w:tc>
          <w:tcPr>
            <w:tcW w:w="737" w:type="dxa"/>
          </w:tcPr>
          <w:p w14:paraId="6F982473">
            <w:pPr>
              <w:snapToGrid w:val="0"/>
              <w:spacing w:line="360" w:lineRule="auto"/>
              <w:jc w:val="center"/>
              <w:rPr>
                <w:rFonts w:ascii="宋体" w:hAnsi="宋体" w:cs="宋体"/>
                <w:color w:val="auto"/>
                <w:szCs w:val="21"/>
              </w:rPr>
            </w:pPr>
          </w:p>
        </w:tc>
        <w:tc>
          <w:tcPr>
            <w:tcW w:w="735" w:type="dxa"/>
          </w:tcPr>
          <w:p w14:paraId="363FA050">
            <w:pPr>
              <w:snapToGrid w:val="0"/>
              <w:spacing w:line="360" w:lineRule="auto"/>
              <w:jc w:val="center"/>
              <w:rPr>
                <w:rFonts w:ascii="宋体" w:hAnsi="宋体" w:cs="宋体"/>
                <w:color w:val="auto"/>
                <w:szCs w:val="21"/>
              </w:rPr>
            </w:pPr>
          </w:p>
        </w:tc>
        <w:tc>
          <w:tcPr>
            <w:tcW w:w="1095" w:type="dxa"/>
            <w:vAlign w:val="center"/>
          </w:tcPr>
          <w:p w14:paraId="4708A2CC">
            <w:pPr>
              <w:snapToGrid w:val="0"/>
              <w:spacing w:line="360" w:lineRule="auto"/>
              <w:jc w:val="center"/>
              <w:rPr>
                <w:rFonts w:ascii="宋体" w:hAnsi="宋体" w:cs="宋体"/>
                <w:color w:val="auto"/>
                <w:szCs w:val="21"/>
              </w:rPr>
            </w:pPr>
          </w:p>
        </w:tc>
        <w:tc>
          <w:tcPr>
            <w:tcW w:w="1145" w:type="dxa"/>
            <w:vAlign w:val="center"/>
          </w:tcPr>
          <w:p w14:paraId="48714DED">
            <w:pPr>
              <w:snapToGrid w:val="0"/>
              <w:spacing w:line="360" w:lineRule="auto"/>
              <w:jc w:val="center"/>
              <w:rPr>
                <w:rFonts w:ascii="宋体" w:hAnsi="宋体" w:cs="宋体"/>
                <w:color w:val="auto"/>
                <w:szCs w:val="21"/>
              </w:rPr>
            </w:pPr>
          </w:p>
        </w:tc>
      </w:tr>
      <w:tr w14:paraId="37D6B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156" w:type="dxa"/>
            <w:gridSpan w:val="9"/>
            <w:vAlign w:val="center"/>
          </w:tcPr>
          <w:p w14:paraId="4D94B5D5">
            <w:pPr>
              <w:snapToGrid w:val="0"/>
              <w:spacing w:line="360" w:lineRule="auto"/>
              <w:rPr>
                <w:rFonts w:ascii="宋体" w:hAnsi="宋体" w:cs="宋体"/>
                <w:color w:val="auto"/>
                <w:szCs w:val="21"/>
              </w:rPr>
            </w:pPr>
            <w:r>
              <w:rPr>
                <w:rFonts w:hint="eastAsia" w:ascii="宋体" w:hAnsi="宋体" w:cs="宋体"/>
                <w:color w:val="auto"/>
                <w:szCs w:val="21"/>
              </w:rPr>
              <w:t>合计金额（大写）：人民币                                （¥             ）</w:t>
            </w:r>
          </w:p>
        </w:tc>
      </w:tr>
    </w:tbl>
    <w:p w14:paraId="456B76BD">
      <w:pPr>
        <w:spacing w:line="420" w:lineRule="exact"/>
        <w:ind w:right="420" w:firstLine="420" w:firstLineChars="200"/>
        <w:rPr>
          <w:rFonts w:ascii="宋体" w:hAnsi="宋体" w:cs="宋体"/>
          <w:color w:val="auto"/>
          <w:szCs w:val="21"/>
        </w:rPr>
      </w:pPr>
      <w:r>
        <w:rPr>
          <w:rFonts w:hint="eastAsia" w:ascii="宋体" w:hAnsi="宋体" w:cs="宋体"/>
          <w:color w:val="auto"/>
          <w:szCs w:val="21"/>
        </w:rPr>
        <w:t>2.竞标报价的价格构成为：包含满足本次竞标全部采购需求所应提供的货物，以及伴随的货物和工程（如有）的价格；包含竞标货物、工程的成本、运输（含保险）、安装（如有）、调试、检验、技术货物、培训、税费等所有费用。</w:t>
      </w:r>
    </w:p>
    <w:p w14:paraId="7FCA970A">
      <w:pPr>
        <w:spacing w:line="420" w:lineRule="exact"/>
        <w:ind w:firstLine="422" w:firstLineChars="200"/>
        <w:rPr>
          <w:rFonts w:ascii="宋体" w:hAnsi="宋体" w:cs="宋体"/>
          <w:color w:val="auto"/>
          <w:szCs w:val="21"/>
        </w:rPr>
      </w:pPr>
      <w:r>
        <w:rPr>
          <w:rFonts w:hint="eastAsia" w:ascii="宋体" w:hAnsi="宋体" w:cs="宋体"/>
          <w:b/>
          <w:color w:val="auto"/>
          <w:szCs w:val="21"/>
        </w:rPr>
        <w:t>第二条　质量保证</w:t>
      </w:r>
    </w:p>
    <w:p w14:paraId="2EFCB96A">
      <w:pPr>
        <w:spacing w:line="420" w:lineRule="exact"/>
        <w:ind w:firstLine="420" w:firstLineChars="200"/>
        <w:rPr>
          <w:rFonts w:ascii="宋体" w:hAnsi="宋体" w:cs="宋体"/>
          <w:color w:val="auto"/>
          <w:szCs w:val="21"/>
        </w:rPr>
      </w:pPr>
      <w:r>
        <w:rPr>
          <w:rFonts w:hint="eastAsia" w:ascii="宋体" w:hAnsi="宋体" w:cs="宋体"/>
          <w:color w:val="auto"/>
          <w:szCs w:val="21"/>
        </w:rPr>
        <w:t>1、乙方所提供的货物、软件型号、技术规格、技术参数等质量必须与竞争性谈判文件和承诺相一致。乙方提供的节能和环保产品必须是列入政府采购清单的产品。</w:t>
      </w:r>
    </w:p>
    <w:p w14:paraId="11E36132">
      <w:pPr>
        <w:spacing w:line="420" w:lineRule="exact"/>
        <w:ind w:firstLine="420" w:firstLineChars="200"/>
        <w:rPr>
          <w:rFonts w:ascii="宋体" w:hAnsi="宋体" w:cs="宋体"/>
          <w:color w:val="auto"/>
          <w:szCs w:val="21"/>
          <w:u w:val="single"/>
        </w:rPr>
      </w:pPr>
      <w:r>
        <w:rPr>
          <w:rFonts w:hint="eastAsia" w:ascii="宋体" w:hAnsi="宋体" w:cs="宋体"/>
          <w:color w:val="auto"/>
          <w:szCs w:val="21"/>
        </w:rPr>
        <w:t>2、乙方所提供的货物、软件必须是全新、未使用的原装产品，且在正常安装、使用和保养条件下，其使用寿命期内各项指标均达到质量要求。</w:t>
      </w:r>
    </w:p>
    <w:p w14:paraId="6E8F9F94">
      <w:pPr>
        <w:spacing w:line="420" w:lineRule="exact"/>
        <w:ind w:firstLine="422" w:firstLineChars="200"/>
        <w:rPr>
          <w:rFonts w:ascii="宋体" w:hAnsi="宋体" w:cs="宋体"/>
          <w:color w:val="auto"/>
          <w:szCs w:val="21"/>
        </w:rPr>
      </w:pPr>
      <w:r>
        <w:rPr>
          <w:rFonts w:hint="eastAsia" w:ascii="宋体" w:hAnsi="宋体" w:cs="宋体"/>
          <w:b/>
          <w:color w:val="auto"/>
          <w:szCs w:val="21"/>
        </w:rPr>
        <w:t>第三条　权利保证</w:t>
      </w:r>
    </w:p>
    <w:p w14:paraId="445C4C3C">
      <w:pPr>
        <w:spacing w:line="420" w:lineRule="exact"/>
        <w:ind w:firstLine="420" w:firstLineChars="200"/>
        <w:rPr>
          <w:rFonts w:ascii="宋体" w:hAnsi="宋体" w:cs="宋体"/>
          <w:color w:val="auto"/>
          <w:szCs w:val="21"/>
        </w:rPr>
      </w:pPr>
      <w:r>
        <w:rPr>
          <w:rFonts w:hint="eastAsia" w:ascii="宋体" w:hAnsi="宋体" w:cs="宋体"/>
          <w:color w:val="auto"/>
          <w:szCs w:val="21"/>
        </w:rPr>
        <w:t>乙方应保证所提供货物、软件在使用时不会侵犯任何第三方的专利权、商标权、工业设计权或其他权利。</w:t>
      </w:r>
    </w:p>
    <w:p w14:paraId="09C70C9B">
      <w:pPr>
        <w:spacing w:line="420" w:lineRule="exact"/>
        <w:ind w:firstLine="420" w:firstLineChars="200"/>
        <w:rPr>
          <w:rFonts w:ascii="宋体" w:hAnsi="宋体" w:cs="宋体"/>
          <w:color w:val="auto"/>
          <w:szCs w:val="21"/>
        </w:rPr>
      </w:pPr>
      <w:r>
        <w:rPr>
          <w:rFonts w:hint="eastAsia" w:ascii="宋体" w:hAnsi="宋体" w:cs="宋体"/>
          <w:color w:val="auto"/>
          <w:szCs w:val="21"/>
        </w:rPr>
        <w:t>乙方应按</w:t>
      </w:r>
      <w:r>
        <w:rPr>
          <w:rFonts w:hint="eastAsia" w:ascii="宋体" w:hAnsi="宋体" w:cs="宋体"/>
          <w:color w:val="auto"/>
          <w:sz w:val="24"/>
        </w:rPr>
        <w:t>谈判</w:t>
      </w:r>
      <w:r>
        <w:rPr>
          <w:rFonts w:hint="eastAsia" w:ascii="宋体" w:hAnsi="宋体" w:cs="宋体"/>
          <w:color w:val="auto"/>
          <w:szCs w:val="21"/>
        </w:rPr>
        <w:t>文件规定的时间向甲方提供使用货物、软件的有关技术资料。</w:t>
      </w:r>
    </w:p>
    <w:p w14:paraId="69D3EDF2">
      <w:pPr>
        <w:spacing w:line="420" w:lineRule="exact"/>
        <w:ind w:firstLine="420" w:firstLineChars="200"/>
        <w:rPr>
          <w:rFonts w:ascii="宋体" w:hAnsi="宋体" w:cs="宋体"/>
          <w:color w:val="auto"/>
          <w:szCs w:val="21"/>
        </w:rPr>
      </w:pPr>
      <w:r>
        <w:rPr>
          <w:rFonts w:hint="eastAsia" w:ascii="宋体" w:hAnsi="宋体" w:cs="宋体"/>
          <w:color w:val="auto"/>
          <w:szCs w:val="21"/>
        </w:rPr>
        <w:t>没有甲方事先书面同意，乙方不得将由甲方提供的有关合同或任何合同条文、规格、计划、图纸、样品或资料提供给予履行本合同无关的任何其他人。即使向履行本合同有关的人员提供，也应注意保密并限于履行合同的必需范围。</w:t>
      </w:r>
    </w:p>
    <w:p w14:paraId="5C22683C">
      <w:pPr>
        <w:spacing w:line="420" w:lineRule="exact"/>
        <w:ind w:firstLine="420" w:firstLineChars="200"/>
        <w:rPr>
          <w:rFonts w:ascii="宋体" w:hAnsi="宋体" w:cs="宋体"/>
          <w:color w:val="auto"/>
          <w:szCs w:val="21"/>
        </w:rPr>
      </w:pPr>
      <w:r>
        <w:rPr>
          <w:rFonts w:hint="eastAsia" w:ascii="宋体" w:hAnsi="宋体" w:cs="宋体"/>
          <w:color w:val="auto"/>
          <w:szCs w:val="21"/>
        </w:rPr>
        <w:t>乙方保证所交付的货物、软件的所有权完全属于乙方且无任何抵押、质押、查封等产权瑕疵。</w:t>
      </w:r>
    </w:p>
    <w:p w14:paraId="3608E973">
      <w:pPr>
        <w:spacing w:line="420" w:lineRule="exact"/>
        <w:ind w:firstLine="422" w:firstLineChars="200"/>
        <w:rPr>
          <w:rFonts w:ascii="宋体" w:hAnsi="宋体" w:cs="宋体"/>
          <w:b/>
          <w:color w:val="auto"/>
          <w:szCs w:val="21"/>
        </w:rPr>
      </w:pPr>
      <w:r>
        <w:rPr>
          <w:rFonts w:hint="eastAsia" w:ascii="宋体" w:hAnsi="宋体" w:cs="宋体"/>
          <w:b/>
          <w:color w:val="auto"/>
          <w:szCs w:val="21"/>
        </w:rPr>
        <w:t>第四条　包装和运输</w:t>
      </w:r>
    </w:p>
    <w:p w14:paraId="4A935F45">
      <w:pPr>
        <w:spacing w:line="420" w:lineRule="exact"/>
        <w:ind w:firstLine="420" w:firstLineChars="200"/>
        <w:rPr>
          <w:rFonts w:ascii="宋体" w:hAnsi="宋体" w:cs="宋体"/>
          <w:color w:val="auto"/>
          <w:szCs w:val="21"/>
        </w:rPr>
      </w:pPr>
      <w:r>
        <w:rPr>
          <w:rFonts w:hint="eastAsia" w:ascii="宋体" w:hAnsi="宋体" w:cs="宋体"/>
          <w:color w:val="auto"/>
          <w:szCs w:val="21"/>
        </w:rPr>
        <w:t>1、乙方提供的货物、软件均应按</w:t>
      </w:r>
      <w:r>
        <w:rPr>
          <w:rFonts w:hint="eastAsia" w:ascii="宋体" w:hAnsi="宋体" w:cs="宋体"/>
          <w:color w:val="auto"/>
          <w:sz w:val="24"/>
        </w:rPr>
        <w:t>谈判</w:t>
      </w:r>
      <w:r>
        <w:rPr>
          <w:rFonts w:hint="eastAsia" w:ascii="宋体" w:hAnsi="宋体" w:cs="宋体"/>
          <w:color w:val="auto"/>
          <w:szCs w:val="21"/>
        </w:rPr>
        <w:t>文件要求的包装材料、包装标准、包装方式进行包装，每一包装单元内应附详细的装箱单和质量合格证。</w:t>
      </w:r>
    </w:p>
    <w:p w14:paraId="0507F4A0">
      <w:pPr>
        <w:spacing w:line="420" w:lineRule="exact"/>
        <w:ind w:firstLine="420" w:firstLineChars="200"/>
        <w:rPr>
          <w:rFonts w:ascii="宋体" w:hAnsi="宋体" w:cs="宋体"/>
          <w:color w:val="auto"/>
          <w:szCs w:val="21"/>
        </w:rPr>
      </w:pPr>
      <w:r>
        <w:rPr>
          <w:rFonts w:hint="eastAsia" w:ascii="宋体" w:hAnsi="宋体" w:cs="宋体"/>
          <w:color w:val="auto"/>
          <w:szCs w:val="21"/>
        </w:rPr>
        <w:t>2、货物的运输方式：汽车、火车等安全运输方式。</w:t>
      </w:r>
    </w:p>
    <w:p w14:paraId="1C17EAB8">
      <w:pPr>
        <w:spacing w:line="420" w:lineRule="exact"/>
        <w:ind w:firstLine="420" w:firstLineChars="200"/>
        <w:rPr>
          <w:rFonts w:ascii="宋体" w:hAnsi="宋体" w:cs="宋体"/>
          <w:color w:val="auto"/>
          <w:szCs w:val="21"/>
          <w:u w:val="single"/>
        </w:rPr>
      </w:pPr>
      <w:r>
        <w:rPr>
          <w:rFonts w:hint="eastAsia" w:ascii="宋体" w:hAnsi="宋体" w:cs="宋体"/>
          <w:color w:val="auto"/>
          <w:szCs w:val="21"/>
        </w:rPr>
        <w:t>3、乙方负责货物运输，货物运输合理损耗及计算方法：所有损耗由乙方负责。</w:t>
      </w:r>
    </w:p>
    <w:p w14:paraId="18BC272C">
      <w:pPr>
        <w:spacing w:line="420" w:lineRule="exact"/>
        <w:ind w:firstLine="422" w:firstLineChars="200"/>
        <w:rPr>
          <w:rFonts w:ascii="宋体" w:hAnsi="宋体" w:cs="宋体"/>
          <w:color w:val="auto"/>
          <w:szCs w:val="21"/>
        </w:rPr>
      </w:pPr>
      <w:r>
        <w:rPr>
          <w:rFonts w:hint="eastAsia" w:ascii="宋体" w:hAnsi="宋体" w:cs="宋体"/>
          <w:b/>
          <w:color w:val="auto"/>
          <w:szCs w:val="21"/>
        </w:rPr>
        <w:t>第五条　交付和验收</w:t>
      </w:r>
    </w:p>
    <w:p w14:paraId="5F67F781">
      <w:pPr>
        <w:spacing w:line="420" w:lineRule="exact"/>
        <w:ind w:firstLine="420" w:firstLineChars="200"/>
        <w:rPr>
          <w:rFonts w:ascii="宋体" w:hAnsi="宋体" w:cs="宋体"/>
          <w:color w:val="auto"/>
          <w:szCs w:val="21"/>
        </w:rPr>
      </w:pPr>
      <w:r>
        <w:rPr>
          <w:rFonts w:hint="eastAsia" w:ascii="宋体" w:hAnsi="宋体" w:cs="宋体"/>
          <w:color w:val="auto"/>
          <w:szCs w:val="21"/>
        </w:rPr>
        <w:t>1、交付使用时间(合同履行期限)：</w:t>
      </w:r>
      <w:r>
        <w:rPr>
          <w:rFonts w:hint="eastAsia" w:ascii="宋体" w:hAnsi="宋体" w:cs="宋体"/>
          <w:color w:val="auto"/>
          <w:szCs w:val="21"/>
          <w:u w:val="single"/>
        </w:rPr>
        <w:t xml:space="preserve">           </w:t>
      </w:r>
      <w:r>
        <w:rPr>
          <w:rFonts w:hint="eastAsia" w:ascii="宋体" w:hAnsi="宋体" w:cs="宋体"/>
          <w:color w:val="auto"/>
          <w:szCs w:val="21"/>
        </w:rPr>
        <w:t xml:space="preserve"> ；地点：</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557B6DFF">
      <w:pPr>
        <w:spacing w:line="420" w:lineRule="exact"/>
        <w:ind w:firstLine="420" w:firstLineChars="200"/>
        <w:rPr>
          <w:rFonts w:ascii="宋体" w:hAnsi="宋体" w:cs="宋体"/>
          <w:color w:val="auto"/>
          <w:szCs w:val="21"/>
        </w:rPr>
      </w:pPr>
      <w:r>
        <w:rPr>
          <w:rFonts w:hint="eastAsia" w:ascii="宋体" w:hAnsi="宋体" w:cs="宋体"/>
          <w:color w:val="auto"/>
          <w:szCs w:val="21"/>
        </w:rPr>
        <w:t>3、乙方应将所提供货物、软件的装箱清单、用户手册、原厂保修卡、随机资料、工具和备品、备件等交付给甲方，如有缺失应及时补齐，否则视为逾期交货。</w:t>
      </w:r>
    </w:p>
    <w:p w14:paraId="7A6C330C">
      <w:pPr>
        <w:spacing w:line="420" w:lineRule="exact"/>
        <w:ind w:firstLine="420" w:firstLineChars="200"/>
        <w:rPr>
          <w:rFonts w:ascii="宋体" w:hAnsi="宋体" w:cs="宋体"/>
          <w:color w:val="auto"/>
          <w:szCs w:val="21"/>
        </w:rPr>
      </w:pPr>
      <w:r>
        <w:rPr>
          <w:rFonts w:hint="eastAsia" w:ascii="宋体" w:hAnsi="宋体" w:cs="宋体"/>
          <w:color w:val="auto"/>
          <w:szCs w:val="21"/>
        </w:rPr>
        <w:t>4、甲方应当在到货及软件开发完成并安装调试后7个工作日内进行验收，逾期不验收的，乙方可视同验收合格。验收合格后由甲乙双方签署货物验收单并加盖</w:t>
      </w:r>
      <w:r>
        <w:rPr>
          <w:rFonts w:hint="eastAsia" w:ascii="宋体" w:hAnsi="宋体" w:cs="宋体"/>
          <w:color w:val="auto"/>
          <w:szCs w:val="21"/>
          <w:lang w:val="en-US" w:eastAsia="zh-CN"/>
        </w:rPr>
        <w:t>甲方</w:t>
      </w:r>
      <w:r>
        <w:rPr>
          <w:rFonts w:hint="eastAsia" w:ascii="宋体" w:hAnsi="宋体" w:cs="宋体"/>
          <w:color w:val="auto"/>
          <w:szCs w:val="21"/>
        </w:rPr>
        <w:t>公章。验收不合格的，甲方有权要求乙方整改并达到合格，2次验收不合格的，甲方有权不予以支付合同款，已支付的，甲方有权乙方返还。</w:t>
      </w:r>
    </w:p>
    <w:p w14:paraId="58E8E1FC">
      <w:pPr>
        <w:spacing w:line="420" w:lineRule="exact"/>
        <w:ind w:firstLine="420" w:firstLineChars="200"/>
        <w:rPr>
          <w:rFonts w:ascii="宋体" w:hAnsi="宋体" w:cs="宋体"/>
          <w:color w:val="auto"/>
          <w:szCs w:val="21"/>
        </w:rPr>
      </w:pPr>
      <w:r>
        <w:rPr>
          <w:rFonts w:hint="eastAsia" w:ascii="宋体" w:hAnsi="宋体" w:cs="宋体"/>
          <w:color w:val="auto"/>
          <w:szCs w:val="21"/>
        </w:rPr>
        <w:t>5、</w:t>
      </w:r>
      <w:r>
        <w:rPr>
          <w:rFonts w:hint="eastAsia" w:ascii="宋体" w:hAnsi="宋体" w:cs="宋体"/>
          <w:color w:val="auto"/>
          <w:szCs w:val="21"/>
          <w:lang w:val="en-US" w:eastAsia="zh-CN"/>
        </w:rPr>
        <w:t>甲方</w:t>
      </w:r>
      <w:r>
        <w:rPr>
          <w:rFonts w:hint="eastAsia" w:ascii="宋体" w:hAnsi="宋体" w:cs="宋体"/>
          <w:color w:val="auto"/>
          <w:szCs w:val="21"/>
        </w:rPr>
        <w:t>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35EAB040">
      <w:pPr>
        <w:spacing w:line="420" w:lineRule="exact"/>
        <w:ind w:firstLine="420" w:firstLineChars="200"/>
        <w:rPr>
          <w:rFonts w:ascii="宋体" w:hAnsi="宋体" w:cs="宋体"/>
          <w:color w:val="auto"/>
          <w:szCs w:val="21"/>
        </w:rPr>
      </w:pPr>
      <w:r>
        <w:rPr>
          <w:rFonts w:hint="eastAsia" w:ascii="宋体" w:hAnsi="宋体" w:cs="宋体"/>
          <w:color w:val="auto"/>
          <w:szCs w:val="21"/>
        </w:rPr>
        <w:t>6、甲方对验收有异议的，在验收后5个工作日内以书面形式向乙方提出，乙方应自收到甲方书面异议后</w:t>
      </w:r>
      <w:r>
        <w:rPr>
          <w:rFonts w:hint="eastAsia" w:ascii="宋体" w:hAnsi="宋体" w:cs="宋体"/>
          <w:color w:val="auto"/>
          <w:szCs w:val="21"/>
          <w:u w:val="single"/>
        </w:rPr>
        <w:t>15</w:t>
      </w:r>
      <w:r>
        <w:rPr>
          <w:rFonts w:hint="eastAsia" w:ascii="宋体" w:hAnsi="宋体" w:cs="宋体"/>
          <w:color w:val="auto"/>
          <w:szCs w:val="21"/>
        </w:rPr>
        <w:t>日内及时予以解决。</w:t>
      </w:r>
    </w:p>
    <w:p w14:paraId="378427D5">
      <w:pPr>
        <w:spacing w:line="420" w:lineRule="exact"/>
        <w:ind w:firstLine="422" w:firstLineChars="200"/>
        <w:rPr>
          <w:rFonts w:ascii="宋体" w:hAnsi="宋体" w:cs="宋体"/>
          <w:b/>
          <w:color w:val="auto"/>
          <w:szCs w:val="21"/>
        </w:rPr>
      </w:pPr>
      <w:r>
        <w:rPr>
          <w:rFonts w:hint="eastAsia" w:ascii="宋体" w:hAnsi="宋体" w:cs="宋体"/>
          <w:b/>
          <w:color w:val="auto"/>
          <w:szCs w:val="21"/>
        </w:rPr>
        <w:t>第六条　安装和培训</w:t>
      </w:r>
    </w:p>
    <w:p w14:paraId="3501D876">
      <w:pPr>
        <w:spacing w:line="420" w:lineRule="exact"/>
        <w:ind w:firstLine="420" w:firstLineChars="200"/>
        <w:rPr>
          <w:rFonts w:ascii="宋体" w:hAnsi="宋体" w:cs="宋体"/>
          <w:color w:val="auto"/>
          <w:szCs w:val="21"/>
        </w:rPr>
      </w:pPr>
      <w:r>
        <w:rPr>
          <w:rFonts w:hint="eastAsia" w:ascii="宋体" w:hAnsi="宋体" w:cs="宋体"/>
          <w:color w:val="auto"/>
          <w:szCs w:val="21"/>
        </w:rPr>
        <w:t>1、甲方应提供必要安装条件（如场地、电源、水源等）。</w:t>
      </w:r>
    </w:p>
    <w:p w14:paraId="50C1CA96">
      <w:pPr>
        <w:spacing w:line="420" w:lineRule="exact"/>
        <w:ind w:firstLine="420" w:firstLineChars="200"/>
        <w:rPr>
          <w:rFonts w:ascii="宋体" w:hAnsi="宋体" w:cs="宋体"/>
          <w:color w:val="auto"/>
          <w:szCs w:val="21"/>
          <w:u w:val="single"/>
        </w:rPr>
      </w:pPr>
      <w:r>
        <w:rPr>
          <w:rFonts w:hint="eastAsia" w:ascii="宋体" w:hAnsi="宋体" w:cs="宋体"/>
          <w:color w:val="auto"/>
          <w:szCs w:val="21"/>
        </w:rPr>
        <w:t>2、乙方负责甲方有关人员的培训。培训时间、地点：</w:t>
      </w:r>
      <w:r>
        <w:rPr>
          <w:rFonts w:hint="eastAsia" w:ascii="宋体" w:hAnsi="宋体" w:cs="宋体"/>
          <w:color w:val="auto"/>
          <w:szCs w:val="21"/>
          <w:u w:val="single"/>
        </w:rPr>
        <w:t>广西南宁市</w:t>
      </w:r>
      <w:r>
        <w:rPr>
          <w:rFonts w:hint="eastAsia" w:ascii="宋体" w:hAnsi="宋体" w:cs="宋体"/>
          <w:color w:val="auto"/>
          <w:szCs w:val="21"/>
          <w:u w:val="single"/>
          <w:lang w:val="en-US" w:eastAsia="zh-CN"/>
        </w:rPr>
        <w:t>甲方</w:t>
      </w:r>
      <w:r>
        <w:rPr>
          <w:rFonts w:hint="eastAsia" w:ascii="宋体" w:hAnsi="宋体" w:cs="宋体"/>
          <w:color w:val="auto"/>
          <w:szCs w:val="21"/>
          <w:u w:val="single"/>
        </w:rPr>
        <w:t>指定时间、地点</w:t>
      </w:r>
      <w:r>
        <w:rPr>
          <w:rFonts w:hint="eastAsia" w:ascii="宋体" w:hAnsi="宋体" w:cs="宋体"/>
          <w:color w:val="auto"/>
          <w:szCs w:val="21"/>
        </w:rPr>
        <w:t>。</w:t>
      </w:r>
    </w:p>
    <w:p w14:paraId="27018345">
      <w:pPr>
        <w:spacing w:line="420" w:lineRule="exact"/>
        <w:ind w:firstLine="422" w:firstLineChars="200"/>
        <w:rPr>
          <w:rFonts w:ascii="宋体" w:hAnsi="宋体" w:cs="宋体"/>
          <w:b/>
          <w:color w:val="auto"/>
          <w:szCs w:val="21"/>
        </w:rPr>
      </w:pPr>
      <w:r>
        <w:rPr>
          <w:rFonts w:hint="eastAsia" w:ascii="宋体" w:hAnsi="宋体" w:cs="宋体"/>
          <w:b/>
          <w:color w:val="auto"/>
          <w:szCs w:val="21"/>
        </w:rPr>
        <w:t>第七条  售后服务、质保期</w:t>
      </w:r>
    </w:p>
    <w:p w14:paraId="1812A45B">
      <w:pPr>
        <w:spacing w:line="420" w:lineRule="exact"/>
        <w:ind w:firstLine="420" w:firstLineChars="200"/>
        <w:rPr>
          <w:rFonts w:ascii="宋体" w:hAnsi="宋体" w:cs="宋体"/>
          <w:color w:val="auto"/>
          <w:szCs w:val="21"/>
        </w:rPr>
      </w:pPr>
      <w:r>
        <w:rPr>
          <w:rFonts w:hint="eastAsia" w:ascii="宋体" w:hAnsi="宋体" w:cs="宋体"/>
          <w:color w:val="auto"/>
          <w:szCs w:val="21"/>
        </w:rPr>
        <w:t>1、乙方应按照国家有关法律法规和“三包”规定以及竞争性谈判文件和本合同所附的《服务承诺》，为甲方提供售后服务。</w:t>
      </w:r>
    </w:p>
    <w:p w14:paraId="4BE3BB60">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2、货物质保期：</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648EF89B">
      <w:pPr>
        <w:spacing w:line="420" w:lineRule="exact"/>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lang w:val="en-US" w:eastAsia="zh-CN"/>
        </w:rPr>
        <w:t>3、免费售后服务期：</w:t>
      </w:r>
      <w:r>
        <w:rPr>
          <w:rFonts w:hint="eastAsia" w:ascii="宋体" w:hAnsi="宋体" w:cs="宋体"/>
          <w:color w:val="auto"/>
          <w:szCs w:val="21"/>
          <w:u w:val="single"/>
          <w:lang w:val="en-US" w:eastAsia="zh-CN"/>
        </w:rPr>
        <w:t xml:space="preserve">                   </w:t>
      </w:r>
    </w:p>
    <w:p w14:paraId="574A97FB">
      <w:pPr>
        <w:spacing w:line="420" w:lineRule="exact"/>
        <w:ind w:firstLine="420" w:firstLineChars="200"/>
        <w:rPr>
          <w:rFonts w:ascii="宋体" w:hAnsi="宋体" w:cs="宋体"/>
          <w:color w:val="auto"/>
          <w:szCs w:val="21"/>
          <w:u w:val="single"/>
        </w:rPr>
      </w:pPr>
      <w:r>
        <w:rPr>
          <w:rFonts w:hint="eastAsia" w:ascii="宋体" w:hAnsi="宋体" w:cs="宋体"/>
          <w:color w:val="auto"/>
          <w:szCs w:val="21"/>
        </w:rPr>
        <w:t>3、乙方提供的服务承诺和售后服务及质保期责任等其他具体约定事项。（见合同附件）</w:t>
      </w:r>
    </w:p>
    <w:p w14:paraId="03C29E07">
      <w:pPr>
        <w:spacing w:line="420" w:lineRule="exact"/>
        <w:ind w:firstLine="422" w:firstLineChars="200"/>
        <w:rPr>
          <w:rFonts w:ascii="宋体" w:hAnsi="宋体" w:cs="宋体"/>
          <w:color w:val="auto"/>
          <w:szCs w:val="21"/>
        </w:rPr>
      </w:pPr>
      <w:r>
        <w:rPr>
          <w:rFonts w:hint="eastAsia" w:ascii="宋体" w:hAnsi="宋体" w:cs="宋体"/>
          <w:b/>
          <w:color w:val="auto"/>
          <w:szCs w:val="21"/>
        </w:rPr>
        <w:t>第八条　付款方式</w:t>
      </w:r>
    </w:p>
    <w:p w14:paraId="5CFBCB4E">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甲乙双方同意本合同金额的支付按以下第</w:t>
      </w:r>
      <w:r>
        <w:rPr>
          <w:rFonts w:hint="eastAsia" w:ascii="宋体" w:hAnsi="宋体" w:cs="宋体"/>
          <w:color w:val="auto"/>
          <w:szCs w:val="21"/>
          <w:u w:val="single"/>
        </w:rPr>
        <w:t xml:space="preserve"> 2 </w:t>
      </w:r>
      <w:r>
        <w:rPr>
          <w:rFonts w:hint="eastAsia" w:ascii="宋体" w:hAnsi="宋体" w:cs="宋体"/>
          <w:color w:val="auto"/>
          <w:szCs w:val="21"/>
        </w:rPr>
        <w:t>项约定执行：</w:t>
      </w:r>
    </w:p>
    <w:p w14:paraId="68D1FCA3">
      <w:pPr>
        <w:spacing w:line="360" w:lineRule="auto"/>
        <w:ind w:firstLine="420" w:firstLineChars="200"/>
        <w:rPr>
          <w:rFonts w:ascii="宋体" w:hAnsi="宋体" w:cs="宋体"/>
          <w:color w:val="auto"/>
          <w:szCs w:val="21"/>
        </w:rPr>
      </w:pPr>
      <w:r>
        <w:rPr>
          <w:rFonts w:hint="eastAsia" w:ascii="宋体" w:hAnsi="宋体" w:cs="宋体"/>
          <w:color w:val="auto"/>
          <w:szCs w:val="21"/>
        </w:rPr>
        <w:t>1、一次性支付</w:t>
      </w:r>
    </w:p>
    <w:p w14:paraId="357C572E">
      <w:pPr>
        <w:spacing w:line="360" w:lineRule="auto"/>
        <w:ind w:firstLine="420" w:firstLineChars="200"/>
        <w:rPr>
          <w:rFonts w:hint="eastAsia" w:ascii="宋体" w:hAnsi="宋体" w:cs="宋体"/>
          <w:color w:val="auto"/>
          <w:kern w:val="0"/>
          <w:szCs w:val="21"/>
        </w:rPr>
      </w:pPr>
      <w:r>
        <w:rPr>
          <w:rFonts w:hint="eastAsia" w:ascii="宋体" w:hAnsi="宋体" w:cs="宋体"/>
          <w:color w:val="auto"/>
          <w:szCs w:val="21"/>
        </w:rPr>
        <w:t>2、分期支付:</w:t>
      </w:r>
      <w:r>
        <w:rPr>
          <w:rFonts w:hint="eastAsia" w:ascii="宋体" w:hAnsi="宋体" w:cs="宋体"/>
          <w:color w:val="auto"/>
          <w:kern w:val="0"/>
          <w:szCs w:val="21"/>
        </w:rPr>
        <w:t>根据合同要求，全部货物到达</w:t>
      </w:r>
      <w:r>
        <w:rPr>
          <w:rFonts w:hint="eastAsia" w:ascii="宋体" w:hAnsi="宋体" w:cs="宋体"/>
          <w:color w:val="auto"/>
          <w:kern w:val="0"/>
          <w:szCs w:val="21"/>
          <w:lang w:eastAsia="zh-CN"/>
        </w:rPr>
        <w:t>甲方</w:t>
      </w:r>
      <w:r>
        <w:rPr>
          <w:rFonts w:hint="eastAsia" w:ascii="宋体" w:hAnsi="宋体" w:cs="宋体"/>
          <w:color w:val="auto"/>
          <w:kern w:val="0"/>
          <w:szCs w:val="21"/>
        </w:rPr>
        <w:t>指定地点后，</w:t>
      </w:r>
      <w:r>
        <w:rPr>
          <w:rFonts w:hint="eastAsia" w:ascii="宋体" w:hAnsi="宋体" w:cs="宋体"/>
          <w:color w:val="auto"/>
          <w:kern w:val="0"/>
          <w:szCs w:val="21"/>
          <w:lang w:eastAsia="zh-CN"/>
        </w:rPr>
        <w:t>甲方</w:t>
      </w:r>
      <w:r>
        <w:rPr>
          <w:rFonts w:hint="eastAsia" w:ascii="宋体" w:hAnsi="宋体" w:cs="宋体"/>
          <w:color w:val="auto"/>
          <w:kern w:val="0"/>
          <w:szCs w:val="21"/>
        </w:rPr>
        <w:t>确认后，3个工作日内，</w:t>
      </w:r>
      <w:r>
        <w:rPr>
          <w:rFonts w:hint="eastAsia" w:ascii="宋体" w:hAnsi="宋体" w:cs="宋体"/>
          <w:color w:val="auto"/>
          <w:kern w:val="0"/>
          <w:szCs w:val="21"/>
          <w:lang w:eastAsia="zh-CN"/>
        </w:rPr>
        <w:t>乙方</w:t>
      </w:r>
      <w:r>
        <w:rPr>
          <w:rFonts w:hint="eastAsia" w:ascii="宋体" w:hAnsi="宋体" w:cs="宋体"/>
          <w:color w:val="auto"/>
          <w:kern w:val="0"/>
          <w:szCs w:val="21"/>
        </w:rPr>
        <w:t>按合同总金额的50%金额开具增值税专用发票给</w:t>
      </w:r>
      <w:r>
        <w:rPr>
          <w:rFonts w:hint="eastAsia" w:ascii="宋体" w:hAnsi="宋体" w:cs="宋体"/>
          <w:color w:val="auto"/>
          <w:kern w:val="0"/>
          <w:szCs w:val="21"/>
          <w:lang w:eastAsia="zh-CN"/>
        </w:rPr>
        <w:t>甲方</w:t>
      </w:r>
      <w:r>
        <w:rPr>
          <w:rFonts w:hint="eastAsia" w:ascii="宋体" w:hAnsi="宋体" w:cs="宋体"/>
          <w:color w:val="auto"/>
          <w:kern w:val="0"/>
          <w:szCs w:val="21"/>
        </w:rPr>
        <w:t>，</w:t>
      </w:r>
      <w:r>
        <w:rPr>
          <w:rFonts w:hint="eastAsia" w:ascii="宋体" w:hAnsi="宋体" w:cs="宋体"/>
          <w:color w:val="auto"/>
          <w:kern w:val="0"/>
          <w:szCs w:val="21"/>
          <w:lang w:eastAsia="zh-CN"/>
        </w:rPr>
        <w:t>甲方</w:t>
      </w:r>
      <w:r>
        <w:rPr>
          <w:rFonts w:hint="eastAsia" w:ascii="宋体" w:hAnsi="宋体" w:cs="宋体"/>
          <w:color w:val="auto"/>
          <w:kern w:val="0"/>
          <w:szCs w:val="21"/>
        </w:rPr>
        <w:t>收到票据后，</w:t>
      </w:r>
      <w:r>
        <w:rPr>
          <w:rFonts w:hint="eastAsia" w:ascii="宋体" w:hAnsi="宋体" w:cs="宋体"/>
          <w:color w:val="auto"/>
          <w:kern w:val="0"/>
          <w:szCs w:val="21"/>
          <w:lang w:val="en-US" w:eastAsia="zh-CN"/>
        </w:rPr>
        <w:t>15</w:t>
      </w:r>
      <w:r>
        <w:rPr>
          <w:rFonts w:hint="eastAsia" w:ascii="宋体" w:hAnsi="宋体" w:cs="宋体"/>
          <w:color w:val="auto"/>
          <w:kern w:val="0"/>
          <w:szCs w:val="21"/>
        </w:rPr>
        <w:t>个工作日内以转账方式</w:t>
      </w:r>
      <w:r>
        <w:rPr>
          <w:rFonts w:hint="eastAsia" w:ascii="宋体" w:hAnsi="宋体" w:cs="宋体"/>
          <w:color w:val="auto"/>
          <w:kern w:val="0"/>
          <w:szCs w:val="21"/>
          <w:lang w:val="en-US" w:eastAsia="zh-CN"/>
        </w:rPr>
        <w:t>支付</w:t>
      </w:r>
      <w:r>
        <w:rPr>
          <w:rFonts w:hint="eastAsia" w:ascii="宋体" w:hAnsi="宋体" w:cs="宋体"/>
          <w:color w:val="auto"/>
          <w:kern w:val="0"/>
          <w:szCs w:val="21"/>
        </w:rPr>
        <w:t>合同金额的50%货款给成交供应商；完成安装并验收合格后，</w:t>
      </w:r>
      <w:r>
        <w:rPr>
          <w:rFonts w:hint="eastAsia" w:ascii="宋体" w:hAnsi="宋体" w:cs="宋体"/>
          <w:color w:val="auto"/>
          <w:kern w:val="0"/>
          <w:szCs w:val="21"/>
          <w:lang w:eastAsia="zh-CN"/>
        </w:rPr>
        <w:t>乙方</w:t>
      </w:r>
      <w:r>
        <w:rPr>
          <w:rFonts w:hint="eastAsia" w:ascii="宋体" w:hAnsi="宋体" w:cs="宋体"/>
          <w:color w:val="auto"/>
          <w:kern w:val="0"/>
          <w:szCs w:val="21"/>
        </w:rPr>
        <w:t>3个工作日内向</w:t>
      </w:r>
      <w:r>
        <w:rPr>
          <w:rFonts w:hint="eastAsia" w:ascii="宋体" w:hAnsi="宋体" w:cs="宋体"/>
          <w:color w:val="auto"/>
          <w:kern w:val="0"/>
          <w:szCs w:val="21"/>
          <w:lang w:eastAsia="zh-CN"/>
        </w:rPr>
        <w:t>甲方</w:t>
      </w:r>
      <w:r>
        <w:rPr>
          <w:rFonts w:hint="eastAsia" w:ascii="宋体" w:hAnsi="宋体" w:cs="宋体"/>
          <w:color w:val="auto"/>
          <w:kern w:val="0"/>
          <w:szCs w:val="21"/>
        </w:rPr>
        <w:t>开具合同余款的增值税专用发票，</w:t>
      </w:r>
      <w:r>
        <w:rPr>
          <w:rFonts w:hint="eastAsia" w:ascii="宋体" w:hAnsi="宋体" w:cs="宋体"/>
          <w:color w:val="auto"/>
          <w:kern w:val="0"/>
          <w:szCs w:val="21"/>
          <w:lang w:eastAsia="zh-CN"/>
        </w:rPr>
        <w:t>甲方</w:t>
      </w:r>
      <w:r>
        <w:rPr>
          <w:rFonts w:hint="eastAsia" w:ascii="宋体" w:hAnsi="宋体" w:cs="宋体"/>
          <w:color w:val="auto"/>
          <w:kern w:val="0"/>
          <w:szCs w:val="21"/>
        </w:rPr>
        <w:t>在收到发票后15个工作日内支付合同余款给</w:t>
      </w:r>
      <w:r>
        <w:rPr>
          <w:rFonts w:hint="eastAsia" w:ascii="宋体" w:hAnsi="宋体" w:cs="宋体"/>
          <w:color w:val="auto"/>
          <w:kern w:val="0"/>
          <w:szCs w:val="21"/>
          <w:lang w:eastAsia="zh-CN"/>
        </w:rPr>
        <w:t>乙方</w:t>
      </w:r>
      <w:r>
        <w:rPr>
          <w:rFonts w:hint="eastAsia" w:ascii="宋体" w:hAnsi="宋体" w:cs="宋体"/>
          <w:color w:val="auto"/>
          <w:kern w:val="0"/>
          <w:szCs w:val="21"/>
        </w:rPr>
        <w:t>。</w:t>
      </w:r>
    </w:p>
    <w:p w14:paraId="42665B03">
      <w:pPr>
        <w:pStyle w:val="2"/>
        <w:rPr>
          <w:color w:val="auto"/>
        </w:rPr>
      </w:pPr>
    </w:p>
    <w:p w14:paraId="431C63B5">
      <w:pPr>
        <w:spacing w:line="420" w:lineRule="exact"/>
        <w:ind w:left="-61" w:leftChars="-29" w:firstLine="514" w:firstLineChars="245"/>
        <w:rPr>
          <w:rFonts w:ascii="宋体" w:hAnsi="宋体" w:cs="宋体"/>
          <w:b/>
          <w:color w:val="auto"/>
          <w:szCs w:val="21"/>
        </w:rPr>
      </w:pPr>
      <w:r>
        <w:rPr>
          <w:rFonts w:hint="eastAsia" w:ascii="宋体" w:hAnsi="宋体" w:cs="宋体"/>
          <w:color w:val="auto"/>
          <w:szCs w:val="21"/>
        </w:rPr>
        <w:t xml:space="preserve"> </w:t>
      </w:r>
      <w:r>
        <w:rPr>
          <w:rFonts w:hint="eastAsia" w:ascii="宋体" w:hAnsi="宋体" w:cs="宋体"/>
          <w:b/>
          <w:color w:val="auto"/>
          <w:szCs w:val="21"/>
        </w:rPr>
        <w:t>第九条　履约保证金</w:t>
      </w:r>
    </w:p>
    <w:p w14:paraId="5D571B1B">
      <w:pPr>
        <w:spacing w:line="360" w:lineRule="auto"/>
        <w:ind w:firstLine="420" w:firstLineChars="200"/>
        <w:rPr>
          <w:rFonts w:ascii="宋体" w:hAnsi="宋体" w:cs="宋体"/>
          <w:color w:val="auto"/>
          <w:szCs w:val="21"/>
        </w:rPr>
      </w:pPr>
      <w:r>
        <w:rPr>
          <w:rFonts w:hint="eastAsia" w:ascii="宋体" w:hAnsi="宋体" w:cs="宋体"/>
          <w:color w:val="auto"/>
          <w:szCs w:val="21"/>
        </w:rPr>
        <w:t>履约保证金金额：按成交金额的</w:t>
      </w:r>
      <w:r>
        <w:rPr>
          <w:rFonts w:hint="eastAsia" w:ascii="宋体" w:hAnsi="宋体" w:cs="宋体"/>
          <w:color w:val="auto"/>
          <w:szCs w:val="21"/>
          <w:u w:val="single"/>
        </w:rPr>
        <w:t xml:space="preserve"> 5 </w:t>
      </w:r>
      <w:r>
        <w:rPr>
          <w:rFonts w:hint="eastAsia" w:ascii="宋体" w:hAnsi="宋体" w:cs="宋体"/>
          <w:color w:val="auto"/>
          <w:szCs w:val="21"/>
        </w:rPr>
        <w:t>%（中小企业缴纳数额为成交金额的2%）。</w:t>
      </w:r>
    </w:p>
    <w:p w14:paraId="11B8B7DC">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履约保证金提交方式：银行转账、支票、汇票、本票、保函等非现金形式缴纳（参照谈判保证金）。</w:t>
      </w:r>
    </w:p>
    <w:p w14:paraId="3EAB9687">
      <w:pPr>
        <w:snapToGrid w:val="0"/>
        <w:spacing w:line="360" w:lineRule="auto"/>
        <w:ind w:firstLine="420" w:firstLineChars="200"/>
        <w:rPr>
          <w:rFonts w:ascii="宋体" w:hAnsi="宋体" w:cs="宋体"/>
          <w:color w:val="auto"/>
          <w:szCs w:val="21"/>
          <w:u w:val="single"/>
        </w:rPr>
      </w:pPr>
      <w:r>
        <w:rPr>
          <w:rFonts w:hint="eastAsia" w:ascii="宋体" w:hAnsi="宋体" w:cs="宋体"/>
          <w:color w:val="auto"/>
          <w:szCs w:val="21"/>
        </w:rPr>
        <w:t>履约保证金退付方式、时间及条件：</w:t>
      </w:r>
      <w:r>
        <w:rPr>
          <w:rFonts w:hint="eastAsia" w:ascii="宋体" w:hAnsi="宋体" w:cs="宋体"/>
          <w:color w:val="auto"/>
          <w:szCs w:val="21"/>
          <w:u w:val="single"/>
        </w:rPr>
        <w:t xml:space="preserve"> 验收合格，</w:t>
      </w:r>
      <w:r>
        <w:rPr>
          <w:rFonts w:hint="eastAsia" w:ascii="宋体" w:hAnsi="宋体" w:cs="宋体"/>
          <w:color w:val="auto"/>
          <w:szCs w:val="21"/>
          <w:u w:val="single"/>
          <w:lang w:eastAsia="zh-CN"/>
        </w:rPr>
        <w:t>乙方</w:t>
      </w:r>
      <w:r>
        <w:rPr>
          <w:rFonts w:hint="eastAsia" w:ascii="宋体" w:hAnsi="宋体" w:cs="宋体"/>
          <w:color w:val="auto"/>
          <w:szCs w:val="21"/>
          <w:u w:val="single"/>
        </w:rPr>
        <w:t>按合同约定，履行完毕合同所有义务之日起，且</w:t>
      </w:r>
      <w:r>
        <w:rPr>
          <w:rFonts w:hint="eastAsia" w:ascii="宋体" w:hAnsi="宋体" w:cs="宋体"/>
          <w:color w:val="auto"/>
          <w:szCs w:val="21"/>
          <w:u w:val="single"/>
          <w:lang w:eastAsia="zh-CN"/>
        </w:rPr>
        <w:t>乙方</w:t>
      </w:r>
      <w:r>
        <w:rPr>
          <w:rFonts w:hint="eastAsia" w:ascii="宋体" w:hAnsi="宋体" w:cs="宋体"/>
          <w:color w:val="auto"/>
          <w:szCs w:val="21"/>
          <w:u w:val="single"/>
        </w:rPr>
        <w:t>无任何违约责任，由</w:t>
      </w:r>
      <w:r>
        <w:rPr>
          <w:rFonts w:hint="eastAsia" w:ascii="宋体" w:hAnsi="宋体" w:cs="宋体"/>
          <w:color w:val="auto"/>
          <w:szCs w:val="21"/>
          <w:u w:val="single"/>
          <w:lang w:eastAsia="zh-CN"/>
        </w:rPr>
        <w:t>乙方</w:t>
      </w:r>
      <w:r>
        <w:rPr>
          <w:rFonts w:hint="eastAsia" w:ascii="宋体" w:hAnsi="宋体" w:cs="宋体"/>
          <w:color w:val="auto"/>
          <w:szCs w:val="21"/>
          <w:u w:val="single"/>
        </w:rPr>
        <w:t>向</w:t>
      </w:r>
      <w:r>
        <w:rPr>
          <w:rFonts w:hint="eastAsia" w:ascii="宋体" w:hAnsi="宋体" w:cs="宋体"/>
          <w:color w:val="auto"/>
          <w:szCs w:val="21"/>
          <w:u w:val="single"/>
          <w:lang w:val="en-US" w:eastAsia="zh-CN"/>
        </w:rPr>
        <w:t>甲方</w:t>
      </w:r>
      <w:r>
        <w:rPr>
          <w:rFonts w:hint="eastAsia" w:ascii="宋体" w:hAnsi="宋体" w:cs="宋体"/>
          <w:color w:val="auto"/>
          <w:szCs w:val="21"/>
          <w:u w:val="single"/>
        </w:rPr>
        <w:t>提供《政府采购项目履约保证金退付意见书》，提出书面退款申请，</w:t>
      </w:r>
      <w:r>
        <w:rPr>
          <w:rFonts w:hint="eastAsia" w:ascii="宋体" w:hAnsi="宋体" w:cs="宋体"/>
          <w:color w:val="auto"/>
          <w:szCs w:val="21"/>
          <w:u w:val="single"/>
          <w:lang w:eastAsia="zh-CN"/>
        </w:rPr>
        <w:t>甲方</w:t>
      </w:r>
      <w:r>
        <w:rPr>
          <w:rFonts w:hint="eastAsia" w:ascii="宋体" w:hAnsi="宋体" w:cs="宋体"/>
          <w:color w:val="auto"/>
          <w:szCs w:val="21"/>
          <w:u w:val="single"/>
        </w:rPr>
        <w:t>在收到合格材料后5个工作日内办理退还手续（不计利息）。</w:t>
      </w:r>
    </w:p>
    <w:p w14:paraId="0D245C66">
      <w:pPr>
        <w:snapToGrid w:val="0"/>
        <w:spacing w:line="360" w:lineRule="auto"/>
        <w:ind w:firstLine="630" w:firstLineChars="300"/>
        <w:rPr>
          <w:rFonts w:hint="eastAsia" w:ascii="宋体" w:hAnsi="宋体" w:cs="宋体"/>
          <w:color w:val="auto"/>
          <w:szCs w:val="21"/>
          <w:u w:val="single"/>
        </w:rPr>
      </w:pPr>
      <w:r>
        <w:rPr>
          <w:rFonts w:hint="eastAsia" w:ascii="宋体" w:hAnsi="宋体" w:cs="宋体"/>
          <w:color w:val="auto"/>
          <w:szCs w:val="21"/>
          <w:u w:val="single"/>
        </w:rPr>
        <w:t>如乙方没有履行本合同约定的责任和义务所需承担的违约金、赔偿金及其他费用，</w:t>
      </w:r>
      <w:r>
        <w:rPr>
          <w:rFonts w:hint="eastAsia" w:ascii="宋体" w:hAnsi="宋体" w:cs="宋体"/>
          <w:color w:val="auto"/>
          <w:szCs w:val="21"/>
          <w:u w:val="single"/>
          <w:lang w:eastAsia="zh-CN"/>
        </w:rPr>
        <w:t>甲方</w:t>
      </w:r>
      <w:r>
        <w:rPr>
          <w:rFonts w:hint="eastAsia" w:ascii="宋体" w:hAnsi="宋体" w:cs="宋体"/>
          <w:color w:val="auto"/>
          <w:szCs w:val="21"/>
          <w:u w:val="single"/>
        </w:rPr>
        <w:t>有权直接从履约保证金中扣除，履约保证金中不足以扣除的，</w:t>
      </w:r>
      <w:r>
        <w:rPr>
          <w:rFonts w:hint="eastAsia" w:ascii="宋体" w:hAnsi="宋体" w:cs="宋体"/>
          <w:color w:val="auto"/>
          <w:szCs w:val="21"/>
          <w:u w:val="single"/>
          <w:lang w:eastAsia="zh-CN"/>
        </w:rPr>
        <w:t>甲方</w:t>
      </w:r>
      <w:r>
        <w:rPr>
          <w:rFonts w:hint="eastAsia" w:ascii="宋体" w:hAnsi="宋体" w:cs="宋体"/>
          <w:color w:val="auto"/>
          <w:szCs w:val="21"/>
          <w:u w:val="single"/>
        </w:rPr>
        <w:t>有权从货款中抵扣。履约保证金不足的，</w:t>
      </w:r>
      <w:r>
        <w:rPr>
          <w:rFonts w:hint="eastAsia" w:ascii="宋体" w:hAnsi="宋体" w:cs="宋体"/>
          <w:color w:val="auto"/>
          <w:szCs w:val="21"/>
          <w:u w:val="single"/>
          <w:lang w:eastAsia="zh-CN"/>
        </w:rPr>
        <w:t>乙方</w:t>
      </w:r>
      <w:r>
        <w:rPr>
          <w:rFonts w:hint="eastAsia" w:ascii="宋体" w:hAnsi="宋体" w:cs="宋体"/>
          <w:color w:val="auto"/>
          <w:szCs w:val="21"/>
          <w:u w:val="single"/>
        </w:rPr>
        <w:t>应及时补足。</w:t>
      </w:r>
    </w:p>
    <w:p w14:paraId="27B279D7">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履约保证金指定账户：</w:t>
      </w:r>
    </w:p>
    <w:p w14:paraId="21F7106E">
      <w:pPr>
        <w:spacing w:line="360" w:lineRule="auto"/>
        <w:ind w:firstLine="420" w:firstLineChars="200"/>
        <w:jc w:val="left"/>
        <w:rPr>
          <w:rFonts w:hint="eastAsia" w:ascii="宋体" w:hAnsi="宋体" w:cs="宋体"/>
          <w:color w:val="auto"/>
          <w:szCs w:val="21"/>
          <w:lang w:bidi="ar"/>
        </w:rPr>
      </w:pPr>
      <w:r>
        <w:rPr>
          <w:rFonts w:hint="eastAsia" w:ascii="宋体" w:hAnsi="宋体" w:cs="宋体"/>
          <w:color w:val="auto"/>
          <w:szCs w:val="21"/>
          <w:lang w:bidi="ar"/>
        </w:rPr>
        <w:t>收款人户名：广西职业师范学院</w:t>
      </w:r>
    </w:p>
    <w:p w14:paraId="74D5C947">
      <w:pPr>
        <w:spacing w:line="360" w:lineRule="auto"/>
        <w:ind w:firstLine="420" w:firstLineChars="200"/>
        <w:jc w:val="left"/>
        <w:rPr>
          <w:rFonts w:hint="eastAsia" w:ascii="宋体" w:hAnsi="宋体" w:cs="宋体"/>
          <w:color w:val="auto"/>
          <w:szCs w:val="21"/>
          <w:lang w:bidi="ar"/>
        </w:rPr>
      </w:pPr>
      <w:r>
        <w:rPr>
          <w:rFonts w:hint="eastAsia" w:ascii="宋体" w:hAnsi="宋体" w:cs="宋体"/>
          <w:color w:val="auto"/>
          <w:szCs w:val="21"/>
          <w:lang w:bidi="ar"/>
        </w:rPr>
        <w:t>开户银行：工行南宁市西乡塘支行</w:t>
      </w:r>
    </w:p>
    <w:p w14:paraId="7900A78C">
      <w:pPr>
        <w:spacing w:line="360" w:lineRule="auto"/>
        <w:ind w:firstLine="420" w:firstLineChars="200"/>
        <w:jc w:val="left"/>
        <w:rPr>
          <w:rFonts w:hint="eastAsia" w:ascii="宋体" w:hAnsi="宋体" w:cs="宋体"/>
          <w:color w:val="auto"/>
          <w:szCs w:val="21"/>
          <w:lang w:bidi="ar"/>
        </w:rPr>
      </w:pPr>
      <w:r>
        <w:rPr>
          <w:rFonts w:hint="eastAsia" w:ascii="宋体" w:hAnsi="宋体" w:cs="宋体"/>
          <w:color w:val="auto"/>
          <w:szCs w:val="21"/>
          <w:lang w:bidi="ar"/>
        </w:rPr>
        <w:t>银行账号：2102111309264000331</w:t>
      </w:r>
    </w:p>
    <w:p w14:paraId="1058DE3C">
      <w:pPr>
        <w:spacing w:line="360" w:lineRule="auto"/>
        <w:ind w:firstLine="420" w:firstLineChars="200"/>
        <w:jc w:val="left"/>
        <w:rPr>
          <w:rFonts w:hint="eastAsia" w:ascii="宋体" w:hAnsi="宋体" w:cs="宋体"/>
          <w:color w:val="auto"/>
          <w:szCs w:val="21"/>
          <w:lang w:bidi="ar"/>
        </w:rPr>
      </w:pPr>
      <w:r>
        <w:rPr>
          <w:rFonts w:hint="eastAsia" w:ascii="宋体" w:hAnsi="宋体" w:cs="宋体"/>
          <w:color w:val="auto"/>
          <w:szCs w:val="21"/>
          <w:lang w:bidi="ar"/>
        </w:rPr>
        <w:t>纳税人识别号：124500004985047071</w:t>
      </w:r>
    </w:p>
    <w:p w14:paraId="506FE0D5">
      <w:pPr>
        <w:spacing w:line="420" w:lineRule="exact"/>
        <w:ind w:firstLine="422" w:firstLineChars="200"/>
        <w:rPr>
          <w:rFonts w:ascii="宋体" w:hAnsi="宋体" w:cs="宋体"/>
          <w:b/>
          <w:color w:val="auto"/>
          <w:szCs w:val="21"/>
        </w:rPr>
      </w:pPr>
      <w:r>
        <w:rPr>
          <w:rFonts w:hint="eastAsia" w:ascii="宋体" w:hAnsi="宋体" w:cs="宋体"/>
          <w:b/>
          <w:color w:val="auto"/>
          <w:szCs w:val="21"/>
        </w:rPr>
        <w:t>第十条  税费</w:t>
      </w:r>
    </w:p>
    <w:p w14:paraId="651C4F59">
      <w:pPr>
        <w:spacing w:line="420" w:lineRule="exact"/>
        <w:ind w:firstLine="420" w:firstLineChars="200"/>
        <w:rPr>
          <w:rFonts w:ascii="宋体" w:hAnsi="宋体" w:cs="宋体"/>
          <w:color w:val="auto"/>
          <w:szCs w:val="21"/>
        </w:rPr>
      </w:pPr>
      <w:r>
        <w:rPr>
          <w:rFonts w:hint="eastAsia" w:ascii="宋体" w:hAnsi="宋体" w:cs="宋体"/>
          <w:color w:val="auto"/>
          <w:szCs w:val="21"/>
        </w:rPr>
        <w:t>本合同执行中相关的一切税费均由乙方负担。</w:t>
      </w:r>
    </w:p>
    <w:p w14:paraId="54C939EC">
      <w:pPr>
        <w:spacing w:line="420" w:lineRule="exact"/>
        <w:ind w:firstLine="422" w:firstLineChars="200"/>
        <w:rPr>
          <w:rFonts w:ascii="宋体" w:hAnsi="宋体" w:cs="宋体"/>
          <w:b/>
          <w:color w:val="auto"/>
          <w:szCs w:val="21"/>
        </w:rPr>
      </w:pPr>
      <w:r>
        <w:rPr>
          <w:rFonts w:hint="eastAsia" w:ascii="宋体" w:hAnsi="宋体" w:cs="宋体"/>
          <w:b/>
          <w:color w:val="auto"/>
          <w:szCs w:val="21"/>
        </w:rPr>
        <w:t>第十一条  质量保证及售后服务</w:t>
      </w:r>
    </w:p>
    <w:p w14:paraId="702D1936">
      <w:pPr>
        <w:spacing w:line="420" w:lineRule="exact"/>
        <w:ind w:firstLine="420" w:firstLineChars="200"/>
        <w:rPr>
          <w:rFonts w:ascii="宋体" w:hAnsi="宋体" w:cs="宋体"/>
          <w:color w:val="auto"/>
          <w:szCs w:val="21"/>
        </w:rPr>
      </w:pPr>
      <w:r>
        <w:rPr>
          <w:rFonts w:hint="eastAsia" w:ascii="宋体" w:hAnsi="宋体" w:cs="宋体"/>
          <w:color w:val="auto"/>
          <w:szCs w:val="21"/>
        </w:rPr>
        <w:t>1、乙方应按竞争性谈判文件规定的货物性能、技术要求、质量标准向甲方提供未经使用的全新产品。要求者，根据实际情况，甲方有权要求按以下办法处理：</w:t>
      </w:r>
    </w:p>
    <w:p w14:paraId="7CEAF77F">
      <w:pPr>
        <w:spacing w:line="420" w:lineRule="exact"/>
        <w:ind w:firstLine="420" w:firstLineChars="200"/>
        <w:rPr>
          <w:rFonts w:ascii="宋体" w:hAnsi="宋体" w:cs="宋体"/>
          <w:color w:val="auto"/>
          <w:szCs w:val="21"/>
        </w:rPr>
      </w:pPr>
      <w:r>
        <w:rPr>
          <w:rFonts w:hint="eastAsia" w:ascii="宋体" w:hAnsi="宋体" w:cs="宋体"/>
          <w:color w:val="auto"/>
          <w:szCs w:val="21"/>
        </w:rPr>
        <w:t>⑴更换：由乙方承担所发生的全部费用。</w:t>
      </w:r>
    </w:p>
    <w:p w14:paraId="1D88433C">
      <w:pPr>
        <w:spacing w:line="420" w:lineRule="exact"/>
        <w:ind w:firstLine="420" w:firstLineChars="200"/>
        <w:rPr>
          <w:rFonts w:ascii="宋体" w:hAnsi="宋体" w:cs="宋体"/>
          <w:color w:val="auto"/>
          <w:szCs w:val="21"/>
        </w:rPr>
      </w:pPr>
      <w:r>
        <w:rPr>
          <w:rFonts w:hint="eastAsia" w:ascii="宋体" w:hAnsi="宋体" w:cs="宋体"/>
          <w:color w:val="auto"/>
          <w:szCs w:val="21"/>
        </w:rPr>
        <w:t>⑵贬值处理：由甲乙双方合议定价。</w:t>
      </w:r>
    </w:p>
    <w:p w14:paraId="59043839">
      <w:pPr>
        <w:spacing w:line="420" w:lineRule="exact"/>
        <w:ind w:firstLine="420" w:firstLineChars="200"/>
        <w:rPr>
          <w:rFonts w:ascii="宋体" w:hAnsi="宋体" w:cs="宋体"/>
          <w:color w:val="auto"/>
          <w:szCs w:val="21"/>
        </w:rPr>
      </w:pPr>
      <w:r>
        <w:rPr>
          <w:rFonts w:hint="eastAsia" w:ascii="宋体" w:hAnsi="宋体" w:cs="宋体"/>
          <w:color w:val="auto"/>
          <w:szCs w:val="21"/>
        </w:rPr>
        <w:t>⑶退货处理：乙方应退还甲方支付的合同款，同时应承担该货物的直接费用（运输、保险、检验、货款利息及银行手续费等）。</w:t>
      </w:r>
    </w:p>
    <w:p w14:paraId="23407E65">
      <w:pPr>
        <w:pStyle w:val="14"/>
        <w:snapToGrid w:val="0"/>
        <w:spacing w:line="420" w:lineRule="exact"/>
        <w:ind w:firstLine="420" w:firstLineChars="200"/>
        <w:rPr>
          <w:rFonts w:hAnsi="宋体" w:cs="宋体"/>
          <w:color w:val="auto"/>
          <w:sz w:val="21"/>
        </w:rPr>
      </w:pPr>
      <w:r>
        <w:rPr>
          <w:rFonts w:hint="eastAsia" w:hAnsi="宋体" w:cs="宋体"/>
          <w:color w:val="auto"/>
          <w:sz w:val="21"/>
        </w:rPr>
        <w:t>2、如在使用过程中发生质量问题，乙方在接到甲方通知后在</w:t>
      </w:r>
      <w:r>
        <w:rPr>
          <w:rFonts w:hint="eastAsia" w:hAnsi="宋体" w:cs="宋体"/>
          <w:color w:val="auto"/>
          <w:sz w:val="21"/>
          <w:u w:val="single"/>
        </w:rPr>
        <w:t xml:space="preserve">    </w:t>
      </w:r>
      <w:r>
        <w:rPr>
          <w:rFonts w:hint="eastAsia" w:hAnsi="宋体" w:cs="宋体"/>
          <w:color w:val="auto"/>
          <w:sz w:val="21"/>
        </w:rPr>
        <w:t>小时内到达甲方现场。</w:t>
      </w:r>
    </w:p>
    <w:p w14:paraId="418158EA">
      <w:pPr>
        <w:pStyle w:val="14"/>
        <w:snapToGrid w:val="0"/>
        <w:spacing w:line="420" w:lineRule="exact"/>
        <w:ind w:firstLine="420" w:firstLineChars="200"/>
        <w:rPr>
          <w:rFonts w:hAnsi="宋体" w:cs="宋体"/>
          <w:color w:val="auto"/>
          <w:sz w:val="21"/>
        </w:rPr>
      </w:pPr>
      <w:r>
        <w:rPr>
          <w:rFonts w:hint="eastAsia" w:hAnsi="宋体" w:cs="宋体"/>
          <w:color w:val="auto"/>
          <w:sz w:val="21"/>
        </w:rPr>
        <w:t>3、在质保期内，乙方应对货物出现的质量及安全问题负责处理解决并承担一切费用。</w:t>
      </w:r>
    </w:p>
    <w:p w14:paraId="399EE98C">
      <w:pPr>
        <w:pStyle w:val="14"/>
        <w:snapToGrid w:val="0"/>
        <w:spacing w:line="420" w:lineRule="exact"/>
        <w:ind w:firstLine="420" w:firstLineChars="200"/>
        <w:rPr>
          <w:rFonts w:hAnsi="宋体" w:cs="宋体"/>
          <w:color w:val="auto"/>
          <w:sz w:val="21"/>
        </w:rPr>
      </w:pPr>
      <w:r>
        <w:rPr>
          <w:rFonts w:hint="eastAsia" w:hAnsi="宋体" w:cs="宋体"/>
          <w:color w:val="auto"/>
          <w:sz w:val="21"/>
        </w:rPr>
        <w:t>4、上述的货物免费质保期为</w:t>
      </w:r>
      <w:r>
        <w:rPr>
          <w:rFonts w:hint="eastAsia" w:hAnsi="宋体" w:cs="宋体"/>
          <w:color w:val="auto"/>
          <w:sz w:val="21"/>
          <w:u w:val="single"/>
        </w:rPr>
        <w:t xml:space="preserve">   </w:t>
      </w:r>
      <w:r>
        <w:rPr>
          <w:rFonts w:hint="eastAsia" w:hAnsi="宋体" w:cs="宋体"/>
          <w:color w:val="auto"/>
          <w:sz w:val="21"/>
        </w:rPr>
        <w:t>年，因人为因素出现的故障不在免费保修范围内。超过质保期的机器设备，终身维修，维修时只收部件成本费。</w:t>
      </w:r>
    </w:p>
    <w:p w14:paraId="0746D1E2">
      <w:pPr>
        <w:pStyle w:val="14"/>
        <w:snapToGrid w:val="0"/>
        <w:spacing w:line="420" w:lineRule="exact"/>
        <w:ind w:firstLine="413" w:firstLineChars="196"/>
        <w:rPr>
          <w:rFonts w:hAnsi="宋体" w:cs="宋体"/>
          <w:b/>
          <w:color w:val="auto"/>
          <w:sz w:val="21"/>
        </w:rPr>
      </w:pPr>
      <w:r>
        <w:rPr>
          <w:rFonts w:hint="eastAsia" w:hAnsi="宋体" w:cs="宋体"/>
          <w:b/>
          <w:color w:val="auto"/>
          <w:sz w:val="21"/>
        </w:rPr>
        <w:t>第十二条  调试和验收</w:t>
      </w:r>
    </w:p>
    <w:p w14:paraId="690A428F">
      <w:pPr>
        <w:pStyle w:val="14"/>
        <w:snapToGrid w:val="0"/>
        <w:spacing w:line="420" w:lineRule="exact"/>
        <w:ind w:firstLine="420" w:firstLineChars="200"/>
        <w:rPr>
          <w:rFonts w:hAnsi="宋体" w:cs="宋体"/>
          <w:color w:val="auto"/>
          <w:sz w:val="21"/>
        </w:rPr>
      </w:pPr>
      <w:r>
        <w:rPr>
          <w:rFonts w:hint="eastAsia" w:hAnsi="宋体" w:cs="宋体"/>
          <w:color w:val="auto"/>
          <w:sz w:val="21"/>
        </w:rPr>
        <w:t>1、甲方对乙方提交的货物、软件依据竞争性谈判文件上的技术规格要求和国家有关质量标准进行现场初步验收，外观、说明书符合竞争性谈判文件技术要求的，给予签收，初步验收不合格的不予签收。甲方应当在到货、软件开发完成并安装调试后7个工作日内进行验收。</w:t>
      </w:r>
    </w:p>
    <w:p w14:paraId="49EBC818">
      <w:pPr>
        <w:pStyle w:val="14"/>
        <w:snapToGrid w:val="0"/>
        <w:spacing w:line="420" w:lineRule="exact"/>
        <w:ind w:firstLine="420" w:firstLineChars="200"/>
        <w:rPr>
          <w:rFonts w:hAnsi="宋体" w:cs="宋体"/>
          <w:color w:val="auto"/>
          <w:sz w:val="21"/>
        </w:rPr>
      </w:pPr>
      <w:r>
        <w:rPr>
          <w:rFonts w:hint="eastAsia" w:hAnsi="宋体" w:cs="宋体"/>
          <w:color w:val="auto"/>
          <w:sz w:val="21"/>
        </w:rPr>
        <w:t>2、乙方交货前应对产品作出全面检查和对验收文件进行整理，并列出清单，作为甲方收货验收和使用的技术条件依据，检验的结果应随货物交甲方。</w:t>
      </w:r>
    </w:p>
    <w:p w14:paraId="5119EB12">
      <w:pPr>
        <w:pStyle w:val="14"/>
        <w:snapToGrid w:val="0"/>
        <w:spacing w:line="420" w:lineRule="exact"/>
        <w:ind w:firstLine="420" w:firstLineChars="200"/>
        <w:rPr>
          <w:rFonts w:hAnsi="宋体" w:cs="宋体"/>
          <w:color w:val="auto"/>
          <w:sz w:val="21"/>
        </w:rPr>
      </w:pPr>
      <w:r>
        <w:rPr>
          <w:rFonts w:hint="eastAsia" w:hAnsi="宋体" w:cs="宋体"/>
          <w:color w:val="auto"/>
          <w:sz w:val="21"/>
        </w:rPr>
        <w:t>3、甲方对乙方提供的货物、软件在使用前进行调试时，乙方需负责安装并培训甲方的使用操作人员，并协助甲方一起调试，直到符合技术要求，甲方才做最终验收。</w:t>
      </w:r>
    </w:p>
    <w:p w14:paraId="10678F06">
      <w:pPr>
        <w:pStyle w:val="14"/>
        <w:snapToGrid w:val="0"/>
        <w:spacing w:line="420" w:lineRule="exact"/>
        <w:ind w:firstLine="420" w:firstLineChars="200"/>
        <w:rPr>
          <w:rFonts w:hAnsi="宋体" w:cs="宋体"/>
          <w:color w:val="auto"/>
          <w:sz w:val="21"/>
        </w:rPr>
      </w:pPr>
      <w:r>
        <w:rPr>
          <w:rFonts w:hint="eastAsia" w:hAnsi="宋体" w:cs="宋体"/>
          <w:color w:val="auto"/>
          <w:sz w:val="21"/>
        </w:rPr>
        <w:t>4、对技术复杂的货物，甲方应请国家认可的专业检测机构参与初步验收及最终验收，并由其出具质量检测报告，检测费用由乙方承担。</w:t>
      </w:r>
    </w:p>
    <w:p w14:paraId="0EC2B0D6">
      <w:pPr>
        <w:pStyle w:val="14"/>
        <w:snapToGrid w:val="0"/>
        <w:spacing w:line="420" w:lineRule="exact"/>
        <w:ind w:firstLine="420" w:firstLineChars="200"/>
        <w:rPr>
          <w:rFonts w:hAnsi="宋体" w:cs="宋体"/>
          <w:color w:val="auto"/>
          <w:sz w:val="21"/>
        </w:rPr>
      </w:pPr>
      <w:r>
        <w:rPr>
          <w:rFonts w:hint="eastAsia" w:hAnsi="宋体" w:cs="宋体"/>
          <w:color w:val="auto"/>
          <w:sz w:val="21"/>
        </w:rPr>
        <w:t>5、验收时乙方必须在现场，验收完毕后做出验收结果报告；验收费用由乙方负责。</w:t>
      </w:r>
    </w:p>
    <w:p w14:paraId="3FDC1D69">
      <w:pPr>
        <w:pStyle w:val="14"/>
        <w:snapToGrid w:val="0"/>
        <w:spacing w:line="420" w:lineRule="exact"/>
        <w:ind w:firstLine="413" w:firstLineChars="196"/>
        <w:rPr>
          <w:rFonts w:hAnsi="宋体" w:cs="宋体"/>
          <w:b/>
          <w:color w:val="auto"/>
          <w:sz w:val="21"/>
        </w:rPr>
      </w:pPr>
      <w:r>
        <w:rPr>
          <w:rFonts w:hint="eastAsia" w:hAnsi="宋体" w:cs="宋体"/>
          <w:b/>
          <w:color w:val="auto"/>
          <w:sz w:val="21"/>
        </w:rPr>
        <w:t>第十三条  货物包装、发运及运输</w:t>
      </w:r>
    </w:p>
    <w:p w14:paraId="61387F30">
      <w:pPr>
        <w:pStyle w:val="14"/>
        <w:snapToGrid w:val="0"/>
        <w:spacing w:line="420" w:lineRule="exact"/>
        <w:ind w:firstLine="420" w:firstLineChars="200"/>
        <w:rPr>
          <w:rFonts w:hAnsi="宋体" w:cs="宋体"/>
          <w:color w:val="auto"/>
          <w:sz w:val="21"/>
        </w:rPr>
      </w:pPr>
      <w:r>
        <w:rPr>
          <w:rFonts w:hint="eastAsia" w:hAnsi="宋体" w:cs="宋体"/>
          <w:color w:val="auto"/>
          <w:sz w:val="21"/>
        </w:rPr>
        <w:t>1、乙方应在货物发运前对其进行满足运输距离、防潮、防震、防锈和防破损装卸等要求包装，以保证货物安全运达甲方指定地点。</w:t>
      </w:r>
    </w:p>
    <w:p w14:paraId="0A52AD80">
      <w:pPr>
        <w:pStyle w:val="14"/>
        <w:snapToGrid w:val="0"/>
        <w:spacing w:line="420" w:lineRule="exact"/>
        <w:ind w:firstLine="420" w:firstLineChars="200"/>
        <w:rPr>
          <w:rFonts w:hAnsi="宋体" w:cs="宋体"/>
          <w:color w:val="auto"/>
          <w:sz w:val="21"/>
        </w:rPr>
      </w:pPr>
      <w:r>
        <w:rPr>
          <w:rFonts w:hint="eastAsia" w:hAnsi="宋体" w:cs="宋体"/>
          <w:color w:val="auto"/>
          <w:sz w:val="21"/>
        </w:rPr>
        <w:t>2、使用说明书、质量检验证明书、随配附件和工具以及清单一并附于货物内。</w:t>
      </w:r>
    </w:p>
    <w:p w14:paraId="67DC8522">
      <w:pPr>
        <w:pStyle w:val="14"/>
        <w:snapToGrid w:val="0"/>
        <w:spacing w:line="420" w:lineRule="exact"/>
        <w:ind w:firstLine="420" w:firstLineChars="200"/>
        <w:rPr>
          <w:rFonts w:hAnsi="宋体" w:cs="宋体"/>
          <w:color w:val="auto"/>
          <w:sz w:val="21"/>
        </w:rPr>
      </w:pPr>
      <w:r>
        <w:rPr>
          <w:rFonts w:hint="eastAsia" w:hAnsi="宋体" w:cs="宋体"/>
          <w:color w:val="auto"/>
          <w:sz w:val="21"/>
        </w:rPr>
        <w:t>3、乙方在货物发运手续办理完毕后24小时内或货到甲方48小时前通知甲方，以准备接货。</w:t>
      </w:r>
    </w:p>
    <w:p w14:paraId="7B91CAFD">
      <w:pPr>
        <w:pStyle w:val="14"/>
        <w:snapToGrid w:val="0"/>
        <w:spacing w:line="420" w:lineRule="exact"/>
        <w:ind w:firstLine="420" w:firstLineChars="200"/>
        <w:rPr>
          <w:rFonts w:hAnsi="宋体" w:cs="宋体"/>
          <w:color w:val="auto"/>
          <w:sz w:val="21"/>
        </w:rPr>
      </w:pPr>
      <w:r>
        <w:rPr>
          <w:rFonts w:hint="eastAsia" w:hAnsi="宋体" w:cs="宋体"/>
          <w:color w:val="auto"/>
          <w:sz w:val="21"/>
        </w:rPr>
        <w:t>4、货物、软件在交付甲方前发生的风险均由乙方负责。</w:t>
      </w:r>
    </w:p>
    <w:p w14:paraId="5E6F3868">
      <w:pPr>
        <w:pStyle w:val="14"/>
        <w:snapToGrid w:val="0"/>
        <w:spacing w:line="420" w:lineRule="exact"/>
        <w:ind w:firstLine="420" w:firstLineChars="200"/>
        <w:rPr>
          <w:rFonts w:hAnsi="宋体" w:cs="宋体"/>
          <w:color w:val="auto"/>
          <w:sz w:val="21"/>
        </w:rPr>
      </w:pPr>
      <w:r>
        <w:rPr>
          <w:rFonts w:hint="eastAsia" w:hAnsi="宋体" w:cs="宋体"/>
          <w:color w:val="auto"/>
          <w:sz w:val="21"/>
        </w:rPr>
        <w:t>5、货物、软件在规定的交付期限内由乙方送达甲方指定的地点视为交付，乙方同时需通知甲方货物已送达。</w:t>
      </w:r>
    </w:p>
    <w:p w14:paraId="1C9F2466">
      <w:pPr>
        <w:spacing w:line="420" w:lineRule="exact"/>
        <w:ind w:firstLine="422" w:firstLineChars="200"/>
        <w:rPr>
          <w:rFonts w:ascii="宋体" w:hAnsi="宋体" w:cs="宋体"/>
          <w:b/>
          <w:color w:val="auto"/>
          <w:szCs w:val="21"/>
        </w:rPr>
      </w:pPr>
      <w:r>
        <w:rPr>
          <w:rFonts w:hint="eastAsia" w:ascii="宋体" w:hAnsi="宋体" w:cs="宋体"/>
          <w:b/>
          <w:color w:val="auto"/>
          <w:szCs w:val="21"/>
        </w:rPr>
        <w:t>第十四条　违约责任</w:t>
      </w:r>
    </w:p>
    <w:p w14:paraId="2C389AC0">
      <w:pPr>
        <w:pStyle w:val="14"/>
        <w:snapToGrid w:val="0"/>
        <w:spacing w:line="420" w:lineRule="exact"/>
        <w:ind w:firstLine="420" w:firstLineChars="200"/>
        <w:rPr>
          <w:rFonts w:hAnsi="宋体" w:cs="宋体"/>
          <w:color w:val="auto"/>
          <w:sz w:val="21"/>
        </w:rPr>
      </w:pPr>
      <w:r>
        <w:rPr>
          <w:rFonts w:hint="eastAsia" w:hAnsi="宋体" w:cs="宋体"/>
          <w:color w:val="auto"/>
          <w:sz w:val="21"/>
        </w:rPr>
        <w:t xml:space="preserve">1、乙方所提供的货物、软件规格、技术标准、材料等质量不合格的，应及时更换，更换不及时的按逾期交货处罚；因质量问题甲方不同意接收的或特殊情况甲方不同意接收的，乙方应向甲方支付合同金额5%的违约金并赔偿甲方经济损失。                                       </w:t>
      </w:r>
    </w:p>
    <w:p w14:paraId="311B7ED0">
      <w:pPr>
        <w:pStyle w:val="14"/>
        <w:snapToGrid w:val="0"/>
        <w:spacing w:line="420" w:lineRule="exact"/>
        <w:ind w:firstLine="420" w:firstLineChars="200"/>
        <w:rPr>
          <w:rFonts w:hAnsi="宋体" w:cs="宋体"/>
          <w:color w:val="auto"/>
          <w:sz w:val="21"/>
        </w:rPr>
      </w:pPr>
      <w:r>
        <w:rPr>
          <w:rFonts w:hint="eastAsia" w:hAnsi="宋体" w:cs="宋体"/>
          <w:color w:val="auto"/>
          <w:sz w:val="21"/>
        </w:rPr>
        <w:t>2、乙方提供的货物如侵犯了第三方合法权益而引发的任何纠纷或诉讼，均由乙方负责交涉并承担全部责任。</w:t>
      </w:r>
    </w:p>
    <w:p w14:paraId="0E16146D">
      <w:pPr>
        <w:pStyle w:val="14"/>
        <w:snapToGrid w:val="0"/>
        <w:spacing w:line="420" w:lineRule="exact"/>
        <w:ind w:firstLine="420" w:firstLineChars="200"/>
        <w:rPr>
          <w:rFonts w:hAnsi="宋体" w:cs="宋体"/>
          <w:color w:val="auto"/>
          <w:sz w:val="21"/>
        </w:rPr>
      </w:pPr>
      <w:r>
        <w:rPr>
          <w:rFonts w:hint="eastAsia" w:hAnsi="宋体" w:cs="宋体"/>
          <w:color w:val="auto"/>
          <w:sz w:val="21"/>
        </w:rPr>
        <w:t>3、因包装、运输引起的货物损坏，按质量不合格处罚。</w:t>
      </w:r>
    </w:p>
    <w:p w14:paraId="230B89E6">
      <w:pPr>
        <w:spacing w:line="420" w:lineRule="exact"/>
        <w:ind w:firstLine="420" w:firstLineChars="200"/>
        <w:rPr>
          <w:rFonts w:ascii="宋体" w:hAnsi="宋体" w:cs="宋体"/>
          <w:color w:val="auto"/>
          <w:szCs w:val="21"/>
        </w:rPr>
      </w:pPr>
      <w:r>
        <w:rPr>
          <w:rFonts w:hint="eastAsia" w:ascii="宋体" w:hAnsi="宋体" w:cs="宋体"/>
          <w:color w:val="auto"/>
          <w:szCs w:val="21"/>
        </w:rPr>
        <w:t>4、甲方无故延期接收货物、乙方逾期交货和完成软件开发交付使用的，每天向对方偿付合同金额3‰违约金，但违约金累计不得超过合同金额5%，超过</w:t>
      </w:r>
      <w:r>
        <w:rPr>
          <w:rFonts w:hint="eastAsia" w:ascii="宋体" w:hAnsi="宋体" w:cs="宋体"/>
          <w:color w:val="auto"/>
          <w:szCs w:val="21"/>
          <w:u w:val="single"/>
        </w:rPr>
        <w:t>10</w:t>
      </w:r>
      <w:r>
        <w:rPr>
          <w:rFonts w:hint="eastAsia" w:ascii="宋体" w:hAnsi="宋体" w:cs="宋体"/>
          <w:color w:val="auto"/>
          <w:szCs w:val="21"/>
        </w:rPr>
        <w:t>天对方有权单方解除合同，违约方承担因此给对方造成</w:t>
      </w:r>
      <w:r>
        <w:rPr>
          <w:rFonts w:hint="eastAsia" w:ascii="宋体" w:hAnsi="宋体" w:cs="宋体"/>
          <w:color w:val="auto"/>
          <w:szCs w:val="21"/>
          <w:lang w:val="en-US" w:eastAsia="zh-CN"/>
        </w:rPr>
        <w:t>的</w:t>
      </w:r>
      <w:r>
        <w:rPr>
          <w:rFonts w:hint="eastAsia" w:ascii="宋体" w:hAnsi="宋体" w:cs="宋体"/>
          <w:color w:val="auto"/>
          <w:szCs w:val="21"/>
        </w:rPr>
        <w:t>经济损失；甲方延期支付货款的，每天向乙方偿付延期货款额3‰违约金，但违约金累计不得超过延期货款额5%。</w:t>
      </w:r>
    </w:p>
    <w:p w14:paraId="5922E9D4">
      <w:pPr>
        <w:spacing w:line="420" w:lineRule="exact"/>
        <w:ind w:firstLine="420" w:firstLineChars="200"/>
        <w:rPr>
          <w:rFonts w:ascii="宋体" w:hAnsi="宋体" w:cs="宋体"/>
          <w:color w:val="auto"/>
          <w:szCs w:val="21"/>
        </w:rPr>
      </w:pPr>
      <w:r>
        <w:rPr>
          <w:rFonts w:hint="eastAsia" w:ascii="宋体" w:hAnsi="宋体" w:cs="宋体"/>
          <w:color w:val="auto"/>
          <w:szCs w:val="21"/>
        </w:rPr>
        <w:t>5、乙方未按本合同和竞争性谈判响应文件中规定的服务承诺提供售后服务的，乙方应按本合同合计金额5%向甲方支付违约金。</w:t>
      </w:r>
    </w:p>
    <w:p w14:paraId="58D16002">
      <w:pPr>
        <w:spacing w:line="420" w:lineRule="exact"/>
        <w:ind w:firstLine="420" w:firstLineChars="200"/>
        <w:rPr>
          <w:rFonts w:ascii="宋体" w:hAnsi="宋体" w:cs="宋体"/>
          <w:color w:val="auto"/>
          <w:szCs w:val="21"/>
        </w:rPr>
      </w:pPr>
      <w:r>
        <w:rPr>
          <w:rFonts w:hint="eastAsia" w:ascii="宋体" w:hAnsi="宋体" w:cs="宋体"/>
          <w:color w:val="auto"/>
          <w:szCs w:val="21"/>
        </w:rPr>
        <w:t>6、乙方提供的货物在质保期内，因设计、工艺或材料的缺陷和其他质量原因造成的问题，由乙方负责，费用从履约保证金中扣除，不足另补。</w:t>
      </w:r>
    </w:p>
    <w:p w14:paraId="5344CDDC">
      <w:pPr>
        <w:spacing w:line="420" w:lineRule="exact"/>
        <w:ind w:firstLine="420" w:firstLineChars="200"/>
        <w:rPr>
          <w:rFonts w:ascii="宋体" w:hAnsi="宋体" w:cs="宋体"/>
          <w:color w:val="auto"/>
          <w:szCs w:val="21"/>
        </w:rPr>
      </w:pPr>
      <w:r>
        <w:rPr>
          <w:rFonts w:hint="eastAsia" w:ascii="宋体" w:hAnsi="宋体" w:cs="宋体"/>
          <w:color w:val="auto"/>
          <w:szCs w:val="21"/>
        </w:rPr>
        <w:t>7、其</w:t>
      </w:r>
      <w:r>
        <w:rPr>
          <w:rFonts w:hint="eastAsia" w:ascii="宋体" w:hAnsi="宋体" w:cs="宋体"/>
          <w:color w:val="auto"/>
          <w:szCs w:val="21"/>
          <w:lang w:val="en-US" w:eastAsia="zh-CN"/>
        </w:rPr>
        <w:t>他</w:t>
      </w:r>
      <w:r>
        <w:rPr>
          <w:rFonts w:hint="eastAsia" w:ascii="宋体" w:hAnsi="宋体" w:cs="宋体"/>
          <w:color w:val="auto"/>
          <w:szCs w:val="21"/>
        </w:rPr>
        <w:t>违约行为按违约货款额5%收取违约金并赔偿经济损失。</w:t>
      </w:r>
    </w:p>
    <w:p w14:paraId="3D46B4EB">
      <w:pPr>
        <w:spacing w:line="420" w:lineRule="exact"/>
        <w:ind w:firstLine="422" w:firstLineChars="200"/>
        <w:rPr>
          <w:rFonts w:ascii="宋体" w:hAnsi="宋体" w:cs="宋体"/>
          <w:b/>
          <w:color w:val="auto"/>
          <w:szCs w:val="21"/>
        </w:rPr>
      </w:pPr>
      <w:r>
        <w:rPr>
          <w:rFonts w:hint="eastAsia" w:ascii="宋体" w:hAnsi="宋体" w:cs="宋体"/>
          <w:b/>
          <w:color w:val="auto"/>
          <w:szCs w:val="21"/>
        </w:rPr>
        <w:t>第十五条  不可抗力事件处理</w:t>
      </w:r>
    </w:p>
    <w:p w14:paraId="33DDB635">
      <w:pPr>
        <w:pStyle w:val="14"/>
        <w:snapToGrid w:val="0"/>
        <w:spacing w:line="420" w:lineRule="exact"/>
        <w:ind w:firstLine="420" w:firstLineChars="200"/>
        <w:rPr>
          <w:rFonts w:hAnsi="宋体" w:cs="宋体"/>
          <w:color w:val="auto"/>
          <w:sz w:val="21"/>
        </w:rPr>
      </w:pPr>
      <w:r>
        <w:rPr>
          <w:rFonts w:hint="eastAsia" w:hAnsi="宋体" w:cs="宋体"/>
          <w:color w:val="auto"/>
          <w:sz w:val="21"/>
        </w:rPr>
        <w:t>1、在合同有效期内，任何一方因不可抗力事件导致不能履行合同，则合同履行期可延长，其延长期与不可抗力影响期相同。</w:t>
      </w:r>
    </w:p>
    <w:p w14:paraId="1BB0DC1D">
      <w:pPr>
        <w:pStyle w:val="14"/>
        <w:snapToGrid w:val="0"/>
        <w:spacing w:line="420" w:lineRule="exact"/>
        <w:ind w:firstLine="420" w:firstLineChars="200"/>
        <w:rPr>
          <w:rFonts w:hAnsi="宋体" w:cs="宋体"/>
          <w:color w:val="auto"/>
          <w:sz w:val="21"/>
        </w:rPr>
      </w:pPr>
      <w:r>
        <w:rPr>
          <w:rFonts w:hint="eastAsia" w:hAnsi="宋体" w:cs="宋体"/>
          <w:color w:val="auto"/>
          <w:sz w:val="21"/>
        </w:rPr>
        <w:t>2、不可抗力事件发生后，应立即通知对方，并寄送有关权威机构出具的证明。</w:t>
      </w:r>
    </w:p>
    <w:p w14:paraId="7CA0BDCC">
      <w:pPr>
        <w:pStyle w:val="14"/>
        <w:snapToGrid w:val="0"/>
        <w:spacing w:line="420" w:lineRule="exact"/>
        <w:ind w:firstLine="420" w:firstLineChars="200"/>
        <w:rPr>
          <w:rFonts w:hAnsi="宋体" w:cs="宋体"/>
          <w:color w:val="auto"/>
          <w:sz w:val="21"/>
        </w:rPr>
      </w:pPr>
      <w:r>
        <w:rPr>
          <w:rFonts w:hint="eastAsia" w:hAnsi="宋体" w:cs="宋体"/>
          <w:color w:val="auto"/>
          <w:sz w:val="21"/>
        </w:rPr>
        <w:t>3、不可抗力事件延续120天以上，双方应通过友好协商，确定是否继续履行合同。</w:t>
      </w:r>
    </w:p>
    <w:p w14:paraId="1E8859B8">
      <w:pPr>
        <w:spacing w:line="420" w:lineRule="exact"/>
        <w:ind w:firstLine="422" w:firstLineChars="200"/>
        <w:rPr>
          <w:rFonts w:ascii="宋体" w:hAnsi="宋体" w:cs="宋体"/>
          <w:color w:val="auto"/>
          <w:szCs w:val="21"/>
        </w:rPr>
      </w:pPr>
      <w:r>
        <w:rPr>
          <w:rFonts w:hint="eastAsia" w:ascii="宋体" w:hAnsi="宋体" w:cs="宋体"/>
          <w:b/>
          <w:color w:val="auto"/>
          <w:szCs w:val="21"/>
        </w:rPr>
        <w:t>第十六条  合同争议解决</w:t>
      </w:r>
    </w:p>
    <w:p w14:paraId="20869ED0">
      <w:pPr>
        <w:spacing w:line="420" w:lineRule="exact"/>
        <w:ind w:firstLine="420" w:firstLineChars="200"/>
        <w:rPr>
          <w:rFonts w:ascii="宋体" w:hAnsi="宋体" w:cs="宋体"/>
          <w:color w:val="auto"/>
          <w:szCs w:val="21"/>
        </w:rPr>
      </w:pPr>
      <w:r>
        <w:rPr>
          <w:rFonts w:hint="eastAsia" w:ascii="宋体" w:hAnsi="宋体" w:cs="宋体"/>
          <w:color w:val="auto"/>
          <w:szCs w:val="21"/>
        </w:rPr>
        <w:t>1、因货物质量问题发生争议的，应邀请国家认可的质量检测机构对货物质量进行鉴定。货物符合标准的，鉴定费由甲方承担；货物不符合标准的，鉴定费由乙方承担。</w:t>
      </w:r>
    </w:p>
    <w:p w14:paraId="6C3AD595">
      <w:pPr>
        <w:spacing w:line="420" w:lineRule="exact"/>
        <w:ind w:firstLine="420" w:firstLineChars="200"/>
        <w:rPr>
          <w:rFonts w:ascii="宋体" w:hAnsi="宋体" w:cs="宋体"/>
          <w:color w:val="auto"/>
          <w:szCs w:val="21"/>
        </w:rPr>
      </w:pPr>
      <w:r>
        <w:rPr>
          <w:rFonts w:hint="eastAsia" w:ascii="宋体" w:hAnsi="宋体" w:cs="宋体"/>
          <w:color w:val="auto"/>
          <w:szCs w:val="21"/>
        </w:rPr>
        <w:t>2、因履行本合同引起的或与本合同有关的争议，甲乙双方应首先通过友好协商解决，如果协商不能解决，可向甲方所在地人民法院提起诉讼。</w:t>
      </w:r>
    </w:p>
    <w:p w14:paraId="1FF7A787">
      <w:pPr>
        <w:spacing w:line="420" w:lineRule="exact"/>
        <w:ind w:firstLine="420" w:firstLineChars="200"/>
        <w:rPr>
          <w:rFonts w:ascii="宋体" w:hAnsi="宋体" w:cs="宋体"/>
          <w:color w:val="auto"/>
          <w:szCs w:val="21"/>
        </w:rPr>
      </w:pPr>
      <w:r>
        <w:rPr>
          <w:rFonts w:hint="eastAsia" w:ascii="宋体" w:hAnsi="宋体" w:cs="宋体"/>
          <w:color w:val="auto"/>
          <w:szCs w:val="21"/>
        </w:rPr>
        <w:t>3、诉讼期间，本合同继续履行。</w:t>
      </w:r>
    </w:p>
    <w:p w14:paraId="38AA097A">
      <w:pPr>
        <w:spacing w:line="420" w:lineRule="exact"/>
        <w:ind w:firstLine="422" w:firstLineChars="200"/>
        <w:rPr>
          <w:rFonts w:ascii="宋体" w:hAnsi="宋体" w:cs="宋体"/>
          <w:b/>
          <w:color w:val="auto"/>
          <w:szCs w:val="21"/>
        </w:rPr>
      </w:pPr>
      <w:r>
        <w:rPr>
          <w:rFonts w:hint="eastAsia" w:ascii="宋体" w:hAnsi="宋体" w:cs="宋体"/>
          <w:b/>
          <w:color w:val="auto"/>
          <w:szCs w:val="21"/>
        </w:rPr>
        <w:t>第十七条  诉讼</w:t>
      </w:r>
    </w:p>
    <w:p w14:paraId="4E76992C">
      <w:pPr>
        <w:spacing w:line="420" w:lineRule="exact"/>
        <w:ind w:firstLine="420" w:firstLineChars="200"/>
        <w:rPr>
          <w:rFonts w:ascii="宋体" w:hAnsi="宋体" w:cs="宋体"/>
          <w:color w:val="auto"/>
          <w:szCs w:val="21"/>
        </w:rPr>
      </w:pPr>
      <w:r>
        <w:rPr>
          <w:rFonts w:hint="eastAsia" w:ascii="宋体" w:hAnsi="宋体" w:cs="宋体"/>
          <w:color w:val="auto"/>
          <w:szCs w:val="21"/>
        </w:rPr>
        <w:t>双方在执行合同中所发生的一切争议，应通过协商解决。如果协商不能解决，可向甲方所在地人民法院提起诉讼。</w:t>
      </w:r>
    </w:p>
    <w:p w14:paraId="32907440">
      <w:pPr>
        <w:spacing w:line="420" w:lineRule="exact"/>
        <w:ind w:firstLine="422" w:firstLineChars="200"/>
        <w:rPr>
          <w:rFonts w:ascii="宋体" w:hAnsi="宋体" w:cs="宋体"/>
          <w:b/>
          <w:color w:val="auto"/>
          <w:szCs w:val="21"/>
        </w:rPr>
      </w:pPr>
      <w:r>
        <w:rPr>
          <w:rFonts w:hint="eastAsia" w:ascii="宋体" w:hAnsi="宋体" w:cs="宋体"/>
          <w:b/>
          <w:color w:val="auto"/>
          <w:szCs w:val="21"/>
        </w:rPr>
        <w:t>第十八条  合同生效及其他</w:t>
      </w:r>
    </w:p>
    <w:p w14:paraId="50B55CF8">
      <w:pPr>
        <w:pStyle w:val="14"/>
        <w:snapToGrid w:val="0"/>
        <w:spacing w:line="420" w:lineRule="exact"/>
        <w:ind w:firstLine="411" w:firstLineChars="196"/>
        <w:rPr>
          <w:rFonts w:hAnsi="宋体" w:cs="宋体"/>
          <w:color w:val="auto"/>
          <w:sz w:val="21"/>
        </w:rPr>
      </w:pPr>
      <w:r>
        <w:rPr>
          <w:rFonts w:hint="eastAsia" w:hAnsi="宋体" w:cs="宋体"/>
          <w:color w:val="auto"/>
          <w:sz w:val="21"/>
        </w:rPr>
        <w:t>1．合同经双方法定代表人或授权代表签字并加盖单位公章后生效。</w:t>
      </w:r>
    </w:p>
    <w:p w14:paraId="1F624F08">
      <w:pPr>
        <w:pStyle w:val="14"/>
        <w:snapToGrid w:val="0"/>
        <w:spacing w:line="420" w:lineRule="exact"/>
        <w:ind w:firstLine="411" w:firstLineChars="196"/>
        <w:rPr>
          <w:rFonts w:hAnsi="宋体" w:cs="宋体"/>
          <w:color w:val="auto"/>
          <w:sz w:val="21"/>
        </w:rPr>
      </w:pPr>
      <w:r>
        <w:rPr>
          <w:rFonts w:hint="eastAsia" w:hAnsi="宋体" w:cs="宋体"/>
          <w:color w:val="auto"/>
          <w:sz w:val="21"/>
        </w:rPr>
        <w:t>2．合同执行中涉及采购资金和采购内容修改或补充的，须经财政部门审批，并签订书面补充协议报财政部门备案，方可作为主合同不可分割的一部分。</w:t>
      </w:r>
    </w:p>
    <w:p w14:paraId="71004B12">
      <w:pPr>
        <w:pStyle w:val="14"/>
        <w:snapToGrid w:val="0"/>
        <w:spacing w:line="420" w:lineRule="exact"/>
        <w:ind w:firstLine="411" w:firstLineChars="196"/>
        <w:rPr>
          <w:rFonts w:hAnsi="宋体" w:cs="宋体"/>
          <w:color w:val="auto"/>
          <w:sz w:val="21"/>
        </w:rPr>
      </w:pPr>
      <w:r>
        <w:rPr>
          <w:rFonts w:hint="eastAsia" w:hAnsi="宋体" w:cs="宋体"/>
          <w:color w:val="auto"/>
          <w:sz w:val="21"/>
        </w:rPr>
        <w:t>3．本合同未尽事宜，双方可以协商并签订补充协议。</w:t>
      </w:r>
    </w:p>
    <w:p w14:paraId="3F681C5C">
      <w:pPr>
        <w:pStyle w:val="14"/>
        <w:snapToGrid w:val="0"/>
        <w:spacing w:line="420" w:lineRule="exact"/>
        <w:ind w:firstLine="411" w:firstLineChars="196"/>
        <w:rPr>
          <w:rFonts w:hAnsi="宋体" w:cs="宋体"/>
          <w:color w:val="auto"/>
          <w:sz w:val="21"/>
        </w:rPr>
      </w:pPr>
      <w:r>
        <w:rPr>
          <w:rFonts w:hint="eastAsia" w:hAnsi="宋体" w:cs="宋体"/>
          <w:color w:val="auto"/>
          <w:sz w:val="21"/>
        </w:rPr>
        <w:t>4、本合同载明的各方地址为各方真实有效通讯地址，一方向对方发出的任何通知、信函和文件，以挂号信函或快递信函方式向对方地址邮寄有关通知、信函和文件的，自发出之日起第三日视为送达对方，挂号信函或快递信函的邮寄凭证即视为成功送达的有效凭证。一方地址（住所）变更的，应在变更后10日内书面通知对方，否则本合同载明的地址仍为真实有效通讯地址。若为提交的，自对方法定代表人、授权代表、委托代理人签收时或单位盖章时视为送达对方。</w:t>
      </w:r>
    </w:p>
    <w:p w14:paraId="1D4AF622">
      <w:pPr>
        <w:spacing w:line="420" w:lineRule="exact"/>
        <w:ind w:firstLine="422" w:firstLineChars="200"/>
        <w:rPr>
          <w:rFonts w:ascii="宋体" w:hAnsi="宋体" w:cs="宋体"/>
          <w:b/>
          <w:color w:val="auto"/>
          <w:szCs w:val="21"/>
        </w:rPr>
      </w:pPr>
      <w:r>
        <w:rPr>
          <w:rFonts w:hint="eastAsia" w:ascii="宋体" w:hAnsi="宋体" w:cs="宋体"/>
          <w:b/>
          <w:color w:val="auto"/>
          <w:szCs w:val="21"/>
        </w:rPr>
        <w:t>第十九条　合同的变更、终止与转让</w:t>
      </w:r>
    </w:p>
    <w:p w14:paraId="272E266A">
      <w:pPr>
        <w:spacing w:line="420" w:lineRule="exact"/>
        <w:ind w:firstLine="420" w:firstLineChars="200"/>
        <w:rPr>
          <w:rFonts w:ascii="宋体" w:hAnsi="宋体" w:cs="宋体"/>
          <w:color w:val="auto"/>
          <w:szCs w:val="21"/>
        </w:rPr>
      </w:pPr>
      <w:r>
        <w:rPr>
          <w:rFonts w:hint="eastAsia" w:ascii="宋体" w:hAnsi="宋体" w:cs="宋体"/>
          <w:color w:val="auto"/>
          <w:szCs w:val="21"/>
        </w:rPr>
        <w:t>1、除《中华人民共和国政府采购法》第五十条规定的情形外，本合同一经签订，甲乙双方不得擅自变更、中止或终止。</w:t>
      </w:r>
    </w:p>
    <w:p w14:paraId="433B4FF3">
      <w:pPr>
        <w:pStyle w:val="14"/>
        <w:snapToGrid w:val="0"/>
        <w:spacing w:line="420" w:lineRule="exact"/>
        <w:ind w:firstLine="411" w:firstLineChars="196"/>
        <w:rPr>
          <w:rFonts w:hAnsi="宋体" w:cs="宋体"/>
          <w:color w:val="auto"/>
          <w:sz w:val="21"/>
        </w:rPr>
      </w:pPr>
      <w:r>
        <w:rPr>
          <w:rFonts w:hint="eastAsia" w:hAnsi="宋体" w:cs="宋体"/>
          <w:color w:val="auto"/>
          <w:sz w:val="21"/>
        </w:rPr>
        <w:t>2、乙方不得擅自转让（无进口资格的供应商委托进口货物除外）其应履行的合同义务。</w:t>
      </w:r>
    </w:p>
    <w:p w14:paraId="13741AB8">
      <w:pPr>
        <w:spacing w:line="420" w:lineRule="exact"/>
        <w:ind w:firstLine="422" w:firstLineChars="200"/>
        <w:rPr>
          <w:rFonts w:ascii="宋体" w:hAnsi="宋体" w:cs="宋体"/>
          <w:b/>
          <w:color w:val="auto"/>
          <w:szCs w:val="21"/>
        </w:rPr>
      </w:pPr>
      <w:r>
        <w:rPr>
          <w:rFonts w:hint="eastAsia" w:ascii="宋体" w:hAnsi="宋体" w:cs="宋体"/>
          <w:b/>
          <w:color w:val="auto"/>
          <w:szCs w:val="21"/>
        </w:rPr>
        <w:t>第二十条　签订本合同依据</w:t>
      </w:r>
    </w:p>
    <w:p w14:paraId="2B9BEC72">
      <w:pPr>
        <w:pStyle w:val="14"/>
        <w:snapToGrid w:val="0"/>
        <w:spacing w:line="420" w:lineRule="exact"/>
        <w:ind w:firstLine="411" w:firstLineChars="196"/>
        <w:rPr>
          <w:rFonts w:hAnsi="宋体" w:cs="宋体"/>
          <w:color w:val="auto"/>
          <w:sz w:val="21"/>
        </w:rPr>
      </w:pPr>
      <w:r>
        <w:rPr>
          <w:rFonts w:hint="eastAsia" w:hAnsi="宋体" w:cs="宋体"/>
          <w:color w:val="auto"/>
          <w:sz w:val="21"/>
        </w:rPr>
        <w:t>1、政府采购竞争性谈判文件；</w:t>
      </w:r>
    </w:p>
    <w:p w14:paraId="4D08364D">
      <w:pPr>
        <w:pStyle w:val="14"/>
        <w:snapToGrid w:val="0"/>
        <w:spacing w:line="420" w:lineRule="exact"/>
        <w:ind w:firstLine="411" w:firstLineChars="196"/>
        <w:rPr>
          <w:rFonts w:hAnsi="宋体" w:cs="宋体"/>
          <w:color w:val="auto"/>
          <w:sz w:val="21"/>
        </w:rPr>
      </w:pPr>
      <w:r>
        <w:rPr>
          <w:rFonts w:hint="eastAsia" w:hAnsi="宋体" w:cs="宋体"/>
          <w:color w:val="auto"/>
          <w:sz w:val="21"/>
        </w:rPr>
        <w:t>2、乙方提供的竞争性谈判响应文件；</w:t>
      </w:r>
    </w:p>
    <w:p w14:paraId="592E561B">
      <w:pPr>
        <w:pStyle w:val="14"/>
        <w:snapToGrid w:val="0"/>
        <w:spacing w:line="420" w:lineRule="exact"/>
        <w:ind w:firstLine="411" w:firstLineChars="196"/>
        <w:rPr>
          <w:rFonts w:hAnsi="宋体" w:cs="宋体"/>
          <w:color w:val="auto"/>
          <w:sz w:val="21"/>
        </w:rPr>
      </w:pPr>
      <w:r>
        <w:rPr>
          <w:rFonts w:hint="eastAsia" w:hAnsi="宋体" w:cs="宋体"/>
          <w:color w:val="auto"/>
          <w:sz w:val="21"/>
        </w:rPr>
        <w:t>3、成交通知书。</w:t>
      </w:r>
    </w:p>
    <w:p w14:paraId="73AA0316">
      <w:pPr>
        <w:spacing w:line="420" w:lineRule="exact"/>
        <w:ind w:firstLine="422" w:firstLineChars="200"/>
        <w:rPr>
          <w:rFonts w:ascii="宋体" w:hAnsi="宋体" w:cs="宋体"/>
          <w:color w:val="auto"/>
          <w:szCs w:val="21"/>
        </w:rPr>
      </w:pPr>
      <w:r>
        <w:rPr>
          <w:rFonts w:hint="eastAsia" w:ascii="宋体" w:hAnsi="宋体" w:cs="宋体"/>
          <w:b/>
          <w:color w:val="auto"/>
          <w:szCs w:val="21"/>
        </w:rPr>
        <w:t>第二十一条　</w:t>
      </w:r>
      <w:r>
        <w:rPr>
          <w:rFonts w:hint="eastAsia" w:ascii="宋体" w:hAnsi="宋体" w:cs="宋体"/>
          <w:color w:val="auto"/>
          <w:szCs w:val="21"/>
        </w:rPr>
        <w:t>本合同壹式</w:t>
      </w:r>
      <w:r>
        <w:rPr>
          <w:rFonts w:hint="eastAsia" w:ascii="宋体" w:hAnsi="宋体" w:cs="宋体"/>
          <w:color w:val="auto"/>
          <w:szCs w:val="21"/>
          <w:lang w:val="en-US" w:eastAsia="zh-CN"/>
        </w:rPr>
        <w:t>玖</w:t>
      </w:r>
      <w:r>
        <w:rPr>
          <w:rFonts w:hint="eastAsia" w:ascii="宋体" w:hAnsi="宋体" w:cs="宋体"/>
          <w:color w:val="auto"/>
          <w:szCs w:val="21"/>
        </w:rPr>
        <w:t>份，具有同等法律效力，甲方</w:t>
      </w:r>
      <w:r>
        <w:rPr>
          <w:rFonts w:hint="eastAsia" w:ascii="宋体" w:hAnsi="宋体" w:cs="宋体"/>
          <w:color w:val="auto"/>
          <w:szCs w:val="21"/>
          <w:lang w:val="en-US" w:eastAsia="zh-CN"/>
        </w:rPr>
        <w:t>陆</w:t>
      </w:r>
      <w:r>
        <w:rPr>
          <w:rFonts w:hint="eastAsia" w:ascii="宋体" w:hAnsi="宋体" w:cs="宋体"/>
          <w:color w:val="auto"/>
          <w:szCs w:val="21"/>
        </w:rPr>
        <w:t>份、乙方贰份、采购代理机构壹份。</w:t>
      </w:r>
    </w:p>
    <w:p w14:paraId="15F06624">
      <w:pPr>
        <w:spacing w:line="360" w:lineRule="auto"/>
        <w:ind w:firstLine="420" w:firstLineChars="200"/>
        <w:rPr>
          <w:rFonts w:ascii="宋体" w:hAnsi="宋体" w:cs="宋体"/>
          <w:color w:val="auto"/>
          <w:szCs w:val="21"/>
        </w:rPr>
      </w:pPr>
      <w:r>
        <w:rPr>
          <w:rFonts w:hint="eastAsia" w:ascii="宋体" w:hAnsi="宋体" w:cs="宋体"/>
          <w:color w:val="auto"/>
          <w:kern w:val="0"/>
          <w:szCs w:val="21"/>
        </w:rPr>
        <w:t>本合同自签订之日起2个工作日内，甲方应当将采购合同在广西壮族自治区财政厅指定的媒体上公告</w:t>
      </w:r>
      <w:r>
        <w:rPr>
          <w:rFonts w:hint="eastAsia" w:ascii="宋体" w:hAnsi="宋体" w:cs="宋体"/>
          <w:color w:val="auto"/>
          <w:szCs w:val="21"/>
        </w:rPr>
        <w:t>。</w:t>
      </w:r>
    </w:p>
    <w:p w14:paraId="21BE062F">
      <w:pPr>
        <w:rPr>
          <w:color w:val="auto"/>
        </w:rPr>
      </w:pPr>
    </w:p>
    <w:p w14:paraId="7B97478B">
      <w:pPr>
        <w:rPr>
          <w:color w:val="auto"/>
        </w:rPr>
      </w:pPr>
    </w:p>
    <w:p w14:paraId="28BE7126">
      <w:pPr>
        <w:rPr>
          <w:color w:val="auto"/>
        </w:rPr>
      </w:pPr>
    </w:p>
    <w:tbl>
      <w:tblPr>
        <w:tblStyle w:val="25"/>
        <w:tblpPr w:leftFromText="180" w:rightFromText="180" w:vertAnchor="text" w:horzAnchor="margin" w:tblpY="214"/>
        <w:tblW w:w="9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8"/>
        <w:gridCol w:w="4569"/>
      </w:tblGrid>
      <w:tr w14:paraId="7DC21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7" w:hRule="atLeast"/>
        </w:trPr>
        <w:tc>
          <w:tcPr>
            <w:tcW w:w="4568" w:type="dxa"/>
            <w:tcBorders>
              <w:top w:val="single" w:color="auto" w:sz="4" w:space="0"/>
              <w:left w:val="single" w:color="auto" w:sz="4" w:space="0"/>
              <w:bottom w:val="single" w:color="auto" w:sz="4" w:space="0"/>
              <w:right w:val="single" w:color="auto" w:sz="4" w:space="0"/>
            </w:tcBorders>
            <w:vAlign w:val="center"/>
          </w:tcPr>
          <w:p w14:paraId="1E9BAA87">
            <w:pPr>
              <w:snapToGrid w:val="0"/>
              <w:spacing w:line="360" w:lineRule="auto"/>
              <w:rPr>
                <w:rFonts w:ascii="宋体" w:hAnsi="宋体" w:cs="宋体"/>
                <w:color w:val="auto"/>
                <w:szCs w:val="21"/>
              </w:rPr>
            </w:pPr>
            <w:r>
              <w:rPr>
                <w:rFonts w:hint="eastAsia" w:ascii="宋体" w:hAnsi="宋体" w:cs="宋体"/>
                <w:color w:val="auto"/>
                <w:szCs w:val="21"/>
              </w:rPr>
              <w:t>甲方：广西职业师范学院（章）</w:t>
            </w:r>
          </w:p>
          <w:p w14:paraId="1918FECD">
            <w:pPr>
              <w:snapToGrid w:val="0"/>
              <w:spacing w:line="360" w:lineRule="auto"/>
              <w:rPr>
                <w:rFonts w:ascii="宋体" w:hAnsi="宋体" w:cs="宋体"/>
                <w:color w:val="auto"/>
                <w:szCs w:val="21"/>
              </w:rPr>
            </w:pPr>
          </w:p>
          <w:p w14:paraId="46177F23">
            <w:pPr>
              <w:snapToGrid w:val="0"/>
              <w:spacing w:line="360" w:lineRule="auto"/>
              <w:rPr>
                <w:rFonts w:ascii="宋体" w:hAnsi="宋体" w:cs="宋体"/>
                <w:color w:val="auto"/>
                <w:szCs w:val="21"/>
              </w:rPr>
            </w:pPr>
          </w:p>
          <w:p w14:paraId="0E1022DA">
            <w:pPr>
              <w:snapToGrid w:val="0"/>
              <w:spacing w:line="360" w:lineRule="auto"/>
              <w:ind w:firstLine="945" w:firstLineChars="450"/>
              <w:jc w:val="right"/>
              <w:rPr>
                <w:rFonts w:ascii="宋体" w:hAnsi="宋体" w:cs="宋体"/>
                <w:color w:val="auto"/>
                <w:szCs w:val="21"/>
              </w:rPr>
            </w:pPr>
          </w:p>
          <w:p w14:paraId="429198FB">
            <w:pPr>
              <w:snapToGrid w:val="0"/>
              <w:spacing w:line="360" w:lineRule="auto"/>
              <w:ind w:firstLine="945" w:firstLineChars="450"/>
              <w:jc w:val="right"/>
              <w:rPr>
                <w:rFonts w:ascii="宋体" w:hAnsi="宋体" w:cs="宋体"/>
                <w:color w:val="auto"/>
                <w:szCs w:val="21"/>
              </w:rPr>
            </w:pPr>
            <w:r>
              <w:rPr>
                <w:rFonts w:hint="eastAsia" w:ascii="宋体" w:hAnsi="宋体" w:cs="宋体"/>
                <w:color w:val="auto"/>
                <w:szCs w:val="21"/>
              </w:rPr>
              <w:t>年   月   日</w:t>
            </w:r>
          </w:p>
        </w:tc>
        <w:tc>
          <w:tcPr>
            <w:tcW w:w="4569" w:type="dxa"/>
            <w:tcBorders>
              <w:top w:val="single" w:color="auto" w:sz="4" w:space="0"/>
              <w:left w:val="single" w:color="auto" w:sz="4" w:space="0"/>
              <w:bottom w:val="single" w:color="auto" w:sz="4" w:space="0"/>
              <w:right w:val="single" w:color="auto" w:sz="4" w:space="0"/>
            </w:tcBorders>
            <w:vAlign w:val="center"/>
          </w:tcPr>
          <w:p w14:paraId="1456E2A4">
            <w:pPr>
              <w:snapToGrid w:val="0"/>
              <w:spacing w:line="360" w:lineRule="auto"/>
              <w:rPr>
                <w:rFonts w:ascii="宋体" w:hAnsi="宋体" w:cs="宋体"/>
                <w:color w:val="auto"/>
                <w:szCs w:val="21"/>
              </w:rPr>
            </w:pPr>
            <w:r>
              <w:rPr>
                <w:rFonts w:hint="eastAsia" w:ascii="宋体" w:hAnsi="宋体" w:cs="宋体"/>
                <w:color w:val="auto"/>
                <w:szCs w:val="21"/>
              </w:rPr>
              <w:t xml:space="preserve">乙方：（章）       </w:t>
            </w:r>
          </w:p>
          <w:p w14:paraId="2E724F2E">
            <w:pPr>
              <w:snapToGrid w:val="0"/>
              <w:spacing w:line="360" w:lineRule="auto"/>
              <w:rPr>
                <w:rFonts w:ascii="宋体" w:hAnsi="宋体" w:cs="宋体"/>
                <w:color w:val="auto"/>
                <w:szCs w:val="21"/>
              </w:rPr>
            </w:pPr>
          </w:p>
          <w:p w14:paraId="4710C7DC">
            <w:pPr>
              <w:snapToGrid w:val="0"/>
              <w:spacing w:line="360" w:lineRule="auto"/>
              <w:rPr>
                <w:rFonts w:ascii="宋体" w:hAnsi="宋体" w:cs="宋体"/>
                <w:color w:val="auto"/>
                <w:szCs w:val="21"/>
              </w:rPr>
            </w:pPr>
            <w:r>
              <w:rPr>
                <w:rFonts w:hint="eastAsia" w:ascii="宋体" w:hAnsi="宋体" w:cs="宋体"/>
                <w:color w:val="auto"/>
                <w:szCs w:val="21"/>
              </w:rPr>
              <w:t xml:space="preserve">       </w:t>
            </w:r>
          </w:p>
          <w:p w14:paraId="0D6B26B7">
            <w:pPr>
              <w:snapToGrid w:val="0"/>
              <w:spacing w:line="360" w:lineRule="auto"/>
              <w:jc w:val="right"/>
              <w:rPr>
                <w:rFonts w:ascii="宋体" w:hAnsi="宋体" w:cs="宋体"/>
                <w:color w:val="auto"/>
                <w:szCs w:val="21"/>
              </w:rPr>
            </w:pPr>
          </w:p>
          <w:p w14:paraId="0B10CD48">
            <w:pPr>
              <w:snapToGrid w:val="0"/>
              <w:spacing w:line="360" w:lineRule="auto"/>
              <w:jc w:val="right"/>
              <w:rPr>
                <w:rFonts w:ascii="宋体" w:hAnsi="宋体" w:cs="宋体"/>
                <w:color w:val="auto"/>
                <w:szCs w:val="21"/>
              </w:rPr>
            </w:pPr>
            <w:r>
              <w:rPr>
                <w:rFonts w:hint="eastAsia" w:ascii="宋体" w:hAnsi="宋体" w:cs="宋体"/>
                <w:color w:val="auto"/>
                <w:szCs w:val="21"/>
              </w:rPr>
              <w:t xml:space="preserve"> 年   月   日</w:t>
            </w:r>
          </w:p>
        </w:tc>
      </w:tr>
      <w:tr w14:paraId="3212C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8" w:type="dxa"/>
            <w:tcBorders>
              <w:top w:val="single" w:color="auto" w:sz="4" w:space="0"/>
              <w:left w:val="single" w:color="auto" w:sz="4" w:space="0"/>
              <w:bottom w:val="single" w:color="auto" w:sz="4" w:space="0"/>
              <w:right w:val="single" w:color="auto" w:sz="4" w:space="0"/>
            </w:tcBorders>
            <w:vAlign w:val="center"/>
          </w:tcPr>
          <w:p w14:paraId="009B1308">
            <w:pPr>
              <w:snapToGrid w:val="0"/>
              <w:spacing w:line="360" w:lineRule="auto"/>
              <w:rPr>
                <w:rFonts w:ascii="宋体" w:hAnsi="宋体" w:cs="宋体"/>
                <w:color w:val="auto"/>
                <w:szCs w:val="21"/>
              </w:rPr>
            </w:pPr>
            <w:r>
              <w:rPr>
                <w:rFonts w:hint="eastAsia" w:ascii="宋体" w:hAnsi="宋体" w:cs="宋体"/>
                <w:color w:val="auto"/>
                <w:szCs w:val="21"/>
              </w:rPr>
              <w:t>单位地址：南宁市西乡塘区大学东路105号</w:t>
            </w:r>
          </w:p>
        </w:tc>
        <w:tc>
          <w:tcPr>
            <w:tcW w:w="4569" w:type="dxa"/>
            <w:tcBorders>
              <w:top w:val="single" w:color="auto" w:sz="4" w:space="0"/>
              <w:left w:val="single" w:color="auto" w:sz="4" w:space="0"/>
              <w:bottom w:val="single" w:color="auto" w:sz="4" w:space="0"/>
              <w:right w:val="single" w:color="auto" w:sz="4" w:space="0"/>
            </w:tcBorders>
            <w:vAlign w:val="center"/>
          </w:tcPr>
          <w:p w14:paraId="0899F741">
            <w:pPr>
              <w:snapToGrid w:val="0"/>
              <w:spacing w:line="360" w:lineRule="auto"/>
              <w:rPr>
                <w:rFonts w:ascii="宋体" w:hAnsi="宋体" w:cs="宋体"/>
                <w:color w:val="auto"/>
                <w:szCs w:val="21"/>
              </w:rPr>
            </w:pPr>
            <w:r>
              <w:rPr>
                <w:rFonts w:hint="eastAsia" w:ascii="宋体" w:hAnsi="宋体" w:cs="宋体"/>
                <w:color w:val="auto"/>
                <w:szCs w:val="21"/>
              </w:rPr>
              <w:t xml:space="preserve">单位地址： </w:t>
            </w:r>
          </w:p>
        </w:tc>
      </w:tr>
      <w:tr w14:paraId="033EA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trPr>
        <w:tc>
          <w:tcPr>
            <w:tcW w:w="4568" w:type="dxa"/>
            <w:tcBorders>
              <w:top w:val="single" w:color="auto" w:sz="4" w:space="0"/>
              <w:left w:val="single" w:color="auto" w:sz="4" w:space="0"/>
              <w:right w:val="single" w:color="auto" w:sz="4" w:space="0"/>
            </w:tcBorders>
            <w:vAlign w:val="center"/>
          </w:tcPr>
          <w:p w14:paraId="3BC10A88">
            <w:pPr>
              <w:snapToGrid w:val="0"/>
              <w:spacing w:line="360" w:lineRule="auto"/>
              <w:rPr>
                <w:rFonts w:ascii="宋体" w:hAnsi="宋体" w:cs="宋体"/>
                <w:color w:val="auto"/>
                <w:szCs w:val="21"/>
              </w:rPr>
            </w:pPr>
            <w:r>
              <w:rPr>
                <w:rFonts w:hint="eastAsia" w:ascii="宋体" w:hAnsi="宋体" w:cs="宋体"/>
                <w:color w:val="auto"/>
                <w:szCs w:val="21"/>
              </w:rPr>
              <w:t>法定代表人</w:t>
            </w:r>
          </w:p>
          <w:p w14:paraId="1EDA92B5">
            <w:pPr>
              <w:snapToGrid w:val="0"/>
              <w:spacing w:line="360" w:lineRule="auto"/>
              <w:rPr>
                <w:rFonts w:ascii="宋体" w:hAnsi="宋体" w:cs="宋体"/>
                <w:color w:val="auto"/>
                <w:szCs w:val="21"/>
              </w:rPr>
            </w:pPr>
            <w:r>
              <w:rPr>
                <w:rFonts w:hint="eastAsia" w:ascii="宋体" w:hAnsi="宋体" w:cs="宋体"/>
                <w:color w:val="auto"/>
                <w:szCs w:val="21"/>
              </w:rPr>
              <w:t>或委托代理人：</w:t>
            </w:r>
          </w:p>
        </w:tc>
        <w:tc>
          <w:tcPr>
            <w:tcW w:w="4569" w:type="dxa"/>
            <w:tcBorders>
              <w:top w:val="single" w:color="auto" w:sz="4" w:space="0"/>
              <w:left w:val="single" w:color="auto" w:sz="4" w:space="0"/>
              <w:bottom w:val="single" w:color="auto" w:sz="4" w:space="0"/>
              <w:right w:val="single" w:color="auto" w:sz="4" w:space="0"/>
            </w:tcBorders>
            <w:vAlign w:val="center"/>
          </w:tcPr>
          <w:p w14:paraId="2E89CB0D">
            <w:pPr>
              <w:snapToGrid w:val="0"/>
              <w:spacing w:line="360" w:lineRule="auto"/>
              <w:rPr>
                <w:rFonts w:ascii="宋体" w:hAnsi="宋体" w:cs="宋体"/>
                <w:color w:val="auto"/>
                <w:szCs w:val="21"/>
              </w:rPr>
            </w:pPr>
            <w:r>
              <w:rPr>
                <w:rFonts w:hint="eastAsia" w:ascii="宋体" w:hAnsi="宋体" w:cs="宋体"/>
                <w:color w:val="auto"/>
                <w:szCs w:val="21"/>
              </w:rPr>
              <w:t>法定代表人</w:t>
            </w:r>
          </w:p>
          <w:p w14:paraId="358569C7">
            <w:pPr>
              <w:snapToGrid w:val="0"/>
              <w:spacing w:line="360" w:lineRule="auto"/>
              <w:rPr>
                <w:rFonts w:ascii="宋体" w:hAnsi="宋体" w:cs="宋体"/>
                <w:color w:val="auto"/>
                <w:szCs w:val="21"/>
              </w:rPr>
            </w:pPr>
            <w:r>
              <w:rPr>
                <w:rFonts w:hint="eastAsia" w:ascii="宋体" w:hAnsi="宋体" w:cs="宋体"/>
                <w:color w:val="auto"/>
                <w:szCs w:val="21"/>
              </w:rPr>
              <w:t>或委托代理人：</w:t>
            </w:r>
          </w:p>
        </w:tc>
      </w:tr>
      <w:tr w14:paraId="21CEB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8" w:type="dxa"/>
            <w:tcBorders>
              <w:top w:val="single" w:color="auto" w:sz="4" w:space="0"/>
              <w:left w:val="single" w:color="auto" w:sz="4" w:space="0"/>
              <w:bottom w:val="single" w:color="auto" w:sz="4" w:space="0"/>
              <w:right w:val="single" w:color="auto" w:sz="4" w:space="0"/>
            </w:tcBorders>
            <w:vAlign w:val="center"/>
          </w:tcPr>
          <w:p w14:paraId="6DCE05E1">
            <w:pPr>
              <w:snapToGrid w:val="0"/>
              <w:spacing w:line="360" w:lineRule="auto"/>
              <w:rPr>
                <w:rFonts w:ascii="宋体" w:hAnsi="宋体" w:cs="宋体"/>
                <w:color w:val="auto"/>
                <w:szCs w:val="21"/>
              </w:rPr>
            </w:pPr>
            <w:r>
              <w:rPr>
                <w:rFonts w:hint="eastAsia" w:ascii="宋体" w:hAnsi="宋体" w:cs="宋体"/>
                <w:color w:val="auto"/>
                <w:szCs w:val="21"/>
              </w:rPr>
              <w:t>电话：</w:t>
            </w:r>
          </w:p>
        </w:tc>
        <w:tc>
          <w:tcPr>
            <w:tcW w:w="4569" w:type="dxa"/>
            <w:tcBorders>
              <w:top w:val="single" w:color="auto" w:sz="4" w:space="0"/>
              <w:left w:val="single" w:color="auto" w:sz="4" w:space="0"/>
              <w:bottom w:val="single" w:color="auto" w:sz="4" w:space="0"/>
              <w:right w:val="single" w:color="auto" w:sz="4" w:space="0"/>
            </w:tcBorders>
            <w:vAlign w:val="center"/>
          </w:tcPr>
          <w:p w14:paraId="144937AA">
            <w:pPr>
              <w:snapToGrid w:val="0"/>
              <w:spacing w:line="360" w:lineRule="auto"/>
              <w:rPr>
                <w:rFonts w:ascii="宋体" w:hAnsi="宋体" w:cs="宋体"/>
                <w:color w:val="auto"/>
                <w:szCs w:val="21"/>
              </w:rPr>
            </w:pPr>
            <w:r>
              <w:rPr>
                <w:rFonts w:hint="eastAsia" w:ascii="宋体" w:hAnsi="宋体" w:cs="宋体"/>
                <w:color w:val="auto"/>
                <w:szCs w:val="21"/>
              </w:rPr>
              <w:t>电话：</w:t>
            </w:r>
          </w:p>
        </w:tc>
      </w:tr>
      <w:tr w14:paraId="59805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8" w:type="dxa"/>
            <w:tcBorders>
              <w:top w:val="single" w:color="auto" w:sz="4" w:space="0"/>
              <w:left w:val="single" w:color="auto" w:sz="4" w:space="0"/>
              <w:bottom w:val="single" w:color="auto" w:sz="4" w:space="0"/>
              <w:right w:val="single" w:color="auto" w:sz="4" w:space="0"/>
            </w:tcBorders>
            <w:vAlign w:val="center"/>
          </w:tcPr>
          <w:p w14:paraId="7102531C">
            <w:pPr>
              <w:snapToGrid w:val="0"/>
              <w:spacing w:line="360" w:lineRule="auto"/>
              <w:rPr>
                <w:rFonts w:ascii="宋体" w:hAnsi="宋体" w:cs="宋体"/>
                <w:color w:val="auto"/>
                <w:szCs w:val="21"/>
              </w:rPr>
            </w:pPr>
            <w:r>
              <w:rPr>
                <w:rFonts w:hint="eastAsia" w:ascii="宋体" w:hAnsi="宋体" w:cs="宋体"/>
                <w:color w:val="auto"/>
                <w:szCs w:val="21"/>
              </w:rPr>
              <w:t>开户银行：</w:t>
            </w:r>
          </w:p>
        </w:tc>
        <w:tc>
          <w:tcPr>
            <w:tcW w:w="4569" w:type="dxa"/>
            <w:tcBorders>
              <w:top w:val="single" w:color="auto" w:sz="4" w:space="0"/>
              <w:left w:val="single" w:color="auto" w:sz="4" w:space="0"/>
              <w:bottom w:val="single" w:color="auto" w:sz="4" w:space="0"/>
              <w:right w:val="single" w:color="auto" w:sz="4" w:space="0"/>
            </w:tcBorders>
            <w:vAlign w:val="center"/>
          </w:tcPr>
          <w:p w14:paraId="11C1A084">
            <w:pPr>
              <w:snapToGrid w:val="0"/>
              <w:spacing w:line="360" w:lineRule="auto"/>
              <w:rPr>
                <w:rFonts w:ascii="宋体" w:hAnsi="宋体" w:cs="宋体"/>
                <w:color w:val="auto"/>
                <w:szCs w:val="21"/>
              </w:rPr>
            </w:pPr>
            <w:r>
              <w:rPr>
                <w:rFonts w:hint="eastAsia" w:ascii="宋体" w:hAnsi="宋体" w:cs="宋体"/>
                <w:color w:val="auto"/>
                <w:szCs w:val="21"/>
              </w:rPr>
              <w:t xml:space="preserve">开户银行： </w:t>
            </w:r>
          </w:p>
        </w:tc>
      </w:tr>
      <w:tr w14:paraId="1D68F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8" w:type="dxa"/>
            <w:tcBorders>
              <w:top w:val="single" w:color="auto" w:sz="4" w:space="0"/>
              <w:left w:val="single" w:color="auto" w:sz="4" w:space="0"/>
              <w:bottom w:val="single" w:color="auto" w:sz="4" w:space="0"/>
              <w:right w:val="single" w:color="auto" w:sz="4" w:space="0"/>
            </w:tcBorders>
            <w:vAlign w:val="center"/>
          </w:tcPr>
          <w:p w14:paraId="39A1386A">
            <w:pPr>
              <w:snapToGrid w:val="0"/>
              <w:spacing w:line="360" w:lineRule="auto"/>
              <w:rPr>
                <w:rFonts w:ascii="宋体" w:hAnsi="宋体" w:cs="宋体"/>
                <w:color w:val="auto"/>
                <w:szCs w:val="21"/>
              </w:rPr>
            </w:pPr>
            <w:r>
              <w:rPr>
                <w:rFonts w:hint="eastAsia" w:ascii="宋体" w:hAnsi="宋体" w:cs="宋体"/>
                <w:color w:val="auto"/>
                <w:szCs w:val="21"/>
              </w:rPr>
              <w:t>账号：</w:t>
            </w:r>
          </w:p>
        </w:tc>
        <w:tc>
          <w:tcPr>
            <w:tcW w:w="4569" w:type="dxa"/>
            <w:tcBorders>
              <w:top w:val="single" w:color="auto" w:sz="4" w:space="0"/>
              <w:left w:val="single" w:color="auto" w:sz="4" w:space="0"/>
              <w:bottom w:val="single" w:color="auto" w:sz="4" w:space="0"/>
              <w:right w:val="single" w:color="auto" w:sz="4" w:space="0"/>
            </w:tcBorders>
            <w:vAlign w:val="center"/>
          </w:tcPr>
          <w:p w14:paraId="10214992">
            <w:pPr>
              <w:snapToGrid w:val="0"/>
              <w:spacing w:line="360" w:lineRule="auto"/>
              <w:rPr>
                <w:rFonts w:ascii="宋体" w:hAnsi="宋体" w:cs="宋体"/>
                <w:color w:val="auto"/>
                <w:szCs w:val="21"/>
              </w:rPr>
            </w:pPr>
            <w:r>
              <w:rPr>
                <w:rFonts w:hint="eastAsia" w:ascii="宋体" w:hAnsi="宋体" w:cs="宋体"/>
                <w:color w:val="auto"/>
                <w:szCs w:val="21"/>
              </w:rPr>
              <w:t>账号：</w:t>
            </w:r>
          </w:p>
        </w:tc>
      </w:tr>
      <w:tr w14:paraId="6717D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8" w:type="dxa"/>
            <w:tcBorders>
              <w:top w:val="single" w:color="auto" w:sz="4" w:space="0"/>
              <w:left w:val="single" w:color="auto" w:sz="4" w:space="0"/>
              <w:bottom w:val="single" w:color="auto" w:sz="4" w:space="0"/>
              <w:right w:val="single" w:color="auto" w:sz="4" w:space="0"/>
            </w:tcBorders>
            <w:vAlign w:val="center"/>
          </w:tcPr>
          <w:p w14:paraId="305B5BF4">
            <w:pPr>
              <w:snapToGrid w:val="0"/>
              <w:spacing w:line="360" w:lineRule="auto"/>
              <w:rPr>
                <w:rFonts w:ascii="宋体" w:hAnsi="宋体" w:cs="宋体"/>
                <w:color w:val="auto"/>
                <w:szCs w:val="21"/>
              </w:rPr>
            </w:pPr>
            <w:r>
              <w:rPr>
                <w:rFonts w:hint="eastAsia" w:ascii="宋体" w:hAnsi="宋体" w:cs="宋体"/>
                <w:color w:val="auto"/>
                <w:szCs w:val="21"/>
              </w:rPr>
              <w:t>邮政编码：</w:t>
            </w:r>
          </w:p>
        </w:tc>
        <w:tc>
          <w:tcPr>
            <w:tcW w:w="4569" w:type="dxa"/>
            <w:tcBorders>
              <w:top w:val="single" w:color="auto" w:sz="4" w:space="0"/>
              <w:left w:val="single" w:color="auto" w:sz="4" w:space="0"/>
              <w:bottom w:val="single" w:color="auto" w:sz="4" w:space="0"/>
              <w:right w:val="single" w:color="auto" w:sz="4" w:space="0"/>
            </w:tcBorders>
            <w:vAlign w:val="center"/>
          </w:tcPr>
          <w:p w14:paraId="4EF8DE37">
            <w:pPr>
              <w:snapToGrid w:val="0"/>
              <w:spacing w:line="360" w:lineRule="auto"/>
              <w:rPr>
                <w:rFonts w:ascii="宋体" w:hAnsi="宋体" w:cs="宋体"/>
                <w:color w:val="auto"/>
                <w:szCs w:val="21"/>
              </w:rPr>
            </w:pPr>
            <w:r>
              <w:rPr>
                <w:rFonts w:hint="eastAsia" w:ascii="宋体" w:hAnsi="宋体" w:cs="宋体"/>
                <w:color w:val="auto"/>
                <w:szCs w:val="21"/>
              </w:rPr>
              <w:t>邮政编码：</w:t>
            </w:r>
          </w:p>
        </w:tc>
      </w:tr>
    </w:tbl>
    <w:p w14:paraId="0354CF70">
      <w:pPr>
        <w:snapToGrid w:val="0"/>
        <w:spacing w:line="360" w:lineRule="auto"/>
        <w:rPr>
          <w:rFonts w:ascii="宋体" w:hAnsi="宋体" w:cs="宋体"/>
          <w:b/>
          <w:color w:val="auto"/>
          <w:szCs w:val="21"/>
        </w:rPr>
      </w:pPr>
    </w:p>
    <w:p w14:paraId="3AA42FAC">
      <w:pPr>
        <w:spacing w:line="360" w:lineRule="auto"/>
        <w:ind w:firstLine="420" w:firstLineChars="200"/>
        <w:rPr>
          <w:rFonts w:ascii="宋体" w:hAnsi="宋体" w:cs="宋体"/>
          <w:color w:val="auto"/>
        </w:rPr>
      </w:pPr>
      <w:r>
        <w:rPr>
          <w:rFonts w:hint="eastAsia" w:ascii="宋体" w:hAnsi="宋体" w:cs="宋体"/>
          <w:color w:val="auto"/>
        </w:rPr>
        <w:br w:type="page"/>
      </w:r>
      <w:r>
        <w:rPr>
          <w:rFonts w:hint="eastAsia" w:ascii="宋体" w:hAnsi="宋体" w:cs="宋体"/>
          <w:bCs/>
          <w:color w:val="auto"/>
          <w:sz w:val="32"/>
          <w:szCs w:val="32"/>
        </w:rPr>
        <w:t>附件1：</w:t>
      </w:r>
    </w:p>
    <w:p w14:paraId="75833329">
      <w:pPr>
        <w:jc w:val="center"/>
        <w:rPr>
          <w:rFonts w:ascii="宋体" w:hAnsi="宋体" w:cs="宋体"/>
          <w:b/>
          <w:bCs/>
          <w:color w:val="auto"/>
          <w:sz w:val="32"/>
          <w:szCs w:val="32"/>
        </w:rPr>
      </w:pPr>
      <w:r>
        <w:rPr>
          <w:rFonts w:hint="eastAsia" w:ascii="宋体" w:hAnsi="宋体" w:cs="宋体"/>
          <w:b/>
          <w:bCs/>
          <w:color w:val="auto"/>
          <w:sz w:val="32"/>
          <w:szCs w:val="32"/>
        </w:rPr>
        <w:t>采购项目合同验收书（格式）</w:t>
      </w:r>
    </w:p>
    <w:p w14:paraId="68A6209D">
      <w:pPr>
        <w:spacing w:line="360" w:lineRule="auto"/>
        <w:ind w:firstLine="420" w:firstLineChars="200"/>
        <w:rPr>
          <w:rFonts w:ascii="宋体" w:hAnsi="宋体" w:cs="宋体"/>
          <w:color w:val="auto"/>
        </w:rPr>
      </w:pPr>
      <w:r>
        <w:rPr>
          <w:rFonts w:hint="eastAsia" w:ascii="宋体" w:hAnsi="宋体" w:cs="宋体"/>
          <w:color w:val="auto"/>
        </w:rPr>
        <w:t xml:space="preserve">根据采购项目（采购合同编号：  </w:t>
      </w:r>
      <w:r>
        <w:rPr>
          <w:rFonts w:hint="eastAsia" w:ascii="宋体" w:hAnsi="宋体" w:cs="宋体"/>
          <w:color w:val="auto"/>
        </w:rPr>
        <w:softHyphen/>
      </w:r>
      <w:r>
        <w:rPr>
          <w:rFonts w:hint="eastAsia" w:ascii="宋体" w:hAnsi="宋体" w:cs="宋体"/>
          <w:color w:val="auto"/>
        </w:rPr>
        <w:t xml:space="preserve"> ）的约定，我单位对（项目名称）采购项目成交供应商（公司名称）提供的货物（或者工程、服务）进行了验收，验收情况如下：</w:t>
      </w:r>
    </w:p>
    <w:tbl>
      <w:tblPr>
        <w:tblStyle w:val="25"/>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01107D8A">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14:paraId="588DC210">
            <w:pPr>
              <w:widowControl/>
              <w:snapToGrid w:val="0"/>
              <w:spacing w:before="100" w:beforeAutospacing="1" w:after="100" w:afterAutospacing="1" w:line="320" w:lineRule="atLeast"/>
              <w:ind w:firstLine="5"/>
              <w:jc w:val="center"/>
              <w:rPr>
                <w:rFonts w:ascii="宋体" w:hAnsi="宋体" w:cs="宋体"/>
                <w:color w:val="auto"/>
                <w:kern w:val="0"/>
                <w:szCs w:val="21"/>
              </w:rPr>
            </w:pPr>
            <w:r>
              <w:rPr>
                <w:rFonts w:hint="eastAsia" w:ascii="宋体" w:hAnsi="宋体" w:cs="宋体"/>
                <w:color w:val="auto"/>
                <w:kern w:val="0"/>
                <w:szCs w:val="21"/>
              </w:rPr>
              <w:t>验收方式：</w:t>
            </w:r>
          </w:p>
        </w:tc>
        <w:tc>
          <w:tcPr>
            <w:tcW w:w="5193" w:type="dxa"/>
            <w:gridSpan w:val="6"/>
            <w:tcBorders>
              <w:top w:val="single" w:color="auto" w:sz="8" w:space="0"/>
              <w:left w:val="nil"/>
              <w:bottom w:val="single" w:color="auto" w:sz="8" w:space="0"/>
              <w:right w:val="single" w:color="auto" w:sz="8" w:space="0"/>
            </w:tcBorders>
            <w:vAlign w:val="center"/>
          </w:tcPr>
          <w:p w14:paraId="4A6461F8">
            <w:pPr>
              <w:widowControl/>
              <w:snapToGrid w:val="0"/>
              <w:spacing w:before="100" w:beforeAutospacing="1" w:after="100" w:afterAutospacing="1" w:line="320" w:lineRule="atLeast"/>
              <w:jc w:val="center"/>
              <w:rPr>
                <w:rFonts w:ascii="宋体" w:hAnsi="宋体" w:cs="宋体"/>
                <w:color w:val="auto"/>
                <w:kern w:val="0"/>
                <w:szCs w:val="21"/>
              </w:rPr>
            </w:pPr>
            <w:r>
              <w:rPr>
                <w:rFonts w:hint="eastAsia" w:ascii="宋体" w:hAnsi="宋体" w:cs="宋体"/>
                <w:color w:val="auto"/>
                <w:kern w:val="0"/>
                <w:szCs w:val="21"/>
              </w:rPr>
              <w:sym w:font="Wingdings 2" w:char="00A3"/>
            </w:r>
            <w:r>
              <w:rPr>
                <w:rFonts w:hint="eastAsia" w:ascii="宋体" w:hAnsi="宋体" w:cs="宋体"/>
                <w:color w:val="auto"/>
                <w:kern w:val="0"/>
                <w:szCs w:val="21"/>
              </w:rPr>
              <w:t xml:space="preserve">自行验收 </w:t>
            </w:r>
            <w:r>
              <w:rPr>
                <w:rFonts w:hint="eastAsia" w:ascii="宋体" w:hAnsi="宋体" w:cs="宋体"/>
                <w:color w:val="auto"/>
                <w:kern w:val="0"/>
                <w:szCs w:val="21"/>
              </w:rPr>
              <w:sym w:font="Wingdings 2" w:char="00A3"/>
            </w:r>
            <w:r>
              <w:rPr>
                <w:rFonts w:hint="eastAsia" w:ascii="宋体" w:hAnsi="宋体" w:cs="宋体"/>
                <w:color w:val="auto"/>
                <w:kern w:val="0"/>
                <w:szCs w:val="21"/>
              </w:rPr>
              <w:t>委托验收</w:t>
            </w:r>
          </w:p>
        </w:tc>
      </w:tr>
      <w:tr w14:paraId="1B111996">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14:paraId="68220510">
            <w:pPr>
              <w:widowControl/>
              <w:snapToGrid w:val="0"/>
              <w:spacing w:before="100" w:beforeAutospacing="1" w:after="100" w:afterAutospacing="1" w:line="320" w:lineRule="atLeast"/>
              <w:ind w:firstLine="2"/>
              <w:jc w:val="center"/>
              <w:rPr>
                <w:rFonts w:ascii="宋体" w:hAnsi="宋体" w:cs="宋体"/>
                <w:color w:val="auto"/>
                <w:kern w:val="0"/>
                <w:szCs w:val="21"/>
              </w:rPr>
            </w:pPr>
            <w:r>
              <w:rPr>
                <w:rFonts w:hint="eastAsia" w:ascii="宋体" w:hAnsi="宋体" w:cs="宋体"/>
                <w:color w:val="auto"/>
                <w:kern w:val="0"/>
                <w:szCs w:val="21"/>
              </w:rPr>
              <w:t>序号</w:t>
            </w:r>
          </w:p>
        </w:tc>
        <w:tc>
          <w:tcPr>
            <w:tcW w:w="2448" w:type="dxa"/>
            <w:gridSpan w:val="2"/>
            <w:tcBorders>
              <w:top w:val="nil"/>
              <w:left w:val="nil"/>
              <w:bottom w:val="single" w:color="auto" w:sz="8" w:space="0"/>
              <w:right w:val="single" w:color="auto" w:sz="8" w:space="0"/>
            </w:tcBorders>
            <w:vAlign w:val="center"/>
          </w:tcPr>
          <w:p w14:paraId="59A9F79A">
            <w:pPr>
              <w:widowControl/>
              <w:snapToGrid w:val="0"/>
              <w:spacing w:before="100" w:beforeAutospacing="1" w:after="100" w:afterAutospacing="1" w:line="320" w:lineRule="atLeast"/>
              <w:ind w:firstLine="2"/>
              <w:jc w:val="center"/>
              <w:rPr>
                <w:rFonts w:ascii="宋体" w:hAnsi="宋体" w:cs="宋体"/>
                <w:color w:val="auto"/>
                <w:kern w:val="0"/>
                <w:szCs w:val="21"/>
              </w:rPr>
            </w:pPr>
            <w:r>
              <w:rPr>
                <w:rFonts w:hint="eastAsia" w:ascii="宋体" w:hAnsi="宋体" w:cs="宋体"/>
                <w:color w:val="auto"/>
                <w:kern w:val="0"/>
                <w:szCs w:val="21"/>
              </w:rPr>
              <w:t>名称</w:t>
            </w:r>
          </w:p>
        </w:tc>
        <w:tc>
          <w:tcPr>
            <w:tcW w:w="2902" w:type="dxa"/>
            <w:gridSpan w:val="3"/>
            <w:tcBorders>
              <w:top w:val="nil"/>
              <w:left w:val="nil"/>
              <w:bottom w:val="single" w:color="auto" w:sz="8" w:space="0"/>
              <w:right w:val="single" w:color="auto" w:sz="8" w:space="0"/>
            </w:tcBorders>
            <w:vAlign w:val="center"/>
          </w:tcPr>
          <w:p w14:paraId="56A89B8B">
            <w:pPr>
              <w:widowControl/>
              <w:snapToGrid w:val="0"/>
              <w:spacing w:before="100" w:beforeAutospacing="1" w:after="100" w:afterAutospacing="1" w:line="320" w:lineRule="atLeast"/>
              <w:ind w:firstLine="2"/>
              <w:jc w:val="center"/>
              <w:rPr>
                <w:rFonts w:ascii="宋体" w:hAnsi="宋体" w:cs="宋体"/>
                <w:color w:val="auto"/>
                <w:kern w:val="0"/>
                <w:szCs w:val="21"/>
              </w:rPr>
            </w:pPr>
            <w:r>
              <w:rPr>
                <w:rFonts w:hint="eastAsia" w:ascii="宋体" w:hAnsi="宋体" w:cs="宋体"/>
                <w:color w:val="auto"/>
                <w:kern w:val="0"/>
                <w:szCs w:val="21"/>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34790CFE">
            <w:pPr>
              <w:widowControl/>
              <w:snapToGrid w:val="0"/>
              <w:spacing w:before="100" w:beforeAutospacing="1" w:after="100" w:afterAutospacing="1" w:line="320" w:lineRule="atLeast"/>
              <w:jc w:val="center"/>
              <w:rPr>
                <w:rFonts w:ascii="宋体" w:hAnsi="宋体" w:cs="宋体"/>
                <w:color w:val="auto"/>
                <w:kern w:val="0"/>
                <w:szCs w:val="21"/>
              </w:rPr>
            </w:pPr>
            <w:r>
              <w:rPr>
                <w:rFonts w:hint="eastAsia" w:ascii="宋体" w:hAnsi="宋体" w:cs="宋体"/>
                <w:color w:val="auto"/>
                <w:kern w:val="0"/>
                <w:szCs w:val="21"/>
              </w:rPr>
              <w:t>数量</w:t>
            </w:r>
          </w:p>
        </w:tc>
        <w:tc>
          <w:tcPr>
            <w:tcW w:w="1428" w:type="dxa"/>
            <w:tcBorders>
              <w:top w:val="nil"/>
              <w:left w:val="nil"/>
              <w:bottom w:val="single" w:color="auto" w:sz="8" w:space="0"/>
              <w:right w:val="single" w:color="auto" w:sz="8" w:space="0"/>
            </w:tcBorders>
            <w:vAlign w:val="center"/>
          </w:tcPr>
          <w:p w14:paraId="06EF5AA4">
            <w:pPr>
              <w:widowControl/>
              <w:snapToGrid w:val="0"/>
              <w:spacing w:before="100" w:beforeAutospacing="1" w:after="100" w:afterAutospacing="1" w:line="320" w:lineRule="atLeast"/>
              <w:ind w:firstLine="2"/>
              <w:jc w:val="center"/>
              <w:rPr>
                <w:rFonts w:ascii="宋体" w:hAnsi="宋体" w:cs="宋体"/>
                <w:color w:val="auto"/>
                <w:kern w:val="0"/>
                <w:szCs w:val="21"/>
              </w:rPr>
            </w:pPr>
            <w:r>
              <w:rPr>
                <w:rFonts w:hint="eastAsia" w:ascii="宋体" w:hAnsi="宋体" w:cs="宋体"/>
                <w:color w:val="auto"/>
                <w:kern w:val="0"/>
                <w:szCs w:val="21"/>
              </w:rPr>
              <w:t>金额</w:t>
            </w:r>
          </w:p>
        </w:tc>
      </w:tr>
      <w:tr w14:paraId="755A0E59">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1F5D7D17">
            <w:pPr>
              <w:widowControl/>
              <w:spacing w:before="100" w:beforeAutospacing="1" w:after="100" w:afterAutospacing="1" w:line="240" w:lineRule="atLeast"/>
              <w:jc w:val="center"/>
              <w:rPr>
                <w:rFonts w:ascii="宋体" w:hAnsi="宋体" w:cs="宋体"/>
                <w:color w:val="auto"/>
                <w:kern w:val="0"/>
                <w:szCs w:val="21"/>
              </w:rPr>
            </w:pPr>
          </w:p>
        </w:tc>
        <w:tc>
          <w:tcPr>
            <w:tcW w:w="2448" w:type="dxa"/>
            <w:gridSpan w:val="2"/>
            <w:tcBorders>
              <w:top w:val="nil"/>
              <w:left w:val="nil"/>
              <w:bottom w:val="single" w:color="auto" w:sz="8" w:space="0"/>
              <w:right w:val="single" w:color="auto" w:sz="8" w:space="0"/>
            </w:tcBorders>
            <w:vAlign w:val="center"/>
          </w:tcPr>
          <w:p w14:paraId="0C22CCA6">
            <w:pPr>
              <w:widowControl/>
              <w:spacing w:before="100" w:beforeAutospacing="1" w:after="100" w:afterAutospacing="1" w:line="240" w:lineRule="atLeast"/>
              <w:jc w:val="center"/>
              <w:rPr>
                <w:rFonts w:ascii="宋体" w:hAnsi="宋体" w:cs="宋体"/>
                <w:color w:val="auto"/>
                <w:kern w:val="0"/>
                <w:szCs w:val="21"/>
              </w:rPr>
            </w:pPr>
          </w:p>
        </w:tc>
        <w:tc>
          <w:tcPr>
            <w:tcW w:w="2902" w:type="dxa"/>
            <w:gridSpan w:val="3"/>
            <w:tcBorders>
              <w:top w:val="nil"/>
              <w:left w:val="nil"/>
              <w:bottom w:val="single" w:color="auto" w:sz="8" w:space="0"/>
              <w:right w:val="single" w:color="auto" w:sz="8" w:space="0"/>
            </w:tcBorders>
            <w:vAlign w:val="center"/>
          </w:tcPr>
          <w:p w14:paraId="055ABDD8">
            <w:pPr>
              <w:widowControl/>
              <w:spacing w:before="100" w:beforeAutospacing="1" w:after="100" w:afterAutospacing="1" w:line="240" w:lineRule="atLeast"/>
              <w:jc w:val="center"/>
              <w:rPr>
                <w:rFonts w:ascii="宋体" w:hAnsi="宋体" w:cs="宋体"/>
                <w:color w:val="auto"/>
                <w:kern w:val="0"/>
                <w:szCs w:val="21"/>
              </w:rPr>
            </w:pPr>
          </w:p>
        </w:tc>
        <w:tc>
          <w:tcPr>
            <w:tcW w:w="863" w:type="dxa"/>
            <w:gridSpan w:val="2"/>
            <w:tcBorders>
              <w:top w:val="nil"/>
              <w:left w:val="nil"/>
              <w:bottom w:val="single" w:color="auto" w:sz="8" w:space="0"/>
              <w:right w:val="single" w:color="auto" w:sz="8" w:space="0"/>
            </w:tcBorders>
            <w:vAlign w:val="center"/>
          </w:tcPr>
          <w:p w14:paraId="51BCC988">
            <w:pPr>
              <w:widowControl/>
              <w:spacing w:before="100" w:beforeAutospacing="1" w:after="100" w:afterAutospacing="1" w:line="240" w:lineRule="atLeast"/>
              <w:jc w:val="center"/>
              <w:rPr>
                <w:rFonts w:ascii="宋体" w:hAnsi="宋体" w:cs="宋体"/>
                <w:color w:val="auto"/>
                <w:kern w:val="0"/>
                <w:szCs w:val="21"/>
              </w:rPr>
            </w:pPr>
          </w:p>
        </w:tc>
        <w:tc>
          <w:tcPr>
            <w:tcW w:w="1428" w:type="dxa"/>
            <w:tcBorders>
              <w:top w:val="nil"/>
              <w:left w:val="nil"/>
              <w:bottom w:val="single" w:color="auto" w:sz="8" w:space="0"/>
              <w:right w:val="single" w:color="auto" w:sz="8" w:space="0"/>
            </w:tcBorders>
            <w:vAlign w:val="center"/>
          </w:tcPr>
          <w:p w14:paraId="58487B10">
            <w:pPr>
              <w:widowControl/>
              <w:spacing w:before="100" w:beforeAutospacing="1" w:after="100" w:afterAutospacing="1" w:line="240" w:lineRule="atLeast"/>
              <w:jc w:val="center"/>
              <w:rPr>
                <w:rFonts w:ascii="宋体" w:hAnsi="宋体" w:cs="宋体"/>
                <w:color w:val="auto"/>
                <w:kern w:val="0"/>
                <w:szCs w:val="21"/>
              </w:rPr>
            </w:pPr>
          </w:p>
        </w:tc>
      </w:tr>
      <w:tr w14:paraId="53BA7D7D">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15565F4D">
            <w:pPr>
              <w:widowControl/>
              <w:spacing w:before="100" w:beforeAutospacing="1" w:after="100" w:afterAutospacing="1" w:line="240" w:lineRule="atLeast"/>
              <w:jc w:val="center"/>
              <w:rPr>
                <w:rFonts w:ascii="宋体" w:hAnsi="宋体" w:cs="宋体"/>
                <w:color w:val="auto"/>
                <w:kern w:val="0"/>
                <w:szCs w:val="21"/>
              </w:rPr>
            </w:pPr>
          </w:p>
        </w:tc>
        <w:tc>
          <w:tcPr>
            <w:tcW w:w="2448" w:type="dxa"/>
            <w:gridSpan w:val="2"/>
            <w:tcBorders>
              <w:top w:val="nil"/>
              <w:left w:val="nil"/>
              <w:bottom w:val="single" w:color="auto" w:sz="8" w:space="0"/>
              <w:right w:val="single" w:color="auto" w:sz="8" w:space="0"/>
            </w:tcBorders>
            <w:vAlign w:val="center"/>
          </w:tcPr>
          <w:p w14:paraId="75F116B8">
            <w:pPr>
              <w:widowControl/>
              <w:spacing w:before="100" w:beforeAutospacing="1" w:after="100" w:afterAutospacing="1" w:line="240" w:lineRule="atLeast"/>
              <w:jc w:val="center"/>
              <w:rPr>
                <w:rFonts w:ascii="宋体" w:hAnsi="宋体" w:cs="宋体"/>
                <w:color w:val="auto"/>
                <w:kern w:val="0"/>
                <w:szCs w:val="21"/>
              </w:rPr>
            </w:pPr>
          </w:p>
        </w:tc>
        <w:tc>
          <w:tcPr>
            <w:tcW w:w="2902" w:type="dxa"/>
            <w:gridSpan w:val="3"/>
            <w:tcBorders>
              <w:top w:val="nil"/>
              <w:left w:val="nil"/>
              <w:bottom w:val="single" w:color="auto" w:sz="8" w:space="0"/>
              <w:right w:val="single" w:color="auto" w:sz="8" w:space="0"/>
            </w:tcBorders>
            <w:vAlign w:val="center"/>
          </w:tcPr>
          <w:p w14:paraId="51D67EB2">
            <w:pPr>
              <w:widowControl/>
              <w:spacing w:before="100" w:beforeAutospacing="1" w:after="100" w:afterAutospacing="1" w:line="240" w:lineRule="atLeast"/>
              <w:jc w:val="center"/>
              <w:rPr>
                <w:rFonts w:ascii="宋体" w:hAnsi="宋体" w:cs="宋体"/>
                <w:color w:val="auto"/>
                <w:kern w:val="0"/>
                <w:szCs w:val="21"/>
              </w:rPr>
            </w:pPr>
          </w:p>
        </w:tc>
        <w:tc>
          <w:tcPr>
            <w:tcW w:w="863" w:type="dxa"/>
            <w:gridSpan w:val="2"/>
            <w:tcBorders>
              <w:top w:val="nil"/>
              <w:left w:val="nil"/>
              <w:bottom w:val="single" w:color="auto" w:sz="8" w:space="0"/>
              <w:right w:val="single" w:color="auto" w:sz="8" w:space="0"/>
            </w:tcBorders>
            <w:vAlign w:val="center"/>
          </w:tcPr>
          <w:p w14:paraId="175060DD">
            <w:pPr>
              <w:widowControl/>
              <w:spacing w:before="100" w:beforeAutospacing="1" w:after="100" w:afterAutospacing="1" w:line="240" w:lineRule="atLeast"/>
              <w:jc w:val="center"/>
              <w:rPr>
                <w:rFonts w:ascii="宋体" w:hAnsi="宋体" w:cs="宋体"/>
                <w:color w:val="auto"/>
                <w:kern w:val="0"/>
                <w:szCs w:val="21"/>
              </w:rPr>
            </w:pPr>
          </w:p>
        </w:tc>
        <w:tc>
          <w:tcPr>
            <w:tcW w:w="1428" w:type="dxa"/>
            <w:tcBorders>
              <w:top w:val="nil"/>
              <w:left w:val="nil"/>
              <w:bottom w:val="single" w:color="auto" w:sz="8" w:space="0"/>
              <w:right w:val="single" w:color="auto" w:sz="8" w:space="0"/>
            </w:tcBorders>
            <w:vAlign w:val="center"/>
          </w:tcPr>
          <w:p w14:paraId="3FDD6F54">
            <w:pPr>
              <w:widowControl/>
              <w:spacing w:before="100" w:beforeAutospacing="1" w:after="100" w:afterAutospacing="1" w:line="240" w:lineRule="atLeast"/>
              <w:jc w:val="center"/>
              <w:rPr>
                <w:rFonts w:ascii="宋体" w:hAnsi="宋体" w:cs="宋体"/>
                <w:color w:val="auto"/>
                <w:kern w:val="0"/>
                <w:szCs w:val="21"/>
              </w:rPr>
            </w:pPr>
          </w:p>
        </w:tc>
      </w:tr>
      <w:tr w14:paraId="43905CF1">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1310034C">
            <w:pPr>
              <w:widowControl/>
              <w:spacing w:before="100" w:beforeAutospacing="1" w:after="100" w:afterAutospacing="1" w:line="240" w:lineRule="atLeast"/>
              <w:jc w:val="center"/>
              <w:rPr>
                <w:rFonts w:ascii="宋体" w:hAnsi="宋体" w:cs="宋体"/>
                <w:color w:val="auto"/>
                <w:kern w:val="0"/>
                <w:szCs w:val="21"/>
              </w:rPr>
            </w:pPr>
          </w:p>
        </w:tc>
        <w:tc>
          <w:tcPr>
            <w:tcW w:w="2448" w:type="dxa"/>
            <w:gridSpan w:val="2"/>
            <w:tcBorders>
              <w:top w:val="nil"/>
              <w:left w:val="nil"/>
              <w:bottom w:val="single" w:color="auto" w:sz="8" w:space="0"/>
              <w:right w:val="single" w:color="auto" w:sz="8" w:space="0"/>
            </w:tcBorders>
            <w:vAlign w:val="center"/>
          </w:tcPr>
          <w:p w14:paraId="03BF59BF">
            <w:pPr>
              <w:widowControl/>
              <w:spacing w:before="100" w:beforeAutospacing="1" w:after="100" w:afterAutospacing="1" w:line="240" w:lineRule="atLeast"/>
              <w:jc w:val="center"/>
              <w:rPr>
                <w:rFonts w:ascii="宋体" w:hAnsi="宋体" w:cs="宋体"/>
                <w:color w:val="auto"/>
                <w:kern w:val="0"/>
                <w:szCs w:val="21"/>
              </w:rPr>
            </w:pPr>
          </w:p>
        </w:tc>
        <w:tc>
          <w:tcPr>
            <w:tcW w:w="2902" w:type="dxa"/>
            <w:gridSpan w:val="3"/>
            <w:tcBorders>
              <w:top w:val="nil"/>
              <w:left w:val="nil"/>
              <w:bottom w:val="single" w:color="auto" w:sz="8" w:space="0"/>
              <w:right w:val="single" w:color="auto" w:sz="8" w:space="0"/>
            </w:tcBorders>
            <w:vAlign w:val="center"/>
          </w:tcPr>
          <w:p w14:paraId="1911535A">
            <w:pPr>
              <w:widowControl/>
              <w:spacing w:before="100" w:beforeAutospacing="1" w:after="100" w:afterAutospacing="1" w:line="240" w:lineRule="atLeast"/>
              <w:jc w:val="center"/>
              <w:rPr>
                <w:rFonts w:ascii="宋体" w:hAnsi="宋体" w:cs="宋体"/>
                <w:color w:val="auto"/>
                <w:kern w:val="0"/>
                <w:szCs w:val="21"/>
              </w:rPr>
            </w:pPr>
          </w:p>
        </w:tc>
        <w:tc>
          <w:tcPr>
            <w:tcW w:w="863" w:type="dxa"/>
            <w:gridSpan w:val="2"/>
            <w:tcBorders>
              <w:top w:val="nil"/>
              <w:left w:val="nil"/>
              <w:bottom w:val="single" w:color="auto" w:sz="8" w:space="0"/>
              <w:right w:val="single" w:color="auto" w:sz="8" w:space="0"/>
            </w:tcBorders>
            <w:vAlign w:val="center"/>
          </w:tcPr>
          <w:p w14:paraId="35B18FB1">
            <w:pPr>
              <w:widowControl/>
              <w:spacing w:before="100" w:beforeAutospacing="1" w:after="100" w:afterAutospacing="1" w:line="240" w:lineRule="atLeast"/>
              <w:jc w:val="center"/>
              <w:rPr>
                <w:rFonts w:ascii="宋体" w:hAnsi="宋体" w:cs="宋体"/>
                <w:color w:val="auto"/>
                <w:kern w:val="0"/>
                <w:szCs w:val="21"/>
              </w:rPr>
            </w:pPr>
          </w:p>
        </w:tc>
        <w:tc>
          <w:tcPr>
            <w:tcW w:w="1428" w:type="dxa"/>
            <w:tcBorders>
              <w:top w:val="nil"/>
              <w:left w:val="nil"/>
              <w:bottom w:val="single" w:color="auto" w:sz="8" w:space="0"/>
              <w:right w:val="single" w:color="auto" w:sz="8" w:space="0"/>
            </w:tcBorders>
            <w:vAlign w:val="center"/>
          </w:tcPr>
          <w:p w14:paraId="0F6D7775">
            <w:pPr>
              <w:widowControl/>
              <w:spacing w:before="100" w:beforeAutospacing="1" w:after="100" w:afterAutospacing="1" w:line="240" w:lineRule="atLeast"/>
              <w:jc w:val="center"/>
              <w:rPr>
                <w:rFonts w:ascii="宋体" w:hAnsi="宋体" w:cs="宋体"/>
                <w:color w:val="auto"/>
                <w:kern w:val="0"/>
                <w:szCs w:val="21"/>
              </w:rPr>
            </w:pPr>
          </w:p>
        </w:tc>
      </w:tr>
      <w:tr w14:paraId="2194B66F">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14:paraId="6B131E73">
            <w:pPr>
              <w:widowControl/>
              <w:snapToGrid w:val="0"/>
              <w:spacing w:before="100" w:beforeAutospacing="1" w:after="100" w:afterAutospacing="1" w:line="320" w:lineRule="atLeast"/>
              <w:ind w:firstLine="5"/>
              <w:jc w:val="center"/>
              <w:rPr>
                <w:rFonts w:ascii="宋体" w:hAnsi="宋体" w:cs="宋体"/>
                <w:color w:val="auto"/>
                <w:kern w:val="0"/>
                <w:szCs w:val="21"/>
              </w:rPr>
            </w:pPr>
            <w:r>
              <w:rPr>
                <w:rFonts w:hint="eastAsia" w:ascii="宋体" w:hAnsi="宋体" w:cs="宋体"/>
                <w:color w:val="auto"/>
                <w:kern w:val="0"/>
                <w:szCs w:val="21"/>
              </w:rPr>
              <w:t>合 计</w:t>
            </w:r>
          </w:p>
        </w:tc>
        <w:tc>
          <w:tcPr>
            <w:tcW w:w="863" w:type="dxa"/>
            <w:gridSpan w:val="2"/>
            <w:tcBorders>
              <w:top w:val="nil"/>
              <w:left w:val="nil"/>
              <w:bottom w:val="single" w:color="auto" w:sz="8" w:space="0"/>
              <w:right w:val="single" w:color="auto" w:sz="8" w:space="0"/>
            </w:tcBorders>
            <w:vAlign w:val="center"/>
          </w:tcPr>
          <w:p w14:paraId="4FA29809">
            <w:pPr>
              <w:widowControl/>
              <w:spacing w:before="100" w:beforeAutospacing="1" w:after="100" w:afterAutospacing="1" w:line="240" w:lineRule="atLeast"/>
              <w:jc w:val="center"/>
              <w:rPr>
                <w:rFonts w:ascii="宋体" w:hAnsi="宋体" w:cs="宋体"/>
                <w:color w:val="auto"/>
                <w:kern w:val="0"/>
                <w:szCs w:val="21"/>
              </w:rPr>
            </w:pPr>
          </w:p>
        </w:tc>
        <w:tc>
          <w:tcPr>
            <w:tcW w:w="1428" w:type="dxa"/>
            <w:tcBorders>
              <w:top w:val="nil"/>
              <w:left w:val="nil"/>
              <w:bottom w:val="single" w:color="auto" w:sz="8" w:space="0"/>
              <w:right w:val="single" w:color="auto" w:sz="8" w:space="0"/>
            </w:tcBorders>
            <w:vAlign w:val="center"/>
          </w:tcPr>
          <w:p w14:paraId="21A334EC">
            <w:pPr>
              <w:widowControl/>
              <w:spacing w:before="100" w:beforeAutospacing="1" w:after="100" w:afterAutospacing="1" w:line="240" w:lineRule="atLeast"/>
              <w:jc w:val="center"/>
              <w:rPr>
                <w:rFonts w:ascii="宋体" w:hAnsi="宋体" w:cs="宋体"/>
                <w:color w:val="auto"/>
                <w:kern w:val="0"/>
                <w:szCs w:val="21"/>
              </w:rPr>
            </w:pPr>
          </w:p>
        </w:tc>
      </w:tr>
      <w:tr w14:paraId="300391FE">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14:paraId="6E5B7882">
            <w:pPr>
              <w:widowControl/>
              <w:snapToGrid w:val="0"/>
              <w:spacing w:before="100" w:beforeAutospacing="1" w:after="100" w:afterAutospacing="1" w:line="320" w:lineRule="atLeast"/>
              <w:ind w:firstLine="210" w:firstLineChars="100"/>
              <w:jc w:val="left"/>
              <w:rPr>
                <w:rFonts w:ascii="宋体" w:hAnsi="宋体" w:cs="宋体"/>
                <w:color w:val="auto"/>
                <w:kern w:val="0"/>
                <w:szCs w:val="21"/>
              </w:rPr>
            </w:pPr>
            <w:r>
              <w:rPr>
                <w:rFonts w:hint="eastAsia" w:ascii="宋体" w:hAnsi="宋体" w:cs="宋体"/>
                <w:color w:val="auto"/>
                <w:kern w:val="0"/>
                <w:szCs w:val="21"/>
              </w:rPr>
              <w:t>合计大写金额：  仟  佰  拾  万  仟  佰  拾  元</w:t>
            </w:r>
          </w:p>
        </w:tc>
      </w:tr>
      <w:tr w14:paraId="43E97BEE">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3729CE2E">
            <w:pPr>
              <w:widowControl/>
              <w:snapToGrid w:val="0"/>
              <w:spacing w:before="100" w:beforeAutospacing="1" w:after="100" w:afterAutospacing="1" w:line="320" w:lineRule="atLeast"/>
              <w:ind w:firstLine="2"/>
              <w:jc w:val="center"/>
              <w:rPr>
                <w:rFonts w:ascii="宋体" w:hAnsi="宋体" w:cs="宋体"/>
                <w:color w:val="auto"/>
                <w:kern w:val="0"/>
                <w:szCs w:val="21"/>
              </w:rPr>
            </w:pPr>
            <w:r>
              <w:rPr>
                <w:rFonts w:hint="eastAsia" w:ascii="宋体" w:hAnsi="宋体" w:cs="宋体"/>
                <w:color w:val="auto"/>
                <w:kern w:val="0"/>
                <w:szCs w:val="21"/>
              </w:rPr>
              <w:t>实际供货日期</w:t>
            </w:r>
          </w:p>
        </w:tc>
        <w:tc>
          <w:tcPr>
            <w:tcW w:w="2421" w:type="dxa"/>
            <w:gridSpan w:val="2"/>
            <w:tcBorders>
              <w:top w:val="nil"/>
              <w:left w:val="nil"/>
              <w:bottom w:val="single" w:color="auto" w:sz="8" w:space="0"/>
              <w:right w:val="single" w:color="auto" w:sz="8" w:space="0"/>
            </w:tcBorders>
            <w:vAlign w:val="center"/>
          </w:tcPr>
          <w:p w14:paraId="6A75122B">
            <w:pPr>
              <w:widowControl/>
              <w:spacing w:before="100" w:beforeAutospacing="1" w:after="100" w:afterAutospacing="1" w:line="240" w:lineRule="atLeast"/>
              <w:jc w:val="center"/>
              <w:rPr>
                <w:rFonts w:ascii="宋体" w:hAnsi="宋体" w:cs="宋体"/>
                <w:color w:val="auto"/>
                <w:kern w:val="0"/>
                <w:szCs w:val="21"/>
              </w:rPr>
            </w:pPr>
          </w:p>
        </w:tc>
        <w:tc>
          <w:tcPr>
            <w:tcW w:w="2282" w:type="dxa"/>
            <w:gridSpan w:val="3"/>
            <w:tcBorders>
              <w:top w:val="nil"/>
              <w:left w:val="nil"/>
              <w:bottom w:val="single" w:color="auto" w:sz="8" w:space="0"/>
              <w:right w:val="single" w:color="auto" w:sz="8" w:space="0"/>
            </w:tcBorders>
            <w:vAlign w:val="center"/>
          </w:tcPr>
          <w:p w14:paraId="1A694CA7">
            <w:pPr>
              <w:widowControl/>
              <w:snapToGrid w:val="0"/>
              <w:spacing w:before="100" w:beforeAutospacing="1" w:after="100" w:afterAutospacing="1" w:line="320" w:lineRule="atLeast"/>
              <w:ind w:firstLine="46"/>
              <w:jc w:val="center"/>
              <w:rPr>
                <w:rFonts w:ascii="宋体" w:hAnsi="宋体" w:cs="宋体"/>
                <w:color w:val="auto"/>
                <w:kern w:val="0"/>
                <w:szCs w:val="21"/>
              </w:rPr>
            </w:pPr>
            <w:r>
              <w:rPr>
                <w:rFonts w:hint="eastAsia" w:ascii="宋体" w:hAnsi="宋体" w:cs="宋体"/>
                <w:color w:val="auto"/>
                <w:kern w:val="0"/>
                <w:szCs w:val="21"/>
              </w:rPr>
              <w:t>合同交货验收日期</w:t>
            </w:r>
          </w:p>
        </w:tc>
        <w:tc>
          <w:tcPr>
            <w:tcW w:w="2113" w:type="dxa"/>
            <w:gridSpan w:val="2"/>
            <w:tcBorders>
              <w:top w:val="nil"/>
              <w:left w:val="nil"/>
              <w:bottom w:val="single" w:color="auto" w:sz="8" w:space="0"/>
              <w:right w:val="single" w:color="auto" w:sz="8" w:space="0"/>
            </w:tcBorders>
            <w:vAlign w:val="center"/>
          </w:tcPr>
          <w:p w14:paraId="60AA4916">
            <w:pPr>
              <w:widowControl/>
              <w:spacing w:before="100" w:beforeAutospacing="1" w:after="100" w:afterAutospacing="1" w:line="240" w:lineRule="atLeast"/>
              <w:jc w:val="center"/>
              <w:rPr>
                <w:rFonts w:ascii="宋体" w:hAnsi="宋体" w:cs="宋体"/>
                <w:color w:val="auto"/>
                <w:kern w:val="0"/>
                <w:szCs w:val="21"/>
              </w:rPr>
            </w:pPr>
          </w:p>
        </w:tc>
      </w:tr>
      <w:tr w14:paraId="07C67427">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6D2970D">
            <w:pPr>
              <w:widowControl/>
              <w:snapToGrid w:val="0"/>
              <w:spacing w:before="100" w:beforeAutospacing="1" w:after="100" w:afterAutospacing="1" w:line="320" w:lineRule="atLeast"/>
              <w:jc w:val="left"/>
              <w:rPr>
                <w:rFonts w:ascii="宋体" w:hAnsi="宋体" w:cs="宋体"/>
                <w:color w:val="auto"/>
                <w:kern w:val="0"/>
                <w:szCs w:val="21"/>
              </w:rPr>
            </w:pPr>
            <w:r>
              <w:rPr>
                <w:rFonts w:hint="eastAsia" w:ascii="宋体" w:hAnsi="宋体" w:cs="宋体"/>
                <w:color w:val="auto"/>
                <w:kern w:val="0"/>
                <w:szCs w:val="21"/>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3D415F50">
            <w:pPr>
              <w:widowControl/>
              <w:snapToGrid w:val="0"/>
              <w:spacing w:before="100" w:beforeAutospacing="1" w:after="100" w:afterAutospacing="1" w:line="320" w:lineRule="atLeast"/>
              <w:jc w:val="left"/>
              <w:rPr>
                <w:rFonts w:ascii="宋体" w:hAnsi="宋体" w:cs="宋体"/>
                <w:color w:val="auto"/>
                <w:kern w:val="0"/>
                <w:szCs w:val="21"/>
              </w:rPr>
            </w:pPr>
            <w:r>
              <w:rPr>
                <w:rFonts w:hint="eastAsia" w:ascii="宋体" w:hAnsi="宋体" w:cs="宋体"/>
                <w:color w:val="auto"/>
                <w:kern w:val="0"/>
                <w:szCs w:val="21"/>
              </w:rPr>
              <w:t>（应按采购合同、谈判文件、竞标响应文件及验收方案等进行验收；并核对成交供应商在安装调试等方面是否违反合同约定或者服务规范要求、提供的质量保证证明材料是否齐全、应有的配件及附件是否达到合同约定等。可附）</w:t>
            </w:r>
          </w:p>
        </w:tc>
      </w:tr>
      <w:tr w14:paraId="2F10CB7D">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9B54831">
            <w:pPr>
              <w:widowControl/>
              <w:spacing w:before="100" w:beforeAutospacing="1" w:after="100" w:afterAutospacing="1" w:line="320" w:lineRule="atLeast"/>
              <w:jc w:val="left"/>
              <w:rPr>
                <w:rFonts w:ascii="宋体" w:hAnsi="宋体" w:cs="宋体"/>
                <w:color w:val="auto"/>
                <w:kern w:val="0"/>
                <w:szCs w:val="21"/>
              </w:rPr>
            </w:pPr>
            <w:r>
              <w:rPr>
                <w:rFonts w:hint="eastAsia" w:ascii="宋体" w:hAnsi="宋体" w:cs="宋体"/>
                <w:color w:val="auto"/>
                <w:kern w:val="0"/>
                <w:szCs w:val="21"/>
              </w:rPr>
              <w:t>验收小组意见</w:t>
            </w:r>
          </w:p>
        </w:tc>
        <w:tc>
          <w:tcPr>
            <w:tcW w:w="6816" w:type="dxa"/>
            <w:gridSpan w:val="7"/>
            <w:tcBorders>
              <w:top w:val="nil"/>
              <w:left w:val="nil"/>
              <w:bottom w:val="single" w:color="auto" w:sz="8" w:space="0"/>
              <w:right w:val="single" w:color="auto" w:sz="8" w:space="0"/>
            </w:tcBorders>
            <w:vAlign w:val="center"/>
          </w:tcPr>
          <w:p w14:paraId="68CC90F2">
            <w:pPr>
              <w:widowControl/>
              <w:spacing w:before="100" w:beforeAutospacing="1" w:after="100" w:afterAutospacing="1" w:line="320" w:lineRule="atLeast"/>
              <w:ind w:firstLine="210" w:firstLineChars="100"/>
              <w:jc w:val="left"/>
              <w:rPr>
                <w:rFonts w:ascii="宋体" w:hAnsi="宋体" w:cs="宋体"/>
                <w:color w:val="auto"/>
                <w:kern w:val="0"/>
                <w:szCs w:val="21"/>
              </w:rPr>
            </w:pPr>
            <w:r>
              <w:rPr>
                <w:rFonts w:hint="eastAsia" w:ascii="宋体" w:hAnsi="宋体" w:cs="宋体"/>
                <w:color w:val="auto"/>
                <w:kern w:val="0"/>
                <w:szCs w:val="21"/>
              </w:rPr>
              <w:t>验收结论性意见：</w:t>
            </w:r>
          </w:p>
        </w:tc>
      </w:tr>
      <w:tr w14:paraId="415F4A1F">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14:paraId="690473F1">
            <w:pPr>
              <w:widowControl/>
              <w:jc w:val="left"/>
              <w:rPr>
                <w:rFonts w:ascii="宋体" w:hAnsi="宋体" w:cs="宋体"/>
                <w:color w:val="auto"/>
                <w:kern w:val="0"/>
                <w:szCs w:val="21"/>
              </w:rPr>
            </w:pPr>
          </w:p>
        </w:tc>
        <w:tc>
          <w:tcPr>
            <w:tcW w:w="6816" w:type="dxa"/>
            <w:gridSpan w:val="7"/>
            <w:tcBorders>
              <w:top w:val="nil"/>
              <w:left w:val="nil"/>
              <w:bottom w:val="single" w:color="auto" w:sz="8" w:space="0"/>
              <w:right w:val="single" w:color="auto" w:sz="8" w:space="0"/>
            </w:tcBorders>
            <w:vAlign w:val="center"/>
          </w:tcPr>
          <w:p w14:paraId="56CB9709">
            <w:pPr>
              <w:widowControl/>
              <w:spacing w:before="100" w:beforeAutospacing="1" w:after="100" w:afterAutospacing="1" w:line="320" w:lineRule="atLeast"/>
              <w:ind w:firstLine="210" w:firstLineChars="100"/>
              <w:jc w:val="left"/>
              <w:rPr>
                <w:rFonts w:ascii="宋体" w:hAnsi="宋体" w:cs="宋体"/>
                <w:color w:val="auto"/>
                <w:kern w:val="0"/>
                <w:szCs w:val="21"/>
              </w:rPr>
            </w:pPr>
            <w:r>
              <w:rPr>
                <w:rFonts w:hint="eastAsia" w:ascii="宋体" w:hAnsi="宋体" w:cs="宋体"/>
                <w:color w:val="auto"/>
                <w:kern w:val="0"/>
                <w:szCs w:val="21"/>
              </w:rPr>
              <w:t>有异议的意见和说明理由：</w:t>
            </w:r>
          </w:p>
          <w:p w14:paraId="7831863C">
            <w:pPr>
              <w:widowControl/>
              <w:spacing w:before="100" w:beforeAutospacing="1" w:after="100" w:afterAutospacing="1" w:line="320" w:lineRule="atLeast"/>
              <w:ind w:firstLine="210" w:firstLineChars="100"/>
              <w:jc w:val="left"/>
              <w:rPr>
                <w:rFonts w:ascii="宋体" w:hAnsi="宋体" w:cs="宋体"/>
                <w:color w:val="auto"/>
                <w:kern w:val="0"/>
                <w:szCs w:val="21"/>
              </w:rPr>
            </w:pPr>
            <w:r>
              <w:rPr>
                <w:rFonts w:hint="eastAsia" w:ascii="宋体" w:hAnsi="宋体" w:cs="宋体"/>
                <w:color w:val="auto"/>
                <w:kern w:val="0"/>
                <w:szCs w:val="21"/>
              </w:rPr>
              <w:t>签字：</w:t>
            </w:r>
          </w:p>
        </w:tc>
      </w:tr>
      <w:tr w14:paraId="584354BD">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558A5B9">
            <w:pPr>
              <w:widowControl/>
              <w:spacing w:before="100" w:beforeAutospacing="1" w:after="100" w:afterAutospacing="1" w:line="320" w:lineRule="atLeast"/>
              <w:jc w:val="left"/>
              <w:rPr>
                <w:rFonts w:ascii="宋体" w:hAnsi="宋体" w:cs="宋体"/>
                <w:color w:val="auto"/>
                <w:kern w:val="0"/>
                <w:szCs w:val="21"/>
              </w:rPr>
            </w:pPr>
            <w:r>
              <w:rPr>
                <w:rFonts w:hint="eastAsia" w:ascii="宋体" w:hAnsi="宋体" w:cs="宋体"/>
                <w:color w:val="auto"/>
                <w:kern w:val="0"/>
                <w:szCs w:val="21"/>
              </w:rPr>
              <w:t>验收小组成员签字：</w:t>
            </w:r>
          </w:p>
        </w:tc>
      </w:tr>
      <w:tr w14:paraId="5D3471A6">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57CDECB">
            <w:pPr>
              <w:widowControl/>
              <w:spacing w:before="100" w:beforeAutospacing="1" w:after="100" w:afterAutospacing="1" w:line="320" w:lineRule="atLeast"/>
              <w:jc w:val="left"/>
              <w:rPr>
                <w:rFonts w:ascii="宋体" w:hAnsi="宋体" w:cs="宋体"/>
                <w:color w:val="auto"/>
                <w:kern w:val="0"/>
                <w:szCs w:val="21"/>
              </w:rPr>
            </w:pPr>
            <w:r>
              <w:rPr>
                <w:rFonts w:hint="eastAsia" w:ascii="宋体" w:hAnsi="宋体" w:cs="宋体"/>
                <w:color w:val="auto"/>
                <w:kern w:val="0"/>
                <w:szCs w:val="21"/>
              </w:rPr>
              <w:t>监督人员或者其他相关人员签字：</w:t>
            </w:r>
          </w:p>
          <w:p w14:paraId="0016129B">
            <w:pPr>
              <w:widowControl/>
              <w:spacing w:before="100" w:beforeAutospacing="1" w:after="100" w:afterAutospacing="1" w:line="320" w:lineRule="atLeast"/>
              <w:ind w:firstLine="74"/>
              <w:jc w:val="left"/>
              <w:rPr>
                <w:rFonts w:ascii="宋体" w:hAnsi="宋体" w:cs="宋体"/>
                <w:color w:val="auto"/>
                <w:kern w:val="0"/>
                <w:szCs w:val="21"/>
              </w:rPr>
            </w:pPr>
            <w:r>
              <w:rPr>
                <w:rFonts w:hint="eastAsia" w:ascii="宋体" w:hAnsi="宋体" w:cs="宋体"/>
                <w:color w:val="auto"/>
                <w:kern w:val="0"/>
                <w:szCs w:val="21"/>
              </w:rPr>
              <w:t>或者受邀机构的意见（盖章）：</w:t>
            </w:r>
          </w:p>
        </w:tc>
      </w:tr>
      <w:tr w14:paraId="28E7F36B">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14:paraId="13BAE256">
            <w:pPr>
              <w:widowControl/>
              <w:spacing w:before="100" w:beforeAutospacing="1" w:after="100" w:afterAutospacing="1" w:line="320" w:lineRule="atLeast"/>
              <w:jc w:val="left"/>
              <w:rPr>
                <w:rFonts w:ascii="宋体" w:hAnsi="宋体" w:cs="宋体"/>
                <w:color w:val="auto"/>
                <w:kern w:val="0"/>
                <w:szCs w:val="21"/>
              </w:rPr>
            </w:pPr>
            <w:r>
              <w:rPr>
                <w:rFonts w:hint="eastAsia" w:ascii="宋体" w:hAnsi="宋体" w:cs="宋体"/>
                <w:color w:val="auto"/>
                <w:kern w:val="0"/>
                <w:szCs w:val="21"/>
              </w:rPr>
              <w:t>成交供应商负责人签字或者盖章：</w:t>
            </w:r>
          </w:p>
          <w:p w14:paraId="43C6C7C7">
            <w:pPr>
              <w:widowControl/>
              <w:spacing w:before="100" w:beforeAutospacing="1" w:after="100" w:afterAutospacing="1" w:line="320" w:lineRule="atLeast"/>
              <w:jc w:val="left"/>
              <w:rPr>
                <w:rFonts w:ascii="宋体" w:hAnsi="宋体" w:cs="宋体"/>
                <w:color w:val="auto"/>
                <w:kern w:val="0"/>
                <w:szCs w:val="21"/>
              </w:rPr>
            </w:pPr>
          </w:p>
          <w:p w14:paraId="1D3DCD94">
            <w:pPr>
              <w:widowControl/>
              <w:spacing w:before="100" w:beforeAutospacing="1" w:after="100" w:afterAutospacing="1" w:line="320" w:lineRule="atLeast"/>
              <w:jc w:val="left"/>
              <w:rPr>
                <w:rFonts w:ascii="宋体" w:hAnsi="宋体" w:cs="宋体"/>
                <w:color w:val="auto"/>
                <w:kern w:val="0"/>
                <w:szCs w:val="21"/>
              </w:rPr>
            </w:pPr>
            <w:r>
              <w:rPr>
                <w:rFonts w:hint="eastAsia" w:ascii="宋体" w:hAnsi="宋体" w:cs="宋体"/>
                <w:color w:val="auto"/>
                <w:kern w:val="0"/>
                <w:szCs w:val="21"/>
              </w:rPr>
              <w:t>联系电话：                年  月  日</w:t>
            </w:r>
          </w:p>
        </w:tc>
        <w:tc>
          <w:tcPr>
            <w:tcW w:w="4293" w:type="dxa"/>
            <w:gridSpan w:val="4"/>
            <w:tcBorders>
              <w:top w:val="nil"/>
              <w:left w:val="nil"/>
              <w:bottom w:val="single" w:color="auto" w:sz="8" w:space="0"/>
              <w:right w:val="single" w:color="auto" w:sz="8" w:space="0"/>
            </w:tcBorders>
            <w:vAlign w:val="center"/>
          </w:tcPr>
          <w:p w14:paraId="0407D551">
            <w:pPr>
              <w:widowControl/>
              <w:spacing w:before="100" w:beforeAutospacing="1" w:after="100" w:afterAutospacing="1" w:line="320" w:lineRule="atLeast"/>
              <w:ind w:firstLine="210" w:firstLineChars="100"/>
              <w:jc w:val="left"/>
              <w:rPr>
                <w:rFonts w:ascii="宋体" w:hAnsi="宋体" w:cs="宋体"/>
                <w:color w:val="auto"/>
                <w:kern w:val="0"/>
                <w:szCs w:val="21"/>
              </w:rPr>
            </w:pPr>
            <w:r>
              <w:rPr>
                <w:rFonts w:hint="eastAsia" w:ascii="宋体" w:hAnsi="宋体" w:cs="宋体"/>
                <w:color w:val="auto"/>
                <w:kern w:val="0"/>
                <w:szCs w:val="21"/>
              </w:rPr>
              <w:t>采购人或者受托机构的意见（盖章）：</w:t>
            </w:r>
          </w:p>
          <w:p w14:paraId="3209C810">
            <w:pPr>
              <w:widowControl/>
              <w:spacing w:before="100" w:beforeAutospacing="1" w:after="100" w:afterAutospacing="1" w:line="320" w:lineRule="atLeast"/>
              <w:ind w:firstLine="210" w:firstLineChars="100"/>
              <w:jc w:val="left"/>
              <w:rPr>
                <w:rFonts w:ascii="宋体" w:hAnsi="宋体" w:cs="宋体"/>
                <w:color w:val="auto"/>
                <w:kern w:val="0"/>
                <w:szCs w:val="21"/>
              </w:rPr>
            </w:pPr>
          </w:p>
          <w:p w14:paraId="64D08B7E">
            <w:pPr>
              <w:widowControl/>
              <w:spacing w:before="100" w:beforeAutospacing="1" w:after="100" w:afterAutospacing="1" w:line="320" w:lineRule="atLeast"/>
              <w:ind w:firstLine="210" w:firstLineChars="100"/>
              <w:jc w:val="left"/>
              <w:rPr>
                <w:rFonts w:ascii="宋体" w:hAnsi="宋体" w:cs="宋体"/>
                <w:color w:val="auto"/>
                <w:kern w:val="0"/>
                <w:szCs w:val="21"/>
              </w:rPr>
            </w:pPr>
            <w:r>
              <w:rPr>
                <w:rFonts w:hint="eastAsia" w:ascii="宋体" w:hAnsi="宋体" w:cs="宋体"/>
                <w:color w:val="auto"/>
                <w:kern w:val="0"/>
                <w:szCs w:val="21"/>
              </w:rPr>
              <w:t>联系电话：                  年  月  日</w:t>
            </w:r>
          </w:p>
        </w:tc>
      </w:tr>
    </w:tbl>
    <w:p w14:paraId="4995393B">
      <w:pPr>
        <w:rPr>
          <w:rFonts w:ascii="宋体" w:hAnsi="宋体" w:cs="宋体"/>
          <w:color w:val="auto"/>
        </w:rPr>
      </w:pPr>
    </w:p>
    <w:p w14:paraId="71E5B58D">
      <w:pPr>
        <w:rPr>
          <w:color w:val="auto"/>
        </w:rPr>
      </w:pPr>
    </w:p>
    <w:sectPr>
      <w:headerReference r:id="rId5" w:type="first"/>
      <w:footerReference r:id="rId7" w:type="first"/>
      <w:headerReference r:id="rId4" w:type="default"/>
      <w:footerReference r:id="rId6" w:type="default"/>
      <w:pgSz w:w="11906" w:h="16838"/>
      <w:pgMar w:top="1440" w:right="1440" w:bottom="1440" w:left="158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Segoe UI Emoji">
    <w:panose1 w:val="020B0502040204020203"/>
    <w:charset w:val="00"/>
    <w:family w:val="swiss"/>
    <w:pitch w:val="default"/>
    <w:sig w:usb0="00000001" w:usb1="02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74F08">
    <w:pPr>
      <w:pStyle w:val="17"/>
      <w:jc w:val="center"/>
    </w:pPr>
    <w:r>
      <mc:AlternateContent>
        <mc:Choice Requires="wps">
          <w:drawing>
            <wp:anchor distT="0" distB="0" distL="114300" distR="114300" simplePos="0" relativeHeight="251659264" behindDoc="0" locked="0" layoutInCell="1" allowOverlap="1">
              <wp:simplePos x="0" y="0"/>
              <wp:positionH relativeFrom="margin">
                <wp:posOffset>2788285</wp:posOffset>
              </wp:positionH>
              <wp:positionV relativeFrom="paragraph">
                <wp:posOffset>2540</wp:posOffset>
              </wp:positionV>
              <wp:extent cx="175260" cy="1828800"/>
              <wp:effectExtent l="0" t="0" r="15240" b="1905"/>
              <wp:wrapNone/>
              <wp:docPr id="4" name="文本框 2"/>
              <wp:cNvGraphicFramePr/>
              <a:graphic xmlns:a="http://schemas.openxmlformats.org/drawingml/2006/main">
                <a:graphicData uri="http://schemas.microsoft.com/office/word/2010/wordprocessingShape">
                  <wps:wsp>
                    <wps:cNvSpPr txBox="1"/>
                    <wps:spPr>
                      <a:xfrm>
                        <a:off x="0" y="0"/>
                        <a:ext cx="175565" cy="1828800"/>
                      </a:xfrm>
                      <a:prstGeom prst="rect">
                        <a:avLst/>
                      </a:prstGeom>
                      <a:noFill/>
                      <a:ln>
                        <a:noFill/>
                      </a:ln>
                    </wps:spPr>
                    <wps:txbx>
                      <w:txbxContent>
                        <w:p w14:paraId="6E0A3A58">
                          <w:pPr>
                            <w:pStyle w:val="17"/>
                            <w:jc w:val="center"/>
                          </w:pPr>
                          <w:r>
                            <w:fldChar w:fldCharType="begin"/>
                          </w:r>
                          <w:r>
                            <w:instrText xml:space="preserve"> PAGE   \* MERGEFORMAT </w:instrText>
                          </w:r>
                          <w:r>
                            <w:fldChar w:fldCharType="separate"/>
                          </w:r>
                          <w:r>
                            <w:rPr>
                              <w:lang w:val="zh-CN"/>
                            </w:rPr>
                            <w:t>39</w:t>
                          </w:r>
                          <w:r>
                            <w:fldChar w:fldCharType="end"/>
                          </w:r>
                        </w:p>
                      </w:txbxContent>
                    </wps:txbx>
                    <wps:bodyPr wrap="square" lIns="0" tIns="0" rIns="0" bIns="0" upright="1">
                      <a:spAutoFit/>
                    </wps:bodyPr>
                  </wps:wsp>
                </a:graphicData>
              </a:graphic>
            </wp:anchor>
          </w:drawing>
        </mc:Choice>
        <mc:Fallback>
          <w:pict>
            <v:shape id="文本框 2" o:spid="_x0000_s1026" o:spt="202" type="#_x0000_t202" style="position:absolute;left:0pt;margin-left:219.55pt;margin-top:0.2pt;height:144pt;width:13.8pt;mso-position-horizontal-relative:margin;z-index:251659264;mso-width-relative:page;mso-height-relative:page;" filled="f" stroked="f" coordsize="21600,21600" o:gfxdata="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o/SZnWAAAACAEAAA8AAAAAAAAAAQAgAAAAIgAA&#10;AGRycy9kb3ducmV2LnhtbFBLAQIUABQAAAAIAIdO4kChQKYk0QEAAJoDAAAOAAAAAAAAAAEAIAAA&#10;ACUBAABkcnMvZTJvRG9jLnhtbFBLBQYAAAAABgAGAFkBAABoBQAAAAA=&#10;">
              <v:fill on="f" focussize="0,0"/>
              <v:stroke on="f"/>
              <v:imagedata o:title=""/>
              <o:lock v:ext="edit" aspectratio="f"/>
              <v:textbox inset="0mm,0mm,0mm,0mm" style="mso-fit-shape-to-text:t;">
                <w:txbxContent>
                  <w:p w14:paraId="6E0A3A58">
                    <w:pPr>
                      <w:pStyle w:val="17"/>
                      <w:jc w:val="center"/>
                    </w:pPr>
                    <w:r>
                      <w:fldChar w:fldCharType="begin"/>
                    </w:r>
                    <w:r>
                      <w:instrText xml:space="preserve"> PAGE   \* MERGEFORMAT </w:instrText>
                    </w:r>
                    <w:r>
                      <w:fldChar w:fldCharType="separate"/>
                    </w:r>
                    <w:r>
                      <w:rPr>
                        <w:lang w:val="zh-CN"/>
                      </w:rPr>
                      <w:t>39</w:t>
                    </w:r>
                    <w:r>
                      <w:fldChar w:fldCharType="end"/>
                    </w:r>
                  </w:p>
                </w:txbxContent>
              </v:textbox>
            </v:shape>
          </w:pict>
        </mc:Fallback>
      </mc:AlternateContent>
    </w:r>
  </w:p>
  <w:p w14:paraId="66CFA212">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88C83">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BF24E4">
                          <w:pPr>
                            <w:pStyle w:val="1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HO3TMkBAACZ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WJ4xYHfvn+7fLj1+XnV/Iy&#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cc7dMyQEAAJkDAAAOAAAAAAAAAAEAIAAAAB4BAABkcnMvZTJvRG9j&#10;LnhtbFBLBQYAAAAABgAGAFkBAABZBQAAAAA=&#10;">
              <v:fill on="f" focussize="0,0"/>
              <v:stroke on="f"/>
              <v:imagedata o:title=""/>
              <o:lock v:ext="edit" aspectratio="f"/>
              <v:textbox inset="0mm,0mm,0mm,0mm" style="mso-fit-shape-to-text:t;">
                <w:txbxContent>
                  <w:p w14:paraId="1ABF24E4">
                    <w:pPr>
                      <w:pStyle w:val="1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7B838">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EEB23">
    <w:pPr>
      <w:pStyle w:val="18"/>
      <w:tabs>
        <w:tab w:val="left" w:pos="3807"/>
      </w:tabs>
      <w:jc w:val="left"/>
    </w:pPr>
    <w:r>
      <w:rPr>
        <w:rFonts w:hint="eastAsia"/>
      </w:rPr>
      <w:tab/>
    </w: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75023">
    <w:pPr>
      <w:pStyle w:val="18"/>
      <w:pBdr>
        <w:bottom w:val="none" w:color="auto" w:sz="0" w:space="1"/>
      </w:pBdr>
      <w:tabs>
        <w:tab w:val="left" w:pos="3224"/>
        <w:tab w:val="clear" w:pos="4153"/>
      </w:tabs>
      <w:jc w:val="both"/>
    </w:pP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449FCA"/>
    <w:multiLevelType w:val="singleLevel"/>
    <w:tmpl w:val="E6449FCA"/>
    <w:lvl w:ilvl="0" w:tentative="0">
      <w:start w:val="6"/>
      <w:numFmt w:val="chineseCounting"/>
      <w:suff w:val="space"/>
      <w:lvlText w:val="第%1章"/>
      <w:lvlJc w:val="left"/>
      <w:rPr>
        <w:rFonts w:hint="eastAsia"/>
      </w:rPr>
    </w:lvl>
  </w:abstractNum>
  <w:abstractNum w:abstractNumId="1">
    <w:nsid w:val="EB59CA7F"/>
    <w:multiLevelType w:val="singleLevel"/>
    <w:tmpl w:val="EB59CA7F"/>
    <w:lvl w:ilvl="0" w:tentative="0">
      <w:start w:val="1"/>
      <w:numFmt w:val="decimal"/>
      <w:suff w:val="nothing"/>
      <w:lvlText w:val="%1、"/>
      <w:lvlJc w:val="left"/>
    </w:lvl>
  </w:abstractNum>
  <w:abstractNum w:abstractNumId="2">
    <w:nsid w:val="1E134D16"/>
    <w:multiLevelType w:val="singleLevel"/>
    <w:tmpl w:val="1E134D16"/>
    <w:lvl w:ilvl="0" w:tentative="0">
      <w:start w:val="1"/>
      <w:numFmt w:val="decimal"/>
      <w:lvlText w:val="%1."/>
      <w:lvlJc w:val="left"/>
      <w:pPr>
        <w:tabs>
          <w:tab w:val="left" w:pos="312"/>
        </w:tabs>
      </w:pPr>
    </w:lvl>
  </w:abstractNum>
  <w:abstractNum w:abstractNumId="3">
    <w:nsid w:val="73B0F16A"/>
    <w:multiLevelType w:val="singleLevel"/>
    <w:tmpl w:val="73B0F16A"/>
    <w:lvl w:ilvl="0" w:tentative="0">
      <w:start w:val="2"/>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5Y2IyZjc2YThiOWVmMmNhZGZlNTdmZTdiMjliMjgifQ=="/>
  </w:docVars>
  <w:rsids>
    <w:rsidRoot w:val="00172A27"/>
    <w:rsid w:val="00000550"/>
    <w:rsid w:val="00000672"/>
    <w:rsid w:val="00001799"/>
    <w:rsid w:val="00002D29"/>
    <w:rsid w:val="000040C5"/>
    <w:rsid w:val="00005E55"/>
    <w:rsid w:val="00005FDF"/>
    <w:rsid w:val="00006586"/>
    <w:rsid w:val="000108DA"/>
    <w:rsid w:val="00010D39"/>
    <w:rsid w:val="000112BB"/>
    <w:rsid w:val="0001149B"/>
    <w:rsid w:val="0001172C"/>
    <w:rsid w:val="00012854"/>
    <w:rsid w:val="00012EA6"/>
    <w:rsid w:val="000139DC"/>
    <w:rsid w:val="00013D8C"/>
    <w:rsid w:val="00013DFE"/>
    <w:rsid w:val="000141EA"/>
    <w:rsid w:val="00016960"/>
    <w:rsid w:val="00017396"/>
    <w:rsid w:val="000177DB"/>
    <w:rsid w:val="00020227"/>
    <w:rsid w:val="000203E4"/>
    <w:rsid w:val="00020455"/>
    <w:rsid w:val="00021DDB"/>
    <w:rsid w:val="00022731"/>
    <w:rsid w:val="00022792"/>
    <w:rsid w:val="00025382"/>
    <w:rsid w:val="00025636"/>
    <w:rsid w:val="00025E36"/>
    <w:rsid w:val="00026627"/>
    <w:rsid w:val="00026886"/>
    <w:rsid w:val="00030496"/>
    <w:rsid w:val="000329E0"/>
    <w:rsid w:val="000333A0"/>
    <w:rsid w:val="000352E9"/>
    <w:rsid w:val="00036A07"/>
    <w:rsid w:val="00040571"/>
    <w:rsid w:val="0004156E"/>
    <w:rsid w:val="00041597"/>
    <w:rsid w:val="0004440C"/>
    <w:rsid w:val="00045880"/>
    <w:rsid w:val="00046B5E"/>
    <w:rsid w:val="000509D9"/>
    <w:rsid w:val="0005323C"/>
    <w:rsid w:val="000552A6"/>
    <w:rsid w:val="00055D41"/>
    <w:rsid w:val="00057CEC"/>
    <w:rsid w:val="00060DCE"/>
    <w:rsid w:val="000623B4"/>
    <w:rsid w:val="000634A7"/>
    <w:rsid w:val="00063E85"/>
    <w:rsid w:val="00063F81"/>
    <w:rsid w:val="00064847"/>
    <w:rsid w:val="0006484B"/>
    <w:rsid w:val="000673E2"/>
    <w:rsid w:val="000711E4"/>
    <w:rsid w:val="00072AED"/>
    <w:rsid w:val="00073991"/>
    <w:rsid w:val="00073F47"/>
    <w:rsid w:val="00075B7E"/>
    <w:rsid w:val="00077C70"/>
    <w:rsid w:val="00080B57"/>
    <w:rsid w:val="00081BA3"/>
    <w:rsid w:val="00081D2E"/>
    <w:rsid w:val="00082BF9"/>
    <w:rsid w:val="00082D02"/>
    <w:rsid w:val="00083B91"/>
    <w:rsid w:val="0008520B"/>
    <w:rsid w:val="000871B8"/>
    <w:rsid w:val="00087DB6"/>
    <w:rsid w:val="000913BE"/>
    <w:rsid w:val="00092442"/>
    <w:rsid w:val="00094FB8"/>
    <w:rsid w:val="0009588E"/>
    <w:rsid w:val="000959EE"/>
    <w:rsid w:val="00095B51"/>
    <w:rsid w:val="00097DA0"/>
    <w:rsid w:val="000A0D6B"/>
    <w:rsid w:val="000A166E"/>
    <w:rsid w:val="000A2B0E"/>
    <w:rsid w:val="000A398F"/>
    <w:rsid w:val="000A509C"/>
    <w:rsid w:val="000A6007"/>
    <w:rsid w:val="000A65A6"/>
    <w:rsid w:val="000A6E84"/>
    <w:rsid w:val="000A7275"/>
    <w:rsid w:val="000A7A12"/>
    <w:rsid w:val="000B039A"/>
    <w:rsid w:val="000B1801"/>
    <w:rsid w:val="000B1D0C"/>
    <w:rsid w:val="000B2D03"/>
    <w:rsid w:val="000B3815"/>
    <w:rsid w:val="000B3C7B"/>
    <w:rsid w:val="000B6C95"/>
    <w:rsid w:val="000C1679"/>
    <w:rsid w:val="000C2F89"/>
    <w:rsid w:val="000C4635"/>
    <w:rsid w:val="000C548E"/>
    <w:rsid w:val="000C6DE4"/>
    <w:rsid w:val="000D056E"/>
    <w:rsid w:val="000D0A89"/>
    <w:rsid w:val="000D1389"/>
    <w:rsid w:val="000D1798"/>
    <w:rsid w:val="000D1A2A"/>
    <w:rsid w:val="000D2626"/>
    <w:rsid w:val="000D4A06"/>
    <w:rsid w:val="000D73DD"/>
    <w:rsid w:val="000D7D9B"/>
    <w:rsid w:val="000E28AB"/>
    <w:rsid w:val="000E2E3E"/>
    <w:rsid w:val="000E3583"/>
    <w:rsid w:val="000E3AF0"/>
    <w:rsid w:val="000E3D53"/>
    <w:rsid w:val="000E4E04"/>
    <w:rsid w:val="000E6EC9"/>
    <w:rsid w:val="000E70B4"/>
    <w:rsid w:val="000F3281"/>
    <w:rsid w:val="000F3733"/>
    <w:rsid w:val="000F4D88"/>
    <w:rsid w:val="000F64AA"/>
    <w:rsid w:val="000F7AF4"/>
    <w:rsid w:val="000F7C33"/>
    <w:rsid w:val="000F7F0C"/>
    <w:rsid w:val="00100246"/>
    <w:rsid w:val="001004D6"/>
    <w:rsid w:val="00100D90"/>
    <w:rsid w:val="00101B12"/>
    <w:rsid w:val="00103918"/>
    <w:rsid w:val="00104897"/>
    <w:rsid w:val="00104EDE"/>
    <w:rsid w:val="00106BEE"/>
    <w:rsid w:val="00113134"/>
    <w:rsid w:val="00113AC0"/>
    <w:rsid w:val="00114851"/>
    <w:rsid w:val="00115E11"/>
    <w:rsid w:val="00115F56"/>
    <w:rsid w:val="00116633"/>
    <w:rsid w:val="00117CBD"/>
    <w:rsid w:val="0012006A"/>
    <w:rsid w:val="00120990"/>
    <w:rsid w:val="00121979"/>
    <w:rsid w:val="00122064"/>
    <w:rsid w:val="001263B8"/>
    <w:rsid w:val="00130217"/>
    <w:rsid w:val="00130783"/>
    <w:rsid w:val="001312CB"/>
    <w:rsid w:val="00132B47"/>
    <w:rsid w:val="00132E64"/>
    <w:rsid w:val="001351CB"/>
    <w:rsid w:val="001359A2"/>
    <w:rsid w:val="00135E37"/>
    <w:rsid w:val="00136020"/>
    <w:rsid w:val="00136445"/>
    <w:rsid w:val="00140132"/>
    <w:rsid w:val="00141C9C"/>
    <w:rsid w:val="001434BE"/>
    <w:rsid w:val="0014479F"/>
    <w:rsid w:val="001452B4"/>
    <w:rsid w:val="00146EC6"/>
    <w:rsid w:val="001478D2"/>
    <w:rsid w:val="00152A87"/>
    <w:rsid w:val="00156D0E"/>
    <w:rsid w:val="0016086E"/>
    <w:rsid w:val="00160D0C"/>
    <w:rsid w:val="00161172"/>
    <w:rsid w:val="0016139E"/>
    <w:rsid w:val="00161E65"/>
    <w:rsid w:val="00162597"/>
    <w:rsid w:val="001629AF"/>
    <w:rsid w:val="0016428A"/>
    <w:rsid w:val="001647C9"/>
    <w:rsid w:val="001661A3"/>
    <w:rsid w:val="0016782B"/>
    <w:rsid w:val="00172A27"/>
    <w:rsid w:val="00173256"/>
    <w:rsid w:val="001733E1"/>
    <w:rsid w:val="00173F74"/>
    <w:rsid w:val="00175BA6"/>
    <w:rsid w:val="00176CA7"/>
    <w:rsid w:val="001778C5"/>
    <w:rsid w:val="00177E56"/>
    <w:rsid w:val="00177F0A"/>
    <w:rsid w:val="00182C59"/>
    <w:rsid w:val="00185617"/>
    <w:rsid w:val="0019171E"/>
    <w:rsid w:val="0019220F"/>
    <w:rsid w:val="001928B1"/>
    <w:rsid w:val="00194ED5"/>
    <w:rsid w:val="00195424"/>
    <w:rsid w:val="001955FF"/>
    <w:rsid w:val="00197EDD"/>
    <w:rsid w:val="001A02B3"/>
    <w:rsid w:val="001A04BB"/>
    <w:rsid w:val="001A08D0"/>
    <w:rsid w:val="001A14B1"/>
    <w:rsid w:val="001A1B39"/>
    <w:rsid w:val="001A243E"/>
    <w:rsid w:val="001A2E69"/>
    <w:rsid w:val="001A3C34"/>
    <w:rsid w:val="001A3EDE"/>
    <w:rsid w:val="001A4222"/>
    <w:rsid w:val="001A50EA"/>
    <w:rsid w:val="001A5E24"/>
    <w:rsid w:val="001A6D8B"/>
    <w:rsid w:val="001B079E"/>
    <w:rsid w:val="001B0CDA"/>
    <w:rsid w:val="001B0E26"/>
    <w:rsid w:val="001B125A"/>
    <w:rsid w:val="001B1EBA"/>
    <w:rsid w:val="001B2142"/>
    <w:rsid w:val="001B26CF"/>
    <w:rsid w:val="001B2F2B"/>
    <w:rsid w:val="001B327A"/>
    <w:rsid w:val="001B35DE"/>
    <w:rsid w:val="001B3A13"/>
    <w:rsid w:val="001B59FF"/>
    <w:rsid w:val="001B65D7"/>
    <w:rsid w:val="001B6752"/>
    <w:rsid w:val="001B6768"/>
    <w:rsid w:val="001B6F1F"/>
    <w:rsid w:val="001B7ECC"/>
    <w:rsid w:val="001C25A7"/>
    <w:rsid w:val="001C318C"/>
    <w:rsid w:val="001C4287"/>
    <w:rsid w:val="001C4479"/>
    <w:rsid w:val="001C5969"/>
    <w:rsid w:val="001C76FB"/>
    <w:rsid w:val="001D2764"/>
    <w:rsid w:val="001D3697"/>
    <w:rsid w:val="001D395B"/>
    <w:rsid w:val="001D540E"/>
    <w:rsid w:val="001D58A1"/>
    <w:rsid w:val="001D5A8A"/>
    <w:rsid w:val="001D735E"/>
    <w:rsid w:val="001D73C8"/>
    <w:rsid w:val="001D776D"/>
    <w:rsid w:val="001E0756"/>
    <w:rsid w:val="001E0A8D"/>
    <w:rsid w:val="001E129E"/>
    <w:rsid w:val="001E5A94"/>
    <w:rsid w:val="001E7620"/>
    <w:rsid w:val="001F127B"/>
    <w:rsid w:val="001F2A2E"/>
    <w:rsid w:val="001F3B72"/>
    <w:rsid w:val="001F3C63"/>
    <w:rsid w:val="001F4460"/>
    <w:rsid w:val="001F5DAF"/>
    <w:rsid w:val="001F6B6C"/>
    <w:rsid w:val="001F711A"/>
    <w:rsid w:val="001F75B0"/>
    <w:rsid w:val="001F7686"/>
    <w:rsid w:val="00200CE5"/>
    <w:rsid w:val="002014DB"/>
    <w:rsid w:val="00201E12"/>
    <w:rsid w:val="002031E2"/>
    <w:rsid w:val="002033B5"/>
    <w:rsid w:val="0020382C"/>
    <w:rsid w:val="0020437A"/>
    <w:rsid w:val="0020532C"/>
    <w:rsid w:val="0021064F"/>
    <w:rsid w:val="002114C7"/>
    <w:rsid w:val="00211903"/>
    <w:rsid w:val="00212756"/>
    <w:rsid w:val="0021302C"/>
    <w:rsid w:val="00213B1C"/>
    <w:rsid w:val="00214202"/>
    <w:rsid w:val="002146F3"/>
    <w:rsid w:val="002148E3"/>
    <w:rsid w:val="0021552D"/>
    <w:rsid w:val="002156AE"/>
    <w:rsid w:val="00217861"/>
    <w:rsid w:val="0022054D"/>
    <w:rsid w:val="00224DE1"/>
    <w:rsid w:val="00225664"/>
    <w:rsid w:val="002269DC"/>
    <w:rsid w:val="00227F2D"/>
    <w:rsid w:val="00231851"/>
    <w:rsid w:val="002319FB"/>
    <w:rsid w:val="00231B89"/>
    <w:rsid w:val="002355BE"/>
    <w:rsid w:val="00236DE9"/>
    <w:rsid w:val="00237D5A"/>
    <w:rsid w:val="00241300"/>
    <w:rsid w:val="00241D3C"/>
    <w:rsid w:val="002439AB"/>
    <w:rsid w:val="002450D5"/>
    <w:rsid w:val="00245587"/>
    <w:rsid w:val="00245F2B"/>
    <w:rsid w:val="00246F95"/>
    <w:rsid w:val="00247F3A"/>
    <w:rsid w:val="00250122"/>
    <w:rsid w:val="00250755"/>
    <w:rsid w:val="00251C4A"/>
    <w:rsid w:val="0025271C"/>
    <w:rsid w:val="002533CD"/>
    <w:rsid w:val="00254EAB"/>
    <w:rsid w:val="002557AF"/>
    <w:rsid w:val="002566B1"/>
    <w:rsid w:val="002575E3"/>
    <w:rsid w:val="002603C1"/>
    <w:rsid w:val="002609A1"/>
    <w:rsid w:val="002612B1"/>
    <w:rsid w:val="00266165"/>
    <w:rsid w:val="002702B0"/>
    <w:rsid w:val="0027125E"/>
    <w:rsid w:val="00271767"/>
    <w:rsid w:val="00272293"/>
    <w:rsid w:val="002723C8"/>
    <w:rsid w:val="00273CBE"/>
    <w:rsid w:val="0028232C"/>
    <w:rsid w:val="00282EC3"/>
    <w:rsid w:val="002835B0"/>
    <w:rsid w:val="00283B9D"/>
    <w:rsid w:val="0028407E"/>
    <w:rsid w:val="0028410F"/>
    <w:rsid w:val="00286603"/>
    <w:rsid w:val="00286FB5"/>
    <w:rsid w:val="00287763"/>
    <w:rsid w:val="00290606"/>
    <w:rsid w:val="00290F9D"/>
    <w:rsid w:val="002918A7"/>
    <w:rsid w:val="00291D6D"/>
    <w:rsid w:val="00291FF1"/>
    <w:rsid w:val="002923F6"/>
    <w:rsid w:val="00293361"/>
    <w:rsid w:val="00295287"/>
    <w:rsid w:val="002952B1"/>
    <w:rsid w:val="00295D11"/>
    <w:rsid w:val="00297A7A"/>
    <w:rsid w:val="002A0C3A"/>
    <w:rsid w:val="002A0ECD"/>
    <w:rsid w:val="002A1130"/>
    <w:rsid w:val="002A14D3"/>
    <w:rsid w:val="002A1880"/>
    <w:rsid w:val="002A1D47"/>
    <w:rsid w:val="002A23B7"/>
    <w:rsid w:val="002A3A57"/>
    <w:rsid w:val="002A5DA6"/>
    <w:rsid w:val="002A6DEF"/>
    <w:rsid w:val="002A7411"/>
    <w:rsid w:val="002A7C24"/>
    <w:rsid w:val="002B013E"/>
    <w:rsid w:val="002B058D"/>
    <w:rsid w:val="002B0C16"/>
    <w:rsid w:val="002B169E"/>
    <w:rsid w:val="002B2621"/>
    <w:rsid w:val="002B2AC5"/>
    <w:rsid w:val="002B3528"/>
    <w:rsid w:val="002B3539"/>
    <w:rsid w:val="002B3DCB"/>
    <w:rsid w:val="002C0C1C"/>
    <w:rsid w:val="002C184E"/>
    <w:rsid w:val="002C5239"/>
    <w:rsid w:val="002C54C2"/>
    <w:rsid w:val="002C5D34"/>
    <w:rsid w:val="002C661A"/>
    <w:rsid w:val="002D2231"/>
    <w:rsid w:val="002D25FC"/>
    <w:rsid w:val="002D3380"/>
    <w:rsid w:val="002D4AC6"/>
    <w:rsid w:val="002D5C7B"/>
    <w:rsid w:val="002D7648"/>
    <w:rsid w:val="002D7909"/>
    <w:rsid w:val="002E109C"/>
    <w:rsid w:val="002E115E"/>
    <w:rsid w:val="002E193E"/>
    <w:rsid w:val="002E1D76"/>
    <w:rsid w:val="002E243C"/>
    <w:rsid w:val="002E26C4"/>
    <w:rsid w:val="002E4B37"/>
    <w:rsid w:val="002E4BF9"/>
    <w:rsid w:val="002E6F5B"/>
    <w:rsid w:val="002F16DD"/>
    <w:rsid w:val="002F199D"/>
    <w:rsid w:val="002F23B2"/>
    <w:rsid w:val="002F4084"/>
    <w:rsid w:val="002F4A08"/>
    <w:rsid w:val="002F4ADB"/>
    <w:rsid w:val="002F531E"/>
    <w:rsid w:val="002F5ACC"/>
    <w:rsid w:val="002F6E38"/>
    <w:rsid w:val="002F704B"/>
    <w:rsid w:val="002F72C3"/>
    <w:rsid w:val="002F768C"/>
    <w:rsid w:val="002F7D1E"/>
    <w:rsid w:val="00302F0F"/>
    <w:rsid w:val="003030D8"/>
    <w:rsid w:val="00303243"/>
    <w:rsid w:val="00303BCC"/>
    <w:rsid w:val="00303F2B"/>
    <w:rsid w:val="00303F8D"/>
    <w:rsid w:val="00304580"/>
    <w:rsid w:val="0030586A"/>
    <w:rsid w:val="003074C5"/>
    <w:rsid w:val="00307A3C"/>
    <w:rsid w:val="00307FA4"/>
    <w:rsid w:val="00310CC1"/>
    <w:rsid w:val="00311EFC"/>
    <w:rsid w:val="00313026"/>
    <w:rsid w:val="0031421F"/>
    <w:rsid w:val="00314B31"/>
    <w:rsid w:val="00314B36"/>
    <w:rsid w:val="00315158"/>
    <w:rsid w:val="00315346"/>
    <w:rsid w:val="00315A65"/>
    <w:rsid w:val="00317BA7"/>
    <w:rsid w:val="00320BE2"/>
    <w:rsid w:val="00321886"/>
    <w:rsid w:val="00322932"/>
    <w:rsid w:val="003234F4"/>
    <w:rsid w:val="00323694"/>
    <w:rsid w:val="00324D63"/>
    <w:rsid w:val="003255AF"/>
    <w:rsid w:val="003256EB"/>
    <w:rsid w:val="003259DB"/>
    <w:rsid w:val="0032620C"/>
    <w:rsid w:val="00331A48"/>
    <w:rsid w:val="003330C9"/>
    <w:rsid w:val="0033364C"/>
    <w:rsid w:val="00334415"/>
    <w:rsid w:val="0033691E"/>
    <w:rsid w:val="00336CCB"/>
    <w:rsid w:val="00337F44"/>
    <w:rsid w:val="003411D1"/>
    <w:rsid w:val="003416BA"/>
    <w:rsid w:val="00342A8A"/>
    <w:rsid w:val="00342F99"/>
    <w:rsid w:val="003454A4"/>
    <w:rsid w:val="00346337"/>
    <w:rsid w:val="00350E6C"/>
    <w:rsid w:val="003518A6"/>
    <w:rsid w:val="00351E7F"/>
    <w:rsid w:val="00352953"/>
    <w:rsid w:val="00354062"/>
    <w:rsid w:val="00355C0D"/>
    <w:rsid w:val="003566A9"/>
    <w:rsid w:val="00356988"/>
    <w:rsid w:val="00357128"/>
    <w:rsid w:val="0035755E"/>
    <w:rsid w:val="00357A80"/>
    <w:rsid w:val="00361B8B"/>
    <w:rsid w:val="00363F39"/>
    <w:rsid w:val="00364AB0"/>
    <w:rsid w:val="003667B0"/>
    <w:rsid w:val="003667DD"/>
    <w:rsid w:val="00366B48"/>
    <w:rsid w:val="00367764"/>
    <w:rsid w:val="00370316"/>
    <w:rsid w:val="00370DC7"/>
    <w:rsid w:val="0037156C"/>
    <w:rsid w:val="00371CBD"/>
    <w:rsid w:val="00373CBE"/>
    <w:rsid w:val="003740CC"/>
    <w:rsid w:val="00374E79"/>
    <w:rsid w:val="00375388"/>
    <w:rsid w:val="00375FB9"/>
    <w:rsid w:val="00376851"/>
    <w:rsid w:val="00376FA2"/>
    <w:rsid w:val="00377A3B"/>
    <w:rsid w:val="00377E3C"/>
    <w:rsid w:val="00380BBE"/>
    <w:rsid w:val="00381D70"/>
    <w:rsid w:val="00382128"/>
    <w:rsid w:val="0038235E"/>
    <w:rsid w:val="003829D0"/>
    <w:rsid w:val="00382AC7"/>
    <w:rsid w:val="0038444F"/>
    <w:rsid w:val="00384E83"/>
    <w:rsid w:val="00387051"/>
    <w:rsid w:val="00387ECF"/>
    <w:rsid w:val="0039021B"/>
    <w:rsid w:val="00390429"/>
    <w:rsid w:val="00392615"/>
    <w:rsid w:val="0039327C"/>
    <w:rsid w:val="003933A2"/>
    <w:rsid w:val="0039366C"/>
    <w:rsid w:val="00393EC8"/>
    <w:rsid w:val="00395E42"/>
    <w:rsid w:val="00396A2D"/>
    <w:rsid w:val="00396FC3"/>
    <w:rsid w:val="003A1A94"/>
    <w:rsid w:val="003A204E"/>
    <w:rsid w:val="003A2D25"/>
    <w:rsid w:val="003A353E"/>
    <w:rsid w:val="003A4DDB"/>
    <w:rsid w:val="003A60E7"/>
    <w:rsid w:val="003B0B6A"/>
    <w:rsid w:val="003B29CF"/>
    <w:rsid w:val="003B6659"/>
    <w:rsid w:val="003B7733"/>
    <w:rsid w:val="003C350C"/>
    <w:rsid w:val="003C3903"/>
    <w:rsid w:val="003C3BA0"/>
    <w:rsid w:val="003C4580"/>
    <w:rsid w:val="003C4E6F"/>
    <w:rsid w:val="003C52D8"/>
    <w:rsid w:val="003C5C5E"/>
    <w:rsid w:val="003C6746"/>
    <w:rsid w:val="003C7133"/>
    <w:rsid w:val="003C7555"/>
    <w:rsid w:val="003C7898"/>
    <w:rsid w:val="003D0FF5"/>
    <w:rsid w:val="003D2D1B"/>
    <w:rsid w:val="003D30AB"/>
    <w:rsid w:val="003D48C7"/>
    <w:rsid w:val="003D4C08"/>
    <w:rsid w:val="003D7CE8"/>
    <w:rsid w:val="003E1032"/>
    <w:rsid w:val="003E1904"/>
    <w:rsid w:val="003E285E"/>
    <w:rsid w:val="003E3300"/>
    <w:rsid w:val="003E65AC"/>
    <w:rsid w:val="003E6E24"/>
    <w:rsid w:val="003E72B9"/>
    <w:rsid w:val="003E7ED4"/>
    <w:rsid w:val="003F0E52"/>
    <w:rsid w:val="003F0EF2"/>
    <w:rsid w:val="003F0F6B"/>
    <w:rsid w:val="003F1FE3"/>
    <w:rsid w:val="003F3865"/>
    <w:rsid w:val="003F4632"/>
    <w:rsid w:val="003F47BA"/>
    <w:rsid w:val="003F6617"/>
    <w:rsid w:val="0040023D"/>
    <w:rsid w:val="00402332"/>
    <w:rsid w:val="004025C2"/>
    <w:rsid w:val="00403E55"/>
    <w:rsid w:val="00404681"/>
    <w:rsid w:val="0040496D"/>
    <w:rsid w:val="00405010"/>
    <w:rsid w:val="0040595A"/>
    <w:rsid w:val="00406923"/>
    <w:rsid w:val="0040713A"/>
    <w:rsid w:val="0040763D"/>
    <w:rsid w:val="00407D1B"/>
    <w:rsid w:val="004105B0"/>
    <w:rsid w:val="0041338E"/>
    <w:rsid w:val="004133A8"/>
    <w:rsid w:val="00413821"/>
    <w:rsid w:val="00413D43"/>
    <w:rsid w:val="004141A3"/>
    <w:rsid w:val="00414909"/>
    <w:rsid w:val="00416112"/>
    <w:rsid w:val="00416B7C"/>
    <w:rsid w:val="00416DF0"/>
    <w:rsid w:val="00417AE0"/>
    <w:rsid w:val="00417BAA"/>
    <w:rsid w:val="00420D7A"/>
    <w:rsid w:val="004223DE"/>
    <w:rsid w:val="0042293E"/>
    <w:rsid w:val="00422A10"/>
    <w:rsid w:val="00424D17"/>
    <w:rsid w:val="00425DFD"/>
    <w:rsid w:val="004263A3"/>
    <w:rsid w:val="00427713"/>
    <w:rsid w:val="00427CCC"/>
    <w:rsid w:val="0043013A"/>
    <w:rsid w:val="00430421"/>
    <w:rsid w:val="00430B4F"/>
    <w:rsid w:val="004314B1"/>
    <w:rsid w:val="00431E65"/>
    <w:rsid w:val="00432589"/>
    <w:rsid w:val="00432A94"/>
    <w:rsid w:val="00433827"/>
    <w:rsid w:val="004360C8"/>
    <w:rsid w:val="0044006B"/>
    <w:rsid w:val="0044033F"/>
    <w:rsid w:val="00440630"/>
    <w:rsid w:val="00441123"/>
    <w:rsid w:val="00442095"/>
    <w:rsid w:val="00442965"/>
    <w:rsid w:val="00444157"/>
    <w:rsid w:val="0044417C"/>
    <w:rsid w:val="00444DB3"/>
    <w:rsid w:val="0044516D"/>
    <w:rsid w:val="004452B9"/>
    <w:rsid w:val="00445A2F"/>
    <w:rsid w:val="00446328"/>
    <w:rsid w:val="0044684E"/>
    <w:rsid w:val="004479CA"/>
    <w:rsid w:val="004503A4"/>
    <w:rsid w:val="00450555"/>
    <w:rsid w:val="00450DC6"/>
    <w:rsid w:val="004516A5"/>
    <w:rsid w:val="004535AE"/>
    <w:rsid w:val="00453C42"/>
    <w:rsid w:val="0045463A"/>
    <w:rsid w:val="00454AC9"/>
    <w:rsid w:val="00454FE6"/>
    <w:rsid w:val="004554A3"/>
    <w:rsid w:val="00455A6E"/>
    <w:rsid w:val="004578EB"/>
    <w:rsid w:val="00460303"/>
    <w:rsid w:val="00460697"/>
    <w:rsid w:val="00465EEF"/>
    <w:rsid w:val="00466D03"/>
    <w:rsid w:val="0046711B"/>
    <w:rsid w:val="00471156"/>
    <w:rsid w:val="00472429"/>
    <w:rsid w:val="004725E5"/>
    <w:rsid w:val="00472751"/>
    <w:rsid w:val="00473128"/>
    <w:rsid w:val="00475078"/>
    <w:rsid w:val="00475226"/>
    <w:rsid w:val="004779A0"/>
    <w:rsid w:val="004808E3"/>
    <w:rsid w:val="00481016"/>
    <w:rsid w:val="004814D3"/>
    <w:rsid w:val="0048204C"/>
    <w:rsid w:val="004821BB"/>
    <w:rsid w:val="00482233"/>
    <w:rsid w:val="004826FE"/>
    <w:rsid w:val="004827D5"/>
    <w:rsid w:val="004830C9"/>
    <w:rsid w:val="00483347"/>
    <w:rsid w:val="00483E2E"/>
    <w:rsid w:val="00484B69"/>
    <w:rsid w:val="00485406"/>
    <w:rsid w:val="0048590F"/>
    <w:rsid w:val="00486D60"/>
    <w:rsid w:val="00487C87"/>
    <w:rsid w:val="00492A25"/>
    <w:rsid w:val="00496350"/>
    <w:rsid w:val="00496F91"/>
    <w:rsid w:val="00497274"/>
    <w:rsid w:val="0049797C"/>
    <w:rsid w:val="00497C2C"/>
    <w:rsid w:val="004A1405"/>
    <w:rsid w:val="004A1FC6"/>
    <w:rsid w:val="004A3C03"/>
    <w:rsid w:val="004A3DB7"/>
    <w:rsid w:val="004A3FB3"/>
    <w:rsid w:val="004A5088"/>
    <w:rsid w:val="004A5255"/>
    <w:rsid w:val="004A6097"/>
    <w:rsid w:val="004A6CB0"/>
    <w:rsid w:val="004A70FF"/>
    <w:rsid w:val="004B1B84"/>
    <w:rsid w:val="004B29AC"/>
    <w:rsid w:val="004B35DF"/>
    <w:rsid w:val="004B3627"/>
    <w:rsid w:val="004B4922"/>
    <w:rsid w:val="004B57DF"/>
    <w:rsid w:val="004C2138"/>
    <w:rsid w:val="004C32D4"/>
    <w:rsid w:val="004C3940"/>
    <w:rsid w:val="004C51FD"/>
    <w:rsid w:val="004C56F7"/>
    <w:rsid w:val="004C65A8"/>
    <w:rsid w:val="004C786C"/>
    <w:rsid w:val="004C7963"/>
    <w:rsid w:val="004C7F33"/>
    <w:rsid w:val="004D2F63"/>
    <w:rsid w:val="004D35BA"/>
    <w:rsid w:val="004D4701"/>
    <w:rsid w:val="004D47C7"/>
    <w:rsid w:val="004D618D"/>
    <w:rsid w:val="004D62A9"/>
    <w:rsid w:val="004D6FC3"/>
    <w:rsid w:val="004D7476"/>
    <w:rsid w:val="004E0306"/>
    <w:rsid w:val="004E0572"/>
    <w:rsid w:val="004E2250"/>
    <w:rsid w:val="004E25A8"/>
    <w:rsid w:val="004E3930"/>
    <w:rsid w:val="004E3ED9"/>
    <w:rsid w:val="004E5866"/>
    <w:rsid w:val="004E6097"/>
    <w:rsid w:val="004E61EF"/>
    <w:rsid w:val="004E76A7"/>
    <w:rsid w:val="004E7736"/>
    <w:rsid w:val="004E7B03"/>
    <w:rsid w:val="004F0064"/>
    <w:rsid w:val="004F06AC"/>
    <w:rsid w:val="004F243F"/>
    <w:rsid w:val="004F3E0C"/>
    <w:rsid w:val="004F6F95"/>
    <w:rsid w:val="004F7160"/>
    <w:rsid w:val="00500258"/>
    <w:rsid w:val="0050175E"/>
    <w:rsid w:val="00501A99"/>
    <w:rsid w:val="00503180"/>
    <w:rsid w:val="0050417C"/>
    <w:rsid w:val="00505450"/>
    <w:rsid w:val="005100B7"/>
    <w:rsid w:val="005113C9"/>
    <w:rsid w:val="0051280C"/>
    <w:rsid w:val="00512842"/>
    <w:rsid w:val="005128BE"/>
    <w:rsid w:val="0051356F"/>
    <w:rsid w:val="00513E7C"/>
    <w:rsid w:val="005140BB"/>
    <w:rsid w:val="005143C2"/>
    <w:rsid w:val="00514FD9"/>
    <w:rsid w:val="0051608F"/>
    <w:rsid w:val="005210F7"/>
    <w:rsid w:val="00521753"/>
    <w:rsid w:val="00521A44"/>
    <w:rsid w:val="00521D16"/>
    <w:rsid w:val="005222BE"/>
    <w:rsid w:val="005224EE"/>
    <w:rsid w:val="00523BB1"/>
    <w:rsid w:val="0052451A"/>
    <w:rsid w:val="00524737"/>
    <w:rsid w:val="00526265"/>
    <w:rsid w:val="0052652D"/>
    <w:rsid w:val="0052655D"/>
    <w:rsid w:val="005265E0"/>
    <w:rsid w:val="00526BC3"/>
    <w:rsid w:val="005324C7"/>
    <w:rsid w:val="0053358A"/>
    <w:rsid w:val="00534668"/>
    <w:rsid w:val="00534DDD"/>
    <w:rsid w:val="00535291"/>
    <w:rsid w:val="00535A94"/>
    <w:rsid w:val="00537874"/>
    <w:rsid w:val="00540204"/>
    <w:rsid w:val="00540578"/>
    <w:rsid w:val="005407D2"/>
    <w:rsid w:val="00540808"/>
    <w:rsid w:val="0054080E"/>
    <w:rsid w:val="00540EA1"/>
    <w:rsid w:val="0054358E"/>
    <w:rsid w:val="00543AF4"/>
    <w:rsid w:val="00544191"/>
    <w:rsid w:val="00544F39"/>
    <w:rsid w:val="00547EFB"/>
    <w:rsid w:val="005531DF"/>
    <w:rsid w:val="00553874"/>
    <w:rsid w:val="00553ACC"/>
    <w:rsid w:val="00554AD8"/>
    <w:rsid w:val="00554F78"/>
    <w:rsid w:val="00556BF7"/>
    <w:rsid w:val="00562149"/>
    <w:rsid w:val="00563FFD"/>
    <w:rsid w:val="005677CE"/>
    <w:rsid w:val="00567B5D"/>
    <w:rsid w:val="005706A0"/>
    <w:rsid w:val="00573733"/>
    <w:rsid w:val="00574554"/>
    <w:rsid w:val="00576089"/>
    <w:rsid w:val="005764B1"/>
    <w:rsid w:val="00576A56"/>
    <w:rsid w:val="00576D06"/>
    <w:rsid w:val="005779E4"/>
    <w:rsid w:val="0058144D"/>
    <w:rsid w:val="0058289C"/>
    <w:rsid w:val="00582DC6"/>
    <w:rsid w:val="005836C7"/>
    <w:rsid w:val="0058408E"/>
    <w:rsid w:val="00585374"/>
    <w:rsid w:val="00586FEC"/>
    <w:rsid w:val="00590B77"/>
    <w:rsid w:val="005913A3"/>
    <w:rsid w:val="00594A7B"/>
    <w:rsid w:val="00594AFA"/>
    <w:rsid w:val="0059580E"/>
    <w:rsid w:val="00596A6F"/>
    <w:rsid w:val="005976E1"/>
    <w:rsid w:val="005A1525"/>
    <w:rsid w:val="005A1EC3"/>
    <w:rsid w:val="005A252B"/>
    <w:rsid w:val="005A2A71"/>
    <w:rsid w:val="005A3204"/>
    <w:rsid w:val="005A3341"/>
    <w:rsid w:val="005A46EC"/>
    <w:rsid w:val="005A4847"/>
    <w:rsid w:val="005B0160"/>
    <w:rsid w:val="005B0185"/>
    <w:rsid w:val="005B07EC"/>
    <w:rsid w:val="005B2B11"/>
    <w:rsid w:val="005B2E00"/>
    <w:rsid w:val="005B370E"/>
    <w:rsid w:val="005B4DA3"/>
    <w:rsid w:val="005B5BEE"/>
    <w:rsid w:val="005B77D2"/>
    <w:rsid w:val="005C019B"/>
    <w:rsid w:val="005C144E"/>
    <w:rsid w:val="005C30F5"/>
    <w:rsid w:val="005C357E"/>
    <w:rsid w:val="005C51A5"/>
    <w:rsid w:val="005C557A"/>
    <w:rsid w:val="005C61DD"/>
    <w:rsid w:val="005C6438"/>
    <w:rsid w:val="005C6B8B"/>
    <w:rsid w:val="005D0114"/>
    <w:rsid w:val="005D02E3"/>
    <w:rsid w:val="005D1F34"/>
    <w:rsid w:val="005D2C1F"/>
    <w:rsid w:val="005D34B2"/>
    <w:rsid w:val="005D3B54"/>
    <w:rsid w:val="005D40CD"/>
    <w:rsid w:val="005D6B59"/>
    <w:rsid w:val="005D7037"/>
    <w:rsid w:val="005E03E4"/>
    <w:rsid w:val="005E0454"/>
    <w:rsid w:val="005E171D"/>
    <w:rsid w:val="005E34C2"/>
    <w:rsid w:val="005E35C6"/>
    <w:rsid w:val="005E5B01"/>
    <w:rsid w:val="005E7933"/>
    <w:rsid w:val="005E7B77"/>
    <w:rsid w:val="005F009E"/>
    <w:rsid w:val="005F0A88"/>
    <w:rsid w:val="005F0DF1"/>
    <w:rsid w:val="005F1516"/>
    <w:rsid w:val="005F229E"/>
    <w:rsid w:val="005F2564"/>
    <w:rsid w:val="005F3822"/>
    <w:rsid w:val="005F4D16"/>
    <w:rsid w:val="005F4E52"/>
    <w:rsid w:val="0060058E"/>
    <w:rsid w:val="00602A3C"/>
    <w:rsid w:val="00603EFD"/>
    <w:rsid w:val="0060475B"/>
    <w:rsid w:val="00604FB6"/>
    <w:rsid w:val="00605387"/>
    <w:rsid w:val="00606302"/>
    <w:rsid w:val="006076FD"/>
    <w:rsid w:val="0061143F"/>
    <w:rsid w:val="006114D8"/>
    <w:rsid w:val="00611585"/>
    <w:rsid w:val="00613522"/>
    <w:rsid w:val="00613601"/>
    <w:rsid w:val="00613791"/>
    <w:rsid w:val="00613AAB"/>
    <w:rsid w:val="006148C7"/>
    <w:rsid w:val="006150D6"/>
    <w:rsid w:val="00617EEE"/>
    <w:rsid w:val="006210FE"/>
    <w:rsid w:val="00622811"/>
    <w:rsid w:val="00622BB7"/>
    <w:rsid w:val="00622F3B"/>
    <w:rsid w:val="00623389"/>
    <w:rsid w:val="0062352A"/>
    <w:rsid w:val="0062633A"/>
    <w:rsid w:val="006265C4"/>
    <w:rsid w:val="00627383"/>
    <w:rsid w:val="006301BB"/>
    <w:rsid w:val="00635A4A"/>
    <w:rsid w:val="00635FB9"/>
    <w:rsid w:val="00637774"/>
    <w:rsid w:val="0064024C"/>
    <w:rsid w:val="00640291"/>
    <w:rsid w:val="00641FAC"/>
    <w:rsid w:val="006432A5"/>
    <w:rsid w:val="00643664"/>
    <w:rsid w:val="00643CAA"/>
    <w:rsid w:val="00652680"/>
    <w:rsid w:val="00652A09"/>
    <w:rsid w:val="006530A1"/>
    <w:rsid w:val="00653CDE"/>
    <w:rsid w:val="0065636A"/>
    <w:rsid w:val="00656C3C"/>
    <w:rsid w:val="00657003"/>
    <w:rsid w:val="006572C1"/>
    <w:rsid w:val="00660238"/>
    <w:rsid w:val="006602EF"/>
    <w:rsid w:val="00661277"/>
    <w:rsid w:val="006619D1"/>
    <w:rsid w:val="00663FEA"/>
    <w:rsid w:val="00664803"/>
    <w:rsid w:val="006661A4"/>
    <w:rsid w:val="006670E0"/>
    <w:rsid w:val="00667532"/>
    <w:rsid w:val="006704FD"/>
    <w:rsid w:val="0067294B"/>
    <w:rsid w:val="00673AA4"/>
    <w:rsid w:val="00674187"/>
    <w:rsid w:val="0067508F"/>
    <w:rsid w:val="006752BD"/>
    <w:rsid w:val="00675349"/>
    <w:rsid w:val="00675E7E"/>
    <w:rsid w:val="0068051E"/>
    <w:rsid w:val="00680B9D"/>
    <w:rsid w:val="00681F13"/>
    <w:rsid w:val="0068231C"/>
    <w:rsid w:val="00682344"/>
    <w:rsid w:val="00682F28"/>
    <w:rsid w:val="00684842"/>
    <w:rsid w:val="00685BD6"/>
    <w:rsid w:val="006878A6"/>
    <w:rsid w:val="00687F01"/>
    <w:rsid w:val="00690437"/>
    <w:rsid w:val="00690E65"/>
    <w:rsid w:val="0069188E"/>
    <w:rsid w:val="00691974"/>
    <w:rsid w:val="00692CE6"/>
    <w:rsid w:val="00693B6C"/>
    <w:rsid w:val="006942AE"/>
    <w:rsid w:val="00695421"/>
    <w:rsid w:val="00697BD3"/>
    <w:rsid w:val="00697DFA"/>
    <w:rsid w:val="006A10F3"/>
    <w:rsid w:val="006A16D5"/>
    <w:rsid w:val="006A1772"/>
    <w:rsid w:val="006A1780"/>
    <w:rsid w:val="006A25A5"/>
    <w:rsid w:val="006A3CEC"/>
    <w:rsid w:val="006A3F75"/>
    <w:rsid w:val="006A6CA7"/>
    <w:rsid w:val="006A703E"/>
    <w:rsid w:val="006A7BE3"/>
    <w:rsid w:val="006B01D1"/>
    <w:rsid w:val="006B16EA"/>
    <w:rsid w:val="006B1780"/>
    <w:rsid w:val="006B224E"/>
    <w:rsid w:val="006B376E"/>
    <w:rsid w:val="006B4589"/>
    <w:rsid w:val="006B6805"/>
    <w:rsid w:val="006B6B5E"/>
    <w:rsid w:val="006B6DE0"/>
    <w:rsid w:val="006B7D5F"/>
    <w:rsid w:val="006C235A"/>
    <w:rsid w:val="006C32F4"/>
    <w:rsid w:val="006C3C54"/>
    <w:rsid w:val="006C427B"/>
    <w:rsid w:val="006C4F9F"/>
    <w:rsid w:val="006D0C1D"/>
    <w:rsid w:val="006D0CE1"/>
    <w:rsid w:val="006D2004"/>
    <w:rsid w:val="006D2E9D"/>
    <w:rsid w:val="006D3EF6"/>
    <w:rsid w:val="006D4C42"/>
    <w:rsid w:val="006D5809"/>
    <w:rsid w:val="006D668D"/>
    <w:rsid w:val="006D7363"/>
    <w:rsid w:val="006E04C8"/>
    <w:rsid w:val="006E0712"/>
    <w:rsid w:val="006E0754"/>
    <w:rsid w:val="006E2668"/>
    <w:rsid w:val="006E2D39"/>
    <w:rsid w:val="006E32B0"/>
    <w:rsid w:val="006E36D8"/>
    <w:rsid w:val="006E396A"/>
    <w:rsid w:val="006E3A73"/>
    <w:rsid w:val="006E5DD8"/>
    <w:rsid w:val="006E5EA1"/>
    <w:rsid w:val="006F0760"/>
    <w:rsid w:val="006F0FF1"/>
    <w:rsid w:val="006F11E2"/>
    <w:rsid w:val="006F1B03"/>
    <w:rsid w:val="006F2394"/>
    <w:rsid w:val="006F2574"/>
    <w:rsid w:val="006F3231"/>
    <w:rsid w:val="006F3DE3"/>
    <w:rsid w:val="006F511F"/>
    <w:rsid w:val="006F61D8"/>
    <w:rsid w:val="006F62B7"/>
    <w:rsid w:val="006F70BC"/>
    <w:rsid w:val="006F713A"/>
    <w:rsid w:val="006F76BF"/>
    <w:rsid w:val="00702DCB"/>
    <w:rsid w:val="007036B2"/>
    <w:rsid w:val="007066A4"/>
    <w:rsid w:val="00706F37"/>
    <w:rsid w:val="0071209F"/>
    <w:rsid w:val="007125A2"/>
    <w:rsid w:val="00713F79"/>
    <w:rsid w:val="007148A8"/>
    <w:rsid w:val="007171E0"/>
    <w:rsid w:val="0072033C"/>
    <w:rsid w:val="00720B1B"/>
    <w:rsid w:val="00721062"/>
    <w:rsid w:val="00721E5D"/>
    <w:rsid w:val="007229D4"/>
    <w:rsid w:val="007230F8"/>
    <w:rsid w:val="007233F4"/>
    <w:rsid w:val="007239A2"/>
    <w:rsid w:val="00724044"/>
    <w:rsid w:val="007244E1"/>
    <w:rsid w:val="007248D3"/>
    <w:rsid w:val="00725137"/>
    <w:rsid w:val="00727A43"/>
    <w:rsid w:val="00727FF2"/>
    <w:rsid w:val="007323E0"/>
    <w:rsid w:val="00733DE2"/>
    <w:rsid w:val="007352EA"/>
    <w:rsid w:val="007364E5"/>
    <w:rsid w:val="00736E33"/>
    <w:rsid w:val="0073792F"/>
    <w:rsid w:val="00740DA6"/>
    <w:rsid w:val="00741D1E"/>
    <w:rsid w:val="00741EE2"/>
    <w:rsid w:val="00742367"/>
    <w:rsid w:val="00742EAA"/>
    <w:rsid w:val="00743818"/>
    <w:rsid w:val="007439E2"/>
    <w:rsid w:val="007441FB"/>
    <w:rsid w:val="00744517"/>
    <w:rsid w:val="00745DFC"/>
    <w:rsid w:val="00747DE2"/>
    <w:rsid w:val="007504BF"/>
    <w:rsid w:val="007506CD"/>
    <w:rsid w:val="0075267F"/>
    <w:rsid w:val="007526EC"/>
    <w:rsid w:val="00753347"/>
    <w:rsid w:val="00753C48"/>
    <w:rsid w:val="00754C97"/>
    <w:rsid w:val="00754FE4"/>
    <w:rsid w:val="00756236"/>
    <w:rsid w:val="00756271"/>
    <w:rsid w:val="00756521"/>
    <w:rsid w:val="00756AB7"/>
    <w:rsid w:val="00760477"/>
    <w:rsid w:val="007623FB"/>
    <w:rsid w:val="0076376A"/>
    <w:rsid w:val="0076500F"/>
    <w:rsid w:val="0076504E"/>
    <w:rsid w:val="00767EA0"/>
    <w:rsid w:val="007702AA"/>
    <w:rsid w:val="0077068F"/>
    <w:rsid w:val="0077408D"/>
    <w:rsid w:val="00774270"/>
    <w:rsid w:val="00775679"/>
    <w:rsid w:val="00777B32"/>
    <w:rsid w:val="0078051E"/>
    <w:rsid w:val="00781FDD"/>
    <w:rsid w:val="00782A9F"/>
    <w:rsid w:val="0078508A"/>
    <w:rsid w:val="00786D5C"/>
    <w:rsid w:val="00786E96"/>
    <w:rsid w:val="00787F93"/>
    <w:rsid w:val="007907CA"/>
    <w:rsid w:val="00791E6D"/>
    <w:rsid w:val="007928DC"/>
    <w:rsid w:val="007939CC"/>
    <w:rsid w:val="00796FB8"/>
    <w:rsid w:val="00797CB3"/>
    <w:rsid w:val="007A11C2"/>
    <w:rsid w:val="007A41BF"/>
    <w:rsid w:val="007A490A"/>
    <w:rsid w:val="007A581D"/>
    <w:rsid w:val="007A7B95"/>
    <w:rsid w:val="007B0297"/>
    <w:rsid w:val="007B0F53"/>
    <w:rsid w:val="007B1DD8"/>
    <w:rsid w:val="007B21AE"/>
    <w:rsid w:val="007B2570"/>
    <w:rsid w:val="007B3113"/>
    <w:rsid w:val="007B3304"/>
    <w:rsid w:val="007B332B"/>
    <w:rsid w:val="007B394D"/>
    <w:rsid w:val="007B6847"/>
    <w:rsid w:val="007B7490"/>
    <w:rsid w:val="007C0525"/>
    <w:rsid w:val="007C13F7"/>
    <w:rsid w:val="007C218D"/>
    <w:rsid w:val="007C2D28"/>
    <w:rsid w:val="007C3E22"/>
    <w:rsid w:val="007C67C6"/>
    <w:rsid w:val="007C7E59"/>
    <w:rsid w:val="007D0B91"/>
    <w:rsid w:val="007D1452"/>
    <w:rsid w:val="007D1E29"/>
    <w:rsid w:val="007D460C"/>
    <w:rsid w:val="007D4AD3"/>
    <w:rsid w:val="007D4C8D"/>
    <w:rsid w:val="007D583E"/>
    <w:rsid w:val="007D5D19"/>
    <w:rsid w:val="007D5FDC"/>
    <w:rsid w:val="007D6D68"/>
    <w:rsid w:val="007E1603"/>
    <w:rsid w:val="007E32DA"/>
    <w:rsid w:val="007E4998"/>
    <w:rsid w:val="007E4A9C"/>
    <w:rsid w:val="007E6914"/>
    <w:rsid w:val="007E7F78"/>
    <w:rsid w:val="007F1D44"/>
    <w:rsid w:val="007F2C13"/>
    <w:rsid w:val="007F2CEC"/>
    <w:rsid w:val="007F55DE"/>
    <w:rsid w:val="007F5605"/>
    <w:rsid w:val="007F6147"/>
    <w:rsid w:val="007F78FF"/>
    <w:rsid w:val="00800F6C"/>
    <w:rsid w:val="008025BE"/>
    <w:rsid w:val="008051FC"/>
    <w:rsid w:val="008055A9"/>
    <w:rsid w:val="008070EB"/>
    <w:rsid w:val="00807FDE"/>
    <w:rsid w:val="00810E8E"/>
    <w:rsid w:val="008119A9"/>
    <w:rsid w:val="00812462"/>
    <w:rsid w:val="0081481D"/>
    <w:rsid w:val="00814BE8"/>
    <w:rsid w:val="00814F6E"/>
    <w:rsid w:val="00815B84"/>
    <w:rsid w:val="00821A3D"/>
    <w:rsid w:val="00822037"/>
    <w:rsid w:val="00823FC6"/>
    <w:rsid w:val="00823FFC"/>
    <w:rsid w:val="00824387"/>
    <w:rsid w:val="00824811"/>
    <w:rsid w:val="00825C74"/>
    <w:rsid w:val="00826AB9"/>
    <w:rsid w:val="00826E0E"/>
    <w:rsid w:val="0082731F"/>
    <w:rsid w:val="00827D11"/>
    <w:rsid w:val="00827E0F"/>
    <w:rsid w:val="00827F6E"/>
    <w:rsid w:val="00831758"/>
    <w:rsid w:val="0083279F"/>
    <w:rsid w:val="00833B7F"/>
    <w:rsid w:val="00834906"/>
    <w:rsid w:val="00836075"/>
    <w:rsid w:val="00836417"/>
    <w:rsid w:val="008411F9"/>
    <w:rsid w:val="008413AB"/>
    <w:rsid w:val="0084322B"/>
    <w:rsid w:val="00843B93"/>
    <w:rsid w:val="00843F81"/>
    <w:rsid w:val="00844087"/>
    <w:rsid w:val="0084519E"/>
    <w:rsid w:val="00846370"/>
    <w:rsid w:val="00847C2B"/>
    <w:rsid w:val="0085270D"/>
    <w:rsid w:val="008532BF"/>
    <w:rsid w:val="00853BF4"/>
    <w:rsid w:val="00854294"/>
    <w:rsid w:val="0085788B"/>
    <w:rsid w:val="00857A9E"/>
    <w:rsid w:val="00857DE2"/>
    <w:rsid w:val="0086382A"/>
    <w:rsid w:val="0086407F"/>
    <w:rsid w:val="00864E79"/>
    <w:rsid w:val="0086661F"/>
    <w:rsid w:val="00866A0D"/>
    <w:rsid w:val="00866DB5"/>
    <w:rsid w:val="0086784E"/>
    <w:rsid w:val="00867AF1"/>
    <w:rsid w:val="008717C9"/>
    <w:rsid w:val="00872118"/>
    <w:rsid w:val="00872827"/>
    <w:rsid w:val="00872A32"/>
    <w:rsid w:val="00876EAE"/>
    <w:rsid w:val="00880F95"/>
    <w:rsid w:val="00882B44"/>
    <w:rsid w:val="00882FE5"/>
    <w:rsid w:val="00886138"/>
    <w:rsid w:val="00886E66"/>
    <w:rsid w:val="008871B0"/>
    <w:rsid w:val="0089139E"/>
    <w:rsid w:val="0089217C"/>
    <w:rsid w:val="00893671"/>
    <w:rsid w:val="00895838"/>
    <w:rsid w:val="00895A72"/>
    <w:rsid w:val="00895CDF"/>
    <w:rsid w:val="00897A55"/>
    <w:rsid w:val="008A0FC9"/>
    <w:rsid w:val="008A1956"/>
    <w:rsid w:val="008A40D3"/>
    <w:rsid w:val="008A469C"/>
    <w:rsid w:val="008A484A"/>
    <w:rsid w:val="008A5877"/>
    <w:rsid w:val="008A6539"/>
    <w:rsid w:val="008A682C"/>
    <w:rsid w:val="008B05DD"/>
    <w:rsid w:val="008B17E8"/>
    <w:rsid w:val="008B2D03"/>
    <w:rsid w:val="008B2E7C"/>
    <w:rsid w:val="008B45A7"/>
    <w:rsid w:val="008B4A70"/>
    <w:rsid w:val="008B502F"/>
    <w:rsid w:val="008B7034"/>
    <w:rsid w:val="008B7227"/>
    <w:rsid w:val="008C060D"/>
    <w:rsid w:val="008C191C"/>
    <w:rsid w:val="008C1DA4"/>
    <w:rsid w:val="008C2CD5"/>
    <w:rsid w:val="008C3618"/>
    <w:rsid w:val="008C43AD"/>
    <w:rsid w:val="008C59FB"/>
    <w:rsid w:val="008C6687"/>
    <w:rsid w:val="008C68F0"/>
    <w:rsid w:val="008C731F"/>
    <w:rsid w:val="008C74D9"/>
    <w:rsid w:val="008D124C"/>
    <w:rsid w:val="008D1BB3"/>
    <w:rsid w:val="008D22AE"/>
    <w:rsid w:val="008D234A"/>
    <w:rsid w:val="008D566C"/>
    <w:rsid w:val="008D58D9"/>
    <w:rsid w:val="008D6E59"/>
    <w:rsid w:val="008D7155"/>
    <w:rsid w:val="008E09B3"/>
    <w:rsid w:val="008E141A"/>
    <w:rsid w:val="008E1A44"/>
    <w:rsid w:val="008E28E6"/>
    <w:rsid w:val="008E2B60"/>
    <w:rsid w:val="008E3232"/>
    <w:rsid w:val="008E3674"/>
    <w:rsid w:val="008E3B6C"/>
    <w:rsid w:val="008E68BB"/>
    <w:rsid w:val="008E6C9B"/>
    <w:rsid w:val="008E77D4"/>
    <w:rsid w:val="008F0981"/>
    <w:rsid w:val="008F0AFD"/>
    <w:rsid w:val="008F17B2"/>
    <w:rsid w:val="008F28EE"/>
    <w:rsid w:val="008F357B"/>
    <w:rsid w:val="008F44CA"/>
    <w:rsid w:val="008F49B9"/>
    <w:rsid w:val="008F49D3"/>
    <w:rsid w:val="008F4CEF"/>
    <w:rsid w:val="008F4EE1"/>
    <w:rsid w:val="008F53A0"/>
    <w:rsid w:val="008F6519"/>
    <w:rsid w:val="008F7012"/>
    <w:rsid w:val="008F7B17"/>
    <w:rsid w:val="00900042"/>
    <w:rsid w:val="0090034B"/>
    <w:rsid w:val="00902623"/>
    <w:rsid w:val="00902890"/>
    <w:rsid w:val="00904BE4"/>
    <w:rsid w:val="0090504A"/>
    <w:rsid w:val="00905D7E"/>
    <w:rsid w:val="009063B7"/>
    <w:rsid w:val="00907037"/>
    <w:rsid w:val="0091160A"/>
    <w:rsid w:val="00913258"/>
    <w:rsid w:val="0091564D"/>
    <w:rsid w:val="009156DA"/>
    <w:rsid w:val="00916BC5"/>
    <w:rsid w:val="0091726A"/>
    <w:rsid w:val="00920184"/>
    <w:rsid w:val="00920EA4"/>
    <w:rsid w:val="00921792"/>
    <w:rsid w:val="00921BEA"/>
    <w:rsid w:val="00923998"/>
    <w:rsid w:val="00923DB4"/>
    <w:rsid w:val="0092430E"/>
    <w:rsid w:val="0092625F"/>
    <w:rsid w:val="009268A9"/>
    <w:rsid w:val="00927B37"/>
    <w:rsid w:val="009301B2"/>
    <w:rsid w:val="009321B1"/>
    <w:rsid w:val="00932ED7"/>
    <w:rsid w:val="0093357E"/>
    <w:rsid w:val="0093422D"/>
    <w:rsid w:val="00934DD7"/>
    <w:rsid w:val="009369A9"/>
    <w:rsid w:val="00936CF7"/>
    <w:rsid w:val="00937201"/>
    <w:rsid w:val="0093734A"/>
    <w:rsid w:val="00937783"/>
    <w:rsid w:val="00940FE1"/>
    <w:rsid w:val="00942306"/>
    <w:rsid w:val="009424B8"/>
    <w:rsid w:val="009433A4"/>
    <w:rsid w:val="0094435B"/>
    <w:rsid w:val="00944668"/>
    <w:rsid w:val="00944DC6"/>
    <w:rsid w:val="0094537D"/>
    <w:rsid w:val="0094573F"/>
    <w:rsid w:val="009458B0"/>
    <w:rsid w:val="00945B52"/>
    <w:rsid w:val="00945DC0"/>
    <w:rsid w:val="00945F05"/>
    <w:rsid w:val="00946348"/>
    <w:rsid w:val="009471AD"/>
    <w:rsid w:val="009478A2"/>
    <w:rsid w:val="00955643"/>
    <w:rsid w:val="00955FBB"/>
    <w:rsid w:val="0095694B"/>
    <w:rsid w:val="00956BD5"/>
    <w:rsid w:val="009574BB"/>
    <w:rsid w:val="009577B5"/>
    <w:rsid w:val="009608E6"/>
    <w:rsid w:val="00961779"/>
    <w:rsid w:val="00964B93"/>
    <w:rsid w:val="00966522"/>
    <w:rsid w:val="00967D3F"/>
    <w:rsid w:val="00970D7E"/>
    <w:rsid w:val="00970F18"/>
    <w:rsid w:val="00971CF1"/>
    <w:rsid w:val="009721E9"/>
    <w:rsid w:val="00972A58"/>
    <w:rsid w:val="00973772"/>
    <w:rsid w:val="00975E1E"/>
    <w:rsid w:val="00975E70"/>
    <w:rsid w:val="00977BE7"/>
    <w:rsid w:val="00977CD6"/>
    <w:rsid w:val="00982D26"/>
    <w:rsid w:val="009849E9"/>
    <w:rsid w:val="00987812"/>
    <w:rsid w:val="00990225"/>
    <w:rsid w:val="0099244B"/>
    <w:rsid w:val="009947B6"/>
    <w:rsid w:val="00995150"/>
    <w:rsid w:val="009957F3"/>
    <w:rsid w:val="00995D67"/>
    <w:rsid w:val="00997529"/>
    <w:rsid w:val="009A013B"/>
    <w:rsid w:val="009A02F4"/>
    <w:rsid w:val="009A1F12"/>
    <w:rsid w:val="009A2494"/>
    <w:rsid w:val="009A26CA"/>
    <w:rsid w:val="009A36F2"/>
    <w:rsid w:val="009A5749"/>
    <w:rsid w:val="009A57D0"/>
    <w:rsid w:val="009A6559"/>
    <w:rsid w:val="009A68FC"/>
    <w:rsid w:val="009A7514"/>
    <w:rsid w:val="009A7E7A"/>
    <w:rsid w:val="009B1584"/>
    <w:rsid w:val="009B2469"/>
    <w:rsid w:val="009B314F"/>
    <w:rsid w:val="009B439C"/>
    <w:rsid w:val="009B4A6C"/>
    <w:rsid w:val="009B5779"/>
    <w:rsid w:val="009B6753"/>
    <w:rsid w:val="009B6A26"/>
    <w:rsid w:val="009C079D"/>
    <w:rsid w:val="009C0D70"/>
    <w:rsid w:val="009C13D1"/>
    <w:rsid w:val="009C2913"/>
    <w:rsid w:val="009C5AFE"/>
    <w:rsid w:val="009C6606"/>
    <w:rsid w:val="009C6CE5"/>
    <w:rsid w:val="009C6D50"/>
    <w:rsid w:val="009C7547"/>
    <w:rsid w:val="009D2F60"/>
    <w:rsid w:val="009D338C"/>
    <w:rsid w:val="009D3D0D"/>
    <w:rsid w:val="009D5BAC"/>
    <w:rsid w:val="009D64BD"/>
    <w:rsid w:val="009E0D0A"/>
    <w:rsid w:val="009E0D1A"/>
    <w:rsid w:val="009E153F"/>
    <w:rsid w:val="009E2D6C"/>
    <w:rsid w:val="009E388B"/>
    <w:rsid w:val="009E393E"/>
    <w:rsid w:val="009E444E"/>
    <w:rsid w:val="009E4968"/>
    <w:rsid w:val="009E663C"/>
    <w:rsid w:val="009E6BB1"/>
    <w:rsid w:val="009F0092"/>
    <w:rsid w:val="009F0CD9"/>
    <w:rsid w:val="009F1A79"/>
    <w:rsid w:val="009F1F57"/>
    <w:rsid w:val="009F4FCF"/>
    <w:rsid w:val="009F65F4"/>
    <w:rsid w:val="009F676B"/>
    <w:rsid w:val="00A004DF"/>
    <w:rsid w:val="00A00D29"/>
    <w:rsid w:val="00A00FD5"/>
    <w:rsid w:val="00A019A8"/>
    <w:rsid w:val="00A01B03"/>
    <w:rsid w:val="00A02C66"/>
    <w:rsid w:val="00A03861"/>
    <w:rsid w:val="00A0464C"/>
    <w:rsid w:val="00A054E0"/>
    <w:rsid w:val="00A0663F"/>
    <w:rsid w:val="00A066CE"/>
    <w:rsid w:val="00A0740B"/>
    <w:rsid w:val="00A075A9"/>
    <w:rsid w:val="00A11042"/>
    <w:rsid w:val="00A133D8"/>
    <w:rsid w:val="00A14E97"/>
    <w:rsid w:val="00A20069"/>
    <w:rsid w:val="00A2244D"/>
    <w:rsid w:val="00A2253D"/>
    <w:rsid w:val="00A22AEC"/>
    <w:rsid w:val="00A2418A"/>
    <w:rsid w:val="00A247B8"/>
    <w:rsid w:val="00A24D8F"/>
    <w:rsid w:val="00A25B8B"/>
    <w:rsid w:val="00A25FBA"/>
    <w:rsid w:val="00A269C3"/>
    <w:rsid w:val="00A26ECA"/>
    <w:rsid w:val="00A324C1"/>
    <w:rsid w:val="00A337DB"/>
    <w:rsid w:val="00A3467F"/>
    <w:rsid w:val="00A3551A"/>
    <w:rsid w:val="00A376E8"/>
    <w:rsid w:val="00A37E69"/>
    <w:rsid w:val="00A37F8E"/>
    <w:rsid w:val="00A41737"/>
    <w:rsid w:val="00A42B8F"/>
    <w:rsid w:val="00A43254"/>
    <w:rsid w:val="00A43896"/>
    <w:rsid w:val="00A43A26"/>
    <w:rsid w:val="00A447A0"/>
    <w:rsid w:val="00A459F5"/>
    <w:rsid w:val="00A45FC0"/>
    <w:rsid w:val="00A46B32"/>
    <w:rsid w:val="00A47ECC"/>
    <w:rsid w:val="00A5008C"/>
    <w:rsid w:val="00A50171"/>
    <w:rsid w:val="00A5102E"/>
    <w:rsid w:val="00A51083"/>
    <w:rsid w:val="00A5132E"/>
    <w:rsid w:val="00A51533"/>
    <w:rsid w:val="00A51E68"/>
    <w:rsid w:val="00A52F3B"/>
    <w:rsid w:val="00A531D4"/>
    <w:rsid w:val="00A55CFA"/>
    <w:rsid w:val="00A575B8"/>
    <w:rsid w:val="00A647B1"/>
    <w:rsid w:val="00A64DEF"/>
    <w:rsid w:val="00A65E4E"/>
    <w:rsid w:val="00A665DF"/>
    <w:rsid w:val="00A67F1B"/>
    <w:rsid w:val="00A67FCC"/>
    <w:rsid w:val="00A7217B"/>
    <w:rsid w:val="00A73067"/>
    <w:rsid w:val="00A737C4"/>
    <w:rsid w:val="00A739A6"/>
    <w:rsid w:val="00A75EF9"/>
    <w:rsid w:val="00A76BC9"/>
    <w:rsid w:val="00A8311C"/>
    <w:rsid w:val="00A84C5F"/>
    <w:rsid w:val="00A86973"/>
    <w:rsid w:val="00A8740B"/>
    <w:rsid w:val="00A87519"/>
    <w:rsid w:val="00A9246D"/>
    <w:rsid w:val="00A93644"/>
    <w:rsid w:val="00A93BD0"/>
    <w:rsid w:val="00A975A4"/>
    <w:rsid w:val="00AA2001"/>
    <w:rsid w:val="00AA2B5C"/>
    <w:rsid w:val="00AA5328"/>
    <w:rsid w:val="00AA5393"/>
    <w:rsid w:val="00AA63D4"/>
    <w:rsid w:val="00AB03FD"/>
    <w:rsid w:val="00AB257F"/>
    <w:rsid w:val="00AB34CA"/>
    <w:rsid w:val="00AB38CB"/>
    <w:rsid w:val="00AB3BEC"/>
    <w:rsid w:val="00AB44E4"/>
    <w:rsid w:val="00AB4AEB"/>
    <w:rsid w:val="00AB5352"/>
    <w:rsid w:val="00AB56AE"/>
    <w:rsid w:val="00AB62D5"/>
    <w:rsid w:val="00AB65B5"/>
    <w:rsid w:val="00AB6DCD"/>
    <w:rsid w:val="00AB6EE0"/>
    <w:rsid w:val="00AC2DFD"/>
    <w:rsid w:val="00AC3662"/>
    <w:rsid w:val="00AC40B7"/>
    <w:rsid w:val="00AC531F"/>
    <w:rsid w:val="00AC6121"/>
    <w:rsid w:val="00AC626D"/>
    <w:rsid w:val="00AC6CB1"/>
    <w:rsid w:val="00AD0091"/>
    <w:rsid w:val="00AD23D8"/>
    <w:rsid w:val="00AD23EF"/>
    <w:rsid w:val="00AD307B"/>
    <w:rsid w:val="00AD41B3"/>
    <w:rsid w:val="00AD4C48"/>
    <w:rsid w:val="00AD6267"/>
    <w:rsid w:val="00AD7317"/>
    <w:rsid w:val="00AD7EC5"/>
    <w:rsid w:val="00AE01A8"/>
    <w:rsid w:val="00AE0CBD"/>
    <w:rsid w:val="00AE123A"/>
    <w:rsid w:val="00AE28A7"/>
    <w:rsid w:val="00AE2BB5"/>
    <w:rsid w:val="00AE33A6"/>
    <w:rsid w:val="00AE3715"/>
    <w:rsid w:val="00AE3729"/>
    <w:rsid w:val="00AE55B2"/>
    <w:rsid w:val="00AE5C6A"/>
    <w:rsid w:val="00AE65F7"/>
    <w:rsid w:val="00AE7280"/>
    <w:rsid w:val="00AF033A"/>
    <w:rsid w:val="00AF1699"/>
    <w:rsid w:val="00AF278F"/>
    <w:rsid w:val="00AF3896"/>
    <w:rsid w:val="00AF6C33"/>
    <w:rsid w:val="00B0098A"/>
    <w:rsid w:val="00B00A5F"/>
    <w:rsid w:val="00B0225F"/>
    <w:rsid w:val="00B029B8"/>
    <w:rsid w:val="00B02F60"/>
    <w:rsid w:val="00B032B8"/>
    <w:rsid w:val="00B04B46"/>
    <w:rsid w:val="00B0534D"/>
    <w:rsid w:val="00B06368"/>
    <w:rsid w:val="00B06FC6"/>
    <w:rsid w:val="00B07163"/>
    <w:rsid w:val="00B12FE6"/>
    <w:rsid w:val="00B1303F"/>
    <w:rsid w:val="00B1364A"/>
    <w:rsid w:val="00B13D3C"/>
    <w:rsid w:val="00B16715"/>
    <w:rsid w:val="00B17910"/>
    <w:rsid w:val="00B20A7E"/>
    <w:rsid w:val="00B20F18"/>
    <w:rsid w:val="00B21516"/>
    <w:rsid w:val="00B22CE0"/>
    <w:rsid w:val="00B23738"/>
    <w:rsid w:val="00B23A9D"/>
    <w:rsid w:val="00B23BEF"/>
    <w:rsid w:val="00B247BB"/>
    <w:rsid w:val="00B25C11"/>
    <w:rsid w:val="00B25EDF"/>
    <w:rsid w:val="00B25EE6"/>
    <w:rsid w:val="00B3115A"/>
    <w:rsid w:val="00B31A5C"/>
    <w:rsid w:val="00B33C19"/>
    <w:rsid w:val="00B34861"/>
    <w:rsid w:val="00B369F7"/>
    <w:rsid w:val="00B36A99"/>
    <w:rsid w:val="00B36E33"/>
    <w:rsid w:val="00B42980"/>
    <w:rsid w:val="00B434B2"/>
    <w:rsid w:val="00B434C7"/>
    <w:rsid w:val="00B43D45"/>
    <w:rsid w:val="00B468F2"/>
    <w:rsid w:val="00B46B45"/>
    <w:rsid w:val="00B47286"/>
    <w:rsid w:val="00B47894"/>
    <w:rsid w:val="00B50234"/>
    <w:rsid w:val="00B51A7D"/>
    <w:rsid w:val="00B51BF4"/>
    <w:rsid w:val="00B52C68"/>
    <w:rsid w:val="00B542FE"/>
    <w:rsid w:val="00B55A1B"/>
    <w:rsid w:val="00B561DB"/>
    <w:rsid w:val="00B61DCE"/>
    <w:rsid w:val="00B62188"/>
    <w:rsid w:val="00B62467"/>
    <w:rsid w:val="00B62F79"/>
    <w:rsid w:val="00B62F82"/>
    <w:rsid w:val="00B648FA"/>
    <w:rsid w:val="00B662FF"/>
    <w:rsid w:val="00B730B4"/>
    <w:rsid w:val="00B74340"/>
    <w:rsid w:val="00B74F2F"/>
    <w:rsid w:val="00B756FB"/>
    <w:rsid w:val="00B769BC"/>
    <w:rsid w:val="00B77349"/>
    <w:rsid w:val="00B7761E"/>
    <w:rsid w:val="00B80A3D"/>
    <w:rsid w:val="00B823E0"/>
    <w:rsid w:val="00B82B78"/>
    <w:rsid w:val="00B84662"/>
    <w:rsid w:val="00B864A3"/>
    <w:rsid w:val="00B86C2A"/>
    <w:rsid w:val="00B902A5"/>
    <w:rsid w:val="00B90420"/>
    <w:rsid w:val="00B913E4"/>
    <w:rsid w:val="00B91DB9"/>
    <w:rsid w:val="00B93EFE"/>
    <w:rsid w:val="00B94956"/>
    <w:rsid w:val="00B94C7F"/>
    <w:rsid w:val="00B956B5"/>
    <w:rsid w:val="00B95C3A"/>
    <w:rsid w:val="00BA0D44"/>
    <w:rsid w:val="00BA0E26"/>
    <w:rsid w:val="00BA31BF"/>
    <w:rsid w:val="00BA43FC"/>
    <w:rsid w:val="00BA478B"/>
    <w:rsid w:val="00BA5224"/>
    <w:rsid w:val="00BA5F08"/>
    <w:rsid w:val="00BA7E3B"/>
    <w:rsid w:val="00BB079C"/>
    <w:rsid w:val="00BB39C1"/>
    <w:rsid w:val="00BB590A"/>
    <w:rsid w:val="00BB5D16"/>
    <w:rsid w:val="00BB6180"/>
    <w:rsid w:val="00BB69E6"/>
    <w:rsid w:val="00BC1B7A"/>
    <w:rsid w:val="00BC2B4D"/>
    <w:rsid w:val="00BC2BC7"/>
    <w:rsid w:val="00BC2C17"/>
    <w:rsid w:val="00BC3ACD"/>
    <w:rsid w:val="00BC6E73"/>
    <w:rsid w:val="00BD0014"/>
    <w:rsid w:val="00BD01D8"/>
    <w:rsid w:val="00BD2481"/>
    <w:rsid w:val="00BD2512"/>
    <w:rsid w:val="00BD255F"/>
    <w:rsid w:val="00BD383D"/>
    <w:rsid w:val="00BD4236"/>
    <w:rsid w:val="00BD5CCA"/>
    <w:rsid w:val="00BD5CD4"/>
    <w:rsid w:val="00BD6EF9"/>
    <w:rsid w:val="00BD77DD"/>
    <w:rsid w:val="00BE0ACB"/>
    <w:rsid w:val="00BE3537"/>
    <w:rsid w:val="00BE360F"/>
    <w:rsid w:val="00BE50FD"/>
    <w:rsid w:val="00BE51CA"/>
    <w:rsid w:val="00BE6D47"/>
    <w:rsid w:val="00BE7032"/>
    <w:rsid w:val="00BE7330"/>
    <w:rsid w:val="00BF01C5"/>
    <w:rsid w:val="00BF066A"/>
    <w:rsid w:val="00BF361C"/>
    <w:rsid w:val="00BF4342"/>
    <w:rsid w:val="00BF5050"/>
    <w:rsid w:val="00BF5422"/>
    <w:rsid w:val="00BF54CF"/>
    <w:rsid w:val="00BF59B1"/>
    <w:rsid w:val="00BF6A78"/>
    <w:rsid w:val="00BF6E19"/>
    <w:rsid w:val="00BF79B4"/>
    <w:rsid w:val="00C01427"/>
    <w:rsid w:val="00C016A1"/>
    <w:rsid w:val="00C04DD2"/>
    <w:rsid w:val="00C04E0A"/>
    <w:rsid w:val="00C050DE"/>
    <w:rsid w:val="00C058AF"/>
    <w:rsid w:val="00C10119"/>
    <w:rsid w:val="00C124C1"/>
    <w:rsid w:val="00C128AE"/>
    <w:rsid w:val="00C136D6"/>
    <w:rsid w:val="00C13D5B"/>
    <w:rsid w:val="00C17AE2"/>
    <w:rsid w:val="00C20F27"/>
    <w:rsid w:val="00C215CF"/>
    <w:rsid w:val="00C2244B"/>
    <w:rsid w:val="00C22B0D"/>
    <w:rsid w:val="00C240C1"/>
    <w:rsid w:val="00C250D0"/>
    <w:rsid w:val="00C252AC"/>
    <w:rsid w:val="00C255AB"/>
    <w:rsid w:val="00C27214"/>
    <w:rsid w:val="00C27597"/>
    <w:rsid w:val="00C30382"/>
    <w:rsid w:val="00C30D6F"/>
    <w:rsid w:val="00C31063"/>
    <w:rsid w:val="00C31B7E"/>
    <w:rsid w:val="00C3242A"/>
    <w:rsid w:val="00C32AE2"/>
    <w:rsid w:val="00C33201"/>
    <w:rsid w:val="00C332C4"/>
    <w:rsid w:val="00C360B3"/>
    <w:rsid w:val="00C3679B"/>
    <w:rsid w:val="00C37027"/>
    <w:rsid w:val="00C3778D"/>
    <w:rsid w:val="00C405A3"/>
    <w:rsid w:val="00C42752"/>
    <w:rsid w:val="00C42973"/>
    <w:rsid w:val="00C44F9C"/>
    <w:rsid w:val="00C4730E"/>
    <w:rsid w:val="00C5019C"/>
    <w:rsid w:val="00C5034F"/>
    <w:rsid w:val="00C52479"/>
    <w:rsid w:val="00C52C59"/>
    <w:rsid w:val="00C5349E"/>
    <w:rsid w:val="00C54467"/>
    <w:rsid w:val="00C54D3D"/>
    <w:rsid w:val="00C55A30"/>
    <w:rsid w:val="00C6028F"/>
    <w:rsid w:val="00C608F1"/>
    <w:rsid w:val="00C61253"/>
    <w:rsid w:val="00C631E1"/>
    <w:rsid w:val="00C638D8"/>
    <w:rsid w:val="00C63D26"/>
    <w:rsid w:val="00C641EB"/>
    <w:rsid w:val="00C65053"/>
    <w:rsid w:val="00C66F69"/>
    <w:rsid w:val="00C67223"/>
    <w:rsid w:val="00C67CFF"/>
    <w:rsid w:val="00C707B8"/>
    <w:rsid w:val="00C71C15"/>
    <w:rsid w:val="00C71F3D"/>
    <w:rsid w:val="00C72F53"/>
    <w:rsid w:val="00C74035"/>
    <w:rsid w:val="00C77818"/>
    <w:rsid w:val="00C77AE3"/>
    <w:rsid w:val="00C8063F"/>
    <w:rsid w:val="00C81549"/>
    <w:rsid w:val="00C829A1"/>
    <w:rsid w:val="00C83B36"/>
    <w:rsid w:val="00C84F8A"/>
    <w:rsid w:val="00C85209"/>
    <w:rsid w:val="00C8618F"/>
    <w:rsid w:val="00C90372"/>
    <w:rsid w:val="00C9041F"/>
    <w:rsid w:val="00C91A45"/>
    <w:rsid w:val="00C91ED2"/>
    <w:rsid w:val="00C91FB4"/>
    <w:rsid w:val="00C95745"/>
    <w:rsid w:val="00C962E3"/>
    <w:rsid w:val="00C965BD"/>
    <w:rsid w:val="00C97997"/>
    <w:rsid w:val="00CA0FAC"/>
    <w:rsid w:val="00CA25C0"/>
    <w:rsid w:val="00CA3451"/>
    <w:rsid w:val="00CA4948"/>
    <w:rsid w:val="00CA52F9"/>
    <w:rsid w:val="00CA568B"/>
    <w:rsid w:val="00CA7500"/>
    <w:rsid w:val="00CB19FE"/>
    <w:rsid w:val="00CB304C"/>
    <w:rsid w:val="00CB53E8"/>
    <w:rsid w:val="00CB594A"/>
    <w:rsid w:val="00CB5CB2"/>
    <w:rsid w:val="00CB6979"/>
    <w:rsid w:val="00CC0A3D"/>
    <w:rsid w:val="00CC2373"/>
    <w:rsid w:val="00CC3D24"/>
    <w:rsid w:val="00CC3F91"/>
    <w:rsid w:val="00CC4B0A"/>
    <w:rsid w:val="00CC544A"/>
    <w:rsid w:val="00CC57EA"/>
    <w:rsid w:val="00CC5954"/>
    <w:rsid w:val="00CC6C4E"/>
    <w:rsid w:val="00CD05A2"/>
    <w:rsid w:val="00CD19DA"/>
    <w:rsid w:val="00CD29D4"/>
    <w:rsid w:val="00CD38F5"/>
    <w:rsid w:val="00CD437E"/>
    <w:rsid w:val="00CD5A89"/>
    <w:rsid w:val="00CD5DAD"/>
    <w:rsid w:val="00CD72C5"/>
    <w:rsid w:val="00CD79A7"/>
    <w:rsid w:val="00CE0789"/>
    <w:rsid w:val="00CE1A03"/>
    <w:rsid w:val="00CE2346"/>
    <w:rsid w:val="00CE3529"/>
    <w:rsid w:val="00CE35C8"/>
    <w:rsid w:val="00CE3962"/>
    <w:rsid w:val="00CE5105"/>
    <w:rsid w:val="00CE56BD"/>
    <w:rsid w:val="00CE5EC0"/>
    <w:rsid w:val="00CE6F9F"/>
    <w:rsid w:val="00CE773B"/>
    <w:rsid w:val="00CE781A"/>
    <w:rsid w:val="00CF1D74"/>
    <w:rsid w:val="00CF2BE2"/>
    <w:rsid w:val="00CF55F9"/>
    <w:rsid w:val="00CF71A6"/>
    <w:rsid w:val="00CF7495"/>
    <w:rsid w:val="00D01CF9"/>
    <w:rsid w:val="00D0334D"/>
    <w:rsid w:val="00D0374D"/>
    <w:rsid w:val="00D05A76"/>
    <w:rsid w:val="00D07F1D"/>
    <w:rsid w:val="00D10558"/>
    <w:rsid w:val="00D1203E"/>
    <w:rsid w:val="00D13E70"/>
    <w:rsid w:val="00D16C58"/>
    <w:rsid w:val="00D17019"/>
    <w:rsid w:val="00D17EC6"/>
    <w:rsid w:val="00D21168"/>
    <w:rsid w:val="00D235C8"/>
    <w:rsid w:val="00D2438C"/>
    <w:rsid w:val="00D26C3F"/>
    <w:rsid w:val="00D27185"/>
    <w:rsid w:val="00D337AE"/>
    <w:rsid w:val="00D33AB3"/>
    <w:rsid w:val="00D33F24"/>
    <w:rsid w:val="00D346B7"/>
    <w:rsid w:val="00D346B8"/>
    <w:rsid w:val="00D35AC8"/>
    <w:rsid w:val="00D35D34"/>
    <w:rsid w:val="00D36F87"/>
    <w:rsid w:val="00D37E4E"/>
    <w:rsid w:val="00D42E6C"/>
    <w:rsid w:val="00D43B80"/>
    <w:rsid w:val="00D44236"/>
    <w:rsid w:val="00D45B1E"/>
    <w:rsid w:val="00D45BA4"/>
    <w:rsid w:val="00D46C80"/>
    <w:rsid w:val="00D471AF"/>
    <w:rsid w:val="00D4724F"/>
    <w:rsid w:val="00D50519"/>
    <w:rsid w:val="00D516A5"/>
    <w:rsid w:val="00D5264C"/>
    <w:rsid w:val="00D5289A"/>
    <w:rsid w:val="00D53704"/>
    <w:rsid w:val="00D537FE"/>
    <w:rsid w:val="00D538F0"/>
    <w:rsid w:val="00D54A6A"/>
    <w:rsid w:val="00D54BF8"/>
    <w:rsid w:val="00D54D7C"/>
    <w:rsid w:val="00D55951"/>
    <w:rsid w:val="00D572BE"/>
    <w:rsid w:val="00D57EB6"/>
    <w:rsid w:val="00D60ED7"/>
    <w:rsid w:val="00D63586"/>
    <w:rsid w:val="00D664BF"/>
    <w:rsid w:val="00D66D8B"/>
    <w:rsid w:val="00D72A1C"/>
    <w:rsid w:val="00D73580"/>
    <w:rsid w:val="00D73802"/>
    <w:rsid w:val="00D73868"/>
    <w:rsid w:val="00D73C2C"/>
    <w:rsid w:val="00D73D52"/>
    <w:rsid w:val="00D745E7"/>
    <w:rsid w:val="00D77495"/>
    <w:rsid w:val="00D774ED"/>
    <w:rsid w:val="00D77F88"/>
    <w:rsid w:val="00D818BD"/>
    <w:rsid w:val="00D81EAA"/>
    <w:rsid w:val="00D8259F"/>
    <w:rsid w:val="00D825F2"/>
    <w:rsid w:val="00D828B1"/>
    <w:rsid w:val="00D82D2F"/>
    <w:rsid w:val="00D84F27"/>
    <w:rsid w:val="00D873C6"/>
    <w:rsid w:val="00D94C7D"/>
    <w:rsid w:val="00D94CA4"/>
    <w:rsid w:val="00D95E99"/>
    <w:rsid w:val="00DA098C"/>
    <w:rsid w:val="00DA1A3A"/>
    <w:rsid w:val="00DA2C65"/>
    <w:rsid w:val="00DA2C69"/>
    <w:rsid w:val="00DA395D"/>
    <w:rsid w:val="00DB069E"/>
    <w:rsid w:val="00DB0C4D"/>
    <w:rsid w:val="00DB16B8"/>
    <w:rsid w:val="00DB1D52"/>
    <w:rsid w:val="00DB1F62"/>
    <w:rsid w:val="00DB2E03"/>
    <w:rsid w:val="00DB3742"/>
    <w:rsid w:val="00DB3F4B"/>
    <w:rsid w:val="00DB61A4"/>
    <w:rsid w:val="00DB67C1"/>
    <w:rsid w:val="00DB70CD"/>
    <w:rsid w:val="00DB70F4"/>
    <w:rsid w:val="00DC1056"/>
    <w:rsid w:val="00DC211E"/>
    <w:rsid w:val="00DC21D8"/>
    <w:rsid w:val="00DC282A"/>
    <w:rsid w:val="00DC34DC"/>
    <w:rsid w:val="00DC3CC6"/>
    <w:rsid w:val="00DC514A"/>
    <w:rsid w:val="00DC64EC"/>
    <w:rsid w:val="00DC67B1"/>
    <w:rsid w:val="00DC7833"/>
    <w:rsid w:val="00DD132B"/>
    <w:rsid w:val="00DD1725"/>
    <w:rsid w:val="00DD1CA6"/>
    <w:rsid w:val="00DD2A18"/>
    <w:rsid w:val="00DD5B1A"/>
    <w:rsid w:val="00DD61E8"/>
    <w:rsid w:val="00DD62C0"/>
    <w:rsid w:val="00DD7859"/>
    <w:rsid w:val="00DE03AC"/>
    <w:rsid w:val="00DE0A1D"/>
    <w:rsid w:val="00DE15B2"/>
    <w:rsid w:val="00DE1A9A"/>
    <w:rsid w:val="00DE3D2C"/>
    <w:rsid w:val="00DE5E82"/>
    <w:rsid w:val="00DE5FA6"/>
    <w:rsid w:val="00DE6494"/>
    <w:rsid w:val="00DE6AA1"/>
    <w:rsid w:val="00DE74D7"/>
    <w:rsid w:val="00DE7EF7"/>
    <w:rsid w:val="00DF1185"/>
    <w:rsid w:val="00DF1299"/>
    <w:rsid w:val="00DF1A70"/>
    <w:rsid w:val="00DF23A8"/>
    <w:rsid w:val="00DF2F27"/>
    <w:rsid w:val="00DF6CCC"/>
    <w:rsid w:val="00DF6D0C"/>
    <w:rsid w:val="00DF6F64"/>
    <w:rsid w:val="00DF721E"/>
    <w:rsid w:val="00DF7C87"/>
    <w:rsid w:val="00E009B0"/>
    <w:rsid w:val="00E03D5C"/>
    <w:rsid w:val="00E04C0F"/>
    <w:rsid w:val="00E0570B"/>
    <w:rsid w:val="00E057B2"/>
    <w:rsid w:val="00E05996"/>
    <w:rsid w:val="00E0767F"/>
    <w:rsid w:val="00E10B87"/>
    <w:rsid w:val="00E10EB0"/>
    <w:rsid w:val="00E1478B"/>
    <w:rsid w:val="00E14FAC"/>
    <w:rsid w:val="00E15007"/>
    <w:rsid w:val="00E16EC7"/>
    <w:rsid w:val="00E1714F"/>
    <w:rsid w:val="00E21576"/>
    <w:rsid w:val="00E219CE"/>
    <w:rsid w:val="00E23961"/>
    <w:rsid w:val="00E24071"/>
    <w:rsid w:val="00E24EBC"/>
    <w:rsid w:val="00E2522C"/>
    <w:rsid w:val="00E2599B"/>
    <w:rsid w:val="00E2793D"/>
    <w:rsid w:val="00E31AFA"/>
    <w:rsid w:val="00E324EE"/>
    <w:rsid w:val="00E359FF"/>
    <w:rsid w:val="00E37F1A"/>
    <w:rsid w:val="00E405F1"/>
    <w:rsid w:val="00E43054"/>
    <w:rsid w:val="00E46013"/>
    <w:rsid w:val="00E477C3"/>
    <w:rsid w:val="00E5048D"/>
    <w:rsid w:val="00E50AC4"/>
    <w:rsid w:val="00E51077"/>
    <w:rsid w:val="00E51E16"/>
    <w:rsid w:val="00E52151"/>
    <w:rsid w:val="00E53730"/>
    <w:rsid w:val="00E53C46"/>
    <w:rsid w:val="00E54511"/>
    <w:rsid w:val="00E55DC3"/>
    <w:rsid w:val="00E564AD"/>
    <w:rsid w:val="00E57577"/>
    <w:rsid w:val="00E62043"/>
    <w:rsid w:val="00E626B9"/>
    <w:rsid w:val="00E627C9"/>
    <w:rsid w:val="00E630F3"/>
    <w:rsid w:val="00E648CE"/>
    <w:rsid w:val="00E65198"/>
    <w:rsid w:val="00E664FB"/>
    <w:rsid w:val="00E66F0D"/>
    <w:rsid w:val="00E70615"/>
    <w:rsid w:val="00E7207B"/>
    <w:rsid w:val="00E7347A"/>
    <w:rsid w:val="00E75A47"/>
    <w:rsid w:val="00E75D8C"/>
    <w:rsid w:val="00E77771"/>
    <w:rsid w:val="00E777F2"/>
    <w:rsid w:val="00E802C9"/>
    <w:rsid w:val="00E80F0A"/>
    <w:rsid w:val="00E81A6A"/>
    <w:rsid w:val="00E8291B"/>
    <w:rsid w:val="00E8395F"/>
    <w:rsid w:val="00E85E41"/>
    <w:rsid w:val="00E85EA1"/>
    <w:rsid w:val="00E91044"/>
    <w:rsid w:val="00E910D3"/>
    <w:rsid w:val="00E923CF"/>
    <w:rsid w:val="00E9335F"/>
    <w:rsid w:val="00E95111"/>
    <w:rsid w:val="00EA14C8"/>
    <w:rsid w:val="00EA19D3"/>
    <w:rsid w:val="00EB05D0"/>
    <w:rsid w:val="00EB07C5"/>
    <w:rsid w:val="00EB1D49"/>
    <w:rsid w:val="00EB2834"/>
    <w:rsid w:val="00EB42DD"/>
    <w:rsid w:val="00EB559F"/>
    <w:rsid w:val="00EB5F3D"/>
    <w:rsid w:val="00EB6EC2"/>
    <w:rsid w:val="00EC1CEB"/>
    <w:rsid w:val="00EC268C"/>
    <w:rsid w:val="00EC3753"/>
    <w:rsid w:val="00EC3D46"/>
    <w:rsid w:val="00EC4E71"/>
    <w:rsid w:val="00EC6667"/>
    <w:rsid w:val="00ED0365"/>
    <w:rsid w:val="00ED0865"/>
    <w:rsid w:val="00ED1C60"/>
    <w:rsid w:val="00ED2EB9"/>
    <w:rsid w:val="00ED4469"/>
    <w:rsid w:val="00ED5F23"/>
    <w:rsid w:val="00ED6DC0"/>
    <w:rsid w:val="00ED79CE"/>
    <w:rsid w:val="00ED7A7A"/>
    <w:rsid w:val="00EE038C"/>
    <w:rsid w:val="00EE47C5"/>
    <w:rsid w:val="00EE490C"/>
    <w:rsid w:val="00EE613B"/>
    <w:rsid w:val="00EE7E17"/>
    <w:rsid w:val="00EF2C8E"/>
    <w:rsid w:val="00EF3A0D"/>
    <w:rsid w:val="00EF3CEB"/>
    <w:rsid w:val="00EF41A8"/>
    <w:rsid w:val="00EF44FB"/>
    <w:rsid w:val="00EF4D3C"/>
    <w:rsid w:val="00EF5554"/>
    <w:rsid w:val="00EF5AD8"/>
    <w:rsid w:val="00EF5D2F"/>
    <w:rsid w:val="00EF6758"/>
    <w:rsid w:val="00EF6B90"/>
    <w:rsid w:val="00EF79F7"/>
    <w:rsid w:val="00F00418"/>
    <w:rsid w:val="00F006C0"/>
    <w:rsid w:val="00F019AA"/>
    <w:rsid w:val="00F0267E"/>
    <w:rsid w:val="00F02686"/>
    <w:rsid w:val="00F0459B"/>
    <w:rsid w:val="00F04E15"/>
    <w:rsid w:val="00F05DF3"/>
    <w:rsid w:val="00F069EA"/>
    <w:rsid w:val="00F07B6E"/>
    <w:rsid w:val="00F11461"/>
    <w:rsid w:val="00F11675"/>
    <w:rsid w:val="00F1182D"/>
    <w:rsid w:val="00F12557"/>
    <w:rsid w:val="00F13A8F"/>
    <w:rsid w:val="00F144F8"/>
    <w:rsid w:val="00F14DF8"/>
    <w:rsid w:val="00F164A3"/>
    <w:rsid w:val="00F17AD9"/>
    <w:rsid w:val="00F17F74"/>
    <w:rsid w:val="00F202C2"/>
    <w:rsid w:val="00F22462"/>
    <w:rsid w:val="00F22756"/>
    <w:rsid w:val="00F23890"/>
    <w:rsid w:val="00F24638"/>
    <w:rsid w:val="00F2504D"/>
    <w:rsid w:val="00F2637F"/>
    <w:rsid w:val="00F268F7"/>
    <w:rsid w:val="00F3053D"/>
    <w:rsid w:val="00F30BDB"/>
    <w:rsid w:val="00F30CF8"/>
    <w:rsid w:val="00F31EDF"/>
    <w:rsid w:val="00F32CDE"/>
    <w:rsid w:val="00F32D4C"/>
    <w:rsid w:val="00F34811"/>
    <w:rsid w:val="00F34B14"/>
    <w:rsid w:val="00F36A6A"/>
    <w:rsid w:val="00F40101"/>
    <w:rsid w:val="00F404F7"/>
    <w:rsid w:val="00F40CCA"/>
    <w:rsid w:val="00F41521"/>
    <w:rsid w:val="00F42943"/>
    <w:rsid w:val="00F42D97"/>
    <w:rsid w:val="00F43F09"/>
    <w:rsid w:val="00F45A72"/>
    <w:rsid w:val="00F46723"/>
    <w:rsid w:val="00F50016"/>
    <w:rsid w:val="00F50647"/>
    <w:rsid w:val="00F5118A"/>
    <w:rsid w:val="00F51A21"/>
    <w:rsid w:val="00F5276E"/>
    <w:rsid w:val="00F52E9F"/>
    <w:rsid w:val="00F53304"/>
    <w:rsid w:val="00F53D40"/>
    <w:rsid w:val="00F545ED"/>
    <w:rsid w:val="00F5687F"/>
    <w:rsid w:val="00F575C7"/>
    <w:rsid w:val="00F60305"/>
    <w:rsid w:val="00F61B12"/>
    <w:rsid w:val="00F61D43"/>
    <w:rsid w:val="00F62398"/>
    <w:rsid w:val="00F63223"/>
    <w:rsid w:val="00F63264"/>
    <w:rsid w:val="00F6379E"/>
    <w:rsid w:val="00F67FA8"/>
    <w:rsid w:val="00F70799"/>
    <w:rsid w:val="00F70A8B"/>
    <w:rsid w:val="00F724FB"/>
    <w:rsid w:val="00F72A26"/>
    <w:rsid w:val="00F733C3"/>
    <w:rsid w:val="00F756DD"/>
    <w:rsid w:val="00F80047"/>
    <w:rsid w:val="00F8104D"/>
    <w:rsid w:val="00F81587"/>
    <w:rsid w:val="00F82571"/>
    <w:rsid w:val="00F85B72"/>
    <w:rsid w:val="00F8766F"/>
    <w:rsid w:val="00F91082"/>
    <w:rsid w:val="00F91A9A"/>
    <w:rsid w:val="00F938A3"/>
    <w:rsid w:val="00F93ABB"/>
    <w:rsid w:val="00F94D79"/>
    <w:rsid w:val="00FA118A"/>
    <w:rsid w:val="00FA31C7"/>
    <w:rsid w:val="00FA472D"/>
    <w:rsid w:val="00FA7254"/>
    <w:rsid w:val="00FB18F6"/>
    <w:rsid w:val="00FB2A52"/>
    <w:rsid w:val="00FB2CFF"/>
    <w:rsid w:val="00FB6E19"/>
    <w:rsid w:val="00FB71F6"/>
    <w:rsid w:val="00FC1483"/>
    <w:rsid w:val="00FC1C47"/>
    <w:rsid w:val="00FC39ED"/>
    <w:rsid w:val="00FC4419"/>
    <w:rsid w:val="00FC47E2"/>
    <w:rsid w:val="00FC4AA5"/>
    <w:rsid w:val="00FC5148"/>
    <w:rsid w:val="00FC75AC"/>
    <w:rsid w:val="00FD01BF"/>
    <w:rsid w:val="00FD0525"/>
    <w:rsid w:val="00FD297D"/>
    <w:rsid w:val="00FD2D13"/>
    <w:rsid w:val="00FD3D26"/>
    <w:rsid w:val="00FD4789"/>
    <w:rsid w:val="00FD6071"/>
    <w:rsid w:val="00FE0794"/>
    <w:rsid w:val="00FE1041"/>
    <w:rsid w:val="00FE24CB"/>
    <w:rsid w:val="00FE3166"/>
    <w:rsid w:val="00FE3473"/>
    <w:rsid w:val="00FE353B"/>
    <w:rsid w:val="00FE4049"/>
    <w:rsid w:val="00FE4794"/>
    <w:rsid w:val="00FE55E3"/>
    <w:rsid w:val="00FE5DF7"/>
    <w:rsid w:val="00FE5F72"/>
    <w:rsid w:val="00FF0231"/>
    <w:rsid w:val="00FF1C9B"/>
    <w:rsid w:val="00FF1D49"/>
    <w:rsid w:val="00FF2562"/>
    <w:rsid w:val="00FF3A41"/>
    <w:rsid w:val="00FF3E5B"/>
    <w:rsid w:val="00FF544F"/>
    <w:rsid w:val="00FF57E4"/>
    <w:rsid w:val="00FF7038"/>
    <w:rsid w:val="00FF78E5"/>
    <w:rsid w:val="010A6AC2"/>
    <w:rsid w:val="010E3A48"/>
    <w:rsid w:val="015C2B0C"/>
    <w:rsid w:val="01681CBC"/>
    <w:rsid w:val="017E688C"/>
    <w:rsid w:val="01B31C9D"/>
    <w:rsid w:val="01E21263"/>
    <w:rsid w:val="01F0072A"/>
    <w:rsid w:val="024141DC"/>
    <w:rsid w:val="02511F9D"/>
    <w:rsid w:val="028C0828"/>
    <w:rsid w:val="02BA5D3C"/>
    <w:rsid w:val="030661AE"/>
    <w:rsid w:val="031552A3"/>
    <w:rsid w:val="03454B13"/>
    <w:rsid w:val="03610A19"/>
    <w:rsid w:val="037203C5"/>
    <w:rsid w:val="03A314B8"/>
    <w:rsid w:val="03B9447C"/>
    <w:rsid w:val="03D62253"/>
    <w:rsid w:val="03D82B98"/>
    <w:rsid w:val="03E6079F"/>
    <w:rsid w:val="03F5648C"/>
    <w:rsid w:val="03F83E8B"/>
    <w:rsid w:val="03FE4420"/>
    <w:rsid w:val="041B280B"/>
    <w:rsid w:val="04673CA2"/>
    <w:rsid w:val="04830ABA"/>
    <w:rsid w:val="055573CF"/>
    <w:rsid w:val="056D432C"/>
    <w:rsid w:val="05736DE9"/>
    <w:rsid w:val="0580501B"/>
    <w:rsid w:val="05AA0CAF"/>
    <w:rsid w:val="05C47AC7"/>
    <w:rsid w:val="05E60AF0"/>
    <w:rsid w:val="061130E9"/>
    <w:rsid w:val="063A2BED"/>
    <w:rsid w:val="079C1E7E"/>
    <w:rsid w:val="07B72767"/>
    <w:rsid w:val="07FF77C0"/>
    <w:rsid w:val="08077E72"/>
    <w:rsid w:val="08181C5D"/>
    <w:rsid w:val="08206641"/>
    <w:rsid w:val="0831084F"/>
    <w:rsid w:val="083566D7"/>
    <w:rsid w:val="085D4A47"/>
    <w:rsid w:val="086C1887"/>
    <w:rsid w:val="08D51B22"/>
    <w:rsid w:val="08F10C36"/>
    <w:rsid w:val="08FD1E97"/>
    <w:rsid w:val="095F3DEF"/>
    <w:rsid w:val="096802A0"/>
    <w:rsid w:val="098032F7"/>
    <w:rsid w:val="099C5FE3"/>
    <w:rsid w:val="09CC2AAC"/>
    <w:rsid w:val="0A4D4AAB"/>
    <w:rsid w:val="0A652D3E"/>
    <w:rsid w:val="0A6C1F46"/>
    <w:rsid w:val="0ACA69ED"/>
    <w:rsid w:val="0B512DDC"/>
    <w:rsid w:val="0B56533F"/>
    <w:rsid w:val="0B5A00BC"/>
    <w:rsid w:val="0B7327E9"/>
    <w:rsid w:val="0B845139"/>
    <w:rsid w:val="0C324B95"/>
    <w:rsid w:val="0C431C22"/>
    <w:rsid w:val="0C92213C"/>
    <w:rsid w:val="0D7C0282"/>
    <w:rsid w:val="0D84032B"/>
    <w:rsid w:val="0E39045D"/>
    <w:rsid w:val="0E77360F"/>
    <w:rsid w:val="0E943A2C"/>
    <w:rsid w:val="0EA36BA7"/>
    <w:rsid w:val="0ED76940"/>
    <w:rsid w:val="0F0132DD"/>
    <w:rsid w:val="0FB629D0"/>
    <w:rsid w:val="105C384D"/>
    <w:rsid w:val="106856AD"/>
    <w:rsid w:val="10700AF4"/>
    <w:rsid w:val="10A27F31"/>
    <w:rsid w:val="10CB6CDF"/>
    <w:rsid w:val="11217042"/>
    <w:rsid w:val="11665BE8"/>
    <w:rsid w:val="11767E7A"/>
    <w:rsid w:val="11927058"/>
    <w:rsid w:val="11B828FA"/>
    <w:rsid w:val="11E608FC"/>
    <w:rsid w:val="12157EEA"/>
    <w:rsid w:val="12303CFB"/>
    <w:rsid w:val="12790002"/>
    <w:rsid w:val="12DC47AC"/>
    <w:rsid w:val="13AF4F03"/>
    <w:rsid w:val="13D77F15"/>
    <w:rsid w:val="14213E6D"/>
    <w:rsid w:val="143C7D16"/>
    <w:rsid w:val="14485052"/>
    <w:rsid w:val="14550AF1"/>
    <w:rsid w:val="14736E66"/>
    <w:rsid w:val="14853EF0"/>
    <w:rsid w:val="14CE2396"/>
    <w:rsid w:val="14F91A9D"/>
    <w:rsid w:val="15035321"/>
    <w:rsid w:val="1534169A"/>
    <w:rsid w:val="15670BBB"/>
    <w:rsid w:val="157417DA"/>
    <w:rsid w:val="15C03E03"/>
    <w:rsid w:val="15E84E09"/>
    <w:rsid w:val="162A25EB"/>
    <w:rsid w:val="16556050"/>
    <w:rsid w:val="16593752"/>
    <w:rsid w:val="16C1253D"/>
    <w:rsid w:val="16CA79EE"/>
    <w:rsid w:val="16F5338F"/>
    <w:rsid w:val="16FD2A55"/>
    <w:rsid w:val="16FE3B19"/>
    <w:rsid w:val="17366761"/>
    <w:rsid w:val="177C01F0"/>
    <w:rsid w:val="178911F6"/>
    <w:rsid w:val="17CE6630"/>
    <w:rsid w:val="182B183B"/>
    <w:rsid w:val="18622CA6"/>
    <w:rsid w:val="187205F4"/>
    <w:rsid w:val="187B76D8"/>
    <w:rsid w:val="18804D3F"/>
    <w:rsid w:val="18950986"/>
    <w:rsid w:val="18C63235"/>
    <w:rsid w:val="18CD0120"/>
    <w:rsid w:val="194A1770"/>
    <w:rsid w:val="194C70F6"/>
    <w:rsid w:val="19906F21"/>
    <w:rsid w:val="19BE5CBA"/>
    <w:rsid w:val="19CC171C"/>
    <w:rsid w:val="19DA668D"/>
    <w:rsid w:val="19EB2693"/>
    <w:rsid w:val="19F94921"/>
    <w:rsid w:val="1A225332"/>
    <w:rsid w:val="1A49190A"/>
    <w:rsid w:val="1A67159F"/>
    <w:rsid w:val="1A6B57AD"/>
    <w:rsid w:val="1A864A2A"/>
    <w:rsid w:val="1A95517C"/>
    <w:rsid w:val="1AA03302"/>
    <w:rsid w:val="1ABE7431"/>
    <w:rsid w:val="1AD10BB7"/>
    <w:rsid w:val="1AD115B9"/>
    <w:rsid w:val="1AFA16D5"/>
    <w:rsid w:val="1AFB7EAA"/>
    <w:rsid w:val="1AFC6A9A"/>
    <w:rsid w:val="1B1028A4"/>
    <w:rsid w:val="1B4F19F8"/>
    <w:rsid w:val="1BD731D5"/>
    <w:rsid w:val="1BE55D0B"/>
    <w:rsid w:val="1BF62C01"/>
    <w:rsid w:val="1BF9122C"/>
    <w:rsid w:val="1C033E58"/>
    <w:rsid w:val="1C15085C"/>
    <w:rsid w:val="1C386F93"/>
    <w:rsid w:val="1C3D05CC"/>
    <w:rsid w:val="1C5170A2"/>
    <w:rsid w:val="1CB3247F"/>
    <w:rsid w:val="1CC1354F"/>
    <w:rsid w:val="1CE84771"/>
    <w:rsid w:val="1D44124E"/>
    <w:rsid w:val="1D975004"/>
    <w:rsid w:val="1E143755"/>
    <w:rsid w:val="1E2E4738"/>
    <w:rsid w:val="1E360515"/>
    <w:rsid w:val="1E505E4A"/>
    <w:rsid w:val="1EBF050A"/>
    <w:rsid w:val="1F05646C"/>
    <w:rsid w:val="1F063325"/>
    <w:rsid w:val="1F130856"/>
    <w:rsid w:val="1F291E28"/>
    <w:rsid w:val="1F457193"/>
    <w:rsid w:val="1F4B7FF0"/>
    <w:rsid w:val="1F4D6E49"/>
    <w:rsid w:val="1F587B1B"/>
    <w:rsid w:val="1FBC5DF5"/>
    <w:rsid w:val="1FD33DAA"/>
    <w:rsid w:val="1FDC7402"/>
    <w:rsid w:val="1FF73CD4"/>
    <w:rsid w:val="205C3ECE"/>
    <w:rsid w:val="2080575F"/>
    <w:rsid w:val="21233C07"/>
    <w:rsid w:val="214967B1"/>
    <w:rsid w:val="21B83F86"/>
    <w:rsid w:val="21DF199A"/>
    <w:rsid w:val="22073864"/>
    <w:rsid w:val="221178A8"/>
    <w:rsid w:val="221213CF"/>
    <w:rsid w:val="22327A92"/>
    <w:rsid w:val="223D05B6"/>
    <w:rsid w:val="224376A4"/>
    <w:rsid w:val="22A940C6"/>
    <w:rsid w:val="23007343"/>
    <w:rsid w:val="23052BAC"/>
    <w:rsid w:val="23144B9D"/>
    <w:rsid w:val="23153ACC"/>
    <w:rsid w:val="231555D9"/>
    <w:rsid w:val="231762A1"/>
    <w:rsid w:val="231D53A2"/>
    <w:rsid w:val="23B7504C"/>
    <w:rsid w:val="23D47C42"/>
    <w:rsid w:val="23DC390D"/>
    <w:rsid w:val="23F43D7F"/>
    <w:rsid w:val="241711E8"/>
    <w:rsid w:val="24571307"/>
    <w:rsid w:val="24802302"/>
    <w:rsid w:val="2483647E"/>
    <w:rsid w:val="249261FF"/>
    <w:rsid w:val="24AF4B24"/>
    <w:rsid w:val="24BA3AE7"/>
    <w:rsid w:val="24DB2B05"/>
    <w:rsid w:val="24EE1FC3"/>
    <w:rsid w:val="24F04C89"/>
    <w:rsid w:val="24FF18C5"/>
    <w:rsid w:val="25343050"/>
    <w:rsid w:val="25951FC5"/>
    <w:rsid w:val="25BD046F"/>
    <w:rsid w:val="25CC717B"/>
    <w:rsid w:val="26446DE3"/>
    <w:rsid w:val="26A853EA"/>
    <w:rsid w:val="26D7699F"/>
    <w:rsid w:val="26DD00C8"/>
    <w:rsid w:val="26DD7622"/>
    <w:rsid w:val="274A3283"/>
    <w:rsid w:val="279C73CC"/>
    <w:rsid w:val="27C571A4"/>
    <w:rsid w:val="27FE1E36"/>
    <w:rsid w:val="283E1E92"/>
    <w:rsid w:val="28447CD2"/>
    <w:rsid w:val="28B04701"/>
    <w:rsid w:val="28DF1432"/>
    <w:rsid w:val="28EA1EBD"/>
    <w:rsid w:val="28F724A1"/>
    <w:rsid w:val="295833A0"/>
    <w:rsid w:val="298975AD"/>
    <w:rsid w:val="29CC556A"/>
    <w:rsid w:val="29D86924"/>
    <w:rsid w:val="29E05285"/>
    <w:rsid w:val="29ED1565"/>
    <w:rsid w:val="2A3D2C2B"/>
    <w:rsid w:val="2A4A62C1"/>
    <w:rsid w:val="2A7A0114"/>
    <w:rsid w:val="2A884656"/>
    <w:rsid w:val="2A973C48"/>
    <w:rsid w:val="2AC371C6"/>
    <w:rsid w:val="2AC91D50"/>
    <w:rsid w:val="2AFA0B1C"/>
    <w:rsid w:val="2AFA4C4F"/>
    <w:rsid w:val="2AFC6824"/>
    <w:rsid w:val="2B774624"/>
    <w:rsid w:val="2BA967CA"/>
    <w:rsid w:val="2BAA0794"/>
    <w:rsid w:val="2BAA40D8"/>
    <w:rsid w:val="2BB233F2"/>
    <w:rsid w:val="2BB7794B"/>
    <w:rsid w:val="2BEC4909"/>
    <w:rsid w:val="2BF37A45"/>
    <w:rsid w:val="2C3047F6"/>
    <w:rsid w:val="2C6B68DB"/>
    <w:rsid w:val="2C7A72BE"/>
    <w:rsid w:val="2C9760AE"/>
    <w:rsid w:val="2C9B3939"/>
    <w:rsid w:val="2C9E3E55"/>
    <w:rsid w:val="2D0B1BDD"/>
    <w:rsid w:val="2D2024F6"/>
    <w:rsid w:val="2DAC09D2"/>
    <w:rsid w:val="2DDB4C35"/>
    <w:rsid w:val="2E006A4C"/>
    <w:rsid w:val="2EA3432C"/>
    <w:rsid w:val="2EE23DA1"/>
    <w:rsid w:val="2F401D3C"/>
    <w:rsid w:val="2F4411A1"/>
    <w:rsid w:val="2F4546D7"/>
    <w:rsid w:val="2F8A6913"/>
    <w:rsid w:val="2FA6241C"/>
    <w:rsid w:val="2FA95C88"/>
    <w:rsid w:val="30087984"/>
    <w:rsid w:val="30365340"/>
    <w:rsid w:val="3041370F"/>
    <w:rsid w:val="304B663F"/>
    <w:rsid w:val="30640F12"/>
    <w:rsid w:val="3086719A"/>
    <w:rsid w:val="30BF332D"/>
    <w:rsid w:val="30E9621E"/>
    <w:rsid w:val="312745E0"/>
    <w:rsid w:val="31592A40"/>
    <w:rsid w:val="317867ED"/>
    <w:rsid w:val="318F6462"/>
    <w:rsid w:val="31C84EBF"/>
    <w:rsid w:val="31CE6A76"/>
    <w:rsid w:val="31D577FD"/>
    <w:rsid w:val="322223F3"/>
    <w:rsid w:val="32453A27"/>
    <w:rsid w:val="3263064A"/>
    <w:rsid w:val="328624A5"/>
    <w:rsid w:val="32874E49"/>
    <w:rsid w:val="32AC0C06"/>
    <w:rsid w:val="32B24DB7"/>
    <w:rsid w:val="32D3237F"/>
    <w:rsid w:val="333F7A14"/>
    <w:rsid w:val="33462B51"/>
    <w:rsid w:val="335039CF"/>
    <w:rsid w:val="341744ED"/>
    <w:rsid w:val="343717DA"/>
    <w:rsid w:val="347D3D46"/>
    <w:rsid w:val="34B73B82"/>
    <w:rsid w:val="34C77E21"/>
    <w:rsid w:val="34CA155F"/>
    <w:rsid w:val="34DE302A"/>
    <w:rsid w:val="34F238C0"/>
    <w:rsid w:val="35016B9E"/>
    <w:rsid w:val="3521112D"/>
    <w:rsid w:val="3537750C"/>
    <w:rsid w:val="3537798C"/>
    <w:rsid w:val="35682AE7"/>
    <w:rsid w:val="35B5458F"/>
    <w:rsid w:val="35C13FC9"/>
    <w:rsid w:val="363A25DE"/>
    <w:rsid w:val="364257B6"/>
    <w:rsid w:val="374264D3"/>
    <w:rsid w:val="378A1162"/>
    <w:rsid w:val="378F7A82"/>
    <w:rsid w:val="37AB6741"/>
    <w:rsid w:val="37CA63C7"/>
    <w:rsid w:val="37DB7874"/>
    <w:rsid w:val="37EA5922"/>
    <w:rsid w:val="38276B93"/>
    <w:rsid w:val="385E17EC"/>
    <w:rsid w:val="386760A6"/>
    <w:rsid w:val="388A2DB6"/>
    <w:rsid w:val="3890317C"/>
    <w:rsid w:val="38C34710"/>
    <w:rsid w:val="38DA0A92"/>
    <w:rsid w:val="38FB7DDE"/>
    <w:rsid w:val="395D0BF4"/>
    <w:rsid w:val="395D293D"/>
    <w:rsid w:val="39700FE6"/>
    <w:rsid w:val="39C26CA9"/>
    <w:rsid w:val="39DF5AAD"/>
    <w:rsid w:val="3A0B64A7"/>
    <w:rsid w:val="3A290B99"/>
    <w:rsid w:val="3A2C5026"/>
    <w:rsid w:val="3A956648"/>
    <w:rsid w:val="3ABE0D08"/>
    <w:rsid w:val="3AF74C02"/>
    <w:rsid w:val="3B2B5BDA"/>
    <w:rsid w:val="3B3263D1"/>
    <w:rsid w:val="3B590826"/>
    <w:rsid w:val="3B5B1163"/>
    <w:rsid w:val="3BEE1FD7"/>
    <w:rsid w:val="3C0059A5"/>
    <w:rsid w:val="3C134E78"/>
    <w:rsid w:val="3C153BDD"/>
    <w:rsid w:val="3C425AB9"/>
    <w:rsid w:val="3C4750DC"/>
    <w:rsid w:val="3C666012"/>
    <w:rsid w:val="3C6E4331"/>
    <w:rsid w:val="3C9F28FD"/>
    <w:rsid w:val="3C9F32D2"/>
    <w:rsid w:val="3D755CE2"/>
    <w:rsid w:val="3DE43692"/>
    <w:rsid w:val="3DF6345D"/>
    <w:rsid w:val="3DF77869"/>
    <w:rsid w:val="3E2429A0"/>
    <w:rsid w:val="3E247F32"/>
    <w:rsid w:val="3E4378EC"/>
    <w:rsid w:val="3E595E2E"/>
    <w:rsid w:val="3E635F33"/>
    <w:rsid w:val="3EE13701"/>
    <w:rsid w:val="3F06275E"/>
    <w:rsid w:val="3F1A4BB3"/>
    <w:rsid w:val="3F255D10"/>
    <w:rsid w:val="3F412F4F"/>
    <w:rsid w:val="3F5D3740"/>
    <w:rsid w:val="3F911751"/>
    <w:rsid w:val="3FAF4A2B"/>
    <w:rsid w:val="3FCD7335"/>
    <w:rsid w:val="401364B0"/>
    <w:rsid w:val="40192BA6"/>
    <w:rsid w:val="401A15ED"/>
    <w:rsid w:val="40486D51"/>
    <w:rsid w:val="406B4C56"/>
    <w:rsid w:val="407D78E1"/>
    <w:rsid w:val="40896772"/>
    <w:rsid w:val="4091778D"/>
    <w:rsid w:val="40E62EC3"/>
    <w:rsid w:val="40E75429"/>
    <w:rsid w:val="41003938"/>
    <w:rsid w:val="413C7C8A"/>
    <w:rsid w:val="4141009C"/>
    <w:rsid w:val="41637842"/>
    <w:rsid w:val="416A3AC1"/>
    <w:rsid w:val="41D37CA5"/>
    <w:rsid w:val="42511F4D"/>
    <w:rsid w:val="42550A18"/>
    <w:rsid w:val="4276163D"/>
    <w:rsid w:val="42A11B51"/>
    <w:rsid w:val="42DF5825"/>
    <w:rsid w:val="42F473A1"/>
    <w:rsid w:val="438E6815"/>
    <w:rsid w:val="43AA5CE9"/>
    <w:rsid w:val="44103E37"/>
    <w:rsid w:val="441E62C0"/>
    <w:rsid w:val="4426690F"/>
    <w:rsid w:val="443237DE"/>
    <w:rsid w:val="44942A12"/>
    <w:rsid w:val="44C61D43"/>
    <w:rsid w:val="44CA6741"/>
    <w:rsid w:val="44CF5BAF"/>
    <w:rsid w:val="44E64001"/>
    <w:rsid w:val="451C1963"/>
    <w:rsid w:val="451F5963"/>
    <w:rsid w:val="455E1F7C"/>
    <w:rsid w:val="45811C7C"/>
    <w:rsid w:val="459C531C"/>
    <w:rsid w:val="45A61CED"/>
    <w:rsid w:val="462F56C6"/>
    <w:rsid w:val="46731A57"/>
    <w:rsid w:val="468B3EFB"/>
    <w:rsid w:val="469E5ADC"/>
    <w:rsid w:val="46A82CC2"/>
    <w:rsid w:val="46EB7AE7"/>
    <w:rsid w:val="470A6193"/>
    <w:rsid w:val="471072A6"/>
    <w:rsid w:val="472F43EC"/>
    <w:rsid w:val="47632E4D"/>
    <w:rsid w:val="477B49C0"/>
    <w:rsid w:val="47B430FD"/>
    <w:rsid w:val="47BC4133"/>
    <w:rsid w:val="47DC4F5C"/>
    <w:rsid w:val="47F470DF"/>
    <w:rsid w:val="47FD517A"/>
    <w:rsid w:val="48587275"/>
    <w:rsid w:val="487505EB"/>
    <w:rsid w:val="487E491C"/>
    <w:rsid w:val="48B01114"/>
    <w:rsid w:val="48B40671"/>
    <w:rsid w:val="48C06AA9"/>
    <w:rsid w:val="48D71B69"/>
    <w:rsid w:val="491017DF"/>
    <w:rsid w:val="49285E5D"/>
    <w:rsid w:val="497F04AA"/>
    <w:rsid w:val="498E3401"/>
    <w:rsid w:val="499B5738"/>
    <w:rsid w:val="499E328F"/>
    <w:rsid w:val="499F244D"/>
    <w:rsid w:val="49B22896"/>
    <w:rsid w:val="49EF6C6C"/>
    <w:rsid w:val="4A8F58C2"/>
    <w:rsid w:val="4AA04DE4"/>
    <w:rsid w:val="4AA93C99"/>
    <w:rsid w:val="4AD36CBA"/>
    <w:rsid w:val="4AF1449E"/>
    <w:rsid w:val="4AF96BC7"/>
    <w:rsid w:val="4B3D75FD"/>
    <w:rsid w:val="4B4503C2"/>
    <w:rsid w:val="4B502515"/>
    <w:rsid w:val="4B6A13C6"/>
    <w:rsid w:val="4B700B92"/>
    <w:rsid w:val="4B8E10E1"/>
    <w:rsid w:val="4BA30B99"/>
    <w:rsid w:val="4BC00777"/>
    <w:rsid w:val="4BC30D8B"/>
    <w:rsid w:val="4BF67355"/>
    <w:rsid w:val="4BFC5DBD"/>
    <w:rsid w:val="4C0B44E0"/>
    <w:rsid w:val="4C1D608B"/>
    <w:rsid w:val="4C2A0E0A"/>
    <w:rsid w:val="4C4A0834"/>
    <w:rsid w:val="4C684666"/>
    <w:rsid w:val="4C7B4F91"/>
    <w:rsid w:val="4CAA7324"/>
    <w:rsid w:val="4CEF36E2"/>
    <w:rsid w:val="4D21045F"/>
    <w:rsid w:val="4D333749"/>
    <w:rsid w:val="4D665E71"/>
    <w:rsid w:val="4D68289F"/>
    <w:rsid w:val="4D6B4117"/>
    <w:rsid w:val="4D7E6697"/>
    <w:rsid w:val="4DCD5EF0"/>
    <w:rsid w:val="4DD728CB"/>
    <w:rsid w:val="4DE350EA"/>
    <w:rsid w:val="4DF72F6D"/>
    <w:rsid w:val="4E041B47"/>
    <w:rsid w:val="4E127DA7"/>
    <w:rsid w:val="4E19509F"/>
    <w:rsid w:val="4E1D19BC"/>
    <w:rsid w:val="4E1D378E"/>
    <w:rsid w:val="4E46000C"/>
    <w:rsid w:val="4E462190"/>
    <w:rsid w:val="4E622DAA"/>
    <w:rsid w:val="4E844A44"/>
    <w:rsid w:val="4ECD65B5"/>
    <w:rsid w:val="4EE13E45"/>
    <w:rsid w:val="4F091BBC"/>
    <w:rsid w:val="4F2D4A57"/>
    <w:rsid w:val="4F372FFB"/>
    <w:rsid w:val="4F3B332E"/>
    <w:rsid w:val="4F5044F4"/>
    <w:rsid w:val="4F896C14"/>
    <w:rsid w:val="4FA113E3"/>
    <w:rsid w:val="501D1B53"/>
    <w:rsid w:val="50A93C32"/>
    <w:rsid w:val="50BD049E"/>
    <w:rsid w:val="51143A3F"/>
    <w:rsid w:val="514E3E6F"/>
    <w:rsid w:val="517B2107"/>
    <w:rsid w:val="519B6306"/>
    <w:rsid w:val="51E37B44"/>
    <w:rsid w:val="51F021AD"/>
    <w:rsid w:val="51F10316"/>
    <w:rsid w:val="522807D5"/>
    <w:rsid w:val="52446209"/>
    <w:rsid w:val="524B2A87"/>
    <w:rsid w:val="52620362"/>
    <w:rsid w:val="52740371"/>
    <w:rsid w:val="52831C8B"/>
    <w:rsid w:val="52BF46A2"/>
    <w:rsid w:val="52C10D75"/>
    <w:rsid w:val="52E76579"/>
    <w:rsid w:val="52EF5D1F"/>
    <w:rsid w:val="52F061DD"/>
    <w:rsid w:val="52F62F82"/>
    <w:rsid w:val="534E7D13"/>
    <w:rsid w:val="53560736"/>
    <w:rsid w:val="53740BBC"/>
    <w:rsid w:val="539C5F36"/>
    <w:rsid w:val="53A944D4"/>
    <w:rsid w:val="53C32326"/>
    <w:rsid w:val="541F4FCC"/>
    <w:rsid w:val="54264468"/>
    <w:rsid w:val="543F21B6"/>
    <w:rsid w:val="544A574F"/>
    <w:rsid w:val="54C53AF2"/>
    <w:rsid w:val="54EE6300"/>
    <w:rsid w:val="550A4D3D"/>
    <w:rsid w:val="550C4BD7"/>
    <w:rsid w:val="55173B85"/>
    <w:rsid w:val="55572986"/>
    <w:rsid w:val="5560764A"/>
    <w:rsid w:val="55A57753"/>
    <w:rsid w:val="55D946C4"/>
    <w:rsid w:val="55E81E7D"/>
    <w:rsid w:val="55ED715E"/>
    <w:rsid w:val="564C575A"/>
    <w:rsid w:val="56625644"/>
    <w:rsid w:val="568F6618"/>
    <w:rsid w:val="56C97471"/>
    <w:rsid w:val="56CD5F45"/>
    <w:rsid w:val="56D54950"/>
    <w:rsid w:val="56DF3480"/>
    <w:rsid w:val="56F37AB8"/>
    <w:rsid w:val="56FD06B0"/>
    <w:rsid w:val="57057150"/>
    <w:rsid w:val="57147C51"/>
    <w:rsid w:val="57407733"/>
    <w:rsid w:val="57635F21"/>
    <w:rsid w:val="57FB0395"/>
    <w:rsid w:val="57FB18AC"/>
    <w:rsid w:val="58192866"/>
    <w:rsid w:val="5841294A"/>
    <w:rsid w:val="588E2720"/>
    <w:rsid w:val="58AB22DA"/>
    <w:rsid w:val="59172716"/>
    <w:rsid w:val="594E7404"/>
    <w:rsid w:val="595C45CC"/>
    <w:rsid w:val="597162CA"/>
    <w:rsid w:val="59E05ECD"/>
    <w:rsid w:val="5A292701"/>
    <w:rsid w:val="5A295DEF"/>
    <w:rsid w:val="5A9A585D"/>
    <w:rsid w:val="5AA343F0"/>
    <w:rsid w:val="5ADB48B4"/>
    <w:rsid w:val="5B264E92"/>
    <w:rsid w:val="5B5C6B06"/>
    <w:rsid w:val="5B6F05E7"/>
    <w:rsid w:val="5B820090"/>
    <w:rsid w:val="5B901380"/>
    <w:rsid w:val="5C4035A0"/>
    <w:rsid w:val="5C5D2B35"/>
    <w:rsid w:val="5C9018ED"/>
    <w:rsid w:val="5CD252D1"/>
    <w:rsid w:val="5CD526CC"/>
    <w:rsid w:val="5D29565C"/>
    <w:rsid w:val="5D3F7C0D"/>
    <w:rsid w:val="5D564930"/>
    <w:rsid w:val="5D7C705D"/>
    <w:rsid w:val="5DB771CD"/>
    <w:rsid w:val="5DC664B8"/>
    <w:rsid w:val="5DFF41D8"/>
    <w:rsid w:val="5E335697"/>
    <w:rsid w:val="5E5C7260"/>
    <w:rsid w:val="5E7E0AC9"/>
    <w:rsid w:val="5F2F0120"/>
    <w:rsid w:val="5F5F3E75"/>
    <w:rsid w:val="5F6F445B"/>
    <w:rsid w:val="5FA02317"/>
    <w:rsid w:val="5FC07CAE"/>
    <w:rsid w:val="5FC829BC"/>
    <w:rsid w:val="5FE5356E"/>
    <w:rsid w:val="606007BB"/>
    <w:rsid w:val="606241FC"/>
    <w:rsid w:val="606D5311"/>
    <w:rsid w:val="60A50704"/>
    <w:rsid w:val="60AC7F66"/>
    <w:rsid w:val="60AE1B1B"/>
    <w:rsid w:val="60BB1F7E"/>
    <w:rsid w:val="60D27E15"/>
    <w:rsid w:val="6155374A"/>
    <w:rsid w:val="618835DC"/>
    <w:rsid w:val="618B78F4"/>
    <w:rsid w:val="61A87E60"/>
    <w:rsid w:val="61BF10D9"/>
    <w:rsid w:val="621B0574"/>
    <w:rsid w:val="623373A1"/>
    <w:rsid w:val="62724E61"/>
    <w:rsid w:val="627D14E4"/>
    <w:rsid w:val="63043D0B"/>
    <w:rsid w:val="631B47CF"/>
    <w:rsid w:val="63612F0B"/>
    <w:rsid w:val="637D3ABD"/>
    <w:rsid w:val="63983B89"/>
    <w:rsid w:val="63B05C41"/>
    <w:rsid w:val="63FC2C34"/>
    <w:rsid w:val="641D6482"/>
    <w:rsid w:val="64343624"/>
    <w:rsid w:val="6459153B"/>
    <w:rsid w:val="646C4DA5"/>
    <w:rsid w:val="647D1DE9"/>
    <w:rsid w:val="64A372BF"/>
    <w:rsid w:val="64E45EF7"/>
    <w:rsid w:val="6509133A"/>
    <w:rsid w:val="65316EB4"/>
    <w:rsid w:val="653B0166"/>
    <w:rsid w:val="65597932"/>
    <w:rsid w:val="659A1AD2"/>
    <w:rsid w:val="65BB267B"/>
    <w:rsid w:val="65BC08CD"/>
    <w:rsid w:val="65E120E1"/>
    <w:rsid w:val="661B0F08"/>
    <w:rsid w:val="663372D4"/>
    <w:rsid w:val="666D1BC7"/>
    <w:rsid w:val="66846F11"/>
    <w:rsid w:val="668D5A90"/>
    <w:rsid w:val="66AD6233"/>
    <w:rsid w:val="66C67F0A"/>
    <w:rsid w:val="66E2573B"/>
    <w:rsid w:val="67432943"/>
    <w:rsid w:val="677435B2"/>
    <w:rsid w:val="67945BFF"/>
    <w:rsid w:val="67AF6D78"/>
    <w:rsid w:val="67B51A77"/>
    <w:rsid w:val="67BB124F"/>
    <w:rsid w:val="67EF75F1"/>
    <w:rsid w:val="67FB0571"/>
    <w:rsid w:val="682D5EE3"/>
    <w:rsid w:val="683062C3"/>
    <w:rsid w:val="6841392B"/>
    <w:rsid w:val="684B5F38"/>
    <w:rsid w:val="68631177"/>
    <w:rsid w:val="68D777CC"/>
    <w:rsid w:val="68E819D9"/>
    <w:rsid w:val="69124F16"/>
    <w:rsid w:val="6956755C"/>
    <w:rsid w:val="699851AD"/>
    <w:rsid w:val="69B93F76"/>
    <w:rsid w:val="69CD5C14"/>
    <w:rsid w:val="69CF0D33"/>
    <w:rsid w:val="69E91EAC"/>
    <w:rsid w:val="6A027B1D"/>
    <w:rsid w:val="6A114F5F"/>
    <w:rsid w:val="6A222BD7"/>
    <w:rsid w:val="6A370C39"/>
    <w:rsid w:val="6A415844"/>
    <w:rsid w:val="6A46004E"/>
    <w:rsid w:val="6AA02F54"/>
    <w:rsid w:val="6AA87672"/>
    <w:rsid w:val="6ABA1153"/>
    <w:rsid w:val="6ABF3227"/>
    <w:rsid w:val="6B564A55"/>
    <w:rsid w:val="6B564E25"/>
    <w:rsid w:val="6B592734"/>
    <w:rsid w:val="6B8E342B"/>
    <w:rsid w:val="6B94467F"/>
    <w:rsid w:val="6B981494"/>
    <w:rsid w:val="6B9946B3"/>
    <w:rsid w:val="6B9A2A76"/>
    <w:rsid w:val="6BA87826"/>
    <w:rsid w:val="6BD3071E"/>
    <w:rsid w:val="6BE23912"/>
    <w:rsid w:val="6BF05ED5"/>
    <w:rsid w:val="6C00528B"/>
    <w:rsid w:val="6C134FBF"/>
    <w:rsid w:val="6C1D5E3D"/>
    <w:rsid w:val="6C547479"/>
    <w:rsid w:val="6C567A5C"/>
    <w:rsid w:val="6D003795"/>
    <w:rsid w:val="6D0F1158"/>
    <w:rsid w:val="6D5D0BE7"/>
    <w:rsid w:val="6D747A86"/>
    <w:rsid w:val="6D7970A3"/>
    <w:rsid w:val="6D7A5AA9"/>
    <w:rsid w:val="6DA851C0"/>
    <w:rsid w:val="6DB12CE1"/>
    <w:rsid w:val="6DE76850"/>
    <w:rsid w:val="6DFD0888"/>
    <w:rsid w:val="6E450F8F"/>
    <w:rsid w:val="6E8817FA"/>
    <w:rsid w:val="6EB90E26"/>
    <w:rsid w:val="6EBF56C5"/>
    <w:rsid w:val="6EDD1EFA"/>
    <w:rsid w:val="6EDE7619"/>
    <w:rsid w:val="6EFA3324"/>
    <w:rsid w:val="6F045092"/>
    <w:rsid w:val="6F05496D"/>
    <w:rsid w:val="6F2A7B17"/>
    <w:rsid w:val="6F3516F0"/>
    <w:rsid w:val="6F8E1280"/>
    <w:rsid w:val="6FA42295"/>
    <w:rsid w:val="6FAD74D8"/>
    <w:rsid w:val="6FB20BD4"/>
    <w:rsid w:val="6FBA59BE"/>
    <w:rsid w:val="6FC44E85"/>
    <w:rsid w:val="6FD07002"/>
    <w:rsid w:val="70296B3E"/>
    <w:rsid w:val="70611204"/>
    <w:rsid w:val="70626A59"/>
    <w:rsid w:val="707F0E75"/>
    <w:rsid w:val="708653B1"/>
    <w:rsid w:val="70DA42FD"/>
    <w:rsid w:val="70FD7FEB"/>
    <w:rsid w:val="71544165"/>
    <w:rsid w:val="71A524C3"/>
    <w:rsid w:val="724B7271"/>
    <w:rsid w:val="72585D4D"/>
    <w:rsid w:val="726D687E"/>
    <w:rsid w:val="727F515C"/>
    <w:rsid w:val="7290345A"/>
    <w:rsid w:val="72B8066E"/>
    <w:rsid w:val="72BB1F0C"/>
    <w:rsid w:val="72E82FEB"/>
    <w:rsid w:val="72EB4496"/>
    <w:rsid w:val="732775A1"/>
    <w:rsid w:val="73907F4B"/>
    <w:rsid w:val="739418C8"/>
    <w:rsid w:val="73E01C2A"/>
    <w:rsid w:val="746C1710"/>
    <w:rsid w:val="747D56CB"/>
    <w:rsid w:val="749649DF"/>
    <w:rsid w:val="74DC0F51"/>
    <w:rsid w:val="74DC4067"/>
    <w:rsid w:val="74E33C65"/>
    <w:rsid w:val="74F7651B"/>
    <w:rsid w:val="74FA2C30"/>
    <w:rsid w:val="74FE27D6"/>
    <w:rsid w:val="750E0A19"/>
    <w:rsid w:val="75AE6933"/>
    <w:rsid w:val="75EC16B5"/>
    <w:rsid w:val="762B67B5"/>
    <w:rsid w:val="763C5112"/>
    <w:rsid w:val="76B26134"/>
    <w:rsid w:val="76C67A42"/>
    <w:rsid w:val="76CE66B2"/>
    <w:rsid w:val="76D5554F"/>
    <w:rsid w:val="76F31C74"/>
    <w:rsid w:val="7707459D"/>
    <w:rsid w:val="774B0E3A"/>
    <w:rsid w:val="77A70DD1"/>
    <w:rsid w:val="77CF345E"/>
    <w:rsid w:val="77D575CC"/>
    <w:rsid w:val="77D67AA8"/>
    <w:rsid w:val="77D772CE"/>
    <w:rsid w:val="77E77636"/>
    <w:rsid w:val="781E69D1"/>
    <w:rsid w:val="78236589"/>
    <w:rsid w:val="783B43DE"/>
    <w:rsid w:val="7852762D"/>
    <w:rsid w:val="78574485"/>
    <w:rsid w:val="789A00BF"/>
    <w:rsid w:val="78B10A72"/>
    <w:rsid w:val="78C0202A"/>
    <w:rsid w:val="78C52913"/>
    <w:rsid w:val="79055BA7"/>
    <w:rsid w:val="790E68AB"/>
    <w:rsid w:val="791B1956"/>
    <w:rsid w:val="79677CD0"/>
    <w:rsid w:val="79690791"/>
    <w:rsid w:val="7986180D"/>
    <w:rsid w:val="79AB67B1"/>
    <w:rsid w:val="79C63670"/>
    <w:rsid w:val="7A316DFD"/>
    <w:rsid w:val="7A8F1B5B"/>
    <w:rsid w:val="7ABC20B1"/>
    <w:rsid w:val="7AD1051F"/>
    <w:rsid w:val="7AEA5A84"/>
    <w:rsid w:val="7AF46346"/>
    <w:rsid w:val="7B041159"/>
    <w:rsid w:val="7B0F5EBF"/>
    <w:rsid w:val="7B130FB9"/>
    <w:rsid w:val="7B1F0F17"/>
    <w:rsid w:val="7B542EFE"/>
    <w:rsid w:val="7B6B5EC3"/>
    <w:rsid w:val="7B8A62FB"/>
    <w:rsid w:val="7B95614B"/>
    <w:rsid w:val="7BA16C26"/>
    <w:rsid w:val="7BD33389"/>
    <w:rsid w:val="7BE33864"/>
    <w:rsid w:val="7BF64EDE"/>
    <w:rsid w:val="7BFD5343"/>
    <w:rsid w:val="7C253FBF"/>
    <w:rsid w:val="7C400C1E"/>
    <w:rsid w:val="7C486DA1"/>
    <w:rsid w:val="7C99506C"/>
    <w:rsid w:val="7D692A50"/>
    <w:rsid w:val="7D747887"/>
    <w:rsid w:val="7D771B65"/>
    <w:rsid w:val="7D7A4E9D"/>
    <w:rsid w:val="7DBD2FDC"/>
    <w:rsid w:val="7DD11708"/>
    <w:rsid w:val="7DFF6A25"/>
    <w:rsid w:val="7E010BEF"/>
    <w:rsid w:val="7E074257"/>
    <w:rsid w:val="7E210668"/>
    <w:rsid w:val="7E2766A8"/>
    <w:rsid w:val="7E71556B"/>
    <w:rsid w:val="7E7949C6"/>
    <w:rsid w:val="7E927FC5"/>
    <w:rsid w:val="7EBC46EA"/>
    <w:rsid w:val="7EC167BD"/>
    <w:rsid w:val="7F1361A4"/>
    <w:rsid w:val="7F467964"/>
    <w:rsid w:val="7F945FBF"/>
    <w:rsid w:val="7FD75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35"/>
    <w:autoRedefine/>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autoRedefine/>
    <w:qFormat/>
    <w:uiPriority w:val="9"/>
    <w:pPr>
      <w:keepNext/>
      <w:keepLines/>
      <w:spacing w:before="260" w:after="260" w:line="413" w:lineRule="auto"/>
      <w:outlineLvl w:val="2"/>
    </w:pPr>
    <w:rPr>
      <w:b/>
      <w:sz w:val="32"/>
    </w:rPr>
  </w:style>
  <w:style w:type="paragraph" w:styleId="5">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7"/>
    <w:link w:val="36"/>
    <w:autoRedefine/>
    <w:qFormat/>
    <w:uiPriority w:val="0"/>
    <w:pPr>
      <w:keepNext/>
      <w:keepLines/>
      <w:spacing w:before="280" w:after="290" w:line="376" w:lineRule="auto"/>
      <w:outlineLvl w:val="4"/>
    </w:pPr>
    <w:rPr>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4"/>
    <w:autoRedefine/>
    <w:qFormat/>
    <w:uiPriority w:val="0"/>
    <w:pPr>
      <w:spacing w:after="120"/>
    </w:pPr>
  </w:style>
  <w:style w:type="paragraph" w:styleId="7">
    <w:name w:val="Normal Indent"/>
    <w:basedOn w:val="1"/>
    <w:autoRedefine/>
    <w:qFormat/>
    <w:uiPriority w:val="0"/>
    <w:pPr>
      <w:ind w:firstLine="420"/>
    </w:pPr>
    <w:rPr>
      <w:szCs w:val="20"/>
    </w:rPr>
  </w:style>
  <w:style w:type="paragraph" w:styleId="8">
    <w:name w:val="List Number"/>
    <w:basedOn w:val="1"/>
    <w:autoRedefine/>
    <w:qFormat/>
    <w:uiPriority w:val="0"/>
    <w:pPr>
      <w:widowControl/>
      <w:tabs>
        <w:tab w:val="left" w:pos="454"/>
        <w:tab w:val="left" w:pos="720"/>
        <w:tab w:val="left" w:pos="840"/>
      </w:tabs>
      <w:spacing w:afterLines="50"/>
      <w:ind w:left="454" w:hanging="284"/>
      <w:jc w:val="left"/>
    </w:pPr>
    <w:rPr>
      <w:kern w:val="0"/>
      <w:sz w:val="24"/>
      <w:szCs w:val="20"/>
    </w:rPr>
  </w:style>
  <w:style w:type="paragraph" w:styleId="9">
    <w:name w:val="Document Map"/>
    <w:basedOn w:val="1"/>
    <w:link w:val="37"/>
    <w:autoRedefine/>
    <w:qFormat/>
    <w:uiPriority w:val="0"/>
    <w:rPr>
      <w:rFonts w:ascii="宋体"/>
      <w:sz w:val="18"/>
      <w:szCs w:val="18"/>
    </w:rPr>
  </w:style>
  <w:style w:type="paragraph" w:styleId="10">
    <w:name w:val="annotation text"/>
    <w:basedOn w:val="1"/>
    <w:link w:val="38"/>
    <w:autoRedefine/>
    <w:qFormat/>
    <w:uiPriority w:val="0"/>
    <w:pPr>
      <w:jc w:val="left"/>
    </w:pPr>
  </w:style>
  <w:style w:type="paragraph" w:styleId="11">
    <w:name w:val="Body Text 3"/>
    <w:basedOn w:val="1"/>
    <w:link w:val="39"/>
    <w:autoRedefine/>
    <w:qFormat/>
    <w:uiPriority w:val="0"/>
    <w:pPr>
      <w:spacing w:after="120"/>
    </w:pPr>
    <w:rPr>
      <w:sz w:val="16"/>
      <w:szCs w:val="16"/>
    </w:rPr>
  </w:style>
  <w:style w:type="paragraph" w:styleId="12">
    <w:name w:val="Body Text Indent"/>
    <w:basedOn w:val="1"/>
    <w:link w:val="40"/>
    <w:autoRedefine/>
    <w:qFormat/>
    <w:uiPriority w:val="0"/>
    <w:pPr>
      <w:ind w:firstLine="830" w:firstLineChars="352"/>
    </w:pPr>
    <w:rPr>
      <w:rFonts w:ascii="仿宋_GB2312" w:eastAsia="仿宋_GB2312"/>
      <w:kern w:val="0"/>
      <w:sz w:val="32"/>
      <w:szCs w:val="20"/>
    </w:rPr>
  </w:style>
  <w:style w:type="paragraph" w:styleId="13">
    <w:name w:val="List 2"/>
    <w:basedOn w:val="1"/>
    <w:autoRedefine/>
    <w:qFormat/>
    <w:uiPriority w:val="0"/>
    <w:pPr>
      <w:ind w:left="100" w:leftChars="200" w:hanging="200" w:hangingChars="200"/>
      <w:contextualSpacing/>
    </w:pPr>
  </w:style>
  <w:style w:type="paragraph" w:styleId="14">
    <w:name w:val="Plain Text"/>
    <w:basedOn w:val="1"/>
    <w:next w:val="1"/>
    <w:link w:val="41"/>
    <w:autoRedefine/>
    <w:qFormat/>
    <w:uiPriority w:val="0"/>
    <w:rPr>
      <w:rFonts w:ascii="宋体" w:hAnsi="Courier New"/>
      <w:kern w:val="0"/>
      <w:sz w:val="20"/>
      <w:szCs w:val="21"/>
    </w:rPr>
  </w:style>
  <w:style w:type="paragraph" w:styleId="15">
    <w:name w:val="Date"/>
    <w:basedOn w:val="1"/>
    <w:next w:val="1"/>
    <w:link w:val="42"/>
    <w:autoRedefine/>
    <w:qFormat/>
    <w:uiPriority w:val="0"/>
    <w:pPr>
      <w:ind w:left="100" w:leftChars="2500"/>
    </w:pPr>
  </w:style>
  <w:style w:type="paragraph" w:styleId="16">
    <w:name w:val="Balloon Text"/>
    <w:basedOn w:val="1"/>
    <w:autoRedefine/>
    <w:qFormat/>
    <w:uiPriority w:val="0"/>
    <w:rPr>
      <w:sz w:val="18"/>
      <w:szCs w:val="18"/>
    </w:rPr>
  </w:style>
  <w:style w:type="paragraph" w:styleId="17">
    <w:name w:val="footer"/>
    <w:basedOn w:val="1"/>
    <w:link w:val="43"/>
    <w:autoRedefine/>
    <w:qFormat/>
    <w:uiPriority w:val="0"/>
    <w:pPr>
      <w:tabs>
        <w:tab w:val="center" w:pos="4153"/>
        <w:tab w:val="right" w:pos="8306"/>
      </w:tabs>
      <w:snapToGrid w:val="0"/>
      <w:jc w:val="left"/>
    </w:pPr>
    <w:rPr>
      <w:kern w:val="0"/>
      <w:sz w:val="18"/>
      <w:szCs w:val="18"/>
    </w:rPr>
  </w:style>
  <w:style w:type="paragraph" w:styleId="18">
    <w:name w:val="header"/>
    <w:basedOn w:val="1"/>
    <w:link w:val="44"/>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19">
    <w:name w:val="toc 1"/>
    <w:basedOn w:val="1"/>
    <w:next w:val="1"/>
    <w:autoRedefine/>
    <w:qFormat/>
    <w:uiPriority w:val="0"/>
  </w:style>
  <w:style w:type="paragraph" w:styleId="20">
    <w:name w:val="toc 2"/>
    <w:basedOn w:val="1"/>
    <w:next w:val="1"/>
    <w:autoRedefine/>
    <w:qFormat/>
    <w:uiPriority w:val="0"/>
    <w:pPr>
      <w:tabs>
        <w:tab w:val="right" w:leader="dot" w:pos="8296"/>
      </w:tabs>
      <w:ind w:left="420" w:leftChars="200"/>
    </w:pPr>
  </w:style>
  <w:style w:type="paragraph" w:styleId="21">
    <w:name w:val="Normal (Web)"/>
    <w:basedOn w:val="1"/>
    <w:autoRedefine/>
    <w:qFormat/>
    <w:uiPriority w:val="0"/>
    <w:rPr>
      <w:rFonts w:ascii="Calibri" w:hAnsi="Calibri"/>
      <w:kern w:val="0"/>
      <w:sz w:val="24"/>
    </w:rPr>
  </w:style>
  <w:style w:type="paragraph" w:styleId="22">
    <w:name w:val="annotation subject"/>
    <w:basedOn w:val="10"/>
    <w:next w:val="10"/>
    <w:link w:val="45"/>
    <w:autoRedefine/>
    <w:qFormat/>
    <w:uiPriority w:val="0"/>
    <w:rPr>
      <w:b/>
      <w:bCs/>
    </w:rPr>
  </w:style>
  <w:style w:type="paragraph" w:styleId="23">
    <w:name w:val="Body Text First Indent"/>
    <w:basedOn w:val="2"/>
    <w:autoRedefine/>
    <w:qFormat/>
    <w:uiPriority w:val="0"/>
    <w:pPr>
      <w:ind w:firstLine="420" w:firstLineChars="100"/>
    </w:pPr>
  </w:style>
  <w:style w:type="paragraph" w:styleId="24">
    <w:name w:val="Body Text First Indent 2"/>
    <w:basedOn w:val="12"/>
    <w:autoRedefine/>
    <w:qFormat/>
    <w:uiPriority w:val="0"/>
  </w:style>
  <w:style w:type="table" w:styleId="26">
    <w:name w:val="Table Grid"/>
    <w:basedOn w:val="2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rPr>
  </w:style>
  <w:style w:type="character" w:styleId="29">
    <w:name w:val="Emphasis"/>
    <w:basedOn w:val="27"/>
    <w:qFormat/>
    <w:uiPriority w:val="0"/>
    <w:rPr>
      <w:i/>
    </w:rPr>
  </w:style>
  <w:style w:type="character" w:styleId="30">
    <w:name w:val="Hyperlink"/>
    <w:autoRedefine/>
    <w:qFormat/>
    <w:uiPriority w:val="0"/>
    <w:rPr>
      <w:rFonts w:ascii="Times New Roman" w:hAnsi="Times New Roman" w:eastAsia="宋体" w:cs="Times New Roman"/>
      <w:color w:val="0000FF"/>
      <w:u w:val="single"/>
    </w:rPr>
  </w:style>
  <w:style w:type="character" w:styleId="31">
    <w:name w:val="annotation reference"/>
    <w:autoRedefine/>
    <w:qFormat/>
    <w:uiPriority w:val="0"/>
    <w:rPr>
      <w:rFonts w:ascii="Times New Roman" w:hAnsi="Times New Roman" w:eastAsia="宋体" w:cs="Times New Roman"/>
      <w:sz w:val="21"/>
      <w:szCs w:val="21"/>
    </w:rPr>
  </w:style>
  <w:style w:type="paragraph" w:customStyle="1" w:styleId="32">
    <w:name w:val="NormalIndent"/>
    <w:basedOn w:val="1"/>
    <w:autoRedefine/>
    <w:qFormat/>
    <w:uiPriority w:val="0"/>
    <w:pPr>
      <w:ind w:firstLine="420"/>
    </w:pPr>
    <w:rPr>
      <w:szCs w:val="21"/>
    </w:rPr>
  </w:style>
  <w:style w:type="paragraph" w:customStyle="1" w:styleId="33">
    <w:name w:val="TOC 标题2"/>
    <w:next w:val="1"/>
    <w:autoRedefine/>
    <w:qFormat/>
    <w:uiPriority w:val="99"/>
    <w:pPr>
      <w:wordWrap w:val="0"/>
    </w:pPr>
    <w:rPr>
      <w:rFonts w:ascii="Calibri" w:hAnsi="Calibri" w:eastAsia="宋体" w:cs="Times New Roman"/>
      <w:sz w:val="32"/>
      <w:lang w:val="en-US" w:eastAsia="zh-CN" w:bidi="ar-SA"/>
    </w:rPr>
  </w:style>
  <w:style w:type="character" w:customStyle="1" w:styleId="34">
    <w:name w:val="正文文本 字符"/>
    <w:link w:val="2"/>
    <w:autoRedefine/>
    <w:qFormat/>
    <w:uiPriority w:val="0"/>
    <w:rPr>
      <w:rFonts w:ascii="Times New Roman" w:hAnsi="Times New Roman" w:eastAsia="宋体" w:cs="Times New Roman"/>
      <w:kern w:val="2"/>
      <w:sz w:val="21"/>
      <w:szCs w:val="24"/>
    </w:rPr>
  </w:style>
  <w:style w:type="character" w:customStyle="1" w:styleId="35">
    <w:name w:val="标题 2 字符"/>
    <w:link w:val="3"/>
    <w:autoRedefine/>
    <w:qFormat/>
    <w:uiPriority w:val="0"/>
    <w:rPr>
      <w:rFonts w:ascii="Cambria" w:hAnsi="Cambria" w:eastAsia="宋体" w:cs="Times New Roman"/>
      <w:b/>
      <w:bCs/>
      <w:kern w:val="2"/>
      <w:sz w:val="32"/>
      <w:szCs w:val="32"/>
    </w:rPr>
  </w:style>
  <w:style w:type="character" w:customStyle="1" w:styleId="36">
    <w:name w:val="标题 5 字符"/>
    <w:link w:val="6"/>
    <w:autoRedefine/>
    <w:qFormat/>
    <w:uiPriority w:val="0"/>
    <w:rPr>
      <w:rFonts w:ascii="Times New Roman" w:hAnsi="Times New Roman" w:eastAsia="宋体" w:cs="Times New Roman"/>
      <w:b/>
      <w:bCs/>
      <w:kern w:val="2"/>
      <w:sz w:val="28"/>
      <w:szCs w:val="28"/>
    </w:rPr>
  </w:style>
  <w:style w:type="character" w:customStyle="1" w:styleId="37">
    <w:name w:val="文档结构图 字符"/>
    <w:basedOn w:val="27"/>
    <w:link w:val="9"/>
    <w:autoRedefine/>
    <w:qFormat/>
    <w:uiPriority w:val="0"/>
    <w:rPr>
      <w:rFonts w:ascii="宋体"/>
      <w:kern w:val="2"/>
      <w:sz w:val="18"/>
      <w:szCs w:val="18"/>
    </w:rPr>
  </w:style>
  <w:style w:type="character" w:customStyle="1" w:styleId="38">
    <w:name w:val="批注文字 字符"/>
    <w:link w:val="10"/>
    <w:autoRedefine/>
    <w:qFormat/>
    <w:uiPriority w:val="0"/>
    <w:rPr>
      <w:rFonts w:ascii="Times New Roman" w:hAnsi="Times New Roman" w:eastAsia="宋体" w:cs="Times New Roman"/>
      <w:kern w:val="2"/>
      <w:sz w:val="21"/>
      <w:szCs w:val="24"/>
    </w:rPr>
  </w:style>
  <w:style w:type="character" w:customStyle="1" w:styleId="39">
    <w:name w:val="正文文本 3 字符"/>
    <w:link w:val="11"/>
    <w:autoRedefine/>
    <w:qFormat/>
    <w:uiPriority w:val="0"/>
    <w:rPr>
      <w:rFonts w:ascii="Times New Roman" w:hAnsi="Times New Roman" w:eastAsia="宋体" w:cs="Times New Roman"/>
      <w:kern w:val="2"/>
      <w:sz w:val="16"/>
      <w:szCs w:val="16"/>
    </w:rPr>
  </w:style>
  <w:style w:type="character" w:customStyle="1" w:styleId="40">
    <w:name w:val="正文文本缩进 字符"/>
    <w:link w:val="12"/>
    <w:autoRedefine/>
    <w:qFormat/>
    <w:uiPriority w:val="0"/>
    <w:rPr>
      <w:rFonts w:ascii="仿宋_GB2312" w:hAnsi="Times New Roman" w:eastAsia="仿宋_GB2312" w:cs="Times New Roman"/>
      <w:sz w:val="32"/>
      <w:szCs w:val="20"/>
    </w:rPr>
  </w:style>
  <w:style w:type="character" w:customStyle="1" w:styleId="41">
    <w:name w:val="纯文本 字符"/>
    <w:link w:val="14"/>
    <w:autoRedefine/>
    <w:qFormat/>
    <w:uiPriority w:val="0"/>
    <w:rPr>
      <w:rFonts w:ascii="宋体" w:hAnsi="Courier New" w:eastAsia="宋体" w:cs="Courier New"/>
      <w:szCs w:val="21"/>
    </w:rPr>
  </w:style>
  <w:style w:type="character" w:customStyle="1" w:styleId="42">
    <w:name w:val="日期 字符"/>
    <w:link w:val="15"/>
    <w:autoRedefine/>
    <w:qFormat/>
    <w:uiPriority w:val="0"/>
    <w:rPr>
      <w:rFonts w:ascii="Times New Roman" w:hAnsi="Times New Roman" w:eastAsia="宋体" w:cs="Times New Roman"/>
      <w:kern w:val="2"/>
      <w:sz w:val="21"/>
      <w:szCs w:val="24"/>
    </w:rPr>
  </w:style>
  <w:style w:type="character" w:customStyle="1" w:styleId="43">
    <w:name w:val="页脚 字符"/>
    <w:link w:val="17"/>
    <w:autoRedefine/>
    <w:qFormat/>
    <w:uiPriority w:val="0"/>
    <w:rPr>
      <w:rFonts w:ascii="Times New Roman" w:hAnsi="Times New Roman" w:eastAsia="宋体" w:cs="Times New Roman"/>
      <w:sz w:val="18"/>
      <w:szCs w:val="18"/>
    </w:rPr>
  </w:style>
  <w:style w:type="character" w:customStyle="1" w:styleId="44">
    <w:name w:val="页眉 字符"/>
    <w:link w:val="18"/>
    <w:autoRedefine/>
    <w:qFormat/>
    <w:uiPriority w:val="0"/>
    <w:rPr>
      <w:rFonts w:ascii="Times New Roman" w:hAnsi="Times New Roman" w:eastAsia="宋体" w:cs="Times New Roman"/>
      <w:sz w:val="18"/>
      <w:szCs w:val="18"/>
    </w:rPr>
  </w:style>
  <w:style w:type="character" w:customStyle="1" w:styleId="45">
    <w:name w:val="批注主题 字符"/>
    <w:link w:val="22"/>
    <w:autoRedefine/>
    <w:qFormat/>
    <w:uiPriority w:val="0"/>
    <w:rPr>
      <w:rFonts w:ascii="Times New Roman" w:hAnsi="Times New Roman" w:eastAsia="宋体" w:cs="Times New Roman"/>
      <w:b/>
      <w:bCs/>
      <w:kern w:val="2"/>
      <w:sz w:val="21"/>
      <w:szCs w:val="24"/>
    </w:rPr>
  </w:style>
  <w:style w:type="paragraph" w:customStyle="1" w:styleId="46">
    <w:name w:val="列出段落1"/>
    <w:basedOn w:val="1"/>
    <w:autoRedefine/>
    <w:qFormat/>
    <w:uiPriority w:val="0"/>
    <w:pPr>
      <w:ind w:firstLine="420" w:firstLineChars="200"/>
    </w:pPr>
    <w:rPr>
      <w:rFonts w:ascii="Calibri" w:hAnsi="Calibri" w:cs="Calibri"/>
      <w:szCs w:val="21"/>
    </w:rPr>
  </w:style>
  <w:style w:type="character" w:customStyle="1" w:styleId="47">
    <w:name w:val="textcontents"/>
    <w:basedOn w:val="27"/>
    <w:autoRedefine/>
    <w:qFormat/>
    <w:uiPriority w:val="0"/>
    <w:rPr>
      <w:rFonts w:ascii="Times New Roman" w:hAnsi="Times New Roman" w:eastAsia="宋体" w:cs="Times New Roman"/>
    </w:rPr>
  </w:style>
  <w:style w:type="character" w:customStyle="1" w:styleId="48">
    <w:name w:val="纯文本 字符1"/>
    <w:autoRedefine/>
    <w:qFormat/>
    <w:uiPriority w:val="0"/>
    <w:rPr>
      <w:rFonts w:ascii="宋体" w:hAnsi="Courier New" w:eastAsia="宋体" w:cs="Times New Roman"/>
    </w:rPr>
  </w:style>
  <w:style w:type="character" w:customStyle="1" w:styleId="49">
    <w:name w:val="纯文本 字符2"/>
    <w:autoRedefine/>
    <w:qFormat/>
    <w:uiPriority w:val="0"/>
    <w:rPr>
      <w:rFonts w:ascii="宋体" w:hAnsi="Courier New" w:eastAsia="宋体" w:cs="Courier New"/>
      <w:szCs w:val="21"/>
    </w:rPr>
  </w:style>
  <w:style w:type="character" w:customStyle="1" w:styleId="50">
    <w:name w:val="apple-style-span"/>
    <w:basedOn w:val="27"/>
    <w:autoRedefine/>
    <w:qFormat/>
    <w:uiPriority w:val="0"/>
    <w:rPr>
      <w:rFonts w:ascii="Times New Roman" w:hAnsi="Times New Roman" w:eastAsia="宋体" w:cs="Times New Roman"/>
    </w:rPr>
  </w:style>
  <w:style w:type="character" w:customStyle="1" w:styleId="51">
    <w:name w:val="批注文字 字符1"/>
    <w:autoRedefine/>
    <w:qFormat/>
    <w:uiPriority w:val="0"/>
    <w:rPr>
      <w:rFonts w:ascii="Times New Roman" w:hAnsi="Times New Roman" w:eastAsia="宋体" w:cs="Times New Roman"/>
      <w:kern w:val="2"/>
      <w:sz w:val="21"/>
      <w:szCs w:val="24"/>
    </w:rPr>
  </w:style>
  <w:style w:type="paragraph" w:customStyle="1" w:styleId="52">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styleId="53">
    <w:name w:val="List Paragraph"/>
    <w:basedOn w:val="1"/>
    <w:autoRedefine/>
    <w:qFormat/>
    <w:uiPriority w:val="0"/>
    <w:pPr>
      <w:ind w:firstLine="420" w:firstLineChars="200"/>
    </w:pPr>
  </w:style>
  <w:style w:type="paragraph" w:customStyle="1" w:styleId="54">
    <w:name w:val="默认段落字体 Para Char Char Char Char Char Char Char Char Char1 Char Char Char Char"/>
    <w:basedOn w:val="1"/>
    <w:autoRedefine/>
    <w:qFormat/>
    <w:uiPriority w:val="0"/>
    <w:rPr>
      <w:rFonts w:ascii="Tahoma" w:hAnsi="Tahoma"/>
      <w:sz w:val="24"/>
      <w:szCs w:val="20"/>
    </w:rPr>
  </w:style>
  <w:style w:type="character" w:customStyle="1" w:styleId="55">
    <w:name w:val="正文文本 Char1"/>
    <w:autoRedefine/>
    <w:qFormat/>
    <w:uiPriority w:val="0"/>
    <w:rPr>
      <w:rFonts w:ascii="Times New Roman" w:hAnsi="Times New Roman" w:eastAsia="宋体" w:cs="Times New Roman"/>
      <w:kern w:val="2"/>
      <w:sz w:val="21"/>
      <w:szCs w:val="24"/>
    </w:rPr>
  </w:style>
  <w:style w:type="character" w:customStyle="1" w:styleId="56">
    <w:name w:val="纯文本 Char1"/>
    <w:autoRedefine/>
    <w:qFormat/>
    <w:uiPriority w:val="0"/>
    <w:rPr>
      <w:rFonts w:ascii="宋体" w:hAnsi="Courier New" w:eastAsia="宋体" w:cs="Courier New"/>
      <w:szCs w:val="21"/>
    </w:rPr>
  </w:style>
  <w:style w:type="paragraph" w:customStyle="1" w:styleId="57">
    <w:name w:val="表格文字"/>
    <w:basedOn w:val="1"/>
    <w:autoRedefine/>
    <w:qFormat/>
    <w:uiPriority w:val="0"/>
    <w:pPr>
      <w:spacing w:before="25" w:after="25" w:line="300" w:lineRule="auto"/>
      <w:ind w:firstLine="200" w:firstLineChars="200"/>
    </w:pPr>
    <w:rPr>
      <w:spacing w:val="10"/>
      <w:kern w:val="0"/>
      <w:sz w:val="24"/>
    </w:rPr>
  </w:style>
  <w:style w:type="character" w:customStyle="1" w:styleId="58">
    <w:name w:val="15"/>
    <w:autoRedefine/>
    <w:qFormat/>
    <w:uiPriority w:val="0"/>
    <w:rPr>
      <w:rFonts w:hint="default" w:ascii="Times New Roman" w:hAnsi="Times New Roman" w:cs="Times New Roman"/>
      <w:color w:val="0000FF"/>
      <w:u w:val="single"/>
    </w:rPr>
  </w:style>
  <w:style w:type="character" w:customStyle="1" w:styleId="59">
    <w:name w:val="font21"/>
    <w:autoRedefine/>
    <w:qFormat/>
    <w:uiPriority w:val="0"/>
    <w:rPr>
      <w:rFonts w:hint="eastAsia" w:ascii="宋体" w:hAnsi="宋体" w:eastAsia="宋体" w:cs="宋体"/>
      <w:color w:val="000000"/>
      <w:sz w:val="21"/>
      <w:szCs w:val="21"/>
      <w:u w:val="none"/>
    </w:rPr>
  </w:style>
  <w:style w:type="paragraph" w:customStyle="1" w:styleId="60">
    <w:name w:val="Table Paragraph"/>
    <w:basedOn w:val="1"/>
    <w:autoRedefine/>
    <w:qFormat/>
    <w:uiPriority w:val="1"/>
    <w:pPr>
      <w:jc w:val="left"/>
    </w:pPr>
    <w:rPr>
      <w:rFonts w:ascii="Calibri" w:hAnsi="Calibri"/>
      <w:kern w:val="0"/>
      <w:sz w:val="22"/>
      <w:szCs w:val="22"/>
      <w:lang w:eastAsia="en-US"/>
    </w:rPr>
  </w:style>
  <w:style w:type="paragraph" w:customStyle="1" w:styleId="61">
    <w:name w:val="列表段落1"/>
    <w:basedOn w:val="1"/>
    <w:autoRedefine/>
    <w:unhideWhenUsed/>
    <w:qFormat/>
    <w:uiPriority w:val="99"/>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广西云龙招标有限公司</Company>
  <Pages>123</Pages>
  <Words>3825</Words>
  <Characters>4597</Characters>
  <Lines>595</Lines>
  <Paragraphs>167</Paragraphs>
  <TotalTime>1</TotalTime>
  <ScaleCrop>false</ScaleCrop>
  <LinksUpToDate>false</LinksUpToDate>
  <CharactersWithSpaces>4822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2025-04-14T07:42:00Z</dcterms:created>
  <dc:creator>唐冰</dc:creator>
  <cp:lastModifiedBy>123</cp:lastModifiedBy>
  <cp:lastPrinted>2025-07-14T08:40:00Z</cp:lastPrinted>
  <dcterms:modified xsi:type="dcterms:W3CDTF">2025-07-14T09:38:07Z</dcterms:modified>
  <dc:title>竞争性谈判文件规范</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D0D4B8688B334119BB145BC9B284462F_13</vt:lpwstr>
  </property>
  <property fmtid="{D5CDD505-2E9C-101B-9397-08002B2CF9AE}" pid="4" name="KSOTemplateDocerSaveRecord">
    <vt:lpwstr>eyJoZGlkIjoiMTYzMDM0YTMyN2ZmM2NjMTRmYWQ0ZGE3Y2M2MzNjMTMiLCJ1c2VySWQiOiI1NzY1MDkyMDgifQ==</vt:lpwstr>
  </property>
</Properties>
</file>