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2F82">
      <w:pPr>
        <w:rPr>
          <w:rFonts w:ascii="宋体" w:hAnsi="宋体" w:cs="宋体"/>
          <w:b/>
          <w:bCs/>
          <w:color w:val="auto"/>
          <w:sz w:val="52"/>
          <w:highlight w:val="none"/>
        </w:rPr>
      </w:pPr>
      <w:r>
        <w:rPr>
          <w:rFonts w:hint="eastAsia" w:ascii="宋体" w:hAnsi="宋体" w:cs="宋体"/>
          <w:color w:val="auto"/>
          <w:highlight w:val="none"/>
        </w:rPr>
        <w:drawing>
          <wp:anchor distT="0" distB="0" distL="114300" distR="114300" simplePos="0" relativeHeight="251662336" behindDoc="1" locked="0" layoutInCell="1" allowOverlap="1">
            <wp:simplePos x="0" y="0"/>
            <wp:positionH relativeFrom="column">
              <wp:posOffset>0</wp:posOffset>
            </wp:positionH>
            <wp:positionV relativeFrom="paragraph">
              <wp:posOffset>3175</wp:posOffset>
            </wp:positionV>
            <wp:extent cx="5707380" cy="8070850"/>
            <wp:effectExtent l="0" t="0" r="7620" b="6350"/>
            <wp:wrapTight wrapText="bothSides">
              <wp:wrapPolygon>
                <wp:start x="0" y="0"/>
                <wp:lineTo x="0" y="21576"/>
                <wp:lineTo x="21571" y="21576"/>
                <wp:lineTo x="21571" y="0"/>
                <wp:lineTo x="0" y="0"/>
              </wp:wrapPolygon>
            </wp:wrapTight>
            <wp:docPr id="8" name="图片 8" descr="SKM_2872505291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KM_28725052915260"/>
                    <pic:cNvPicPr>
                      <a:picLocks noChangeAspect="1"/>
                    </pic:cNvPicPr>
                  </pic:nvPicPr>
                  <pic:blipFill>
                    <a:blip r:embed="rId9"/>
                    <a:stretch>
                      <a:fillRect/>
                    </a:stretch>
                  </pic:blipFill>
                  <pic:spPr>
                    <a:xfrm>
                      <a:off x="0" y="0"/>
                      <a:ext cx="5707380" cy="8070850"/>
                    </a:xfrm>
                    <a:prstGeom prst="rect">
                      <a:avLst/>
                    </a:prstGeom>
                  </pic:spPr>
                </pic:pic>
              </a:graphicData>
            </a:graphic>
          </wp:anchor>
        </w:drawing>
      </w:r>
      <w:r>
        <w:rPr>
          <w:rFonts w:hint="eastAsia" w:ascii="宋体" w:hAnsi="宋体" w:cs="宋体"/>
          <w:color w:val="auto"/>
          <w:highlight w:val="none"/>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10"/>
                    <a:stretch>
                      <a:fillRect/>
                    </a:stretch>
                  </pic:blipFill>
                  <pic:spPr>
                    <a:xfrm>
                      <a:off x="0" y="0"/>
                      <a:ext cx="752475" cy="752475"/>
                    </a:xfrm>
                    <a:prstGeom prst="rect">
                      <a:avLst/>
                    </a:prstGeom>
                    <a:noFill/>
                    <a:ln>
                      <a:noFill/>
                    </a:ln>
                  </pic:spPr>
                </pic:pic>
              </a:graphicData>
            </a:graphic>
          </wp:anchor>
        </w:drawing>
      </w:r>
    </w:p>
    <w:p w14:paraId="2FDE81E4">
      <w:pPr>
        <w:rPr>
          <w:rFonts w:ascii="宋体" w:hAnsi="宋体" w:cs="宋体"/>
          <w:b/>
          <w:bCs/>
          <w:color w:val="auto"/>
          <w:sz w:val="52"/>
          <w:highlight w:val="none"/>
        </w:rPr>
      </w:pPr>
    </w:p>
    <w:p w14:paraId="64FA7102">
      <w:pPr>
        <w:rPr>
          <w:rFonts w:ascii="宋体" w:hAnsi="宋体" w:cs="宋体"/>
          <w:color w:val="auto"/>
          <w:highlight w:val="none"/>
        </w:rPr>
      </w:pPr>
    </w:p>
    <w:p w14:paraId="5DD36B73">
      <w:pPr>
        <w:ind w:firstLine="198" w:firstLineChars="41"/>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广西中信恒泰工程顾问有限公司</w:t>
      </w:r>
    </w:p>
    <w:p w14:paraId="05709BDE">
      <w:pPr>
        <w:ind w:firstLine="199" w:firstLineChars="66"/>
        <w:jc w:val="center"/>
        <w:rPr>
          <w:rFonts w:ascii="宋体" w:hAnsi="宋体" w:cs="宋体"/>
          <w:b/>
          <w:bCs/>
          <w:color w:val="auto"/>
          <w:sz w:val="30"/>
          <w:szCs w:val="30"/>
          <w:highlight w:val="none"/>
        </w:rPr>
      </w:pPr>
      <w:r>
        <w:rPr>
          <w:rFonts w:hint="eastAsia" w:ascii="宋体" w:hAnsi="宋体" w:cs="宋体"/>
          <w:b/>
          <w:color w:val="auto"/>
          <w:sz w:val="30"/>
          <w:szCs w:val="30"/>
          <w:highlight w:val="none"/>
        </w:rPr>
        <w:t xml:space="preserve">Guangxi Zhongxinhengtai </w:t>
      </w:r>
      <w:r>
        <w:rPr>
          <w:rFonts w:hint="eastAsia" w:ascii="宋体" w:hAnsi="宋体" w:cs="宋体"/>
          <w:b/>
          <w:caps/>
          <w:color w:val="auto"/>
          <w:sz w:val="30"/>
          <w:szCs w:val="30"/>
          <w:highlight w:val="none"/>
        </w:rPr>
        <w:t>e</w:t>
      </w:r>
      <w:r>
        <w:rPr>
          <w:rFonts w:hint="eastAsia" w:ascii="宋体" w:hAnsi="宋体" w:cs="宋体"/>
          <w:b/>
          <w:color w:val="auto"/>
          <w:sz w:val="30"/>
          <w:szCs w:val="30"/>
          <w:highlight w:val="none"/>
        </w:rPr>
        <w:t xml:space="preserve">ngineering </w:t>
      </w:r>
      <w:r>
        <w:rPr>
          <w:rFonts w:hint="eastAsia" w:ascii="宋体" w:hAnsi="宋体" w:cs="宋体"/>
          <w:b/>
          <w:caps/>
          <w:color w:val="auto"/>
          <w:sz w:val="30"/>
          <w:szCs w:val="30"/>
          <w:highlight w:val="none"/>
        </w:rPr>
        <w:t>c</w:t>
      </w:r>
      <w:r>
        <w:rPr>
          <w:rFonts w:hint="eastAsia" w:ascii="宋体" w:hAnsi="宋体" w:cs="宋体"/>
          <w:b/>
          <w:color w:val="auto"/>
          <w:sz w:val="30"/>
          <w:szCs w:val="30"/>
          <w:highlight w:val="none"/>
        </w:rPr>
        <w:t xml:space="preserve">onsulting </w:t>
      </w:r>
      <w:r>
        <w:rPr>
          <w:rFonts w:hint="eastAsia" w:ascii="宋体" w:hAnsi="宋体" w:cs="宋体"/>
          <w:b/>
          <w:caps/>
          <w:color w:val="auto"/>
          <w:sz w:val="30"/>
          <w:szCs w:val="30"/>
          <w:highlight w:val="none"/>
        </w:rPr>
        <w:t>c</w:t>
      </w:r>
      <w:r>
        <w:rPr>
          <w:rFonts w:hint="eastAsia" w:ascii="宋体" w:hAnsi="宋体" w:cs="宋体"/>
          <w:b/>
          <w:color w:val="auto"/>
          <w:sz w:val="30"/>
          <w:szCs w:val="30"/>
          <w:highlight w:val="none"/>
        </w:rPr>
        <w:t xml:space="preserve">o., </w:t>
      </w:r>
      <w:r>
        <w:rPr>
          <w:rFonts w:hint="eastAsia" w:ascii="宋体" w:hAnsi="宋体" w:cs="宋体"/>
          <w:b/>
          <w:caps/>
          <w:color w:val="auto"/>
          <w:sz w:val="30"/>
          <w:szCs w:val="30"/>
          <w:highlight w:val="none"/>
        </w:rPr>
        <w:t>l</w:t>
      </w:r>
      <w:r>
        <w:rPr>
          <w:rFonts w:hint="eastAsia" w:ascii="宋体" w:hAnsi="宋体" w:cs="宋体"/>
          <w:b/>
          <w:color w:val="auto"/>
          <w:sz w:val="30"/>
          <w:szCs w:val="30"/>
          <w:highlight w:val="none"/>
        </w:rPr>
        <w:t>td</w:t>
      </w:r>
    </w:p>
    <w:p w14:paraId="2F81D73F">
      <w:pPr>
        <w:pStyle w:val="14"/>
        <w:ind w:firstLine="400"/>
        <w:rPr>
          <w:rFonts w:ascii="宋体" w:hAnsi="宋体" w:cs="宋体"/>
          <w:color w:val="auto"/>
          <w:szCs w:val="21"/>
          <w:highlight w:val="none"/>
          <w14:shadow w14:blurRad="50800" w14:dist="38100" w14:dir="2700000" w14:sx="100000" w14:sy="100000" w14:kx="0" w14:ky="0" w14:algn="tl">
            <w14:srgbClr w14:val="000000">
              <w14:alpha w14:val="60000"/>
            </w14:srgbClr>
          </w14:shadow>
        </w:rPr>
      </w:pPr>
      <w:r>
        <w:rPr>
          <w:rFonts w:hint="eastAsia" w:ascii="宋体"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13970" r="14605" b="23495"/>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color w:val="auto"/>
          <w:sz w:val="10"/>
          <w:highlight w:val="none"/>
        </w:rPr>
        <w:t xml:space="preserve">                                                                                                </w:t>
      </w:r>
    </w:p>
    <w:p w14:paraId="3585EEC1">
      <w:pPr>
        <w:snapToGrid w:val="0"/>
        <w:jc w:val="center"/>
        <w:rPr>
          <w:rFonts w:ascii="宋体" w:hAnsi="宋体" w:cs="宋体"/>
          <w:b/>
          <w:color w:val="auto"/>
          <w:sz w:val="72"/>
          <w:szCs w:val="72"/>
          <w:highlight w:val="none"/>
        </w:rPr>
      </w:pPr>
    </w:p>
    <w:p w14:paraId="63FD4335">
      <w:pPr>
        <w:snapToGrid w:val="0"/>
        <w:jc w:val="center"/>
        <w:rPr>
          <w:rFonts w:ascii="宋体" w:hAnsi="宋体" w:cs="宋体"/>
          <w:b/>
          <w:color w:val="auto"/>
          <w:sz w:val="44"/>
          <w:szCs w:val="44"/>
          <w:highlight w:val="none"/>
        </w:rPr>
      </w:pPr>
      <w:r>
        <w:rPr>
          <w:rFonts w:hint="eastAsia" w:ascii="宋体" w:hAnsi="宋体" w:cs="宋体"/>
          <w:b/>
          <w:color w:val="auto"/>
          <w:sz w:val="72"/>
          <w:szCs w:val="72"/>
          <w:highlight w:val="none"/>
        </w:rPr>
        <w:t>竞争性磋商采购文件</w:t>
      </w:r>
    </w:p>
    <w:p w14:paraId="7FFF89D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131A73D9">
      <w:pPr>
        <w:jc w:val="center"/>
        <w:rPr>
          <w:rFonts w:ascii="宋体" w:hAnsi="宋体" w:cs="宋体"/>
          <w:b/>
          <w:color w:val="auto"/>
          <w:sz w:val="32"/>
          <w:szCs w:val="32"/>
          <w:highlight w:val="none"/>
        </w:rPr>
      </w:pPr>
    </w:p>
    <w:p w14:paraId="48D00E57">
      <w:pPr>
        <w:snapToGrid w:val="0"/>
        <w:spacing w:before="156"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（全流程电子化项目）</w:t>
      </w:r>
    </w:p>
    <w:p w14:paraId="4736921A">
      <w:pPr>
        <w:jc w:val="center"/>
        <w:rPr>
          <w:rFonts w:ascii="宋体" w:hAnsi="宋体" w:cs="宋体"/>
          <w:b/>
          <w:color w:val="auto"/>
          <w:sz w:val="32"/>
          <w:szCs w:val="32"/>
          <w:highlight w:val="none"/>
        </w:rPr>
      </w:pPr>
    </w:p>
    <w:p w14:paraId="57E60EAE">
      <w:pPr>
        <w:jc w:val="center"/>
        <w:rPr>
          <w:rFonts w:ascii="宋体" w:hAnsi="宋体" w:cs="宋体"/>
          <w:b/>
          <w:color w:val="auto"/>
          <w:sz w:val="32"/>
          <w:szCs w:val="32"/>
          <w:highlight w:val="none"/>
        </w:rPr>
      </w:pPr>
    </w:p>
    <w:p w14:paraId="6AA75823">
      <w:pPr>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放疗技术中心CT模拟定位机维保服务采购项目</w:t>
      </w:r>
    </w:p>
    <w:p w14:paraId="4700EB95">
      <w:pPr>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项目编号：GXZC2025-C3-001289-GXZX</w:t>
      </w:r>
    </w:p>
    <w:p w14:paraId="4300F067">
      <w:pPr>
        <w:pStyle w:val="21"/>
        <w:rPr>
          <w:rFonts w:ascii="宋体" w:hAnsi="宋体" w:cs="宋体"/>
          <w:b/>
          <w:color w:val="auto"/>
          <w:sz w:val="32"/>
          <w:szCs w:val="32"/>
          <w:highlight w:val="none"/>
        </w:rPr>
      </w:pPr>
      <w:r>
        <w:rPr>
          <w:rFonts w:hint="eastAsia" w:ascii="宋体" w:hAnsi="宋体" w:cs="宋体"/>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13970" r="14605" b="23495"/>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69EB3EC6">
      <w:pPr>
        <w:rPr>
          <w:rFonts w:ascii="宋体" w:hAnsi="宋体" w:cs="宋体"/>
          <w:color w:val="auto"/>
          <w:highlight w:val="none"/>
        </w:rPr>
      </w:pPr>
    </w:p>
    <w:p w14:paraId="565A7694">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广西壮族自治区肿瘤防治研究所</w:t>
      </w:r>
    </w:p>
    <w:p w14:paraId="5032FE96">
      <w:pPr>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采购代理机构：广西中信恒泰工程顾问有限公司</w:t>
      </w:r>
    </w:p>
    <w:p w14:paraId="008F238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2025年0</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14:paraId="7E2C9575">
      <w:pPr>
        <w:spacing w:line="360" w:lineRule="auto"/>
        <w:jc w:val="center"/>
        <w:rPr>
          <w:rFonts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44"/>
          <w:szCs w:val="44"/>
          <w:highlight w:val="none"/>
        </w:rPr>
        <w:t>目   录</w:t>
      </w:r>
    </w:p>
    <w:p w14:paraId="22B65A2D">
      <w:pPr>
        <w:spacing w:line="400" w:lineRule="exact"/>
        <w:jc w:val="center"/>
        <w:rPr>
          <w:rFonts w:ascii="宋体" w:hAnsi="宋体" w:cs="宋体"/>
          <w:b/>
          <w:color w:val="auto"/>
          <w:sz w:val="44"/>
          <w:szCs w:val="44"/>
          <w:highlight w:val="none"/>
        </w:rPr>
      </w:pPr>
    </w:p>
    <w:p w14:paraId="41EDBF24">
      <w:pPr>
        <w:pStyle w:val="24"/>
        <w:tabs>
          <w:tab w:val="right" w:leader="dot" w:pos="8992"/>
          <w:tab w:val="clear" w:pos="8296"/>
        </w:tabs>
        <w:spacing w:line="360" w:lineRule="auto"/>
        <w:rPr>
          <w:rFonts w:ascii="宋体" w:hAnsi="宋体" w:cs="宋体"/>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"_Toc2843"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A8A1FC">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ascii="宋体" w:hAnsi="宋体" w:cs="宋体"/>
          <w:color w:val="auto"/>
          <w:sz w:val="24"/>
          <w:highlight w:val="none"/>
        </w:rPr>
        <w:t>第二章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_Toc12415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6382A6">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"_Toc4409" </w:instrText>
      </w:r>
      <w:r>
        <w:rPr>
          <w:color w:val="auto"/>
          <w:highlight w:val="none"/>
        </w:rPr>
        <w:fldChar w:fldCharType="separate"/>
      </w:r>
      <w:r>
        <w:rPr>
          <w:rFonts w:hint="eastAsia" w:ascii="宋体" w:hAnsi="宋体" w:cs="宋体"/>
          <w:color w:val="auto"/>
          <w:sz w:val="24"/>
          <w:highlight w:val="none"/>
        </w:rPr>
        <w:t>第三章  采购需求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_Toc4409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16BCCDC">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"_Toc521" </w:instrText>
      </w:r>
      <w:r>
        <w:rPr>
          <w:color w:val="auto"/>
          <w:highlight w:val="none"/>
        </w:rPr>
        <w:fldChar w:fldCharType="separate"/>
      </w:r>
      <w:r>
        <w:rPr>
          <w:rFonts w:hint="eastAsia" w:ascii="宋体" w:hAnsi="宋体" w:cs="宋体"/>
          <w:color w:val="auto"/>
          <w:sz w:val="24"/>
          <w:highlight w:val="none"/>
        </w:rPr>
        <w:t>第四章  评审程序、评审方法和评审标准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5A051E">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"_Toc9613" </w:instrText>
      </w:r>
      <w:r>
        <w:rPr>
          <w:color w:val="auto"/>
          <w:highlight w:val="none"/>
        </w:rPr>
        <w:fldChar w:fldCharType="separate"/>
      </w:r>
      <w:r>
        <w:rPr>
          <w:rFonts w:hint="eastAsia" w:ascii="宋体" w:hAnsi="宋体" w:cs="宋体"/>
          <w:color w:val="auto"/>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_Toc9613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38C5D7E">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"_Toc3161" </w:instrText>
      </w:r>
      <w:r>
        <w:rPr>
          <w:color w:val="auto"/>
          <w:highlight w:val="none"/>
        </w:rPr>
        <w:fldChar w:fldCharType="separate"/>
      </w:r>
      <w:r>
        <w:rPr>
          <w:rFonts w:hint="eastAsia" w:ascii="宋体" w:hAnsi="宋体" w:cs="宋体"/>
          <w:color w:val="auto"/>
          <w:sz w:val="24"/>
          <w:highlight w:val="none"/>
        </w:rPr>
        <w:t>一、资格证明文件格式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65FD66">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"_Toc2654" </w:instrText>
      </w:r>
      <w:r>
        <w:rPr>
          <w:color w:val="auto"/>
          <w:highlight w:val="none"/>
        </w:rPr>
        <w:fldChar w:fldCharType="separate"/>
      </w:r>
      <w:r>
        <w:rPr>
          <w:rFonts w:hint="eastAsia" w:ascii="宋体" w:hAnsi="宋体" w:cs="宋体"/>
          <w:color w:val="auto"/>
          <w:sz w:val="24"/>
          <w:highlight w:val="none"/>
        </w:rPr>
        <w:t>二、商务技术文件格式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42746C0">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"_Toc17854" </w:instrText>
      </w:r>
      <w:r>
        <w:rPr>
          <w:color w:val="auto"/>
          <w:highlight w:val="none"/>
        </w:rPr>
        <w:fldChar w:fldCharType="separate"/>
      </w:r>
      <w:r>
        <w:rPr>
          <w:rFonts w:hint="eastAsia" w:ascii="宋体" w:hAnsi="宋体" w:cs="宋体"/>
          <w:color w:val="auto"/>
          <w:sz w:val="24"/>
          <w:highlight w:val="none"/>
        </w:rPr>
        <w:t>三、报价文件格式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_Toc17854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DF9542">
      <w:pPr>
        <w:pStyle w:val="24"/>
        <w:tabs>
          <w:tab w:val="right" w:leader="dot" w:pos="8992"/>
          <w:tab w:val="clear" w:pos="8296"/>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"_Toc19781" </w:instrText>
      </w:r>
      <w:r>
        <w:rPr>
          <w:color w:val="auto"/>
          <w:highlight w:val="none"/>
        </w:rPr>
        <w:fldChar w:fldCharType="separate"/>
      </w:r>
      <w:r>
        <w:rPr>
          <w:rFonts w:hint="eastAsia" w:ascii="宋体" w:hAnsi="宋体" w:cs="宋体"/>
          <w:color w:val="auto"/>
          <w:sz w:val="24"/>
          <w:highlight w:val="none"/>
        </w:rPr>
        <w:t>第六章 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_Toc19781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AE71941">
      <w:pPr>
        <w:pStyle w:val="24"/>
        <w:spacing w:line="360" w:lineRule="auto"/>
        <w:rPr>
          <w:rFonts w:ascii="宋体" w:hAnsi="宋体" w:cs="宋体"/>
          <w:color w:val="auto"/>
          <w:sz w:val="28"/>
          <w:szCs w:val="28"/>
          <w:highlight w:val="none"/>
        </w:rPr>
      </w:pPr>
      <w:r>
        <w:rPr>
          <w:rFonts w:hint="eastAsia" w:ascii="宋体" w:hAnsi="宋体" w:cs="宋体"/>
          <w:color w:val="auto"/>
          <w:sz w:val="24"/>
          <w:highlight w:val="none"/>
        </w:rPr>
        <w:fldChar w:fldCharType="end"/>
      </w:r>
    </w:p>
    <w:p w14:paraId="38CCD68B">
      <w:pPr>
        <w:spacing w:line="400" w:lineRule="exact"/>
        <w:jc w:val="left"/>
        <w:rPr>
          <w:rFonts w:ascii="宋体" w:hAnsi="宋体" w:cs="宋体"/>
          <w:b/>
          <w:color w:val="auto"/>
          <w:sz w:val="32"/>
          <w:szCs w:val="32"/>
          <w:highlight w:val="none"/>
        </w:rPr>
      </w:pPr>
    </w:p>
    <w:p w14:paraId="3C630258">
      <w:pPr>
        <w:spacing w:line="400" w:lineRule="exact"/>
        <w:jc w:val="center"/>
        <w:rPr>
          <w:rFonts w:ascii="宋体" w:hAnsi="宋体" w:cs="宋体"/>
          <w:b/>
          <w:color w:val="auto"/>
          <w:sz w:val="32"/>
          <w:szCs w:val="32"/>
          <w:highlight w:val="none"/>
        </w:rPr>
      </w:pPr>
    </w:p>
    <w:p w14:paraId="267ACDDA">
      <w:pPr>
        <w:spacing w:line="400" w:lineRule="exact"/>
        <w:jc w:val="center"/>
        <w:rPr>
          <w:rFonts w:ascii="宋体" w:hAnsi="宋体" w:cs="宋体"/>
          <w:b/>
          <w:color w:val="auto"/>
          <w:sz w:val="32"/>
          <w:szCs w:val="32"/>
          <w:highlight w:val="none"/>
        </w:rPr>
      </w:pPr>
    </w:p>
    <w:p w14:paraId="3C6225A2">
      <w:pPr>
        <w:spacing w:line="400" w:lineRule="exact"/>
        <w:jc w:val="center"/>
        <w:rPr>
          <w:rFonts w:ascii="宋体" w:hAnsi="宋体" w:cs="宋体"/>
          <w:b/>
          <w:color w:val="auto"/>
          <w:sz w:val="32"/>
          <w:szCs w:val="32"/>
          <w:highlight w:val="none"/>
        </w:rPr>
      </w:pPr>
    </w:p>
    <w:p w14:paraId="27372AB3">
      <w:pPr>
        <w:spacing w:line="400" w:lineRule="exact"/>
        <w:jc w:val="center"/>
        <w:rPr>
          <w:rFonts w:ascii="宋体" w:hAnsi="宋体" w:cs="宋体"/>
          <w:b/>
          <w:color w:val="auto"/>
          <w:sz w:val="32"/>
          <w:szCs w:val="32"/>
          <w:highlight w:val="none"/>
        </w:rPr>
      </w:pPr>
    </w:p>
    <w:p w14:paraId="029A2EA2">
      <w:pPr>
        <w:spacing w:line="400" w:lineRule="exact"/>
        <w:rPr>
          <w:rFonts w:ascii="宋体" w:hAnsi="宋体" w:cs="宋体"/>
          <w:b/>
          <w:color w:val="auto"/>
          <w:sz w:val="32"/>
          <w:szCs w:val="32"/>
          <w:highlight w:val="none"/>
        </w:rPr>
        <w:sectPr>
          <w:headerReference r:id="rId3" w:type="default"/>
          <w:pgSz w:w="11906" w:h="16838"/>
          <w:pgMar w:top="1440" w:right="1440" w:bottom="1440" w:left="1474" w:header="851" w:footer="992" w:gutter="0"/>
          <w:cols w:space="720" w:num="1"/>
          <w:titlePg/>
          <w:docGrid w:type="lines" w:linePitch="312" w:charSpace="0"/>
        </w:sectPr>
      </w:pPr>
    </w:p>
    <w:p w14:paraId="2B046060">
      <w:pPr>
        <w:pStyle w:val="3"/>
        <w:jc w:val="center"/>
        <w:rPr>
          <w:rFonts w:ascii="宋体" w:hAnsi="宋体" w:cs="宋体"/>
          <w:color w:val="auto"/>
          <w:highlight w:val="none"/>
        </w:rPr>
      </w:pPr>
      <w:bookmarkStart w:id="0" w:name="_Toc2843"/>
      <w:r>
        <w:rPr>
          <w:rFonts w:hint="eastAsia" w:ascii="宋体" w:hAnsi="宋体" w:cs="宋体"/>
          <w:color w:val="auto"/>
          <w:highlight w:val="none"/>
        </w:rPr>
        <w:t>第一章  竞争性磋商公告</w:t>
      </w:r>
      <w:bookmarkEnd w:id="0"/>
    </w:p>
    <w:p w14:paraId="5A5E8609">
      <w:pPr>
        <w:rPr>
          <w:color w:val="auto"/>
          <w:highlight w:val="none"/>
        </w:rPr>
      </w:pPr>
    </w:p>
    <w:p w14:paraId="77681BAB">
      <w:pPr>
        <w:jc w:val="center"/>
        <w:rPr>
          <w:rFonts w:ascii="宋体" w:hAnsi="宋体" w:cs="宋体"/>
          <w:b/>
          <w:bCs/>
          <w:color w:val="auto"/>
          <w:sz w:val="24"/>
          <w:highlight w:val="none"/>
        </w:rPr>
      </w:pPr>
      <w:bookmarkStart w:id="1" w:name="OLE_LINK2"/>
      <w:r>
        <w:rPr>
          <w:rFonts w:hint="eastAsia" w:ascii="宋体" w:hAnsi="宋体" w:cs="宋体"/>
          <w:b/>
          <w:bCs/>
          <w:color w:val="auto"/>
          <w:sz w:val="24"/>
          <w:highlight w:val="none"/>
          <w:lang w:eastAsia="zh-CN"/>
        </w:rPr>
        <w:t>放疗技术中心CT模拟定位机维保服务采购项目</w:t>
      </w:r>
      <w:bookmarkEnd w:id="1"/>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 xml:space="preserve"> GXZC2025-C3-001289-GXZX</w:t>
      </w:r>
      <w:r>
        <w:rPr>
          <w:rFonts w:hint="eastAsia" w:ascii="宋体" w:hAnsi="宋体" w:cs="宋体"/>
          <w:b/>
          <w:bCs/>
          <w:color w:val="auto"/>
          <w:sz w:val="24"/>
          <w:highlight w:val="none"/>
        </w:rPr>
        <w:t>）竞争性磋商公告</w:t>
      </w:r>
    </w:p>
    <w:p w14:paraId="323862F7">
      <w:pPr>
        <w:rPr>
          <w:color w:val="auto"/>
          <w:highlight w:val="none"/>
        </w:rPr>
      </w:pPr>
    </w:p>
    <w:p w14:paraId="6A855833">
      <w:pPr>
        <w:rPr>
          <w:color w:val="auto"/>
          <w:highlight w:val="none"/>
        </w:rPr>
      </w:pPr>
    </w:p>
    <w:p w14:paraId="4AC039D7">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highlight w:val="none"/>
        </w:rPr>
      </w:pPr>
      <w:bookmarkStart w:id="2" w:name="_Hlk37430271"/>
      <w:r>
        <w:rPr>
          <w:rFonts w:hint="eastAsia" w:ascii="宋体" w:hAnsi="宋体" w:cs="宋体"/>
          <w:color w:val="auto"/>
          <w:szCs w:val="21"/>
          <w:highlight w:val="none"/>
        </w:rPr>
        <w:t>项目概况</w:t>
      </w:r>
    </w:p>
    <w:p w14:paraId="4BE7D77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放疗技术中心CT模拟定位机维保服务采购项目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采购项目的潜在供应商应在“广西政府采购云平台”（</w:t>
      </w:r>
      <w:r>
        <w:rPr>
          <w:color w:val="auto"/>
          <w:highlight w:val="none"/>
        </w:rPr>
        <w:fldChar w:fldCharType="begin"/>
      </w:r>
      <w:r>
        <w:rPr>
          <w:color w:val="auto"/>
          <w:highlight w:val="none"/>
        </w:rPr>
        <w:instrText xml:space="preserve"> HYPERLINK "https://www.zcygov.cn/）获取（下载）采购文件，并于2022年%20%20月" </w:instrText>
      </w:r>
      <w:r>
        <w:rPr>
          <w:color w:val="auto"/>
          <w:highlight w:val="none"/>
        </w:rPr>
        <w:fldChar w:fldCharType="separate"/>
      </w:r>
      <w:r>
        <w:rPr>
          <w:rFonts w:hint="eastAsia" w:ascii="宋体" w:hAnsi="宋体" w:cs="宋体"/>
          <w:color w:val="auto"/>
          <w:szCs w:val="21"/>
          <w:highlight w:val="none"/>
        </w:rPr>
        <w:t>https://www.gcy.zfcg.gxzf.gov.cn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获取（下载）采购文件，并于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highlight w:val="none"/>
        </w:rPr>
        <w:t>（北京时间）前递交（上传）响应文件</w:t>
      </w:r>
      <w:r>
        <w:rPr>
          <w:rFonts w:hint="eastAsia" w:ascii="宋体" w:hAnsi="宋体" w:cs="宋体"/>
          <w:color w:val="auto"/>
          <w:szCs w:val="21"/>
          <w:highlight w:val="none"/>
        </w:rPr>
        <w:t>。</w:t>
      </w:r>
    </w:p>
    <w:p w14:paraId="64E478EB">
      <w:pPr>
        <w:spacing w:line="440" w:lineRule="exact"/>
        <w:rPr>
          <w:rFonts w:ascii="宋体" w:hAnsi="宋体" w:cs="宋体"/>
          <w:b/>
          <w:bCs/>
          <w:color w:val="auto"/>
          <w:highlight w:val="none"/>
        </w:rPr>
      </w:pPr>
      <w:bookmarkStart w:id="3" w:name="_Toc35393629"/>
      <w:bookmarkStart w:id="4" w:name="_Toc28359089"/>
      <w:bookmarkStart w:id="5" w:name="_Toc35393798"/>
      <w:bookmarkStart w:id="6" w:name="_Toc28359012"/>
      <w:bookmarkStart w:id="7" w:name="_Toc44229878"/>
      <w:r>
        <w:rPr>
          <w:rFonts w:hint="eastAsia" w:ascii="宋体" w:hAnsi="宋体" w:cs="宋体"/>
          <w:b/>
          <w:bCs/>
          <w:color w:val="auto"/>
          <w:highlight w:val="none"/>
        </w:rPr>
        <w:t>一、项目基本情况</w:t>
      </w:r>
      <w:bookmarkEnd w:id="3"/>
      <w:bookmarkEnd w:id="4"/>
      <w:bookmarkEnd w:id="5"/>
      <w:bookmarkEnd w:id="6"/>
      <w:bookmarkEnd w:id="7"/>
    </w:p>
    <w:p w14:paraId="1BC26407">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 xml:space="preserve"> GXZC2025-C3-001289-GXZX（采购计划文号：广西政采[2025]8721号-001、广西政采[2025]8721号-00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p>
    <w:p w14:paraId="3DAB361D">
      <w:pPr>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放疗技术中心CT模拟定位机维保服务采购项目</w:t>
      </w:r>
    </w:p>
    <w:p w14:paraId="3B3455E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24E56CE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4.预算金额：人民币</w:t>
      </w:r>
      <w:r>
        <w:rPr>
          <w:rFonts w:hint="eastAsia" w:ascii="宋体" w:hAnsi="宋体" w:cs="宋体"/>
          <w:color w:val="auto"/>
          <w:szCs w:val="21"/>
          <w:highlight w:val="none"/>
          <w:lang w:eastAsia="zh-CN"/>
        </w:rPr>
        <w:t>壹佰叁拾捌万元整(¥1380000.00）</w:t>
      </w:r>
      <w:r>
        <w:rPr>
          <w:rFonts w:hint="eastAsia" w:ascii="宋体" w:hAnsi="宋体" w:cs="宋体"/>
          <w:color w:val="auto"/>
          <w:szCs w:val="21"/>
          <w:highlight w:val="none"/>
        </w:rPr>
        <w:t xml:space="preserve"> </w:t>
      </w:r>
    </w:p>
    <w:p w14:paraId="7B9275F8">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5.最高限价：人民币</w:t>
      </w:r>
      <w:r>
        <w:rPr>
          <w:rFonts w:hint="eastAsia" w:ascii="宋体" w:hAnsi="宋体" w:cs="宋体"/>
          <w:color w:val="auto"/>
          <w:szCs w:val="21"/>
          <w:highlight w:val="none"/>
          <w:lang w:eastAsia="zh-CN"/>
        </w:rPr>
        <w:t>壹佰叁拾捌万元整(¥1380000.00）</w:t>
      </w:r>
    </w:p>
    <w:p w14:paraId="2E6B21D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9"/>
        <w:tblW w:w="7981" w:type="dxa"/>
        <w:tblInd w:w="4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3286"/>
        <w:gridCol w:w="1278"/>
        <w:gridCol w:w="2649"/>
      </w:tblGrid>
      <w:tr w14:paraId="051B6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62D7C76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71ADE91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D55EB4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206387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服务要求</w:t>
            </w:r>
          </w:p>
        </w:tc>
      </w:tr>
      <w:tr w14:paraId="2859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77CA218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01</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5031647B">
            <w:pPr>
              <w:snapToGrid w:val="0"/>
              <w:spacing w:line="276"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放疗技术中心CT模拟定位机维保服务（3年期）</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99C210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1项</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FD0FC2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详见采购文件第三章“</w:t>
            </w:r>
            <w:r>
              <w:rPr>
                <w:rFonts w:ascii="宋体" w:hAnsi="宋体"/>
                <w:color w:val="auto"/>
                <w:szCs w:val="21"/>
                <w:highlight w:val="none"/>
              </w:rPr>
              <w:t>采购需求</w:t>
            </w:r>
            <w:r>
              <w:rPr>
                <w:rFonts w:hint="eastAsia" w:ascii="宋体" w:hAnsi="宋体"/>
                <w:color w:val="auto"/>
                <w:szCs w:val="21"/>
                <w:highlight w:val="none"/>
              </w:rPr>
              <w:t>”</w:t>
            </w:r>
          </w:p>
        </w:tc>
      </w:tr>
    </w:tbl>
    <w:p w14:paraId="605E8871">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7.合同履行期限：自合同签订之日起，服务期三年。</w:t>
      </w:r>
    </w:p>
    <w:p w14:paraId="4EFCF62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8.本项目不接受联合体磋商。</w:t>
      </w:r>
    </w:p>
    <w:p w14:paraId="2B38A91A">
      <w:pPr>
        <w:spacing w:line="440" w:lineRule="exact"/>
        <w:rPr>
          <w:rFonts w:ascii="宋体" w:hAnsi="宋体" w:cs="宋体"/>
          <w:b/>
          <w:bCs/>
          <w:color w:val="auto"/>
          <w:highlight w:val="none"/>
        </w:rPr>
      </w:pPr>
      <w:bookmarkStart w:id="8" w:name="_Toc44229879"/>
      <w:bookmarkStart w:id="9" w:name="_Toc35393630"/>
      <w:bookmarkStart w:id="10" w:name="_Toc35393799"/>
      <w:bookmarkStart w:id="11" w:name="_Toc28359013"/>
      <w:bookmarkStart w:id="12" w:name="_Toc28359090"/>
      <w:r>
        <w:rPr>
          <w:rFonts w:hint="eastAsia" w:ascii="宋体" w:hAnsi="宋体" w:cs="宋体"/>
          <w:b/>
          <w:bCs/>
          <w:color w:val="auto"/>
          <w:highlight w:val="none"/>
        </w:rPr>
        <w:t>二、供应商的资格条件：</w:t>
      </w:r>
      <w:bookmarkEnd w:id="8"/>
      <w:bookmarkEnd w:id="9"/>
      <w:bookmarkEnd w:id="10"/>
      <w:bookmarkEnd w:id="11"/>
      <w:bookmarkEnd w:id="12"/>
    </w:p>
    <w:p w14:paraId="54A15E67">
      <w:pPr>
        <w:spacing w:line="440" w:lineRule="exact"/>
        <w:ind w:firstLine="420" w:firstLineChars="200"/>
        <w:rPr>
          <w:rFonts w:ascii="宋体" w:hAnsi="宋体" w:cs="宋体"/>
          <w:color w:val="auto"/>
          <w:szCs w:val="21"/>
          <w:highlight w:val="none"/>
        </w:rPr>
      </w:pPr>
      <w:bookmarkStart w:id="13" w:name="PO_3000001867_PM005"/>
      <w:bookmarkStart w:id="14" w:name="_Toc28359091"/>
      <w:bookmarkStart w:id="15" w:name="_Toc35393631"/>
      <w:bookmarkStart w:id="16" w:name="_Toc35393800"/>
      <w:bookmarkStart w:id="17" w:name="_Toc28359014"/>
      <w:bookmarkStart w:id="18" w:name="_Toc44229880"/>
      <w:r>
        <w:rPr>
          <w:rFonts w:hint="eastAsia" w:ascii="宋体" w:hAnsi="宋体" w:cs="宋体"/>
          <w:color w:val="auto"/>
          <w:szCs w:val="21"/>
          <w:highlight w:val="none"/>
        </w:rPr>
        <w:t>1.符合《中华人民共和国政府采购法》第二十二条的规定。</w:t>
      </w:r>
    </w:p>
    <w:p w14:paraId="1A45E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bookmarkEnd w:id="13"/>
      <w:r>
        <w:rPr>
          <w:rFonts w:hint="eastAsia" w:ascii="宋体" w:hAnsi="宋体" w:cs="宋体"/>
          <w:color w:val="auto"/>
          <w:szCs w:val="21"/>
          <w:highlight w:val="none"/>
        </w:rPr>
        <w:t>.</w:t>
      </w:r>
      <w:r>
        <w:rPr>
          <w:rFonts w:hint="eastAsia" w:ascii="宋体" w:hAnsi="宋体" w:cs="宋体"/>
          <w:color w:val="auto"/>
          <w:szCs w:val="21"/>
          <w:highlight w:val="none"/>
          <w:lang w:bidi="ar"/>
        </w:rPr>
        <w:t>落实政府采购政策需满足的资格要求：</w:t>
      </w:r>
    </w:p>
    <w:p w14:paraId="74008ED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专门面向中小企业采购的项目（供应商应为中小微企业、监狱企业、残疾人福利性单位</w:t>
      </w:r>
      <w:r>
        <w:rPr>
          <w:rFonts w:hint="eastAsia" w:ascii="宋体" w:hAnsi="宋体" w:cs="宋体"/>
          <w:color w:val="auto"/>
          <w:szCs w:val="21"/>
          <w:highlight w:val="none"/>
          <w:lang w:eastAsia="zh-CN" w:bidi="ar"/>
        </w:rPr>
        <w:t>）</w:t>
      </w:r>
    </w:p>
    <w:p w14:paraId="16653C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非专门面向中小企业采购的项目</w:t>
      </w:r>
    </w:p>
    <w:p w14:paraId="6EF92B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w:t>
      </w:r>
      <w:r>
        <w:rPr>
          <w:rFonts w:hint="eastAsia" w:ascii="宋体" w:hAnsi="宋体" w:cs="宋体"/>
          <w:color w:val="auto"/>
          <w:szCs w:val="21"/>
          <w:highlight w:val="none"/>
        </w:rPr>
        <w:t>.</w:t>
      </w:r>
      <w:r>
        <w:rPr>
          <w:rFonts w:hint="eastAsia" w:ascii="宋体" w:hAnsi="宋体" w:cs="宋体"/>
          <w:color w:val="auto"/>
          <w:szCs w:val="21"/>
          <w:highlight w:val="none"/>
          <w:lang w:bidi="ar"/>
        </w:rPr>
        <w:t>本项目的特定资格要求：</w:t>
      </w:r>
      <w:r>
        <w:rPr>
          <w:rFonts w:hint="eastAsia" w:ascii="宋体" w:hAnsi="宋体" w:cs="宋体"/>
          <w:color w:val="auto"/>
          <w:szCs w:val="21"/>
          <w:highlight w:val="none"/>
          <w:u w:val="single"/>
          <w:lang w:bidi="ar"/>
        </w:rPr>
        <w:t>无</w:t>
      </w:r>
      <w:r>
        <w:rPr>
          <w:rFonts w:hint="eastAsia" w:ascii="宋体" w:hAnsi="宋体" w:cs="宋体"/>
          <w:color w:val="auto"/>
          <w:szCs w:val="21"/>
          <w:highlight w:val="none"/>
        </w:rPr>
        <w:t>。</w:t>
      </w:r>
    </w:p>
    <w:p w14:paraId="154293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22D671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EE163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、中国政府采购网(www.ccgp.gov.cn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p w14:paraId="1C841774">
      <w:pPr>
        <w:spacing w:line="440" w:lineRule="exact"/>
        <w:rPr>
          <w:rFonts w:ascii="宋体" w:hAnsi="宋体" w:cs="宋体"/>
          <w:b/>
          <w:bCs/>
          <w:color w:val="auto"/>
          <w:highlight w:val="none"/>
        </w:rPr>
      </w:pPr>
      <w:r>
        <w:rPr>
          <w:rFonts w:hint="eastAsia" w:ascii="宋体" w:hAnsi="宋体" w:cs="宋体"/>
          <w:b/>
          <w:bCs/>
          <w:color w:val="auto"/>
          <w:highlight w:val="none"/>
        </w:rPr>
        <w:t>三、获取竞争性磋商文件</w:t>
      </w:r>
      <w:bookmarkEnd w:id="14"/>
      <w:bookmarkEnd w:id="15"/>
      <w:bookmarkEnd w:id="16"/>
      <w:bookmarkEnd w:id="17"/>
      <w:bookmarkEnd w:id="18"/>
    </w:p>
    <w:p w14:paraId="6CC17E52">
      <w:pPr>
        <w:spacing w:line="440" w:lineRule="exact"/>
        <w:ind w:firstLine="540"/>
        <w:rPr>
          <w:rFonts w:ascii="宋体" w:hAnsi="宋体" w:cs="宋体"/>
          <w:color w:val="auto"/>
          <w:kern w:val="0"/>
          <w:highlight w:val="none"/>
          <w:u w:val="single"/>
        </w:rPr>
      </w:pPr>
      <w:bookmarkStart w:id="19" w:name="_Toc44229881"/>
      <w:bookmarkStart w:id="20" w:name="_Toc35393632"/>
      <w:bookmarkStart w:id="21" w:name="_Toc28359015"/>
      <w:bookmarkStart w:id="22" w:name="_Toc35393801"/>
      <w:bookmarkStart w:id="23" w:name="_Toc28359092"/>
      <w:r>
        <w:rPr>
          <w:rFonts w:hint="eastAsia" w:ascii="宋体" w:hAnsi="宋体" w:cs="宋体"/>
          <w:color w:val="auto"/>
          <w:kern w:val="0"/>
          <w:highlight w:val="none"/>
        </w:rPr>
        <w:t>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30</w:t>
      </w:r>
      <w:r>
        <w:rPr>
          <w:rFonts w:hint="eastAsia" w:ascii="宋体" w:hAnsi="宋体" w:cs="宋体"/>
          <w:color w:val="auto"/>
          <w:kern w:val="0"/>
          <w:szCs w:val="21"/>
          <w:highlight w:val="none"/>
          <w:u w:val="single"/>
        </w:rPr>
        <w:t>日至202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日</w:t>
      </w:r>
      <w:r>
        <w:rPr>
          <w:rFonts w:hint="eastAsia" w:ascii="宋体" w:hAnsi="宋体" w:cs="宋体"/>
          <w:color w:val="auto"/>
          <w:kern w:val="0"/>
          <w:highlight w:val="none"/>
          <w:u w:val="single"/>
        </w:rPr>
        <w:t>，每天上午00:00至11:59，下午12:00至23:59（北京时间，法定节假日除外）。</w:t>
      </w:r>
    </w:p>
    <w:p w14:paraId="2533B3CC">
      <w:pPr>
        <w:spacing w:line="440" w:lineRule="exact"/>
        <w:ind w:firstLine="540"/>
        <w:rPr>
          <w:rFonts w:ascii="宋体" w:hAnsi="宋体" w:cs="宋体"/>
          <w:color w:val="auto"/>
          <w:kern w:val="0"/>
          <w:highlight w:val="none"/>
          <w:u w:val="single"/>
        </w:rPr>
      </w:pPr>
      <w:r>
        <w:rPr>
          <w:rFonts w:hint="eastAsia" w:ascii="宋体" w:hAnsi="宋体" w:cs="宋体"/>
          <w:color w:val="auto"/>
          <w:kern w:val="0"/>
          <w:highlight w:val="none"/>
        </w:rPr>
        <w:t>获取方式：</w:t>
      </w:r>
      <w:r>
        <w:rPr>
          <w:rFonts w:hint="eastAsia" w:ascii="宋体" w:hAnsi="宋体" w:cs="宋体"/>
          <w:color w:val="auto"/>
          <w:kern w:val="0"/>
          <w:highlight w:val="none"/>
          <w:u w:val="single"/>
        </w:rPr>
        <w:t>网上下载。本项目不发放纸质采购文件，潜在供应商可自行在“广西政府采购云平台” （https://www.gcy.zfcg.gxzf.gov.cn</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下载采购文件（操作路径：登录广西政府采购云平台</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项目采购</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获取采购文件</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找到本项目</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p>
    <w:p w14:paraId="5540ED6B">
      <w:pPr>
        <w:spacing w:line="440" w:lineRule="exact"/>
        <w:ind w:firstLine="540"/>
        <w:rPr>
          <w:rFonts w:ascii="宋体" w:hAnsi="宋体" w:cs="宋体"/>
          <w:color w:val="auto"/>
          <w:highlight w:val="none"/>
        </w:rPr>
      </w:pPr>
      <w:r>
        <w:rPr>
          <w:rFonts w:hint="eastAsia" w:ascii="宋体" w:hAnsi="宋体" w:cs="宋体"/>
          <w:color w:val="auto"/>
          <w:kern w:val="0"/>
          <w:highlight w:val="none"/>
        </w:rPr>
        <w:t>售价：</w:t>
      </w:r>
      <w:r>
        <w:rPr>
          <w:rFonts w:hint="eastAsia" w:ascii="宋体" w:hAnsi="宋体" w:cs="宋体"/>
          <w:color w:val="auto"/>
          <w:kern w:val="0"/>
          <w:highlight w:val="none"/>
          <w:u w:val="single"/>
        </w:rPr>
        <w:t>0.00元</w:t>
      </w:r>
      <w:r>
        <w:rPr>
          <w:rFonts w:hint="eastAsia" w:ascii="宋体" w:hAnsi="宋体" w:cs="宋体"/>
          <w:color w:val="auto"/>
          <w:highlight w:val="none"/>
        </w:rPr>
        <w:t>。</w:t>
      </w:r>
    </w:p>
    <w:p w14:paraId="674B7617">
      <w:pPr>
        <w:spacing w:line="440" w:lineRule="exact"/>
        <w:rPr>
          <w:rFonts w:ascii="宋体" w:hAnsi="宋体" w:cs="宋体"/>
          <w:b/>
          <w:bCs/>
          <w:color w:val="auto"/>
          <w:highlight w:val="none"/>
        </w:rPr>
      </w:pPr>
      <w:r>
        <w:rPr>
          <w:rFonts w:hint="eastAsia" w:ascii="宋体" w:hAnsi="宋体" w:cs="宋体"/>
          <w:b/>
          <w:bCs/>
          <w:color w:val="auto"/>
          <w:highlight w:val="none"/>
        </w:rPr>
        <w:t>四、响应文件提交</w:t>
      </w:r>
      <w:bookmarkEnd w:id="19"/>
      <w:bookmarkEnd w:id="20"/>
      <w:bookmarkEnd w:id="21"/>
      <w:bookmarkEnd w:id="22"/>
      <w:bookmarkEnd w:id="23"/>
    </w:p>
    <w:p w14:paraId="1EEF7466">
      <w:pPr>
        <w:spacing w:line="44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1</w:t>
      </w:r>
      <w:r>
        <w:rPr>
          <w:rFonts w:hint="eastAsia" w:ascii="宋体" w:hAnsi="宋体" w:cs="宋体"/>
          <w:color w:val="auto"/>
          <w:szCs w:val="21"/>
          <w:highlight w:val="none"/>
        </w:rPr>
        <w:t>.</w:t>
      </w:r>
      <w:r>
        <w:rPr>
          <w:rFonts w:hint="eastAsia" w:ascii="宋体" w:hAnsi="宋体" w:cs="宋体"/>
          <w:bCs/>
          <w:color w:val="auto"/>
          <w:szCs w:val="21"/>
          <w:highlight w:val="none"/>
        </w:rPr>
        <w:t>截止时间：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w:t>
      </w:r>
    </w:p>
    <w:p w14:paraId="475E4C22">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2.地点：</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开标大厅</w:t>
      </w:r>
      <w:r>
        <w:rPr>
          <w:rFonts w:hint="eastAsia" w:ascii="宋体" w:hAnsi="宋体" w:cs="宋体"/>
          <w:color w:val="auto"/>
          <w:szCs w:val="21"/>
          <w:highlight w:val="none"/>
          <w:u w:val="single"/>
          <w:lang w:eastAsia="zh-CN"/>
        </w:rPr>
        <w:t>。</w:t>
      </w:r>
    </w:p>
    <w:p w14:paraId="55063089">
      <w:pPr>
        <w:spacing w:line="440" w:lineRule="exact"/>
        <w:rPr>
          <w:rFonts w:ascii="宋体" w:hAnsi="宋体" w:cs="宋体"/>
          <w:b/>
          <w:bCs/>
          <w:color w:val="auto"/>
          <w:highlight w:val="none"/>
        </w:rPr>
      </w:pPr>
      <w:bookmarkStart w:id="24" w:name="_Toc28359016"/>
      <w:bookmarkStart w:id="25" w:name="_Toc28359093"/>
      <w:bookmarkStart w:id="26" w:name="_Toc44229882"/>
      <w:bookmarkStart w:id="27" w:name="_Toc35393802"/>
      <w:bookmarkStart w:id="28" w:name="_Toc35393633"/>
      <w:r>
        <w:rPr>
          <w:rFonts w:hint="eastAsia" w:ascii="宋体" w:hAnsi="宋体" w:cs="宋体"/>
          <w:b/>
          <w:bCs/>
          <w:color w:val="auto"/>
          <w:highlight w:val="none"/>
        </w:rPr>
        <w:t>五、开启</w:t>
      </w:r>
      <w:bookmarkEnd w:id="24"/>
      <w:bookmarkEnd w:id="25"/>
      <w:bookmarkEnd w:id="26"/>
      <w:bookmarkEnd w:id="27"/>
      <w:bookmarkEnd w:id="28"/>
    </w:p>
    <w:p w14:paraId="65693A5E">
      <w:pPr>
        <w:spacing w:line="44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w:t>
      </w:r>
      <w:bookmarkStart w:id="29" w:name="_Toc35393803"/>
      <w:bookmarkStart w:id="30" w:name="_Toc28359094"/>
      <w:bookmarkStart w:id="31" w:name="_Toc44229883"/>
      <w:bookmarkStart w:id="32" w:name="_Toc35393634"/>
      <w:bookmarkStart w:id="33" w:name="_Toc28359017"/>
      <w:r>
        <w:rPr>
          <w:rFonts w:hint="eastAsia" w:ascii="宋体" w:hAnsi="宋体" w:cs="宋体"/>
          <w:color w:val="auto"/>
          <w:szCs w:val="21"/>
          <w:highlight w:val="none"/>
        </w:rPr>
        <w:t>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（北京时间）</w:t>
      </w:r>
      <w:r>
        <w:rPr>
          <w:rFonts w:hint="eastAsia" w:ascii="宋体" w:hAnsi="宋体" w:cs="宋体"/>
          <w:color w:val="auto"/>
          <w:szCs w:val="21"/>
          <w:highlight w:val="none"/>
        </w:rPr>
        <w:t>后</w:t>
      </w:r>
    </w:p>
    <w:p w14:paraId="4DCE3FEE">
      <w:pPr>
        <w:spacing w:line="44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开标大厅。</w:t>
      </w:r>
    </w:p>
    <w:p w14:paraId="05FEB280">
      <w:pPr>
        <w:spacing w:line="440" w:lineRule="exact"/>
        <w:rPr>
          <w:rFonts w:ascii="宋体" w:hAnsi="宋体" w:cs="宋体"/>
          <w:b/>
          <w:bCs/>
          <w:color w:val="auto"/>
          <w:highlight w:val="none"/>
        </w:rPr>
      </w:pPr>
      <w:r>
        <w:rPr>
          <w:rFonts w:hint="eastAsia" w:ascii="宋体" w:hAnsi="宋体" w:cs="宋体"/>
          <w:b/>
          <w:bCs/>
          <w:color w:val="auto"/>
          <w:highlight w:val="none"/>
        </w:rPr>
        <w:t>六、公告期限</w:t>
      </w:r>
      <w:bookmarkEnd w:id="29"/>
      <w:bookmarkEnd w:id="30"/>
      <w:bookmarkEnd w:id="31"/>
      <w:bookmarkEnd w:id="32"/>
      <w:bookmarkEnd w:id="33"/>
    </w:p>
    <w:p w14:paraId="235972B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54B4108">
      <w:pPr>
        <w:spacing w:line="440" w:lineRule="exact"/>
        <w:rPr>
          <w:rFonts w:ascii="宋体" w:hAnsi="宋体" w:cs="宋体"/>
          <w:b/>
          <w:bCs/>
          <w:color w:val="auto"/>
          <w:highlight w:val="none"/>
        </w:rPr>
      </w:pPr>
      <w:bookmarkStart w:id="34" w:name="_Toc35393804"/>
      <w:bookmarkStart w:id="35" w:name="_Toc35393635"/>
      <w:bookmarkStart w:id="36" w:name="_Toc44229884"/>
      <w:r>
        <w:rPr>
          <w:rFonts w:hint="eastAsia" w:ascii="宋体" w:hAnsi="宋体" w:cs="宋体"/>
          <w:b/>
          <w:bCs/>
          <w:color w:val="auto"/>
          <w:highlight w:val="none"/>
        </w:rPr>
        <w:t>七、其他补充事宜</w:t>
      </w:r>
      <w:bookmarkEnd w:id="34"/>
      <w:bookmarkEnd w:id="35"/>
      <w:bookmarkEnd w:id="36"/>
    </w:p>
    <w:p w14:paraId="6B194A3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w:t>
      </w:r>
    </w:p>
    <w:p w14:paraId="10E03B8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 xml:space="preserve">000.00 </w:t>
      </w:r>
      <w:r>
        <w:rPr>
          <w:rFonts w:hint="eastAsia" w:ascii="宋体" w:hAnsi="宋体" w:cs="宋体"/>
          <w:color w:val="auto"/>
          <w:kern w:val="0"/>
          <w:szCs w:val="21"/>
          <w:highlight w:val="none"/>
        </w:rPr>
        <w:t>元。</w:t>
      </w:r>
    </w:p>
    <w:p w14:paraId="3D3476C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color w:val="auto"/>
          <w:kern w:val="0"/>
          <w:szCs w:val="21"/>
          <w:highlight w:val="none"/>
          <w:u w:val="single"/>
        </w:rPr>
        <w:t>建行南宁市金湖广场支行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广西中信恒泰工程顾问有限公司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45001604266052502851</w:t>
      </w: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u w:val="single"/>
        </w:rPr>
        <w:t>105611042538</w:t>
      </w:r>
      <w:r>
        <w:rPr>
          <w:rFonts w:hint="eastAsia" w:ascii="宋体" w:hAnsi="宋体" w:cs="宋体"/>
          <w:color w:val="auto"/>
          <w:kern w:val="0"/>
          <w:szCs w:val="21"/>
          <w:highlight w:val="none"/>
        </w:rPr>
        <w:t>）；采用支票、汇票、本票或者保函等方式的，在响应截止时间前，供应商必须递交单独密封的支票、汇票、本票或者保函原件。否则视为无效磋商保证金。</w:t>
      </w:r>
    </w:p>
    <w:p w14:paraId="123BA31A">
      <w:pPr>
        <w:numPr>
          <w:ilvl w:val="0"/>
          <w:numId w:val="1"/>
        </w:num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采购意向公开链接：</w:t>
      </w:r>
    </w:p>
    <w:p w14:paraId="0AC2E998">
      <w:pPr>
        <w:numPr>
          <w:ilvl w:val="0"/>
          <w:numId w:val="0"/>
        </w:num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http://www.ccgp-guangxi.gov.cn/site/detail?parentId=66601&amp;articleId=A+7fERrj9jb2UdG8t9X2Qg==</w:t>
      </w:r>
    </w:p>
    <w:p w14:paraId="014857EA">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r>
        <w:rPr>
          <w:rFonts w:hint="eastAsia" w:ascii="宋体" w:hAnsi="宋体" w:cs="宋体"/>
          <w:color w:val="auto"/>
          <w:kern w:val="0"/>
          <w:szCs w:val="21"/>
          <w:highlight w:val="none"/>
          <w:lang w:eastAsia="zh-CN"/>
        </w:rPr>
        <w:t>：</w:t>
      </w:r>
      <w:bookmarkStart w:id="37" w:name="_Hlk37429674"/>
      <w:r>
        <w:rPr>
          <w:rFonts w:hint="eastAsia" w:ascii="宋体" w:hAnsi="宋体" w:cs="宋体"/>
          <w:color w:val="auto"/>
          <w:kern w:val="0"/>
          <w:szCs w:val="21"/>
          <w:highlight w:val="none"/>
        </w:rPr>
        <w:t>http://www.ccgp.gov.cn(中国政府采购网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http://zfcg.gxzf.gov.cn(广西政府采购网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http://www.gxzxht.com（广西中信恒泰工程顾问有限公司网）。</w:t>
      </w:r>
    </w:p>
    <w:p w14:paraId="47E2106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p w14:paraId="5A3C2F7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AD179D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5534EF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5A3682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55DFD2F">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7"/>
    </w:p>
    <w:p w14:paraId="5D8C4503">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szCs w:val="21"/>
          <w:highlight w:val="none"/>
        </w:rPr>
        <w:t>.</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2A7B6E6F">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w:t>
      </w:r>
      <w:r>
        <w:rPr>
          <w:rFonts w:hint="eastAsia" w:ascii="宋体" w:hAnsi="宋体" w:cs="宋体"/>
          <w:color w:val="auto"/>
          <w:kern w:val="0"/>
          <w:szCs w:val="21"/>
          <w:highlight w:val="none"/>
        </w:rPr>
        <w:t>磋商注意事项：（1）响应文件提交方式：本项目为全流程电子化项目，通过广西政府采购云平台（https://www.gcy.zfcg.gxzf.gov.cn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实行在线电子响应，供应商应先安装广西政府采购云平台新版客户端（新版客户端下载路径：广西政府采购网（访问地址http://zfcg.gxzf.gov.cn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（2）供应商应及时熟悉掌握电子标系统操作指南；及时完成CA申领和绑定（见广西壮族自治区政府采购网—办事服务—下载专区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广西政府采购云平台CA证书办理操作指南）。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8.供应商需要在具备有摄像头及语音功能且互联网网络状况良好的电脑登录“广西政府采购云平台”远程开标大厅参与本次磋商，否则后果自负。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9.若对项目采购电子交易系统操作有疑问，可登录“广西政府采购云平台”（https://www.gcy.zfcg.gxzf.gov.cn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，点击右侧咨询小采，获取采小蜜智能服务管家帮助，或拨打广西政府采购云平台服务热线95763获取热线服务帮助。</w:t>
      </w:r>
    </w:p>
    <w:p w14:paraId="2E3EEE59">
      <w:pPr>
        <w:spacing w:line="440" w:lineRule="exact"/>
        <w:rPr>
          <w:rFonts w:ascii="宋体" w:hAnsi="宋体" w:cs="宋体"/>
          <w:b/>
          <w:bCs/>
          <w:color w:val="auto"/>
          <w:highlight w:val="none"/>
        </w:rPr>
      </w:pPr>
      <w:bookmarkStart w:id="38" w:name="_Toc35393636"/>
      <w:bookmarkStart w:id="39" w:name="_Toc44229885"/>
      <w:bookmarkStart w:id="40" w:name="_Toc35393805"/>
      <w:bookmarkStart w:id="41" w:name="_Toc28359095"/>
      <w:bookmarkStart w:id="42" w:name="_Toc28359018"/>
      <w:r>
        <w:rPr>
          <w:rFonts w:hint="eastAsia" w:ascii="宋体" w:hAnsi="宋体" w:cs="宋体"/>
          <w:b/>
          <w:bCs/>
          <w:color w:val="auto"/>
          <w:highlight w:val="none"/>
        </w:rPr>
        <w:t>八、凡对本次采购提出询问，请按以下方式联系。</w:t>
      </w:r>
      <w:bookmarkEnd w:id="38"/>
      <w:bookmarkEnd w:id="39"/>
      <w:bookmarkEnd w:id="40"/>
      <w:bookmarkEnd w:id="41"/>
      <w:bookmarkEnd w:id="42"/>
    </w:p>
    <w:p w14:paraId="148043EA">
      <w:pPr>
        <w:spacing w:line="440" w:lineRule="exact"/>
        <w:jc w:val="left"/>
        <w:rPr>
          <w:rFonts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采购人信息</w:t>
      </w:r>
    </w:p>
    <w:p w14:paraId="36215124">
      <w:pPr>
        <w:spacing w:line="44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广西壮族自治区肿瘤防治研究所</w:t>
      </w:r>
    </w:p>
    <w:p w14:paraId="7F9E9F65">
      <w:pPr>
        <w:spacing w:line="440" w:lineRule="exact"/>
        <w:ind w:firstLine="630" w:firstLineChars="3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南宁市</w:t>
      </w:r>
      <w:r>
        <w:rPr>
          <w:rFonts w:hint="eastAsia" w:ascii="宋体" w:hAnsi="宋体" w:cs="宋体"/>
          <w:color w:val="auto"/>
          <w:szCs w:val="21"/>
          <w:highlight w:val="none"/>
          <w:u w:val="single"/>
          <w:lang w:val="en-US" w:eastAsia="zh-CN"/>
        </w:rPr>
        <w:t>良庆</w:t>
      </w:r>
      <w:r>
        <w:rPr>
          <w:rFonts w:hint="eastAsia" w:ascii="宋体" w:hAnsi="宋体" w:cs="宋体"/>
          <w:color w:val="auto"/>
          <w:szCs w:val="21"/>
          <w:highlight w:val="none"/>
          <w:u w:val="single"/>
        </w:rPr>
        <w:t>区良玉大道50号</w:t>
      </w:r>
      <w:r>
        <w:rPr>
          <w:rFonts w:hint="eastAsia" w:ascii="宋体" w:hAnsi="宋体" w:cs="宋体"/>
          <w:color w:val="auto"/>
          <w:szCs w:val="21"/>
          <w:highlight w:val="none"/>
          <w:u w:val="single"/>
          <w:lang w:val="en-US" w:eastAsia="zh-CN"/>
        </w:rPr>
        <w:t xml:space="preserve"> </w:t>
      </w:r>
    </w:p>
    <w:p w14:paraId="02096026">
      <w:pPr>
        <w:spacing w:line="440" w:lineRule="exact"/>
        <w:ind w:firstLine="630" w:firstLineChars="300"/>
        <w:jc w:val="left"/>
        <w:rPr>
          <w:rFonts w:ascii="宋体" w:hAnsi="宋体" w:cs="宋体"/>
          <w:color w:val="auto"/>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李洁玲</w:t>
      </w:r>
      <w:r>
        <w:rPr>
          <w:rFonts w:hint="eastAsia" w:ascii="宋体" w:hAnsi="宋体" w:cs="宋体"/>
          <w:color w:val="auto"/>
          <w:szCs w:val="21"/>
          <w:highlight w:val="none"/>
          <w:u w:val="single"/>
          <w:lang w:eastAsia="zh-CN"/>
        </w:rPr>
        <w:t>，0771-</w:t>
      </w:r>
      <w:r>
        <w:rPr>
          <w:rFonts w:hint="eastAsia" w:ascii="宋体" w:hAnsi="宋体" w:cs="宋体"/>
          <w:color w:val="auto"/>
          <w:szCs w:val="21"/>
          <w:highlight w:val="none"/>
          <w:u w:val="single"/>
          <w:lang w:val="en-US" w:eastAsia="zh-CN"/>
        </w:rPr>
        <w:t xml:space="preserve">5323216    </w:t>
      </w:r>
      <w:bookmarkStart w:id="43" w:name="_Toc28359086"/>
      <w:bookmarkStart w:id="44" w:name="_Toc28359009"/>
    </w:p>
    <w:p w14:paraId="7D099FE5">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43"/>
      <w:bookmarkEnd w:id="44"/>
    </w:p>
    <w:p w14:paraId="12E34829">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广西中信恒泰工程顾问有限公司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CC801D7">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广西南宁市青秀区云景路69号南宁轨道大厦B座15楼　</w:t>
      </w:r>
    </w:p>
    <w:p w14:paraId="5AE6CD4F">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联系方式：</w:t>
      </w:r>
      <w:bookmarkStart w:id="45" w:name="_Toc28359087"/>
      <w:bookmarkStart w:id="46" w:name="_Toc28359010"/>
      <w:r>
        <w:rPr>
          <w:rFonts w:hint="eastAsia" w:ascii="宋体" w:hAnsi="宋体" w:cs="宋体"/>
          <w:color w:val="auto"/>
          <w:szCs w:val="21"/>
          <w:highlight w:val="none"/>
          <w:u w:val="single"/>
          <w:lang w:val="en-US" w:eastAsia="zh-CN"/>
        </w:rPr>
        <w:t>韦</w:t>
      </w:r>
      <w:r>
        <w:rPr>
          <w:rFonts w:hint="eastAsia" w:hAnsi="宋体" w:cs="宋体"/>
          <w:color w:val="auto"/>
          <w:sz w:val="21"/>
          <w:highlight w:val="none"/>
          <w:u w:val="single"/>
        </w:rPr>
        <w:t>廷富、</w:t>
      </w:r>
      <w:r>
        <w:rPr>
          <w:rFonts w:hint="eastAsia" w:hAnsi="宋体" w:cs="宋体"/>
          <w:color w:val="auto"/>
          <w:sz w:val="21"/>
          <w:highlight w:val="none"/>
          <w:u w:val="single"/>
          <w:lang w:val="en-US" w:eastAsia="zh-CN"/>
        </w:rPr>
        <w:t>廖欣蕾、田甜，</w:t>
      </w:r>
      <w:r>
        <w:rPr>
          <w:rFonts w:hint="eastAsia" w:ascii="宋体" w:hAnsi="宋体" w:cs="宋体"/>
          <w:color w:val="auto"/>
          <w:szCs w:val="21"/>
          <w:highlight w:val="none"/>
          <w:u w:val="single"/>
        </w:rPr>
        <w:t xml:space="preserve">0771-5776251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bookmarkEnd w:id="45"/>
    <w:bookmarkEnd w:id="46"/>
    <w:p w14:paraId="19849842">
      <w:pPr>
        <w:spacing w:line="440" w:lineRule="exact"/>
        <w:rPr>
          <w:rFonts w:ascii="宋体" w:hAnsi="宋体" w:cs="宋体"/>
          <w:color w:val="auto"/>
          <w:highlight w:val="none"/>
        </w:rPr>
      </w:pPr>
      <w:r>
        <w:rPr>
          <w:rFonts w:hint="eastAsia" w:ascii="宋体" w:hAnsi="宋体" w:cs="宋体"/>
          <w:color w:val="auto"/>
          <w:highlight w:val="none"/>
        </w:rPr>
        <w:t>3.项目联系方式</w:t>
      </w:r>
    </w:p>
    <w:p w14:paraId="3F2EE5A3">
      <w:pPr>
        <w:pStyle w:val="17"/>
        <w:spacing w:line="440" w:lineRule="exact"/>
        <w:ind w:firstLine="840" w:firstLineChars="400"/>
        <w:rPr>
          <w:rFonts w:hint="default" w:hAnsi="宋体" w:eastAsia="宋体" w:cs="宋体"/>
          <w:color w:val="auto"/>
          <w:sz w:val="21"/>
          <w:highlight w:val="none"/>
          <w:lang w:val="en-US" w:eastAsia="zh-CN"/>
        </w:rPr>
      </w:pPr>
      <w:r>
        <w:rPr>
          <w:rFonts w:hint="eastAsia" w:hAnsi="宋体" w:cs="宋体"/>
          <w:color w:val="auto"/>
          <w:sz w:val="21"/>
          <w:highlight w:val="none"/>
        </w:rPr>
        <w:t>项目联系人：</w:t>
      </w:r>
      <w:r>
        <w:rPr>
          <w:rFonts w:hint="eastAsia" w:hAnsi="宋体" w:cs="宋体"/>
          <w:color w:val="auto"/>
          <w:sz w:val="21"/>
          <w:highlight w:val="none"/>
          <w:u w:val="single"/>
        </w:rPr>
        <w:t>韦廷富、</w:t>
      </w:r>
      <w:r>
        <w:rPr>
          <w:rFonts w:hint="eastAsia" w:hAnsi="宋体" w:cs="宋体"/>
          <w:color w:val="auto"/>
          <w:sz w:val="21"/>
          <w:highlight w:val="none"/>
          <w:u w:val="single"/>
          <w:lang w:val="en-US" w:eastAsia="zh-CN"/>
        </w:rPr>
        <w:t>廖欣蕾、田甜</w:t>
      </w:r>
    </w:p>
    <w:p w14:paraId="0C2F644F">
      <w:pPr>
        <w:spacing w:line="440" w:lineRule="exact"/>
        <w:ind w:firstLine="840" w:firstLineChars="400"/>
        <w:rPr>
          <w:rFonts w:ascii="宋体" w:hAnsi="宋体" w:cs="宋体"/>
          <w:color w:val="auto"/>
          <w:szCs w:val="21"/>
          <w:highlight w:val="none"/>
          <w:u w:val="single"/>
        </w:rPr>
      </w:pPr>
      <w:r>
        <w:rPr>
          <w:rFonts w:hint="eastAsia" w:ascii="宋体" w:hAnsi="宋体" w:cs="宋体"/>
          <w:color w:val="auto"/>
          <w:highlight w:val="none"/>
        </w:rPr>
        <w:t>电话：</w:t>
      </w:r>
      <w:r>
        <w:rPr>
          <w:rFonts w:hint="eastAsia" w:ascii="宋体" w:hAnsi="宋体" w:cs="宋体"/>
          <w:color w:val="auto"/>
          <w:highlight w:val="none"/>
          <w:u w:val="single"/>
        </w:rPr>
        <w:t xml:space="preserve"> 0771-5776251    </w:t>
      </w:r>
    </w:p>
    <w:p w14:paraId="749E4285">
      <w:pPr>
        <w:spacing w:line="440" w:lineRule="exact"/>
        <w:rPr>
          <w:rFonts w:ascii="宋体" w:hAnsi="宋体" w:cs="宋体"/>
          <w:color w:val="auto"/>
          <w:highlight w:val="none"/>
        </w:rPr>
      </w:pPr>
      <w:r>
        <w:rPr>
          <w:rFonts w:hint="eastAsia" w:ascii="宋体" w:hAnsi="宋体" w:cs="宋体"/>
          <w:color w:val="auto"/>
          <w:highlight w:val="none"/>
        </w:rPr>
        <w:t>4.监督部门</w:t>
      </w:r>
    </w:p>
    <w:p w14:paraId="0BBC7AC3">
      <w:pPr>
        <w:spacing w:line="440" w:lineRule="exact"/>
        <w:ind w:firstLine="840" w:firstLineChars="40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广西壮族自治区财政厅政府采购监督管理处</w:t>
      </w:r>
    </w:p>
    <w:p w14:paraId="2533075F">
      <w:pPr>
        <w:spacing w:line="440" w:lineRule="exact"/>
        <w:ind w:firstLine="840" w:firstLineChars="400"/>
        <w:rPr>
          <w:rFonts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xml:space="preserve">  0771-5331544                         </w:t>
      </w:r>
    </w:p>
    <w:bookmarkEnd w:id="2"/>
    <w:p w14:paraId="1FF1EE7D">
      <w:pPr>
        <w:wordWrap w:val="0"/>
        <w:spacing w:line="440" w:lineRule="exact"/>
        <w:jc w:val="right"/>
        <w:rPr>
          <w:rFonts w:ascii="宋体" w:hAnsi="宋体" w:cs="宋体"/>
          <w:color w:val="auto"/>
          <w:szCs w:val="21"/>
          <w:highlight w:val="none"/>
        </w:rPr>
      </w:pPr>
      <w:r>
        <w:rPr>
          <w:rFonts w:hint="eastAsia" w:ascii="宋体" w:hAnsi="宋体" w:cs="宋体"/>
          <w:color w:val="auto"/>
          <w:szCs w:val="21"/>
          <w:highlight w:val="none"/>
        </w:rPr>
        <w:t>广西中信恒泰工程顾问有限公司</w:t>
      </w:r>
    </w:p>
    <w:p w14:paraId="3E370FC9">
      <w:pPr>
        <w:wordWrap w:val="0"/>
        <w:spacing w:line="440" w:lineRule="exact"/>
        <w:jc w:val="right"/>
        <w:rPr>
          <w:rFonts w:ascii="宋体" w:hAns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30</w:t>
      </w:r>
      <w:r>
        <w:rPr>
          <w:rFonts w:hint="eastAsia" w:ascii="宋体" w:hAnsi="宋体" w:cs="宋体"/>
          <w:color w:val="auto"/>
          <w:szCs w:val="21"/>
          <w:highlight w:val="none"/>
        </w:rPr>
        <w:t>日</w:t>
      </w:r>
    </w:p>
    <w:p w14:paraId="70B223B8">
      <w:pPr>
        <w:rPr>
          <w:color w:val="auto"/>
          <w:highlight w:val="none"/>
        </w:rPr>
      </w:pPr>
    </w:p>
    <w:p w14:paraId="53048BC4">
      <w:pPr>
        <w:rPr>
          <w:color w:val="auto"/>
          <w:highlight w:val="none"/>
        </w:rPr>
      </w:pPr>
    </w:p>
    <w:p w14:paraId="15ADA216">
      <w:pPr>
        <w:pStyle w:val="3"/>
        <w:jc w:val="center"/>
        <w:rPr>
          <w:rFonts w:ascii="宋体" w:hAnsi="宋体" w:cs="宋体"/>
          <w:color w:val="auto"/>
          <w:highlight w:val="none"/>
        </w:rPr>
      </w:pPr>
      <w:r>
        <w:rPr>
          <w:rFonts w:hint="eastAsia" w:ascii="宋体" w:hAnsi="宋体" w:cs="宋体"/>
          <w:color w:val="auto"/>
          <w:highlight w:val="none"/>
        </w:rPr>
        <w:br w:type="page"/>
      </w:r>
      <w:bookmarkStart w:id="47" w:name="_Toc12415"/>
      <w:r>
        <w:rPr>
          <w:rFonts w:hint="eastAsia" w:ascii="宋体" w:hAnsi="宋体" w:cs="宋体"/>
          <w:color w:val="auto"/>
          <w:highlight w:val="none"/>
        </w:rPr>
        <w:t>第二章  供应商须知</w:t>
      </w:r>
      <w:bookmarkEnd w:id="47"/>
    </w:p>
    <w:p w14:paraId="0B0F77EE">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5259337D">
      <w:pPr>
        <w:spacing w:line="400" w:lineRule="exact"/>
        <w:jc w:val="center"/>
        <w:rPr>
          <w:rFonts w:ascii="宋体" w:hAnsi="宋体" w:cs="宋体"/>
          <w:b/>
          <w:color w:val="auto"/>
          <w:sz w:val="32"/>
          <w:szCs w:val="32"/>
          <w:highlight w:val="none"/>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42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3D583C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411372F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503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5564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6CC6287">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2507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9914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341D4957">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详见竞争性磋商公告</w:t>
            </w:r>
          </w:p>
        </w:tc>
      </w:tr>
      <w:tr w14:paraId="0C66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687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7912" w:type="dxa"/>
            <w:vAlign w:val="center"/>
          </w:tcPr>
          <w:p w14:paraId="68EA7EEB">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14:paraId="5C07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3102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64C43177">
            <w:pPr>
              <w:pStyle w:val="12"/>
              <w:spacing w:line="360" w:lineRule="auto"/>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不允许分包</w:t>
            </w:r>
          </w:p>
          <w:p w14:paraId="543DE421">
            <w:pPr>
              <w:pStyle w:val="12"/>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0F00FA94">
            <w:pPr>
              <w:pStyle w:val="12"/>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5C60D3B4">
            <w:pPr>
              <w:pStyle w:val="12"/>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10FE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A7BE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065E787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6203045A">
            <w:pPr>
              <w:pStyle w:val="12"/>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1B14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FF043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w:t>
            </w:r>
            <w:r>
              <w:rPr>
                <w:rFonts w:hint="eastAsia" w:ascii="宋体" w:hAnsi="宋体" w:cs="宋体"/>
                <w:color w:val="auto"/>
                <w:szCs w:val="21"/>
                <w:highlight w:val="none"/>
                <w:lang w:eastAsia="zh-CN"/>
              </w:rPr>
              <w:t>起</w:t>
            </w:r>
            <w:r>
              <w:rPr>
                <w:rFonts w:hint="eastAsia" w:ascii="宋体" w:hAnsi="宋体" w:cs="宋体"/>
                <w:color w:val="auto"/>
                <w:szCs w:val="21"/>
                <w:highlight w:val="none"/>
              </w:rPr>
              <w:t>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ABF16E">
            <w:pPr>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4.供应商财务状况报告[供应商2023年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或2024年</w:t>
            </w:r>
            <w:r>
              <w:rPr>
                <w:rFonts w:hint="eastAsia" w:ascii="宋体" w:hAnsi="宋体" w:cs="宋体"/>
                <w:color w:val="auto"/>
                <w:szCs w:val="21"/>
                <w:highlight w:val="none"/>
                <w:lang w:eastAsia="zh-CN"/>
              </w:rPr>
              <w:t>）</w:t>
            </w:r>
            <w:r>
              <w:rPr>
                <w:rFonts w:hint="eastAsia" w:ascii="宋体" w:hAnsi="宋体" w:cs="宋体"/>
                <w:color w:val="auto"/>
                <w:szCs w:val="21"/>
                <w:highlight w:val="none"/>
              </w:rPr>
              <w:t>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4C56626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9C3116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4644A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092DF1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3BA0954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2350052F">
            <w:pPr>
              <w:pStyle w:val="12"/>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以上标明“必须提供”的材料属于复印件的扫描件的，必须加盖供应商电子公章，否则响应文件按无效响应处理。</w:t>
            </w:r>
          </w:p>
        </w:tc>
      </w:tr>
      <w:tr w14:paraId="06CC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C4BF4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617D96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07F373A8">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34DB4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224DC61">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A488E69">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529C96">
            <w:pPr>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3BBF397">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3BDD911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310281E4">
            <w:pPr>
              <w:pStyle w:val="21"/>
              <w:spacing w:line="360" w:lineRule="auto"/>
              <w:rPr>
                <w:rFonts w:ascii="宋体" w:hAnsi="宋体" w:cs="宋体"/>
                <w:color w:val="auto"/>
                <w:sz w:val="21"/>
                <w:szCs w:val="21"/>
                <w:highlight w:val="none"/>
              </w:rPr>
            </w:pPr>
            <w:r>
              <w:rPr>
                <w:rFonts w:hint="eastAsia" w:ascii="宋体" w:hAnsi="宋体" w:cs="宋体"/>
                <w:b/>
                <w:color w:val="auto"/>
                <w:kern w:val="2"/>
                <w:sz w:val="21"/>
                <w:szCs w:val="21"/>
                <w:highlight w:val="none"/>
              </w:rPr>
              <w:t>1. 以上标明“必须提供”的材料属于复印件的扫描件的，必须加盖供应商电子公章，否则响应文件按无效响应处理。</w:t>
            </w:r>
          </w:p>
        </w:tc>
      </w:tr>
      <w:tr w14:paraId="472C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233B17B">
            <w:pPr>
              <w:spacing w:line="360" w:lineRule="auto"/>
              <w:jc w:val="center"/>
              <w:rPr>
                <w:rFonts w:ascii="宋体" w:hAnsi="宋体" w:cs="宋体"/>
                <w:color w:val="auto"/>
                <w:szCs w:val="21"/>
                <w:highlight w:val="none"/>
              </w:rPr>
            </w:pPr>
          </w:p>
        </w:tc>
        <w:tc>
          <w:tcPr>
            <w:tcW w:w="7912" w:type="dxa"/>
            <w:vAlign w:val="center"/>
          </w:tcPr>
          <w:p w14:paraId="0766EC1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6F73F02D">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服务需求</w:t>
            </w:r>
            <w:r>
              <w:rPr>
                <w:rFonts w:hint="eastAsia" w:ascii="宋体" w:hAnsi="宋体" w:cs="宋体"/>
                <w:color w:val="auto"/>
                <w:szCs w:val="21"/>
                <w:highlight w:val="none"/>
              </w:rPr>
              <w:t>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89C013">
            <w:pPr>
              <w:spacing w:line="360" w:lineRule="auto"/>
              <w:rPr>
                <w:rFonts w:ascii="宋体" w:hAnsi="宋体" w:cs="宋体"/>
                <w:color w:val="auto"/>
                <w:szCs w:val="21"/>
                <w:highlight w:val="none"/>
              </w:rPr>
            </w:pPr>
            <w:r>
              <w:rPr>
                <w:rFonts w:hint="eastAsia" w:ascii="宋体" w:hAnsi="宋体" w:cs="宋体"/>
                <w:color w:val="auto"/>
                <w:szCs w:val="21"/>
                <w:highlight w:val="none"/>
              </w:rPr>
              <w:t>2.服务方案；（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153145">
            <w:pPr>
              <w:spacing w:line="360" w:lineRule="auto"/>
              <w:rPr>
                <w:rFonts w:ascii="宋体" w:hAnsi="宋体" w:cs="宋体"/>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F40497">
            <w:pPr>
              <w:spacing w:line="360" w:lineRule="auto"/>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p w14:paraId="5BE315AB">
            <w:pPr>
              <w:spacing w:line="360" w:lineRule="auto"/>
              <w:rPr>
                <w:rFonts w:ascii="宋体" w:hAnsi="宋体" w:cs="宋体"/>
                <w:b/>
                <w:bCs/>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2025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1D3B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7912" w:type="dxa"/>
            <w:vAlign w:val="center"/>
          </w:tcPr>
          <w:p w14:paraId="0AC68B3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4D46BF7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4A395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15A281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3.中小企业声明函或者残疾人福利性单位声明函或者供应商属于监狱企业的证明材料。</w:t>
            </w:r>
          </w:p>
          <w:p w14:paraId="129BBB0E">
            <w:pPr>
              <w:pStyle w:val="21"/>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注：1.以上标明“必须提供”的材料属于复印件的扫描件的，必须加盖供应商电子公章，否则响应文件按无效响应处理。</w:t>
            </w:r>
          </w:p>
        </w:tc>
      </w:tr>
      <w:tr w14:paraId="6FDC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501F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7912" w:type="dxa"/>
            <w:vAlign w:val="center"/>
          </w:tcPr>
          <w:p w14:paraId="17D5D55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7F6606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7524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154F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63D7AA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竞标</w:t>
            </w:r>
            <w:r>
              <w:rPr>
                <w:rFonts w:hint="eastAsia" w:ascii="宋体" w:hAnsi="宋体" w:eastAsia="宋体" w:cs="宋体"/>
                <w:color w:val="auto"/>
                <w:kern w:val="2"/>
                <w:sz w:val="21"/>
                <w:szCs w:val="21"/>
                <w:highlight w:val="none"/>
                <w:lang w:val="en-US" w:eastAsia="zh-CN" w:bidi="ar"/>
              </w:rPr>
              <w:t>报价包含本项目所有成果及服务内容、所涉及的</w:t>
            </w:r>
            <w:r>
              <w:rPr>
                <w:rFonts w:hint="eastAsia" w:ascii="宋体" w:hAnsi="宋体" w:cs="宋体"/>
                <w:color w:val="auto"/>
                <w:kern w:val="2"/>
                <w:sz w:val="21"/>
                <w:szCs w:val="21"/>
                <w:highlight w:val="none"/>
                <w:lang w:val="en-US" w:eastAsia="zh-CN" w:bidi="ar"/>
              </w:rPr>
              <w:t>维修人员</w:t>
            </w:r>
            <w:r>
              <w:rPr>
                <w:rFonts w:hint="eastAsia" w:ascii="宋体" w:hAnsi="宋体" w:eastAsia="宋体" w:cs="宋体"/>
                <w:color w:val="auto"/>
                <w:kern w:val="2"/>
                <w:sz w:val="21"/>
                <w:szCs w:val="21"/>
                <w:highlight w:val="none"/>
                <w:lang w:val="en-US" w:eastAsia="zh-CN" w:bidi="ar"/>
              </w:rPr>
              <w:t>人工费、交通差旅费、检查修理费、备品备件、工具、材料、实施、调试、验收、技术培训及技术资料等各种费用和售后服务、税金、招标代理服务费及其它所有成本费用的总和。</w:t>
            </w:r>
          </w:p>
          <w:p w14:paraId="26044B2A">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竞标报价包含验收费用</w:t>
            </w:r>
          </w:p>
          <w:p w14:paraId="10AF1A15">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□竞标报价不包含验收费用</w:t>
            </w:r>
          </w:p>
        </w:tc>
      </w:tr>
      <w:tr w14:paraId="78C4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40B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4215E027">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u w:val="single"/>
              </w:rPr>
              <w:t xml:space="preserve">60  </w:t>
            </w:r>
            <w:r>
              <w:rPr>
                <w:rFonts w:hint="eastAsia" w:ascii="宋体" w:hAnsi="宋体" w:cs="宋体"/>
                <w:color w:val="auto"/>
                <w:kern w:val="2"/>
                <w:sz w:val="21"/>
                <w:szCs w:val="21"/>
                <w:highlight w:val="none"/>
              </w:rPr>
              <w:t>日。</w:t>
            </w:r>
          </w:p>
        </w:tc>
      </w:tr>
      <w:tr w14:paraId="2F64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D297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33785BC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磋商保证金的交纳方式：详见竞争性磋商公告。</w:t>
            </w:r>
          </w:p>
          <w:p w14:paraId="653203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磋商保证金的金额：详见竞争性磋商公告。</w:t>
            </w:r>
          </w:p>
          <w:p w14:paraId="6AE5779A">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相关要求：</w:t>
            </w:r>
            <w:r>
              <w:rPr>
                <w:rFonts w:hint="eastAsia" w:ascii="宋体" w:hAnsi="宋体" w:cs="宋体"/>
                <w:color w:val="auto"/>
                <w:kern w:val="0"/>
                <w:highlight w:val="none"/>
              </w:rPr>
              <w:t>详见</w:t>
            </w:r>
            <w:r>
              <w:rPr>
                <w:rFonts w:hint="eastAsia" w:ascii="宋体" w:hAnsi="宋体" w:cs="宋体"/>
                <w:color w:val="auto"/>
                <w:highlight w:val="none"/>
              </w:rPr>
              <w:t>竞争性磋商公告</w:t>
            </w:r>
            <w:r>
              <w:rPr>
                <w:rFonts w:hint="eastAsia" w:ascii="宋体" w:hAnsi="宋体" w:cs="宋体"/>
                <w:color w:val="auto"/>
                <w:szCs w:val="21"/>
                <w:highlight w:val="none"/>
              </w:rPr>
              <w:t>。</w:t>
            </w:r>
          </w:p>
          <w:p w14:paraId="4EE3ACC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06CC64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响应文件提交截止时间后提交的，或者未足额交纳的，或者保函额度不足的，视为无效磋商保证金。</w:t>
            </w:r>
          </w:p>
          <w:p w14:paraId="7D7BABB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369F8D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0F2BF95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36D19E76">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5.竞标保证金采用金融、担保机构出具的保函为有条件保函的，视为无效磋商保证金。</w:t>
            </w:r>
          </w:p>
        </w:tc>
      </w:tr>
      <w:tr w14:paraId="2AD7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D245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0D2BB73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14:paraId="352569A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585D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DD1E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32F69D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143D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91371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6D4D091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17B27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服务需求</w:t>
            </w:r>
            <w:r>
              <w:rPr>
                <w:rFonts w:hint="eastAsia" w:ascii="宋体" w:hAnsi="宋体" w:cs="宋体"/>
                <w:color w:val="auto"/>
                <w:szCs w:val="21"/>
                <w:highlight w:val="none"/>
              </w:rPr>
              <w:t>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 </w:t>
            </w:r>
            <w:r>
              <w:rPr>
                <w:rFonts w:hint="eastAsia" w:ascii="宋体" w:hAnsi="宋体" w:cs="宋体"/>
                <w:color w:val="auto"/>
                <w:szCs w:val="21"/>
                <w:highlight w:val="none"/>
              </w:rPr>
              <w:t>项。</w:t>
            </w:r>
          </w:p>
        </w:tc>
      </w:tr>
      <w:tr w14:paraId="0EFF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E8E78F7">
            <w:pPr>
              <w:spacing w:line="360" w:lineRule="auto"/>
              <w:jc w:val="center"/>
              <w:rPr>
                <w:rFonts w:ascii="宋体" w:hAnsi="宋体" w:cs="宋体"/>
                <w:color w:val="auto"/>
                <w:szCs w:val="21"/>
                <w:highlight w:val="none"/>
              </w:rPr>
            </w:pPr>
          </w:p>
        </w:tc>
        <w:tc>
          <w:tcPr>
            <w:tcW w:w="7912" w:type="dxa"/>
            <w:vAlign w:val="center"/>
          </w:tcPr>
          <w:p w14:paraId="040290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4FCEBE0B">
            <w:pPr>
              <w:pStyle w:val="12"/>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6E4F2587">
            <w:pPr>
              <w:snapToGrid w:val="0"/>
              <w:spacing w:line="360" w:lineRule="auto"/>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随机排序。</w:t>
            </w:r>
          </w:p>
          <w:p w14:paraId="11380E91">
            <w:pPr>
              <w:pStyle w:val="12"/>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通过电脑摄像头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如无法核实磋商对象有效身份证明的，磋商小组将拒绝其磋商。</w:t>
            </w:r>
          </w:p>
        </w:tc>
      </w:tr>
      <w:tr w14:paraId="7F9A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20C2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912" w:type="dxa"/>
            <w:vAlign w:val="center"/>
          </w:tcPr>
          <w:p w14:paraId="04FBAD3B">
            <w:pPr>
              <w:snapToGrid w:val="0"/>
              <w:spacing w:line="360" w:lineRule="auto"/>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szCs w:val="21"/>
                <w:highlight w:val="none"/>
              </w:rPr>
              <w:t>本项目不收取履约保证金。</w:t>
            </w:r>
          </w:p>
          <w:p w14:paraId="005125A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本项目收取履约保证金，具体规定如下：</w:t>
            </w:r>
          </w:p>
          <w:p w14:paraId="3FE9FE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5 </w:t>
            </w:r>
            <w:r>
              <w:rPr>
                <w:rFonts w:hint="eastAsia" w:ascii="宋体" w:hAnsi="宋体" w:cs="宋体"/>
                <w:color w:val="auto"/>
                <w:szCs w:val="21"/>
                <w:highlight w:val="none"/>
              </w:rPr>
              <w:t>%（中小企业缴纳数额为成交金额的2%）。</w:t>
            </w:r>
          </w:p>
          <w:p w14:paraId="436290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履约保证金提交方式：转账或电汇形式或政府采购规定允许的其它方式。</w:t>
            </w:r>
          </w:p>
          <w:p w14:paraId="4C3C566F">
            <w:pPr>
              <w:snapToGrid w:val="0"/>
              <w:rPr>
                <w:rFonts w:hint="eastAsia" w:ascii="宋体" w:hAnsi="宋体" w:cs="宋体"/>
                <w:color w:val="auto"/>
                <w:szCs w:val="21"/>
                <w:highlight w:val="none"/>
              </w:rPr>
            </w:pPr>
            <w:r>
              <w:rPr>
                <w:rFonts w:hint="eastAsia" w:ascii="宋体" w:hAnsi="宋体" w:cs="宋体"/>
                <w:color w:val="auto"/>
                <w:szCs w:val="21"/>
                <w:highlight w:val="none"/>
              </w:rPr>
              <w:t>履约保证金提交时间：本项目签订合同前。</w:t>
            </w:r>
          </w:p>
          <w:p w14:paraId="462A9DC2">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rPr>
              <w:t>履约保证金退付方式、时间及条件：</w:t>
            </w:r>
            <w:r>
              <w:rPr>
                <w:rFonts w:hint="eastAsia" w:ascii="宋体" w:hAnsi="宋体" w:eastAsia="宋体" w:cs="宋体"/>
                <w:color w:val="auto"/>
                <w:kern w:val="2"/>
                <w:sz w:val="21"/>
                <w:szCs w:val="21"/>
                <w:highlight w:val="none"/>
                <w:lang w:val="en-US" w:eastAsia="zh-CN" w:bidi="ar"/>
              </w:rPr>
              <w:t>本项目服务期满，经双方验收合格，成交供应商向采购人申请办理履约保证金退还手续后，采购人将履约保证金退回到成交供应商账户（不计利息）。</w:t>
            </w:r>
          </w:p>
          <w:p w14:paraId="0BF0F48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采购人收取</w:t>
            </w:r>
            <w:r>
              <w:rPr>
                <w:rFonts w:hint="eastAsia" w:ascii="宋体" w:hAnsi="宋体" w:cs="宋体"/>
                <w:color w:val="auto"/>
                <w:szCs w:val="21"/>
                <w:highlight w:val="none"/>
              </w:rPr>
              <w:t>履约保证金指定账户：</w:t>
            </w:r>
          </w:p>
          <w:p w14:paraId="3DAC0C0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广西医科大学附属肿瘤医院</w:t>
            </w:r>
          </w:p>
          <w:p w14:paraId="0087E4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中国银行南宁市医科大支行</w:t>
            </w:r>
          </w:p>
          <w:p w14:paraId="111D1F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619759083458</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2120F177">
            <w:pPr>
              <w:pStyle w:val="12"/>
              <w:spacing w:line="360" w:lineRule="auto"/>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rPr>
              <w:br w:type="textWrapping"/>
            </w:r>
            <w:r>
              <w:rPr>
                <w:rFonts w:hint="eastAsia" w:ascii="宋体" w:hAnsi="宋体" w:cs="宋体"/>
                <w:b/>
                <w:color w:val="auto"/>
                <w:szCs w:val="21"/>
                <w:highlight w:val="none"/>
              </w:rPr>
              <w:t>2.采用金融、担保机构出具保函的，必须为无条件保函，否则视为未按规定提交履约保证金。</w:t>
            </w:r>
          </w:p>
          <w:p w14:paraId="67C79D67">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3.供应商为联合体的，可由联合体任意一方或者联合体各方共同提交的履约保证金，视为有效履约保证金</w:t>
            </w:r>
            <w:r>
              <w:rPr>
                <w:rFonts w:hint="eastAsia" w:ascii="宋体" w:hAnsi="宋体" w:cs="宋体"/>
                <w:color w:val="auto"/>
                <w:szCs w:val="21"/>
                <w:highlight w:val="none"/>
              </w:rPr>
              <w:t>。</w:t>
            </w:r>
          </w:p>
        </w:tc>
      </w:tr>
      <w:tr w14:paraId="0031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7599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5B8F961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5F15BDC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3CA3CC0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737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DBA3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072E71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0F50F71E">
            <w:pPr>
              <w:pStyle w:val="17"/>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广西中信恒泰工程顾问有限公司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0771-5776251</w:t>
            </w:r>
            <w:r>
              <w:rPr>
                <w:rFonts w:hint="eastAsia" w:hAnsi="宋体" w:cs="宋体"/>
                <w:color w:val="auto"/>
                <w:kern w:val="2"/>
                <w:sz w:val="21"/>
                <w:highlight w:val="none"/>
              </w:rPr>
              <w:t>，通讯地址：</w:t>
            </w:r>
            <w:r>
              <w:rPr>
                <w:rFonts w:hint="eastAsia" w:hAnsi="宋体" w:cs="宋体"/>
                <w:color w:val="auto"/>
                <w:kern w:val="2"/>
                <w:sz w:val="21"/>
                <w:highlight w:val="none"/>
                <w:u w:val="single"/>
              </w:rPr>
              <w:t>南宁市青秀区云景路69号南宁轨道大厦B座15楼</w:t>
            </w:r>
            <w:r>
              <w:rPr>
                <w:rFonts w:hint="eastAsia" w:hAnsi="宋体" w:cs="宋体"/>
                <w:color w:val="auto"/>
                <w:kern w:val="2"/>
                <w:sz w:val="21"/>
                <w:highlight w:val="none"/>
                <w:u w:val="single"/>
                <w:lang w:eastAsia="zh-CN"/>
              </w:rPr>
              <w:t>。</w:t>
            </w:r>
          </w:p>
          <w:p w14:paraId="1A229F1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highlight w:val="none"/>
              </w:rPr>
              <w:t>业务时间：上午</w:t>
            </w:r>
            <w:r>
              <w:rPr>
                <w:rFonts w:hint="eastAsia" w:ascii="宋体" w:hAnsi="宋体" w:cs="宋体"/>
                <w:color w:val="auto"/>
                <w:highlight w:val="none"/>
                <w:lang w:val="en-US" w:eastAsia="zh-CN"/>
              </w:rPr>
              <w:t>08</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分到12时00分，</w:t>
            </w:r>
            <w:r>
              <w:rPr>
                <w:rFonts w:hint="eastAsia" w:ascii="宋体" w:hAnsi="宋体" w:cs="宋体"/>
                <w:color w:val="auto"/>
                <w:highlight w:val="none"/>
                <w:lang w:eastAsia="zh-CN"/>
              </w:rPr>
              <w:t>下午2</w:t>
            </w:r>
            <w:r>
              <w:rPr>
                <w:rFonts w:hint="eastAsia" w:ascii="宋体" w:hAnsi="宋体" w:cs="宋体"/>
                <w:color w:val="auto"/>
                <w:highlight w:val="none"/>
                <w:lang w:val="en-US" w:eastAsia="zh-CN"/>
              </w:rPr>
              <w:t>时30</w:t>
            </w:r>
            <w:r>
              <w:rPr>
                <w:rFonts w:hint="eastAsia" w:ascii="宋体" w:hAnsi="宋体" w:cs="宋体"/>
                <w:color w:val="auto"/>
                <w:highlight w:val="none"/>
              </w:rPr>
              <w:t>分到</w:t>
            </w:r>
            <w:r>
              <w:rPr>
                <w:rFonts w:hint="eastAsia" w:ascii="宋体" w:hAnsi="宋体" w:cs="宋体"/>
                <w:color w:val="auto"/>
                <w:highlight w:val="none"/>
                <w:lang w:val="en-US" w:eastAsia="zh-CN"/>
              </w:rPr>
              <w:t>5</w:t>
            </w:r>
            <w:r>
              <w:rPr>
                <w:rFonts w:hint="eastAsia" w:ascii="宋体" w:hAnsi="宋体" w:cs="宋体"/>
                <w:color w:val="auto"/>
                <w:highlight w:val="none"/>
              </w:rPr>
              <w:t>时30分，业务时间以外、双休日和法定节假日不办理业务。</w:t>
            </w:r>
          </w:p>
        </w:tc>
      </w:tr>
      <w:tr w14:paraId="7073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4389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0E2ACB49">
            <w:pPr>
              <w:pStyle w:val="17"/>
              <w:snapToGrid w:val="0"/>
              <w:spacing w:line="360" w:lineRule="auto"/>
              <w:rPr>
                <w:rFonts w:hAnsi="宋体" w:cs="宋体"/>
                <w:color w:val="auto"/>
                <w:sz w:val="21"/>
                <w:highlight w:val="none"/>
              </w:rPr>
            </w:pPr>
            <w:r>
              <w:rPr>
                <w:rFonts w:hint="eastAsia" w:hAnsi="宋体" w:cs="宋体"/>
                <w:color w:val="auto"/>
                <w:sz w:val="21"/>
                <w:highlight w:val="none"/>
              </w:rPr>
              <w:t>1、根据有关收费规定，代理服务费参照国家发展计划委员会《招标代理服务费管理暂行办法》(计价格〔2002〕1980号</w:t>
            </w:r>
            <w:r>
              <w:rPr>
                <w:rFonts w:hint="eastAsia" w:hAnsi="宋体" w:cs="宋体"/>
                <w:color w:val="auto"/>
                <w:sz w:val="21"/>
                <w:highlight w:val="none"/>
                <w:lang w:eastAsia="zh-CN"/>
              </w:rPr>
              <w:t>）</w:t>
            </w:r>
            <w:r>
              <w:rPr>
                <w:rFonts w:hint="eastAsia" w:hAnsi="宋体" w:cs="宋体"/>
                <w:color w:val="auto"/>
                <w:sz w:val="21"/>
                <w:highlight w:val="none"/>
              </w:rPr>
              <w:t>、《国家发改委关于降低部分建设项目收费标准规范收费行为等有关问题的通知》发改价格〔2011〕534号</w:t>
            </w:r>
            <w:r>
              <w:rPr>
                <w:rFonts w:hint="eastAsia" w:hAnsi="宋体" w:cs="宋体"/>
                <w:color w:val="auto"/>
                <w:sz w:val="21"/>
                <w:highlight w:val="none"/>
                <w:lang w:eastAsia="zh-CN"/>
              </w:rPr>
              <w:t>）</w:t>
            </w:r>
            <w:r>
              <w:rPr>
                <w:rFonts w:hint="eastAsia" w:hAnsi="宋体" w:cs="宋体"/>
                <w:color w:val="auto"/>
                <w:sz w:val="21"/>
                <w:highlight w:val="none"/>
              </w:rPr>
              <w:t>规定的采购代理服务费标准费率基</w:t>
            </w:r>
            <w:r>
              <w:rPr>
                <w:rFonts w:hint="eastAsia" w:hAnsi="宋体" w:cs="宋体"/>
                <w:color w:val="auto"/>
                <w:sz w:val="21"/>
                <w:highlight w:val="none"/>
                <w:lang w:eastAsia="zh-CN"/>
              </w:rPr>
              <w:t>础上</w:t>
            </w:r>
            <w:r>
              <w:rPr>
                <w:rFonts w:hint="eastAsia" w:hAnsi="宋体" w:cs="宋体"/>
                <w:color w:val="auto"/>
                <w:sz w:val="21"/>
                <w:highlight w:val="none"/>
                <w:lang w:val="en-US" w:eastAsia="zh-CN"/>
              </w:rPr>
              <w:t>下浮20%</w:t>
            </w:r>
            <w:r>
              <w:rPr>
                <w:rFonts w:hint="eastAsia" w:hAnsi="宋体" w:cs="宋体"/>
                <w:color w:val="auto"/>
                <w:sz w:val="21"/>
                <w:highlight w:val="none"/>
              </w:rPr>
              <w:t>向成交</w:t>
            </w:r>
            <w:r>
              <w:rPr>
                <w:rFonts w:hint="eastAsia" w:hAnsi="宋体" w:cs="宋体"/>
                <w:color w:val="auto"/>
                <w:sz w:val="21"/>
                <w:highlight w:val="none"/>
                <w:lang w:val="en-US" w:eastAsia="zh-CN"/>
              </w:rPr>
              <w:t>供应商</w:t>
            </w:r>
            <w:r>
              <w:rPr>
                <w:rFonts w:hint="eastAsia" w:hAnsi="宋体" w:cs="宋体"/>
                <w:color w:val="auto"/>
                <w:sz w:val="21"/>
                <w:highlight w:val="none"/>
              </w:rPr>
              <w:t>收取。</w:t>
            </w:r>
          </w:p>
          <w:p w14:paraId="270739C2">
            <w:pPr>
              <w:pStyle w:val="17"/>
              <w:snapToGrid w:val="0"/>
              <w:spacing w:line="360" w:lineRule="auto"/>
              <w:rPr>
                <w:rFonts w:hAnsi="宋体" w:cs="宋体"/>
                <w:color w:val="auto"/>
                <w:sz w:val="21"/>
                <w:highlight w:val="none"/>
              </w:rPr>
            </w:pPr>
            <w:r>
              <w:rPr>
                <w:rFonts w:hint="eastAsia" w:hAnsi="宋体" w:cs="宋体"/>
                <w:color w:val="auto"/>
                <w:sz w:val="21"/>
                <w:highlight w:val="none"/>
              </w:rPr>
              <w:t>2、由成交供应商在领取成交通知书前一次性向采购代理机构付清。</w:t>
            </w:r>
          </w:p>
          <w:p w14:paraId="6540A73F">
            <w:pPr>
              <w:pStyle w:val="17"/>
              <w:snapToGrid w:val="0"/>
              <w:spacing w:line="360" w:lineRule="auto"/>
              <w:rPr>
                <w:rFonts w:hAnsi="宋体" w:cs="宋体"/>
                <w:color w:val="auto"/>
                <w:sz w:val="21"/>
                <w:highlight w:val="none"/>
              </w:rPr>
            </w:pPr>
            <w:r>
              <w:rPr>
                <w:rFonts w:hint="eastAsia" w:hAnsi="宋体" w:cs="宋体"/>
                <w:color w:val="auto"/>
                <w:sz w:val="21"/>
                <w:highlight w:val="none"/>
              </w:rPr>
              <w:t>开户名称：广西中信恒泰工程顾问有限公司</w:t>
            </w:r>
          </w:p>
          <w:p w14:paraId="6C75EF91">
            <w:pPr>
              <w:pStyle w:val="17"/>
              <w:snapToGrid w:val="0"/>
              <w:spacing w:line="360" w:lineRule="auto"/>
              <w:rPr>
                <w:rFonts w:hAnsi="宋体" w:cs="宋体"/>
                <w:color w:val="auto"/>
                <w:sz w:val="21"/>
                <w:highlight w:val="none"/>
              </w:rPr>
            </w:pPr>
            <w:r>
              <w:rPr>
                <w:rFonts w:hint="eastAsia" w:hAnsi="宋体" w:cs="宋体"/>
                <w:color w:val="auto"/>
                <w:sz w:val="21"/>
                <w:highlight w:val="none"/>
              </w:rPr>
              <w:t>账号：4500 1604 2660 5250 2851</w:t>
            </w:r>
          </w:p>
          <w:p w14:paraId="2D894ACA">
            <w:pPr>
              <w:pStyle w:val="17"/>
              <w:snapToGrid w:val="0"/>
              <w:spacing w:line="360" w:lineRule="auto"/>
              <w:rPr>
                <w:rFonts w:hAnsi="宋体" w:cs="宋体"/>
                <w:color w:val="auto"/>
                <w:sz w:val="21"/>
                <w:highlight w:val="none"/>
              </w:rPr>
            </w:pPr>
            <w:r>
              <w:rPr>
                <w:rFonts w:hint="eastAsia" w:hAnsi="宋体" w:cs="宋体"/>
                <w:color w:val="auto"/>
                <w:sz w:val="21"/>
                <w:highlight w:val="none"/>
              </w:rPr>
              <w:t>开户行名称：建行南宁金湖广场支行</w:t>
            </w:r>
          </w:p>
        </w:tc>
      </w:tr>
      <w:tr w14:paraId="46FD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A8F6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354FF8CE">
            <w:pPr>
              <w:pStyle w:val="17"/>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050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9EFF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49196F1D">
            <w:pPr>
              <w:pStyle w:val="17"/>
              <w:snapToGrid w:val="0"/>
              <w:spacing w:line="360" w:lineRule="auto"/>
              <w:rPr>
                <w:rFonts w:hAnsi="宋体" w:cs="宋体"/>
                <w:color w:val="auto"/>
                <w:sz w:val="21"/>
                <w:highlight w:val="none"/>
              </w:rPr>
            </w:pPr>
            <w:r>
              <w:rPr>
                <w:rFonts w:hint="eastAsia" w:hAnsi="宋体" w:cs="宋体"/>
                <w:color w:val="auto"/>
                <w:sz w:val="21"/>
                <w:highlight w:val="none"/>
              </w:rPr>
              <w:t>1.</w:t>
            </w:r>
            <w:r>
              <w:rPr>
                <w:rFonts w:hint="eastAsia" w:hAnsi="宋体" w:cs="宋体"/>
                <w:color w:val="auto"/>
                <w:highlight w:val="none"/>
              </w:rPr>
              <w:t xml:space="preserve"> </w:t>
            </w:r>
            <w:r>
              <w:rPr>
                <w:rFonts w:hint="eastAsia" w:hAnsi="宋体" w:cs="宋体"/>
                <w:color w:val="auto"/>
                <w:sz w:val="21"/>
                <w:highlight w:val="none"/>
              </w:rPr>
              <w:t>本磋商文件中描述供应商的“公章”是指供应商通过指定电子化政府采购平台办理数字证书（CA认证）获得的以法定主体行为名称制作的电子印章。</w:t>
            </w:r>
          </w:p>
          <w:p w14:paraId="659D6E82">
            <w:pPr>
              <w:pStyle w:val="17"/>
              <w:snapToGrid w:val="0"/>
              <w:spacing w:line="360" w:lineRule="auto"/>
              <w:rPr>
                <w:rFonts w:hAnsi="宋体" w:cs="宋体"/>
                <w:color w:val="auto"/>
                <w:sz w:val="21"/>
                <w:highlight w:val="none"/>
              </w:rPr>
            </w:pPr>
            <w:r>
              <w:rPr>
                <w:rFonts w:hint="eastAsia" w:hAnsi="宋体" w:cs="宋体"/>
                <w:color w:val="auto"/>
                <w:sz w:val="21"/>
                <w:highlight w:val="none"/>
              </w:rPr>
              <w:t>2.本磋商文件中描述供应商的“签字”是指供应商通过指定电子化政府采购平台办理数字证书（CA认证）获得的以供应商法定代表人或者委托代理人姓名制作的电子印章或手写签字。</w:t>
            </w:r>
          </w:p>
          <w:p w14:paraId="59BEF770">
            <w:pPr>
              <w:pStyle w:val="17"/>
              <w:snapToGrid w:val="0"/>
              <w:spacing w:line="360" w:lineRule="auto"/>
              <w:rPr>
                <w:rFonts w:hAnsi="宋体" w:cs="宋体"/>
                <w:color w:val="auto"/>
                <w:sz w:val="21"/>
                <w:highlight w:val="none"/>
              </w:rPr>
            </w:pPr>
            <w:r>
              <w:rPr>
                <w:rFonts w:hint="eastAsia" w:hAnsi="宋体" w:cs="宋体"/>
                <w:color w:val="auto"/>
                <w:sz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ED5DAAE">
            <w:pPr>
              <w:pStyle w:val="17"/>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3826D479">
            <w:pPr>
              <w:pStyle w:val="17"/>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04DA0D3F">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53B39759">
      <w:pPr>
        <w:spacing w:line="400" w:lineRule="exact"/>
        <w:jc w:val="center"/>
        <w:rPr>
          <w:rFonts w:ascii="宋体" w:hAnsi="宋体" w:cs="宋体"/>
          <w:b/>
          <w:color w:val="auto"/>
          <w:sz w:val="32"/>
          <w:szCs w:val="32"/>
          <w:highlight w:val="none"/>
        </w:rPr>
      </w:pPr>
    </w:p>
    <w:p w14:paraId="7248E102">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592D9D3A">
      <w:pPr>
        <w:spacing w:line="400" w:lineRule="exact"/>
        <w:rPr>
          <w:rFonts w:ascii="宋体" w:hAnsi="宋体" w:cs="宋体"/>
          <w:color w:val="auto"/>
          <w:szCs w:val="21"/>
          <w:highlight w:val="none"/>
        </w:rPr>
      </w:pPr>
    </w:p>
    <w:p w14:paraId="228421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2223E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7C315A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64F30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cs="宋体"/>
          <w:color w:val="auto"/>
          <w:szCs w:val="21"/>
          <w:highlight w:val="none"/>
          <w:lang w:eastAsia="zh-CN"/>
        </w:rPr>
        <w:t>广西壮族自治区肿瘤防治研究所</w:t>
      </w:r>
      <w:r>
        <w:rPr>
          <w:rFonts w:hint="eastAsia" w:ascii="宋体" w:hAnsi="宋体" w:cs="宋体"/>
          <w:color w:val="auto"/>
          <w:szCs w:val="21"/>
          <w:highlight w:val="none"/>
        </w:rPr>
        <w:t>。</w:t>
      </w:r>
    </w:p>
    <w:p w14:paraId="46C4121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2.2“采购代理机构”是指广西中信恒泰工程顾问有限公司。</w:t>
      </w:r>
    </w:p>
    <w:p w14:paraId="7CD739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5020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2.4“服务”是指除货物和工程以外的其他采购对象。</w:t>
      </w:r>
    </w:p>
    <w:p w14:paraId="66291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A68D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047E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2.7“实质性要求”是指采购需求中带“▲”的条款或者不能负偏离的条款或者已经指明不满足按响应文件作无效处理的条款。</w:t>
      </w:r>
    </w:p>
    <w:p w14:paraId="4B4DD1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410B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75C532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0035C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69B247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5B58B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14:paraId="02FBB6C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69C6C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14FD8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0A4629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CC25D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46C69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80A8B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148830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21AE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3AEA92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47C31205">
      <w:pPr>
        <w:spacing w:line="360" w:lineRule="auto"/>
        <w:ind w:firstLine="482" w:firstLineChars="200"/>
        <w:rPr>
          <w:rFonts w:ascii="宋体" w:hAnsi="宋体" w:cs="宋体"/>
          <w:b/>
          <w:bCs/>
          <w:color w:val="auto"/>
          <w:sz w:val="24"/>
          <w:highlight w:val="none"/>
        </w:rPr>
      </w:pPr>
      <w:bookmarkStart w:id="48" w:name="_Toc254970532"/>
      <w:bookmarkStart w:id="49" w:name="_Toc254970673"/>
      <w:r>
        <w:rPr>
          <w:rFonts w:hint="eastAsia" w:ascii="宋体" w:hAnsi="宋体" w:cs="宋体"/>
          <w:b/>
          <w:bCs/>
          <w:color w:val="auto"/>
          <w:sz w:val="24"/>
          <w:highlight w:val="none"/>
        </w:rPr>
        <w:t>7.特别说明</w:t>
      </w:r>
      <w:bookmarkEnd w:id="48"/>
      <w:bookmarkEnd w:id="49"/>
    </w:p>
    <w:p w14:paraId="4781D2A2">
      <w:pPr>
        <w:spacing w:line="360" w:lineRule="auto"/>
        <w:ind w:firstLine="420" w:firstLineChars="200"/>
        <w:rPr>
          <w:rFonts w:ascii="宋体" w:hAnsi="宋体" w:cs="宋体"/>
          <w:color w:val="auto"/>
          <w:szCs w:val="21"/>
          <w:highlight w:val="none"/>
        </w:rPr>
      </w:pPr>
      <w:bookmarkStart w:id="50" w:name="_8.1提供相同品牌产品且通过资格审查、符合性审查的不同投标人参加同一合"/>
      <w:bookmarkEnd w:id="50"/>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5D727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6F8859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7663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7.4在项目采购活动中，采购人员及相关人员与供应商有下列利害关系之一的，应当回避：</w:t>
      </w:r>
    </w:p>
    <w:p w14:paraId="0774B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3FB8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24BA3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B4914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0670E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（5）与供应商有其他可能影响项目采购活动公平、公正进行的关系。</w:t>
      </w:r>
    </w:p>
    <w:p w14:paraId="553E9D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EC1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D286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49F089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40E67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3F504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93000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A209BEE">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65C467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E4C9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6DA4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C4A02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5A6A4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（4）属于同一集团、协会、商会等组织成员的供应商按照该组织要求协同参加项目采购活动；</w:t>
      </w:r>
    </w:p>
    <w:p w14:paraId="2A2992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（5）供应商之间事先约定一致抬高或者压低报价，或者在项目采购活动中事先约定轮流以高价位或者低价位成交，或者事先约定由某一特定供应商成交，然后再参加竞标；</w:t>
      </w:r>
    </w:p>
    <w:p w14:paraId="22DDD8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（6）供应商之间商定部分供应商放弃参加项目采购活动或者放弃成交；</w:t>
      </w:r>
    </w:p>
    <w:p w14:paraId="58F47A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DDFEC75">
      <w:pPr>
        <w:spacing w:line="360" w:lineRule="auto"/>
        <w:ind w:firstLine="420" w:firstLineChars="200"/>
        <w:rPr>
          <w:rFonts w:ascii="宋体" w:hAnsi="宋体" w:cs="宋体"/>
          <w:color w:val="auto"/>
          <w:szCs w:val="21"/>
          <w:highlight w:val="none"/>
        </w:rPr>
      </w:pPr>
    </w:p>
    <w:p w14:paraId="0F7923B3">
      <w:pPr>
        <w:spacing w:line="360" w:lineRule="auto"/>
        <w:jc w:val="center"/>
        <w:rPr>
          <w:rFonts w:ascii="宋体" w:hAnsi="宋体" w:cs="宋体"/>
          <w:b/>
          <w:bCs/>
          <w:color w:val="auto"/>
          <w:sz w:val="32"/>
          <w:szCs w:val="32"/>
          <w:highlight w:val="none"/>
        </w:rPr>
      </w:pPr>
      <w:bookmarkStart w:id="51" w:name="_Toc254970675"/>
      <w:bookmarkStart w:id="52" w:name="_Toc254970534"/>
      <w:r>
        <w:rPr>
          <w:rFonts w:hint="eastAsia" w:ascii="宋体" w:hAnsi="宋体" w:cs="宋体"/>
          <w:b/>
          <w:bCs/>
          <w:color w:val="auto"/>
          <w:sz w:val="32"/>
          <w:szCs w:val="32"/>
          <w:highlight w:val="none"/>
        </w:rPr>
        <w:t>二、磋商文件</w:t>
      </w:r>
      <w:bookmarkEnd w:id="51"/>
      <w:bookmarkEnd w:id="52"/>
    </w:p>
    <w:p w14:paraId="6D1CE907">
      <w:pPr>
        <w:spacing w:line="360" w:lineRule="auto"/>
        <w:jc w:val="center"/>
        <w:rPr>
          <w:rFonts w:ascii="宋体" w:hAnsi="宋体" w:cs="宋体"/>
          <w:color w:val="auto"/>
          <w:szCs w:val="21"/>
          <w:highlight w:val="none"/>
        </w:rPr>
      </w:pPr>
    </w:p>
    <w:p w14:paraId="66163A1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174F24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5F53CB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2BC4D7D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1815748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6CF3F82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675768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5D4758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171C49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32DC0E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262EED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222BC54E">
      <w:pPr>
        <w:spacing w:line="360" w:lineRule="auto"/>
        <w:rPr>
          <w:rFonts w:ascii="宋体" w:hAnsi="宋体" w:cs="宋体"/>
          <w:color w:val="auto"/>
          <w:szCs w:val="21"/>
          <w:highlight w:val="none"/>
        </w:rPr>
      </w:pPr>
    </w:p>
    <w:p w14:paraId="3AD92480">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354C9CC5">
      <w:pPr>
        <w:spacing w:line="360" w:lineRule="auto"/>
        <w:rPr>
          <w:rFonts w:ascii="宋体" w:hAnsi="宋体" w:cs="宋体"/>
          <w:color w:val="auto"/>
          <w:szCs w:val="21"/>
          <w:highlight w:val="none"/>
        </w:rPr>
      </w:pPr>
    </w:p>
    <w:p w14:paraId="31BEA7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7E2F03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603B80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D31BB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12.1响应文件由资格证明文件、商务技术文件、报价文件三部分组成。</w:t>
      </w:r>
    </w:p>
    <w:p w14:paraId="5A23A54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3EF7B953">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6C0A13F0">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160B7C7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54BFFAD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7173EF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00A1D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DFDF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126C8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4BEEF63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130B5B8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070CEBA2">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AB62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07F63F4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2ADE6B8A">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E9BB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141E2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34E2F9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3"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53"/>
    <w:p w14:paraId="657CF1A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7C1A0C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2CD0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8786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39CE3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17892B8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C61217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7A72853A">
      <w:pPr>
        <w:pStyle w:val="9"/>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个工作日内退还，退还方式如下：</w:t>
      </w:r>
      <w:r>
        <w:rPr>
          <w:rFonts w:hint="eastAsia" w:ascii="宋体" w:hAnsi="宋体" w:cs="宋体"/>
          <w:color w:val="auto"/>
          <w:szCs w:val="21"/>
          <w:highlight w:val="none"/>
        </w:rPr>
        <w:t>以转账方式退回到供应商银行账户。</w:t>
      </w:r>
    </w:p>
    <w:p w14:paraId="69FD6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17.2.2成交供应商的磋商保证金自签订合同之日起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个工作日内退还，退还方式同未成交供应商的磋商保证金的退还方式。</w:t>
      </w:r>
    </w:p>
    <w:p w14:paraId="5FB07E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供应商有下列情形之一的，磋商保证金将不予退还： </w:t>
      </w:r>
    </w:p>
    <w:p w14:paraId="78B3102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8B8625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6E0F62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7C86506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569A9B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31353BD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2DAFC8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18.1供应商应按本磋商文件规定的格式和顺序编制、装订响应文件并标注页码，响应文件内容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47BB65A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18.2</w:t>
      </w:r>
      <w:r>
        <w:rPr>
          <w:rFonts w:hint="eastAsia" w:ascii="宋体" w:hAnsi="宋体" w:cs="宋体"/>
          <w:color w:val="auto"/>
          <w:highlight w:val="none"/>
        </w:rPr>
        <w:t>响应文件应按资格证明文件、报价文件分别编制，商务技术文件合并编制，本项目只接收电子版响应文件，要求见本章“12.2响应文件电子版要求”。</w:t>
      </w:r>
    </w:p>
    <w:p w14:paraId="56C088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18.</w:t>
      </w:r>
      <w:bookmarkStart w:id="54" w:name="_Hlk65832699"/>
      <w:r>
        <w:rPr>
          <w:rFonts w:hint="eastAsia" w:ascii="宋体" w:hAnsi="宋体" w:cs="宋体"/>
          <w:color w:val="auto"/>
          <w:highlight w:val="none"/>
        </w:rPr>
        <w:t>3响应文件须由供应商在</w:t>
      </w:r>
      <w:bookmarkEnd w:id="54"/>
      <w:r>
        <w:rPr>
          <w:rFonts w:hint="eastAsia" w:ascii="宋体" w:hAnsi="宋体" w:cs="宋体"/>
          <w:color w:val="auto"/>
          <w:kern w:val="0"/>
          <w:highlight w:val="none"/>
        </w:rPr>
        <w:t>“</w:t>
      </w:r>
      <w:r>
        <w:rPr>
          <w:rFonts w:hint="eastAsia" w:ascii="宋体" w:hAnsi="宋体" w:cs="宋体"/>
          <w:color w:val="auto"/>
          <w:highlight w:val="none"/>
        </w:rPr>
        <w:t>第五章 响应文件格式</w:t>
      </w:r>
      <w:r>
        <w:rPr>
          <w:rFonts w:hint="eastAsia" w:ascii="宋体" w:hAnsi="宋体" w:cs="宋体"/>
          <w:color w:val="auto"/>
          <w:kern w:val="0"/>
          <w:highlight w:val="none"/>
        </w:rPr>
        <w:t>”</w:t>
      </w:r>
      <w:r>
        <w:rPr>
          <w:rFonts w:hint="eastAsia" w:ascii="宋体" w:hAnsi="宋体" w:cs="宋体"/>
          <w:color w:val="auto"/>
          <w:highlight w:val="none"/>
        </w:rPr>
        <w:t>规定位置进行签署、盖章，否则其响应文件按无效响应处理。骑缝盖公章不视为在规定位置盖章。</w:t>
      </w:r>
    </w:p>
    <w:p w14:paraId="775FF0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18.4响应文件中标注的供应商名称应与营业执照（事业单位法人证书、执业许可证、自然人身份证）及电子公章一致，否则其响应文件按无效响应处理。</w:t>
      </w:r>
    </w:p>
    <w:p w14:paraId="1D411E13">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18.5响应文件应避免涂改、行间插字或者删除，否则其响应文件按无效响应处理</w:t>
      </w:r>
      <w:r>
        <w:rPr>
          <w:rFonts w:hint="eastAsia" w:ascii="宋体" w:hAnsi="宋体" w:cs="宋体"/>
          <w:color w:val="auto"/>
          <w:szCs w:val="21"/>
          <w:highlight w:val="none"/>
        </w:rPr>
        <w:t>。</w:t>
      </w:r>
    </w:p>
    <w:p w14:paraId="241D4A5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7ADD2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5491D4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19.2使用“广西政府采购云平台电子交易客户端”需要提前申领CA数字证书，申领流程见该项目采购公告附件。</w:t>
      </w:r>
    </w:p>
    <w:p w14:paraId="53B461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51FF1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06D68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750326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20.2在响应文件提交截止时间以后，不能补充、修改响应文件。</w:t>
      </w:r>
    </w:p>
    <w:p w14:paraId="154E2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20.3在提交“最后报价”后，供应商不能退出磋商。</w:t>
      </w:r>
    </w:p>
    <w:p w14:paraId="0FD44B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DFC6D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20.5采购机构不可视情况延长提交响应文件的截止时间。</w:t>
      </w:r>
    </w:p>
    <w:p w14:paraId="066B1B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cs="宋体"/>
          <w:color w:val="auto"/>
          <w:szCs w:val="21"/>
          <w:highlight w:val="none"/>
        </w:rPr>
        <w:t>“供应商须知前附表”。</w:t>
      </w:r>
    </w:p>
    <w:p w14:paraId="69CF12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7EFA1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7608EB6">
      <w:pPr>
        <w:spacing w:line="360" w:lineRule="auto"/>
        <w:ind w:firstLine="482" w:firstLineChars="200"/>
        <w:rPr>
          <w:rFonts w:ascii="宋体" w:hAnsi="宋体" w:cs="宋体"/>
          <w:b/>
          <w:bCs/>
          <w:color w:val="auto"/>
          <w:sz w:val="24"/>
          <w:highlight w:val="none"/>
        </w:rPr>
      </w:pPr>
      <w:bookmarkStart w:id="55" w:name="_Hlk45702405"/>
      <w:r>
        <w:rPr>
          <w:rFonts w:hint="eastAsia" w:ascii="宋体" w:hAnsi="宋体" w:cs="宋体"/>
          <w:b/>
          <w:bCs/>
          <w:color w:val="auto"/>
          <w:sz w:val="24"/>
          <w:highlight w:val="none"/>
        </w:rPr>
        <w:t>22.首次响应文件的退回</w:t>
      </w:r>
    </w:p>
    <w:p w14:paraId="5E18B39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详见“竞争性磋商公告”</w:t>
      </w:r>
      <w:r>
        <w:rPr>
          <w:rFonts w:hint="eastAsia" w:ascii="宋体" w:hAnsi="宋体" w:cs="宋体"/>
          <w:color w:val="auto"/>
          <w:szCs w:val="21"/>
          <w:highlight w:val="none"/>
        </w:rPr>
        <w:t>。</w:t>
      </w:r>
    </w:p>
    <w:p w14:paraId="67AD5E9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79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的规定不予退还其磋商保证金。</w:t>
      </w:r>
    </w:p>
    <w:bookmarkEnd w:id="55"/>
    <w:p w14:paraId="7736054B">
      <w:pPr>
        <w:spacing w:line="360" w:lineRule="auto"/>
        <w:rPr>
          <w:rFonts w:ascii="宋体" w:hAnsi="宋体" w:cs="宋体"/>
          <w:color w:val="auto"/>
          <w:szCs w:val="21"/>
          <w:highlight w:val="none"/>
        </w:rPr>
      </w:pPr>
    </w:p>
    <w:p w14:paraId="75ECD88A">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792DF11B">
      <w:pPr>
        <w:spacing w:line="360" w:lineRule="auto"/>
        <w:ind w:left="420" w:firstLine="420"/>
        <w:rPr>
          <w:rFonts w:ascii="宋体" w:hAnsi="宋体" w:cs="宋体"/>
          <w:color w:val="auto"/>
          <w:szCs w:val="21"/>
          <w:highlight w:val="none"/>
        </w:rPr>
      </w:pPr>
    </w:p>
    <w:p w14:paraId="11EC5C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323B1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E2F7E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24.2评审专家从</w:t>
      </w:r>
      <w:r>
        <w:rPr>
          <w:rFonts w:hint="eastAsia" w:ascii="宋体" w:hAnsi="宋体" w:cs="宋体"/>
          <w:color w:val="auto"/>
          <w:szCs w:val="21"/>
          <w:highlight w:val="none"/>
          <w:lang w:val="en-US" w:eastAsia="zh-CN"/>
        </w:rPr>
        <w:t>政采云平台</w:t>
      </w:r>
      <w:r>
        <w:rPr>
          <w:rFonts w:hint="eastAsia" w:ascii="宋体" w:hAnsi="宋体" w:cs="宋体"/>
          <w:color w:val="auto"/>
          <w:szCs w:val="21"/>
          <w:highlight w:val="none"/>
        </w:rPr>
        <w:t>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5920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6FC70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1AD6AC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526849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73D0D5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33BC98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CDC0C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A767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BBD5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FC5D911">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71FAD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7D3EF22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签订合同，采购人可以按照评审报告推荐的成交候选人名单排序，确定下一候选人为成交供应商，也可以重新开展采购活动。</w:t>
      </w:r>
    </w:p>
    <w:p w14:paraId="3099A51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0864077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有变动的，请以书面形式通知履约保证金收取单位，否则由此产生的后果由成交供应商自行承担。</w:t>
      </w:r>
    </w:p>
    <w:p w14:paraId="51B39A2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3A6F3E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29.1成交供应商在收到成交通知书后，应当在签订合同时向采购人出示相关证明材料，具体内容详见 “供应商须知前附表”，经采购人核验合格后方可签订合同。</w:t>
      </w:r>
    </w:p>
    <w:p w14:paraId="72CE31A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签订合同时间：按成交通知书规定的时间与采购人签订采购合同。</w:t>
      </w:r>
    </w:p>
    <w:p w14:paraId="78A27E4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507A3AE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30.采购合同公告：</w:t>
      </w: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9B74A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BD7EE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31.1供应商对项目采购活动事项有疑问的，可以向采购人、采购代理机构提出询问，采购人或者采购代理机构应当在3个工作日内对供应商依法提出的询问作出答复。</w:t>
      </w:r>
    </w:p>
    <w:p w14:paraId="24C411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color w:val="auto"/>
          <w:szCs w:val="21"/>
          <w:highlight w:val="none"/>
        </w:rPr>
        <w:t>知前附表”</w:t>
      </w:r>
      <w:r>
        <w:rPr>
          <w:rFonts w:hint="eastAsia" w:ascii="宋体" w:hAnsi="宋体" w:cs="宋体"/>
          <w:color w:val="auto"/>
          <w:highlight w:val="none"/>
        </w:rPr>
        <w:t>。具体质疑起算时间如下：</w:t>
      </w:r>
    </w:p>
    <w:p w14:paraId="78C354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8138E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1B28F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06363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69BDBD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717873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D38E0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A284D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3ECFD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85969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0A7D7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16D79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FC52F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C9A24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85BC2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8A4B5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质疑答复导致成交结果改变的，采购人或者采购代理机构应当将有关情况书面报告采购人监督管理部门。</w:t>
      </w:r>
    </w:p>
    <w:p w14:paraId="0CF9EDC7">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31.6投诉的权利。质疑供应商对采购人、采购代理机构的答复不满意，或者采购人、采购代理机构未在规定时间内作出答复的，可以在答复期满后15个工作日内向采购人监督管理部门提起投诉。</w:t>
      </w:r>
    </w:p>
    <w:p w14:paraId="576B88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5A93D5D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32.1代理服务收费标准及缴费账户详见“供应商须知前附表”，供应商为联合体的，可以由联合体中的一方或者多方共同交纳代理服务费。</w:t>
      </w:r>
    </w:p>
    <w:p w14:paraId="3A8496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484176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33.1本磋商文件解释规则详见“供应商须知前附表”。</w:t>
      </w:r>
    </w:p>
    <w:p w14:paraId="5FDC0D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其他事项详见“供应商须知前附表”。</w:t>
      </w:r>
    </w:p>
    <w:p w14:paraId="2D8E7F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1B725C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在货物采购项目中，货物由中小企业制造，即货物由中小企业生产且使用该中小企业商号或者注册商标，不对其中涉及的工程承建商和货物的承接商作出要求；</w:t>
      </w:r>
    </w:p>
    <w:p w14:paraId="67953D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567C09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78D829BC">
      <w:pPr>
        <w:pStyle w:val="21"/>
        <w:rPr>
          <w:rFonts w:ascii="宋体" w:hAnsi="宋体" w:cs="宋体"/>
          <w:color w:val="auto"/>
          <w:highlight w:val="none"/>
        </w:rPr>
      </w:pPr>
    </w:p>
    <w:p w14:paraId="255C4328">
      <w:pPr>
        <w:spacing w:line="360" w:lineRule="auto"/>
        <w:rPr>
          <w:rFonts w:ascii="宋体" w:hAnsi="宋体" w:cs="宋体"/>
          <w:color w:val="auto"/>
          <w:highlight w:val="none"/>
        </w:rPr>
      </w:pPr>
    </w:p>
    <w:p w14:paraId="2E3EFF9C">
      <w:pPr>
        <w:pStyle w:val="3"/>
        <w:jc w:val="center"/>
        <w:rPr>
          <w:rFonts w:ascii="宋体" w:hAnsi="宋体" w:cs="宋体"/>
          <w:color w:val="auto"/>
          <w:highlight w:val="none"/>
        </w:rPr>
      </w:pPr>
      <w:r>
        <w:rPr>
          <w:rFonts w:hint="eastAsia" w:ascii="宋体" w:hAnsi="宋体" w:cs="宋体"/>
          <w:color w:val="auto"/>
          <w:highlight w:val="none"/>
        </w:rPr>
        <w:br w:type="page"/>
      </w:r>
      <w:bookmarkStart w:id="56" w:name="_Toc4409"/>
      <w:r>
        <w:rPr>
          <w:rFonts w:hint="eastAsia" w:ascii="宋体" w:hAnsi="宋体" w:cs="宋体"/>
          <w:color w:val="auto"/>
          <w:highlight w:val="none"/>
        </w:rPr>
        <w:t>第三章  采购需求</w:t>
      </w:r>
      <w:bookmarkEnd w:id="56"/>
    </w:p>
    <w:p w14:paraId="78F29F87">
      <w:pPr>
        <w:rPr>
          <w:rFonts w:ascii="宋体" w:hAnsi="宋体" w:cs="宋体"/>
          <w:color w:val="auto"/>
          <w:highlight w:val="none"/>
        </w:rPr>
      </w:pPr>
    </w:p>
    <w:p w14:paraId="073DC26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9399FD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1.为落实政府采购政策需满足的要求</w:t>
      </w:r>
    </w:p>
    <w:p w14:paraId="11E59F2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488D878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15152F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，否则响应文件作无效处理。</w:t>
      </w:r>
    </w:p>
    <w:p w14:paraId="277D176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2.“实质性要求”是指采购需求中带“▲”的条款或者不能负偏离的条款或者已经指明不满足按响应文件作无效处理的条款。</w:t>
      </w:r>
    </w:p>
    <w:p w14:paraId="44ED3C08">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75979031">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供应商应根据自身实际情况如实响应竞争性磋商文件，不得仅将竞争性磋商文件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14:paraId="02132414">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5.供应商必须自行为其竞标产品侵犯他人的知识产权或者专利成果的行为承担相应法律责任。</w:t>
      </w:r>
    </w:p>
    <w:p w14:paraId="357E9A9A">
      <w:pPr>
        <w:tabs>
          <w:tab w:val="left" w:pos="180"/>
          <w:tab w:val="left" w:pos="1620"/>
        </w:tabs>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.本项目为服务类采购，无核心产品。</w:t>
      </w:r>
    </w:p>
    <w:p w14:paraId="2D592F2E">
      <w:pP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br w:type="page"/>
      </w:r>
    </w:p>
    <w:p w14:paraId="14CF2E74">
      <w:pPr>
        <w:tabs>
          <w:tab w:val="left" w:pos="180"/>
          <w:tab w:val="left" w:pos="1620"/>
        </w:tabs>
        <w:spacing w:line="360" w:lineRule="auto"/>
        <w:ind w:firstLine="420" w:firstLineChars="200"/>
        <w:rPr>
          <w:rFonts w:hint="eastAsia" w:ascii="宋体" w:hAnsi="宋体" w:cs="宋体"/>
          <w:b w:val="0"/>
          <w:bCs w:val="0"/>
          <w:color w:val="auto"/>
          <w:szCs w:val="21"/>
          <w:highlight w:val="none"/>
        </w:rPr>
      </w:pPr>
    </w:p>
    <w:tbl>
      <w:tblPr>
        <w:tblStyle w:val="29"/>
        <w:tblW w:w="8832" w:type="dxa"/>
        <w:jc w:val="center"/>
        <w:tblLayout w:type="fixed"/>
        <w:tblCellMar>
          <w:top w:w="0" w:type="dxa"/>
          <w:left w:w="108" w:type="dxa"/>
          <w:bottom w:w="0" w:type="dxa"/>
          <w:right w:w="108" w:type="dxa"/>
        </w:tblCellMar>
      </w:tblPr>
      <w:tblGrid>
        <w:gridCol w:w="1404"/>
        <w:gridCol w:w="145"/>
        <w:gridCol w:w="356"/>
        <w:gridCol w:w="501"/>
        <w:gridCol w:w="702"/>
        <w:gridCol w:w="4776"/>
        <w:gridCol w:w="948"/>
      </w:tblGrid>
      <w:tr w14:paraId="6A2B63E4">
        <w:tblPrEx>
          <w:tblCellMar>
            <w:top w:w="0" w:type="dxa"/>
            <w:left w:w="108" w:type="dxa"/>
            <w:bottom w:w="0" w:type="dxa"/>
            <w:right w:w="108" w:type="dxa"/>
          </w:tblCellMar>
        </w:tblPrEx>
        <w:trPr>
          <w:trHeight w:val="405" w:hRule="atLeast"/>
          <w:jc w:val="center"/>
        </w:trPr>
        <w:tc>
          <w:tcPr>
            <w:tcW w:w="8832" w:type="dxa"/>
            <w:gridSpan w:val="7"/>
            <w:tcBorders>
              <w:top w:val="single" w:color="000000" w:sz="4" w:space="0"/>
              <w:left w:val="single" w:color="000000" w:sz="4" w:space="0"/>
              <w:bottom w:val="single" w:color="000000" w:sz="4" w:space="0"/>
              <w:right w:val="single" w:color="000000" w:sz="4" w:space="0"/>
            </w:tcBorders>
            <w:noWrap w:val="0"/>
            <w:vAlign w:val="center"/>
          </w:tcPr>
          <w:p w14:paraId="2F1DE236">
            <w:pPr>
              <w:widowControl/>
              <w:spacing w:line="400" w:lineRule="exact"/>
              <w:jc w:val="left"/>
              <w:textAlignment w:val="center"/>
              <w:rPr>
                <w:rFonts w:ascii="宋体" w:hAnsi="宋体" w:cs="宋体"/>
                <w:b/>
                <w:color w:val="auto"/>
                <w:kern w:val="0"/>
                <w:sz w:val="21"/>
                <w:szCs w:val="21"/>
                <w:highlight w:val="none"/>
                <w:lang w:bidi="ar"/>
              </w:rPr>
            </w:pPr>
            <w:bookmarkStart w:id="57" w:name="_Hlk44408151"/>
            <w:bookmarkStart w:id="58" w:name="_Hlk49244316"/>
            <w:r>
              <w:rPr>
                <w:rFonts w:hint="eastAsia" w:ascii="宋体" w:hAnsi="宋体"/>
                <w:b/>
                <w:color w:val="auto"/>
                <w:sz w:val="21"/>
                <w:szCs w:val="21"/>
                <w:highlight w:val="none"/>
              </w:rPr>
              <w:t>一、</w:t>
            </w:r>
            <w:r>
              <w:rPr>
                <w:rFonts w:hint="eastAsia" w:ascii="宋体" w:hAnsi="宋体"/>
                <w:b/>
                <w:color w:val="auto"/>
                <w:sz w:val="21"/>
                <w:szCs w:val="21"/>
                <w:highlight w:val="none"/>
                <w:lang w:val="en-US" w:eastAsia="zh-CN"/>
              </w:rPr>
              <w:t>服务需求</w:t>
            </w:r>
          </w:p>
        </w:tc>
      </w:tr>
      <w:tr w14:paraId="58F19E2E">
        <w:tblPrEx>
          <w:tblCellMar>
            <w:top w:w="0" w:type="dxa"/>
            <w:left w:w="108" w:type="dxa"/>
            <w:bottom w:w="0" w:type="dxa"/>
            <w:right w:w="108" w:type="dxa"/>
          </w:tblCellMar>
        </w:tblPrEx>
        <w:trPr>
          <w:trHeight w:val="609" w:hRule="atLeast"/>
          <w:jc w:val="center"/>
        </w:trPr>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65E0D69">
            <w:pPr>
              <w:widowControl/>
              <w:spacing w:line="40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标的名称</w:t>
            </w:r>
          </w:p>
        </w:tc>
        <w:tc>
          <w:tcPr>
            <w:tcW w:w="501" w:type="dxa"/>
            <w:gridSpan w:val="2"/>
            <w:tcBorders>
              <w:top w:val="single" w:color="000000" w:sz="4" w:space="0"/>
              <w:left w:val="single" w:color="000000" w:sz="4" w:space="0"/>
              <w:bottom w:val="single" w:color="000000" w:sz="4" w:space="0"/>
              <w:right w:val="single" w:color="000000" w:sz="4" w:space="0"/>
            </w:tcBorders>
            <w:noWrap w:val="0"/>
            <w:vAlign w:val="center"/>
          </w:tcPr>
          <w:p w14:paraId="47A6DFC8">
            <w:pPr>
              <w:widowControl/>
              <w:spacing w:line="40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数量</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14:paraId="0324E420">
            <w:pPr>
              <w:widowControl/>
              <w:spacing w:line="400" w:lineRule="exact"/>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单位</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3111A99A">
            <w:pPr>
              <w:widowControl/>
              <w:spacing w:line="400" w:lineRule="exact"/>
              <w:jc w:val="center"/>
              <w:textAlignment w:val="center"/>
              <w:rPr>
                <w:rFonts w:ascii="宋体" w:hAnsi="宋体" w:cs="宋体"/>
                <w:color w:val="auto"/>
                <w:sz w:val="21"/>
                <w:szCs w:val="21"/>
                <w:highlight w:val="none"/>
              </w:rPr>
            </w:pPr>
            <w:bookmarkStart w:id="59" w:name="OLE_LINK1"/>
            <w:r>
              <w:rPr>
                <w:rFonts w:hint="eastAsia" w:ascii="宋体" w:hAnsi="宋体" w:cs="宋体"/>
                <w:color w:val="auto"/>
                <w:kern w:val="0"/>
                <w:sz w:val="21"/>
                <w:szCs w:val="21"/>
                <w:highlight w:val="none"/>
                <w:lang w:bidi="ar"/>
              </w:rPr>
              <w:t>所属行业</w:t>
            </w:r>
            <w:bookmarkEnd w:id="59"/>
          </w:p>
        </w:tc>
        <w:tc>
          <w:tcPr>
            <w:tcW w:w="4776" w:type="dxa"/>
            <w:tcBorders>
              <w:top w:val="single" w:color="000000" w:sz="4" w:space="0"/>
              <w:left w:val="single" w:color="000000" w:sz="4" w:space="0"/>
              <w:bottom w:val="single" w:color="000000" w:sz="4" w:space="0"/>
              <w:right w:val="single" w:color="auto" w:sz="4" w:space="0"/>
            </w:tcBorders>
            <w:noWrap w:val="0"/>
            <w:vAlign w:val="center"/>
          </w:tcPr>
          <w:p w14:paraId="3649030A">
            <w:pPr>
              <w:widowControl/>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内容及要求</w:t>
            </w:r>
          </w:p>
        </w:tc>
        <w:tc>
          <w:tcPr>
            <w:tcW w:w="948" w:type="dxa"/>
            <w:tcBorders>
              <w:top w:val="single" w:color="000000" w:sz="4" w:space="0"/>
              <w:left w:val="single" w:color="auto" w:sz="4" w:space="0"/>
              <w:bottom w:val="single" w:color="000000" w:sz="4" w:space="0"/>
              <w:right w:val="single" w:color="000000" w:sz="4" w:space="0"/>
            </w:tcBorders>
            <w:noWrap w:val="0"/>
            <w:vAlign w:val="center"/>
          </w:tcPr>
          <w:p w14:paraId="2667DA33">
            <w:pPr>
              <w:widowControl/>
              <w:spacing w:line="400" w:lineRule="exact"/>
              <w:jc w:val="center"/>
              <w:textAlignment w:val="center"/>
              <w:rPr>
                <w:rFonts w:ascii="宋体" w:hAnsi="宋体" w:cs="宋体"/>
                <w:color w:val="auto"/>
                <w:sz w:val="21"/>
                <w:szCs w:val="21"/>
                <w:highlight w:val="none"/>
              </w:rPr>
            </w:pPr>
            <w:r>
              <w:rPr>
                <w:rFonts w:ascii="宋体" w:hAnsi="宋体" w:cs="宋体"/>
                <w:color w:val="auto"/>
                <w:sz w:val="21"/>
                <w:szCs w:val="21"/>
                <w:highlight w:val="none"/>
              </w:rPr>
              <w:t>最高限价（元）</w:t>
            </w:r>
          </w:p>
        </w:tc>
      </w:tr>
      <w:tr w14:paraId="61D92615">
        <w:tblPrEx>
          <w:tblCellMar>
            <w:top w:w="0" w:type="dxa"/>
            <w:left w:w="108" w:type="dxa"/>
            <w:bottom w:w="0" w:type="dxa"/>
            <w:right w:w="108" w:type="dxa"/>
          </w:tblCellMar>
        </w:tblPrEx>
        <w:trPr>
          <w:trHeight w:val="640" w:hRule="atLeast"/>
          <w:jc w:val="center"/>
        </w:trPr>
        <w:tc>
          <w:tcPr>
            <w:tcW w:w="1404" w:type="dxa"/>
            <w:tcBorders>
              <w:top w:val="single" w:color="000000" w:sz="4" w:space="0"/>
              <w:left w:val="single" w:color="000000" w:sz="4" w:space="0"/>
              <w:bottom w:val="single" w:color="000000" w:sz="4" w:space="0"/>
              <w:right w:val="single" w:color="000000" w:sz="4" w:space="0"/>
            </w:tcBorders>
            <w:noWrap w:val="0"/>
            <w:vAlign w:val="center"/>
          </w:tcPr>
          <w:p w14:paraId="5F86A58A">
            <w:pPr>
              <w:widowControl/>
              <w:spacing w:line="400" w:lineRule="exact"/>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放疗技术中心CT模拟定位机维保服务（3年期）</w:t>
            </w:r>
          </w:p>
        </w:tc>
        <w:tc>
          <w:tcPr>
            <w:tcW w:w="501" w:type="dxa"/>
            <w:gridSpan w:val="2"/>
            <w:tcBorders>
              <w:top w:val="single" w:color="000000" w:sz="4" w:space="0"/>
              <w:left w:val="single" w:color="000000" w:sz="4" w:space="0"/>
              <w:bottom w:val="single" w:color="000000" w:sz="4" w:space="0"/>
              <w:right w:val="single" w:color="000000" w:sz="4" w:space="0"/>
            </w:tcBorders>
            <w:noWrap w:val="0"/>
            <w:vAlign w:val="center"/>
          </w:tcPr>
          <w:p w14:paraId="3840D4C4">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14:paraId="40E95EF3">
            <w:pPr>
              <w:widowControl/>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547F0CBE">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其他未列明行业</w:t>
            </w:r>
          </w:p>
        </w:tc>
        <w:tc>
          <w:tcPr>
            <w:tcW w:w="4776" w:type="dxa"/>
            <w:tcBorders>
              <w:top w:val="single" w:color="000000" w:sz="4" w:space="0"/>
              <w:left w:val="single" w:color="000000" w:sz="4" w:space="0"/>
              <w:bottom w:val="single" w:color="000000" w:sz="4" w:space="0"/>
              <w:right w:val="single" w:color="auto" w:sz="4" w:space="0"/>
            </w:tcBorders>
            <w:noWrap w:val="0"/>
            <w:vAlign w:val="top"/>
          </w:tcPr>
          <w:p w14:paraId="16853518">
            <w:pPr>
              <w:pStyle w:val="12"/>
              <w:numPr>
                <w:ilvl w:val="0"/>
                <w:numId w:val="2"/>
              </w:numPr>
              <w:rPr>
                <w:rFonts w:hint="eastAsia" w:ascii="宋体" w:hAnsi="宋体" w:eastAsia="宋体" w:cs="宋体"/>
                <w:b/>
                <w:bCs/>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spacing w:val="0"/>
                <w:w w:val="100"/>
                <w:kern w:val="0"/>
                <w:position w:val="0"/>
                <w:sz w:val="21"/>
                <w:szCs w:val="21"/>
                <w:highlight w:val="none"/>
                <w:u w:val="none"/>
                <w:shd w:val="clear" w:color="auto" w:fill="auto"/>
                <w:lang w:val="en-US" w:eastAsia="zh-CN" w:bidi="ar"/>
              </w:rPr>
              <w:t>基本要求：</w:t>
            </w:r>
          </w:p>
          <w:p w14:paraId="37B29ED4">
            <w:pPr>
              <w:pStyle w:val="12"/>
              <w:numPr>
                <w:ilvl w:val="0"/>
                <w:numId w:val="0"/>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▲1、服务范围：GE Lightspeed RT的维修及保养所需的全部配件及费用，含主机、球管、探测器、激光定位灯、稳压器、影像工作站以及高压注射器等所有设备，提供不限次数的现场检修及零件备件更换。</w:t>
            </w:r>
          </w:p>
          <w:p w14:paraId="78817599">
            <w:pPr>
              <w:pStyle w:val="12"/>
              <w:numPr>
                <w:ilvl w:val="0"/>
                <w:numId w:val="3"/>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维保服务费用包含：</w:t>
            </w:r>
          </w:p>
          <w:p w14:paraId="263E80BF">
            <w:pPr>
              <w:pStyle w:val="12"/>
              <w:numPr>
                <w:ilvl w:val="0"/>
                <w:numId w:val="4"/>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设备定期检查保养的费用；</w:t>
            </w:r>
          </w:p>
          <w:p w14:paraId="4B74E09A">
            <w:pPr>
              <w:pStyle w:val="12"/>
              <w:numPr>
                <w:ilvl w:val="0"/>
                <w:numId w:val="4"/>
              </w:numPr>
              <w:ind w:left="0" w:leftChars="0" w:firstLine="0" w:firstLine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维修人员的工时费、差旅费；</w:t>
            </w:r>
          </w:p>
          <w:p w14:paraId="627001BA">
            <w:pPr>
              <w:pStyle w:val="12"/>
              <w:numPr>
                <w:ilvl w:val="0"/>
                <w:numId w:val="0"/>
              </w:numPr>
              <w:ind w:left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3）故障零备件维修及更换的费用。</w:t>
            </w:r>
          </w:p>
          <w:p w14:paraId="6671B79F">
            <w:pPr>
              <w:pStyle w:val="12"/>
              <w:numPr>
                <w:ilvl w:val="0"/>
                <w:numId w:val="2"/>
              </w:numPr>
              <w:ind w:left="0" w:leftChars="0" w:firstLine="0" w:firstLineChars="0"/>
              <w:rPr>
                <w:rFonts w:hint="eastAsia" w:ascii="宋体" w:hAnsi="宋体" w:eastAsia="宋体" w:cs="宋体"/>
                <w:b/>
                <w:bCs/>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spacing w:val="0"/>
                <w:w w:val="100"/>
                <w:kern w:val="0"/>
                <w:position w:val="0"/>
                <w:sz w:val="21"/>
                <w:szCs w:val="21"/>
                <w:highlight w:val="none"/>
                <w:u w:val="none"/>
                <w:shd w:val="clear" w:color="auto" w:fill="auto"/>
                <w:lang w:val="en-US" w:eastAsia="zh-CN" w:bidi="ar"/>
              </w:rPr>
              <w:t>主要技术指标：</w:t>
            </w:r>
          </w:p>
          <w:p w14:paraId="6A7B4467">
            <w:pPr>
              <w:pStyle w:val="12"/>
              <w:numPr>
                <w:ilvl w:val="0"/>
                <w:numId w:val="0"/>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每年提供不限次数的人工上门维修服务及客户服务专线电话，每年365天开通，有专人接听并记录报修信息以供查询，每天保证实时接听。在线支持或电话在线指导、诊断分析和维修有关设备故障。不限数量更换所需更换的备件；提供一年至少4次设备的定期维护与保养。提供年度维护保养计划、维护保养内容清单、现场维护报告和设备运行情况年度总结报告。</w:t>
            </w:r>
          </w:p>
          <w:p w14:paraId="3ED79F34">
            <w:pPr>
              <w:pStyle w:val="12"/>
              <w:numPr>
                <w:ilvl w:val="0"/>
                <w:numId w:val="0"/>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服务保障：维保期内提供不限次数的人工上门维修服务，包含节假日，具备客户服务专线电话，全年365天开通，每天开通服务时间不少于12小时。在采购人拨打报修电话时后供应商须在1小时内响应（不可抗力因素除外），并给予在线技术支持、答疑和指导采购人排除简单的故障。</w:t>
            </w:r>
          </w:p>
          <w:p w14:paraId="2F301818">
            <w:pPr>
              <w:pStyle w:val="12"/>
              <w:numPr>
                <w:ilvl w:val="0"/>
                <w:numId w:val="0"/>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在确定需要现场维修情况下，维修工程师须在12小时内到达现场，维修不涉及零配件更换应在24小时内修复完毕；涉及零配件更换，应在48小时内修复完毕（不可抗力因素除外）。如设备故障严重，无法即时修复，须提供解决方案。在设备故障排除后，其性能指标应与生产厂家提供的相符，并提供完整的维修记录。</w:t>
            </w:r>
          </w:p>
          <w:p w14:paraId="39D8A063">
            <w:pPr>
              <w:pStyle w:val="12"/>
              <w:numPr>
                <w:ilvl w:val="0"/>
                <w:numId w:val="0"/>
              </w:numP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▲4、开机率保证：保证一年开机率达到95%以上，按1年250个工作日计算，每年停机时间不超过12天，超过1天延长3天保修。</w:t>
            </w:r>
          </w:p>
          <w:p w14:paraId="6D58DBAD">
            <w:pPr>
              <w:pStyle w:val="12"/>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供应商须具备自有专职的</w:t>
            </w:r>
            <w:r>
              <w:rPr>
                <w:rFonts w:hint="eastAsia" w:ascii="宋体" w:hAnsi="宋体" w:eastAsia="宋体" w:cs="宋体"/>
                <w:color w:val="auto"/>
                <w:sz w:val="21"/>
                <w:szCs w:val="21"/>
                <w:highlight w:val="none"/>
                <w:lang w:val="en-US" w:eastAsia="zh-CN"/>
              </w:rPr>
              <w:t>CT模拟定位机</w:t>
            </w:r>
            <w:r>
              <w:rPr>
                <w:rFonts w:hint="eastAsia" w:ascii="宋体" w:hAnsi="宋体" w:eastAsia="宋体" w:cs="宋体"/>
                <w:color w:val="auto"/>
                <w:sz w:val="21"/>
                <w:szCs w:val="21"/>
                <w:highlight w:val="none"/>
              </w:rPr>
              <w:t>专业维修团队，其中服务本区域的全职工程师至少3人，并持有机器厂家培训证书或厂家技术认证资质证明。</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所提供的相关培训证明资料</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扫描件</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如是英文版本的，必须提供中文译本，并加盖供应商公章）</w:t>
            </w:r>
          </w:p>
          <w:p w14:paraId="521C4221">
            <w:pPr>
              <w:pStyle w:val="12"/>
              <w:numPr>
                <w:ilvl w:val="-1"/>
                <w:numId w:val="0"/>
              </w:numPr>
              <w:ind w:left="0" w:leftChars="0" w:firstLine="0" w:firstLine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6、能提供专业的驻点工程师人员和工程师专业技术培训的能力，以保证设备故障能够及时有效的解决。</w:t>
            </w:r>
          </w:p>
          <w:p w14:paraId="7BBFFB68">
            <w:pPr>
              <w:pStyle w:val="12"/>
              <w:numPr>
                <w:ilvl w:val="0"/>
                <w:numId w:val="0"/>
              </w:numPr>
              <w:ind w:left="0" w:leftChars="0" w:firstLine="0" w:firstLine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7、服务期间所提供的球管与维保机器相匹配，不影响扫描质量。且更换球管后，供应商需向采购人提供CT值与电子密度转换测量模体，以便更新采购人计划系统中的CT值与电子密度转换曲线。</w:t>
            </w:r>
          </w:p>
          <w:p w14:paraId="62069DC6">
            <w:pPr>
              <w:pStyle w:val="12"/>
              <w:numPr>
                <w:ilvl w:val="0"/>
                <w:numId w:val="0"/>
              </w:numPr>
              <w:ind w:left="0" w:leftChars="0" w:firstLine="0" w:firstLine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8、保证所从事的维修保养活动符合放射性污染防治法及射线装置安全和防护条例等法律法规的规定。</w:t>
            </w:r>
          </w:p>
          <w:p w14:paraId="213B8965">
            <w:pPr>
              <w:pStyle w:val="12"/>
              <w:numPr>
                <w:ilvl w:val="0"/>
                <w:numId w:val="0"/>
              </w:numPr>
              <w:ind w:left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9、提供质检测试现场支持。</w:t>
            </w:r>
          </w:p>
          <w:p w14:paraId="08C42251">
            <w:pPr>
              <w:pStyle w:val="12"/>
              <w:numPr>
                <w:ilvl w:val="0"/>
                <w:numId w:val="0"/>
              </w:numPr>
              <w:ind w:left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10、专业培训能力要求：维保期内提供临床培训3人次，采购人工程师到供应商培训基地参与维修能力培训1人次。</w:t>
            </w:r>
          </w:p>
          <w:p w14:paraId="0921D484">
            <w:pPr>
              <w:pStyle w:val="12"/>
              <w:numPr>
                <w:ilvl w:val="0"/>
                <w:numId w:val="0"/>
              </w:numPr>
              <w:ind w:left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cs="宋体"/>
                <w:color w:val="auto"/>
                <w:kern w:val="0"/>
                <w:szCs w:val="21"/>
                <w:highlight w:val="none"/>
                <w:u w:val="none"/>
                <w:shd w:val="clear" w:color="auto" w:fill="auto"/>
                <w:lang w:bidi="ar"/>
              </w:rPr>
              <w:t>11、国内设有专门的球管、零备件仓库，保证在维保服务期间，换的零部件为全新零配件，且所有设备的零配件来源途径均为合法。</w:t>
            </w:r>
          </w:p>
          <w:p w14:paraId="0725856A">
            <w:pPr>
              <w:pStyle w:val="12"/>
              <w:numPr>
                <w:ilvl w:val="0"/>
                <w:numId w:val="0"/>
              </w:numPr>
              <w:ind w:left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12、质量保证：在图像质量、位置精度等性能指标偏离标准时，在接到报修后应视同设备故障进行处理。</w:t>
            </w:r>
          </w:p>
          <w:p w14:paraId="63CF84E2">
            <w:pPr>
              <w:pStyle w:val="12"/>
              <w:numPr>
                <w:ilvl w:val="0"/>
                <w:numId w:val="0"/>
              </w:numPr>
              <w:ind w:left="0" w:leftChars="0" w:firstLine="0" w:firstLineChars="0"/>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13、供应商有能力提供全新原装球管，应为全新原装球管，且球管具有CFDA注册证，且注册证在有效期内；球管经过CT整机匹配性测试合格，能提供球管与CT整机匹配的认证报告证明文件。</w:t>
            </w:r>
          </w:p>
        </w:tc>
        <w:tc>
          <w:tcPr>
            <w:tcW w:w="948" w:type="dxa"/>
            <w:tcBorders>
              <w:top w:val="single" w:color="000000" w:sz="4" w:space="0"/>
              <w:left w:val="single" w:color="auto" w:sz="4" w:space="0"/>
              <w:bottom w:val="single" w:color="000000" w:sz="4" w:space="0"/>
              <w:right w:val="single" w:color="000000" w:sz="4" w:space="0"/>
            </w:tcBorders>
            <w:noWrap w:val="0"/>
            <w:vAlign w:val="center"/>
          </w:tcPr>
          <w:p w14:paraId="7513A4EB">
            <w:pPr>
              <w:widowControl/>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1380000.00</w:t>
            </w:r>
          </w:p>
        </w:tc>
      </w:tr>
      <w:tr w14:paraId="3D670BAB">
        <w:tblPrEx>
          <w:tblCellMar>
            <w:top w:w="0" w:type="dxa"/>
            <w:left w:w="108" w:type="dxa"/>
            <w:bottom w:w="0" w:type="dxa"/>
            <w:right w:w="108" w:type="dxa"/>
          </w:tblCellMar>
        </w:tblPrEx>
        <w:trPr>
          <w:trHeight w:val="640" w:hRule="atLeast"/>
          <w:jc w:val="center"/>
        </w:trPr>
        <w:tc>
          <w:tcPr>
            <w:tcW w:w="8832" w:type="dxa"/>
            <w:gridSpan w:val="7"/>
            <w:tcBorders>
              <w:top w:val="single" w:color="000000" w:sz="4" w:space="0"/>
              <w:left w:val="single" w:color="000000" w:sz="4" w:space="0"/>
              <w:bottom w:val="single" w:color="000000" w:sz="4" w:space="0"/>
              <w:right w:val="single" w:color="000000" w:sz="4" w:space="0"/>
            </w:tcBorders>
            <w:noWrap w:val="0"/>
            <w:vAlign w:val="center"/>
          </w:tcPr>
          <w:p w14:paraId="46F7B3BF">
            <w:pPr>
              <w:spacing w:line="400" w:lineRule="exact"/>
              <w:rPr>
                <w:rFonts w:hint="default" w:ascii="宋体" w:hAnsi="宋体" w:eastAsia="宋体" w:cs="宋体"/>
                <w:b/>
                <w:color w:val="auto"/>
                <w:kern w:val="0"/>
                <w:sz w:val="21"/>
                <w:szCs w:val="21"/>
                <w:highlight w:val="none"/>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b/>
                <w:color w:val="auto"/>
                <w:kern w:val="0"/>
                <w:sz w:val="21"/>
                <w:szCs w:val="21"/>
                <w:highlight w:val="none"/>
                <w:lang w:bidi="ar"/>
              </w:rPr>
              <w:t>二、商务</w:t>
            </w:r>
            <w:r>
              <w:rPr>
                <w:rFonts w:hint="eastAsia" w:ascii="宋体" w:hAnsi="宋体" w:eastAsia="宋体" w:cs="宋体"/>
                <w:b/>
                <w:color w:val="auto"/>
                <w:kern w:val="0"/>
                <w:sz w:val="21"/>
                <w:szCs w:val="21"/>
                <w:highlight w:val="none"/>
                <w:lang w:val="en-US" w:eastAsia="zh-CN" w:bidi="ar"/>
              </w:rPr>
              <w:t>条款</w:t>
            </w:r>
          </w:p>
        </w:tc>
      </w:tr>
      <w:tr w14:paraId="10D7CFAC">
        <w:tblPrEx>
          <w:tblCellMar>
            <w:top w:w="0" w:type="dxa"/>
            <w:left w:w="108" w:type="dxa"/>
            <w:bottom w:w="0" w:type="dxa"/>
            <w:right w:w="108" w:type="dxa"/>
          </w:tblCellMar>
        </w:tblPrEx>
        <w:trPr>
          <w:trHeight w:val="717"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7953E632">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auto"/>
                <w:kern w:val="0"/>
                <w:sz w:val="21"/>
                <w:szCs w:val="21"/>
                <w:highlight w:val="none"/>
                <w:lang w:eastAsia="en-US"/>
              </w:rPr>
            </w:pPr>
            <w:r>
              <w:rPr>
                <w:rFonts w:hint="eastAsia" w:asciiTheme="minorEastAsia" w:hAnsiTheme="minorEastAsia" w:eastAsiaTheme="minorEastAsia" w:cstheme="minorEastAsia"/>
                <w:i w:val="0"/>
                <w:iCs w:val="0"/>
                <w:color w:val="auto"/>
                <w:sz w:val="21"/>
                <w:szCs w:val="21"/>
                <w:highlight w:val="none"/>
                <w:u w:val="none"/>
                <w:lang w:val="en-US" w:eastAsia="zh-CN"/>
              </w:rPr>
              <w:t>服务期及地点</w:t>
            </w: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0903F887">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i w:val="0"/>
                <w:iCs w:val="0"/>
                <w:color w:val="auto"/>
                <w:spacing w:val="0"/>
                <w:w w:val="100"/>
                <w:kern w:val="0"/>
                <w:position w:val="0"/>
                <w:sz w:val="21"/>
                <w:szCs w:val="21"/>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spacing w:val="0"/>
                <w:w w:val="100"/>
                <w:kern w:val="0"/>
                <w:position w:val="0"/>
                <w:sz w:val="21"/>
                <w:szCs w:val="21"/>
                <w:highlight w:val="none"/>
                <w:u w:val="none"/>
                <w:shd w:val="clear" w:color="auto" w:fill="auto"/>
                <w:lang w:val="en-US" w:eastAsia="zh-CN" w:bidi="ar"/>
              </w:rPr>
              <w:t>1、服务期：自合同签订之日起，服务期三年；</w:t>
            </w:r>
          </w:p>
          <w:p w14:paraId="2322360C">
            <w:pPr>
              <w:keepNext w:val="0"/>
              <w:keepLines w:val="0"/>
              <w:widowControl/>
              <w:suppressLineNumbers w:val="0"/>
              <w:spacing w:before="0" w:beforeAutospacing="0" w:after="0" w:afterAutospacing="0"/>
              <w:ind w:left="0" w:leftChars="0" w:right="0" w:rightChars="0"/>
              <w:jc w:val="left"/>
              <w:textAlignment w:val="center"/>
              <w:rPr>
                <w:rFonts w:ascii="宋体" w:hAnsi="宋体" w:cs="宋体"/>
                <w:color w:val="auto"/>
                <w:sz w:val="21"/>
                <w:szCs w:val="21"/>
                <w:highlight w:val="none"/>
              </w:rPr>
            </w:pPr>
            <w:r>
              <w:rPr>
                <w:rFonts w:hint="eastAsia" w:asciiTheme="minorEastAsia" w:hAnsiTheme="minorEastAsia" w:eastAsiaTheme="minorEastAsia" w:cstheme="minorEastAsia"/>
                <w:i w:val="0"/>
                <w:iCs w:val="0"/>
                <w:color w:val="auto"/>
                <w:spacing w:val="0"/>
                <w:w w:val="100"/>
                <w:kern w:val="0"/>
                <w:position w:val="0"/>
                <w:sz w:val="21"/>
                <w:szCs w:val="21"/>
                <w:highlight w:val="none"/>
                <w:u w:val="none"/>
                <w:shd w:val="clear" w:color="auto" w:fill="auto"/>
                <w:lang w:val="en-US" w:eastAsia="zh-CN" w:bidi="ar"/>
              </w:rPr>
              <w:t>2、服务地点：广西南宁市内采购人指定地点。</w:t>
            </w:r>
          </w:p>
        </w:tc>
      </w:tr>
      <w:tr w14:paraId="005E7B4C">
        <w:tblPrEx>
          <w:tblCellMar>
            <w:top w:w="0" w:type="dxa"/>
            <w:left w:w="108" w:type="dxa"/>
            <w:bottom w:w="0" w:type="dxa"/>
            <w:right w:w="108" w:type="dxa"/>
          </w:tblCellMar>
        </w:tblPrEx>
        <w:trPr>
          <w:trHeight w:val="717"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4252C5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eastAsia="en-US" w:bidi="ar"/>
              </w:rPr>
            </w:pPr>
            <w:r>
              <w:rPr>
                <w:rFonts w:hint="eastAsia" w:asciiTheme="minorEastAsia" w:hAnsiTheme="minorEastAsia" w:eastAsiaTheme="minorEastAsia" w:cstheme="minorEastAsia"/>
                <w:i w:val="0"/>
                <w:iCs w:val="0"/>
                <w:color w:val="auto"/>
                <w:sz w:val="21"/>
                <w:szCs w:val="21"/>
                <w:highlight w:val="none"/>
                <w:u w:val="none"/>
                <w:lang w:val="en-US" w:eastAsia="zh-CN"/>
              </w:rPr>
              <w:t>服务响应速度</w:t>
            </w: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7DA4E47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u w:val="none"/>
                <w:lang w:val="en-US" w:eastAsia="zh-CN"/>
              </w:rPr>
              <w:t>1小时响应，12小时到场。</w:t>
            </w:r>
          </w:p>
        </w:tc>
      </w:tr>
      <w:tr w14:paraId="57697538">
        <w:tblPrEx>
          <w:tblCellMar>
            <w:top w:w="0" w:type="dxa"/>
            <w:left w:w="108" w:type="dxa"/>
            <w:bottom w:w="0" w:type="dxa"/>
            <w:right w:w="108" w:type="dxa"/>
          </w:tblCellMar>
        </w:tblPrEx>
        <w:trPr>
          <w:trHeight w:val="64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64B03771">
            <w:pPr>
              <w:widowControl/>
              <w:spacing w:line="400" w:lineRule="exact"/>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合同签订期</w:t>
            </w: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14467444">
            <w:pPr>
              <w:widowControl/>
              <w:spacing w:line="400" w:lineRule="exact"/>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自成交通知书发出之日起25日内签订采购合同。</w:t>
            </w:r>
          </w:p>
        </w:tc>
      </w:tr>
      <w:tr w14:paraId="546AA11A">
        <w:tblPrEx>
          <w:tblCellMar>
            <w:top w:w="0" w:type="dxa"/>
            <w:left w:w="108" w:type="dxa"/>
            <w:bottom w:w="0" w:type="dxa"/>
            <w:right w:w="108" w:type="dxa"/>
          </w:tblCellMar>
        </w:tblPrEx>
        <w:trPr>
          <w:trHeight w:val="64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8E10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pacing w:val="0"/>
                <w:w w:val="100"/>
                <w:kern w:val="0"/>
                <w:position w:val="0"/>
                <w:sz w:val="21"/>
                <w:szCs w:val="21"/>
                <w:highlight w:val="none"/>
                <w:shd w:val="clear" w:color="auto" w:fill="auto"/>
                <w:lang w:val="en-US" w:eastAsia="zh-CN" w:bidi="ar"/>
              </w:rPr>
            </w:pPr>
            <w:r>
              <w:rPr>
                <w:rFonts w:hint="eastAsia" w:asciiTheme="minorEastAsia" w:hAnsiTheme="minorEastAsia" w:eastAsiaTheme="minorEastAsia" w:cstheme="minorEastAsia"/>
                <w:color w:val="auto"/>
                <w:spacing w:val="0"/>
                <w:w w:val="100"/>
                <w:kern w:val="0"/>
                <w:position w:val="0"/>
                <w:sz w:val="21"/>
                <w:szCs w:val="21"/>
                <w:highlight w:val="none"/>
                <w:shd w:val="clear" w:color="auto" w:fill="auto"/>
                <w:lang w:val="en-US" w:eastAsia="zh-CN" w:bidi="ar"/>
              </w:rPr>
              <w:t>报价要求</w:t>
            </w:r>
          </w:p>
        </w:tc>
        <w:tc>
          <w:tcPr>
            <w:tcW w:w="7283"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BCA2B">
            <w:pPr>
              <w:keepNext w:val="0"/>
              <w:keepLines w:val="0"/>
              <w:widowControl/>
              <w:suppressLineNumbers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报价包含本项目所有成果及服务内容、所涉及的维修人员人工费、交通差旅费、检查修理费、备品备件、工具、材料、实施、调试、验收、技术培训及技术资料等各种费用和售后服务、税金、招标代理服务费及其它所有成本费用的总和。</w:t>
            </w:r>
          </w:p>
        </w:tc>
      </w:tr>
      <w:tr w14:paraId="22702A02">
        <w:tblPrEx>
          <w:tblCellMar>
            <w:top w:w="0" w:type="dxa"/>
            <w:left w:w="108" w:type="dxa"/>
            <w:bottom w:w="0" w:type="dxa"/>
            <w:right w:w="108" w:type="dxa"/>
          </w:tblCellMar>
        </w:tblPrEx>
        <w:trPr>
          <w:trHeight w:val="64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6806C138">
            <w:pPr>
              <w:widowControl/>
              <w:spacing w:line="400" w:lineRule="exact"/>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付款方式</w:t>
            </w: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6C688EDD">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z w:val="21"/>
                <w:szCs w:val="21"/>
                <w:highlight w:val="none"/>
              </w:rPr>
              <w:t>本项目无预付款。</w:t>
            </w:r>
          </w:p>
          <w:p w14:paraId="2C94373B">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按季度(每三个月)付款。成交供应商每季度向采购人提供上季度的《季度维护保养报告书》，并根据上季度《服务评价表》(详见附件1)的考核结果扣除应扣考核维保服务费后，方可支付上季度维保服务费(应付季度维保服务费=合同约定季度维保服务费-应扣季度考核维保服务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供应商开具上季度(三个月)应付维保服务费增值税专用发票给采购人后，采购人以转账的方式向成交供应商支付上季度的维保服务费。</w:t>
            </w:r>
          </w:p>
          <w:p w14:paraId="7407D087">
            <w:pPr>
              <w:spacing w:line="360" w:lineRule="auto"/>
              <w:ind w:firstLine="0" w:firstLineChars="0"/>
              <w:rPr>
                <w:rFonts w:hint="eastAsia"/>
                <w:color w:val="auto"/>
                <w:sz w:val="21"/>
                <w:szCs w:val="21"/>
                <w:highlight w:val="none"/>
              </w:rPr>
            </w:pPr>
            <w:r>
              <w:rPr>
                <w:rFonts w:hint="eastAsia" w:ascii="宋体" w:hAnsi="宋体" w:eastAsia="宋体" w:cs="宋体"/>
                <w:color w:val="auto"/>
                <w:sz w:val="21"/>
                <w:szCs w:val="21"/>
                <w:highlight w:val="none"/>
                <w:lang w:val="en-US" w:eastAsia="zh-CN"/>
              </w:rPr>
              <w:t>3、维保期内，如因设备无法满足工作需求或采购人原因，需报废该设备，采购人需提前一个月向供应商书面告知。设备的服务费将按服务实际履行的天数结算：（合同全款/合同维保天数）×实际履行天数。届时双方需另行签署补充协议约定终止事宜。</w:t>
            </w:r>
          </w:p>
        </w:tc>
      </w:tr>
      <w:tr w14:paraId="156F0916">
        <w:tblPrEx>
          <w:tblCellMar>
            <w:top w:w="0" w:type="dxa"/>
            <w:left w:w="108" w:type="dxa"/>
            <w:bottom w:w="0" w:type="dxa"/>
            <w:right w:w="108" w:type="dxa"/>
          </w:tblCellMar>
        </w:tblPrEx>
        <w:trPr>
          <w:trHeight w:val="5166"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362DEC00">
            <w:pPr>
              <w:widowControl/>
              <w:spacing w:line="360" w:lineRule="auto"/>
              <w:jc w:val="center"/>
              <w:textAlignment w:val="auto"/>
              <w:rPr>
                <w:rFonts w:hint="eastAsia" w:ascii="Times New Roman" w:hAnsi="Times New Roman" w:eastAsia="宋体" w:cs="Times New Roman"/>
                <w:color w:val="auto"/>
                <w:kern w:val="2"/>
                <w:sz w:val="21"/>
                <w:szCs w:val="21"/>
                <w:highlight w:val="none"/>
                <w:lang w:bidi="ar"/>
              </w:rPr>
            </w:pPr>
            <w:r>
              <w:rPr>
                <w:rFonts w:hint="eastAsia" w:ascii="Times New Roman" w:hAnsi="Times New Roman" w:eastAsia="宋体" w:cs="Times New Roman"/>
                <w:color w:val="auto"/>
                <w:kern w:val="2"/>
                <w:sz w:val="21"/>
                <w:szCs w:val="21"/>
                <w:highlight w:val="none"/>
                <w:lang w:bidi="ar"/>
              </w:rPr>
              <w:t>履约保证金</w:t>
            </w:r>
          </w:p>
        </w:tc>
        <w:tc>
          <w:tcPr>
            <w:tcW w:w="7283" w:type="dxa"/>
            <w:gridSpan w:val="5"/>
            <w:tcBorders>
              <w:top w:val="single" w:color="000000" w:sz="4" w:space="0"/>
              <w:left w:val="single" w:color="000000" w:sz="4" w:space="0"/>
              <w:bottom w:val="single" w:color="000000" w:sz="4" w:space="0"/>
              <w:right w:val="single" w:color="000000" w:sz="4" w:space="0"/>
            </w:tcBorders>
            <w:noWrap w:val="0"/>
            <w:vAlign w:val="top"/>
          </w:tcPr>
          <w:p w14:paraId="4B29919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1、本项目签订合同前，成交供应商按</w:t>
            </w:r>
            <w:r>
              <w:rPr>
                <w:rFonts w:hint="eastAsia" w:ascii="宋体" w:hAnsi="宋体" w:cs="宋体"/>
                <w:color w:val="auto"/>
                <w:kern w:val="2"/>
                <w:sz w:val="21"/>
                <w:szCs w:val="21"/>
                <w:highlight w:val="none"/>
                <w:lang w:val="en-US" w:eastAsia="zh-CN" w:bidi="ar"/>
              </w:rPr>
              <w:t>成交</w:t>
            </w:r>
            <w:r>
              <w:rPr>
                <w:rFonts w:hint="eastAsia" w:ascii="宋体" w:hAnsi="宋体" w:eastAsia="宋体" w:cs="宋体"/>
                <w:color w:val="auto"/>
                <w:kern w:val="2"/>
                <w:sz w:val="21"/>
                <w:szCs w:val="21"/>
                <w:highlight w:val="none"/>
                <w:lang w:val="en-US" w:eastAsia="zh-CN" w:bidi="ar"/>
              </w:rPr>
              <w:t>金额的5%向采购人支付履约保证金（中小企业缴纳数额为成交金额的2%）。</w:t>
            </w:r>
          </w:p>
          <w:p w14:paraId="64CB861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2、履约保证金递交方式：转账或电汇形式或政府采购规定允许的其它方式。</w:t>
            </w:r>
          </w:p>
          <w:p w14:paraId="7BDD8F9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3、履约保证金退付方式、时间及条件：本项目服务期满，经双方验收合格，成交供应商向采购人申请办理履约保证金退还手续后，采购人将履约保证金退回到成交供应商账户（不计利息）。</w:t>
            </w:r>
            <w:r>
              <w:rPr>
                <w:rFonts w:hint="eastAsia" w:ascii="宋体" w:hAnsi="宋体" w:cs="宋体"/>
                <w:color w:val="auto"/>
                <w:szCs w:val="21"/>
                <w:highlight w:val="none"/>
                <w:lang w:bidi="ar"/>
              </w:rPr>
              <w:t>如</w:t>
            </w:r>
            <w:r>
              <w:rPr>
                <w:rFonts w:hint="eastAsia" w:ascii="宋体" w:hAnsi="宋体" w:cs="宋体"/>
                <w:color w:val="auto"/>
                <w:szCs w:val="21"/>
                <w:highlight w:val="none"/>
                <w:lang w:eastAsia="zh-CN" w:bidi="ar"/>
              </w:rPr>
              <w:t>成交供应商</w:t>
            </w:r>
            <w:r>
              <w:rPr>
                <w:rFonts w:hint="eastAsia" w:ascii="宋体" w:hAnsi="宋体" w:cs="宋体"/>
                <w:color w:val="auto"/>
                <w:szCs w:val="21"/>
                <w:highlight w:val="none"/>
                <w:lang w:bidi="ar"/>
              </w:rPr>
              <w:t>不履行合同约定的义务或其履行不符合合同的约定，</w:t>
            </w:r>
            <w:r>
              <w:rPr>
                <w:rFonts w:hint="eastAsia" w:ascii="宋体" w:hAnsi="宋体" w:cs="宋体"/>
                <w:color w:val="auto"/>
                <w:szCs w:val="21"/>
                <w:highlight w:val="none"/>
                <w:lang w:eastAsia="zh-CN" w:bidi="ar"/>
              </w:rPr>
              <w:t>采购人</w:t>
            </w:r>
            <w:r>
              <w:rPr>
                <w:rFonts w:hint="eastAsia" w:ascii="宋体" w:hAnsi="宋体" w:cs="宋体"/>
                <w:color w:val="auto"/>
                <w:szCs w:val="21"/>
                <w:highlight w:val="none"/>
                <w:lang w:bidi="ar"/>
              </w:rPr>
              <w:t>有权扣划全部或相应金额的履约保证金。</w:t>
            </w:r>
          </w:p>
          <w:p w14:paraId="5D5E886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4、采购人收取履约保证金账户：</w:t>
            </w:r>
          </w:p>
          <w:p w14:paraId="1F5C20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开户名称：广西医科大学附属肿瘤医院</w:t>
            </w:r>
          </w:p>
          <w:p w14:paraId="0DEE011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开户银行：中国银行南宁市医科大支行</w:t>
            </w:r>
          </w:p>
          <w:p w14:paraId="3A467EAC">
            <w:pPr>
              <w:spacing w:line="360" w:lineRule="auto"/>
              <w:ind w:firstLine="0" w:firstLineChars="0"/>
              <w:rPr>
                <w:rFonts w:hint="eastAsia" w:ascii="Times New Roman" w:hAnsi="Times New Roman" w:eastAsia="宋体" w:cs="Times New Roman"/>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bidi="ar"/>
              </w:rPr>
              <w:t>账    号：619759083458</w:t>
            </w:r>
          </w:p>
        </w:tc>
      </w:tr>
      <w:tr w14:paraId="729527C5">
        <w:tblPrEx>
          <w:tblCellMar>
            <w:top w:w="0" w:type="dxa"/>
            <w:left w:w="108" w:type="dxa"/>
            <w:bottom w:w="0" w:type="dxa"/>
            <w:right w:w="108" w:type="dxa"/>
          </w:tblCellMar>
        </w:tblPrEx>
        <w:trPr>
          <w:trHeight w:val="64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2078ECD0">
            <w:pPr>
              <w:keepNext w:val="0"/>
              <w:keepLines w:val="0"/>
              <w:widowControl/>
              <w:suppressLineNumbers w:val="0"/>
              <w:spacing w:before="0" w:beforeAutospacing="0" w:after="0" w:afterAutospacing="0" w:line="360" w:lineRule="auto"/>
              <w:ind w:left="0" w:right="0"/>
              <w:jc w:val="center"/>
              <w:textAlignment w:val="auto"/>
              <w:rPr>
                <w:rFonts w:hint="eastAsia" w:ascii="Times New Roman" w:hAnsi="Times New Roman" w:eastAsia="宋体" w:cs="Times New Roman"/>
                <w:color w:val="auto"/>
                <w:spacing w:val="0"/>
                <w:w w:val="100"/>
                <w:kern w:val="2"/>
                <w:position w:val="0"/>
                <w:sz w:val="21"/>
                <w:szCs w:val="21"/>
                <w:highlight w:val="none"/>
                <w:shd w:val="clear"/>
                <w:lang w:val="en-US" w:eastAsia="zh-CN" w:bidi="ar"/>
              </w:rPr>
            </w:pPr>
            <w:r>
              <w:rPr>
                <w:rFonts w:hint="eastAsia" w:ascii="Times New Roman" w:hAnsi="Times New Roman" w:eastAsia="宋体" w:cs="Times New Roman"/>
                <w:color w:val="auto"/>
                <w:spacing w:val="0"/>
                <w:w w:val="100"/>
                <w:kern w:val="2"/>
                <w:position w:val="0"/>
                <w:sz w:val="21"/>
                <w:szCs w:val="21"/>
                <w:highlight w:val="none"/>
                <w:shd w:val="clear"/>
                <w:lang w:val="en-US" w:eastAsia="zh-CN" w:bidi="ar"/>
              </w:rPr>
              <w:t>验收标准</w:t>
            </w:r>
          </w:p>
          <w:p w14:paraId="3869C6F3">
            <w:pPr>
              <w:keepNext w:val="0"/>
              <w:keepLines w:val="0"/>
              <w:widowControl/>
              <w:suppressLineNumbers w:val="0"/>
              <w:spacing w:before="0" w:beforeAutospacing="0" w:after="0" w:afterAutospacing="0" w:line="360" w:lineRule="auto"/>
              <w:ind w:left="0" w:leftChars="0" w:right="0" w:rightChars="0"/>
              <w:jc w:val="center"/>
              <w:textAlignment w:val="auto"/>
              <w:rPr>
                <w:rFonts w:hint="eastAsia" w:eastAsia="宋体"/>
                <w:color w:val="auto"/>
                <w:sz w:val="21"/>
                <w:szCs w:val="21"/>
                <w:highlight w:val="none"/>
              </w:rPr>
            </w:pP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260A2481">
            <w:pPr>
              <w:keepNext w:val="0"/>
              <w:keepLines w:val="0"/>
              <w:widowControl/>
              <w:suppressLineNumbers w:val="0"/>
              <w:topLinePunct w:val="0"/>
              <w:snapToGrid/>
              <w:spacing w:before="0" w:beforeAutospacing="0" w:after="0" w:afterAutospacing="0" w:line="360" w:lineRule="auto"/>
              <w:ind w:left="0" w:right="0"/>
              <w:jc w:val="left"/>
              <w:rPr>
                <w:rFonts w:hint="eastAsia" w:ascii="宋体" w:hAnsi="宋体" w:eastAsia="宋体" w:cs="宋体"/>
                <w:iCs w:val="0"/>
                <w:color w:val="auto"/>
                <w:sz w:val="21"/>
                <w:szCs w:val="21"/>
                <w:highlight w:val="none"/>
                <w:lang w:val="en-US"/>
              </w:rPr>
            </w:pPr>
            <w:r>
              <w:rPr>
                <w:rFonts w:hint="eastAsia" w:ascii="宋体" w:hAnsi="宋体" w:eastAsia="宋体" w:cs="宋体"/>
                <w:iCs w:val="0"/>
                <w:color w:val="auto"/>
                <w:spacing w:val="0"/>
                <w:w w:val="100"/>
                <w:kern w:val="2"/>
                <w:position w:val="0"/>
                <w:sz w:val="21"/>
                <w:szCs w:val="21"/>
                <w:highlight w:val="none"/>
                <w:shd w:val="clear"/>
                <w:lang w:val="en-US" w:eastAsia="zh-CN" w:bidi="ar"/>
              </w:rPr>
              <w:t>1</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Cs w:val="0"/>
                <w:color w:val="auto"/>
                <w:spacing w:val="0"/>
                <w:w w:val="100"/>
                <w:kern w:val="2"/>
                <w:position w:val="0"/>
                <w:sz w:val="21"/>
                <w:szCs w:val="21"/>
                <w:highlight w:val="none"/>
                <w:shd w:val="clear"/>
                <w:lang w:val="en-US" w:eastAsia="zh-CN" w:bidi="ar"/>
              </w:rPr>
              <w:t>采购人对</w:t>
            </w:r>
            <w:r>
              <w:rPr>
                <w:rFonts w:hint="eastAsia" w:ascii="宋体" w:hAnsi="宋体" w:eastAsia="宋体" w:cs="宋体"/>
                <w:color w:val="auto"/>
                <w:spacing w:val="0"/>
                <w:w w:val="100"/>
                <w:kern w:val="2"/>
                <w:position w:val="0"/>
                <w:sz w:val="21"/>
                <w:szCs w:val="21"/>
                <w:highlight w:val="none"/>
                <w:shd w:val="clear"/>
                <w:lang w:val="en-US" w:eastAsia="zh-CN" w:bidi="ar"/>
              </w:rPr>
              <w:t>成交供应商</w:t>
            </w:r>
            <w:r>
              <w:rPr>
                <w:rFonts w:hint="eastAsia" w:ascii="宋体" w:hAnsi="宋体" w:eastAsia="宋体" w:cs="宋体"/>
                <w:iCs w:val="0"/>
                <w:color w:val="auto"/>
                <w:spacing w:val="0"/>
                <w:w w:val="100"/>
                <w:kern w:val="2"/>
                <w:position w:val="0"/>
                <w:sz w:val="21"/>
                <w:szCs w:val="21"/>
                <w:highlight w:val="none"/>
                <w:shd w:val="clear"/>
                <w:lang w:val="en-US" w:eastAsia="zh-CN" w:bidi="ar"/>
              </w:rPr>
              <w:t>提交的服务依据采购文件上的服务要求和国家有关质量标准进行签收，各项服务符合采购文件要求的，给予签收，不合格的不予签收。</w:t>
            </w:r>
          </w:p>
          <w:p w14:paraId="458AA8FA">
            <w:pPr>
              <w:keepNext w:val="0"/>
              <w:keepLines w:val="0"/>
              <w:widowControl/>
              <w:suppressLineNumbers w:val="0"/>
              <w:topLinePunct w:val="0"/>
              <w:snapToGrid/>
              <w:spacing w:before="0" w:beforeAutospacing="0" w:after="0" w:afterAutospacing="0" w:line="360" w:lineRule="auto"/>
              <w:ind w:left="0" w:right="0"/>
              <w:jc w:val="left"/>
              <w:rPr>
                <w:rFonts w:hint="eastAsia" w:ascii="宋体" w:hAnsi="宋体" w:eastAsia="宋体" w:cs="宋体"/>
                <w:iCs w:val="0"/>
                <w:color w:val="auto"/>
                <w:sz w:val="21"/>
                <w:szCs w:val="21"/>
                <w:highlight w:val="none"/>
                <w:lang w:val="en-US"/>
              </w:rPr>
            </w:pPr>
            <w:r>
              <w:rPr>
                <w:rFonts w:hint="eastAsia" w:ascii="宋体" w:hAnsi="宋体" w:eastAsia="宋体" w:cs="宋体"/>
                <w:iCs w:val="0"/>
                <w:color w:val="auto"/>
                <w:spacing w:val="0"/>
                <w:w w:val="100"/>
                <w:kern w:val="2"/>
                <w:position w:val="0"/>
                <w:sz w:val="21"/>
                <w:szCs w:val="21"/>
                <w:highlight w:val="none"/>
                <w:shd w:val="clear"/>
                <w:lang w:val="en-US" w:eastAsia="zh-CN" w:bidi="ar"/>
              </w:rPr>
              <w:t>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iCs w:val="0"/>
                <w:color w:val="auto"/>
                <w:spacing w:val="0"/>
                <w:w w:val="100"/>
                <w:kern w:val="2"/>
                <w:position w:val="0"/>
                <w:sz w:val="21"/>
                <w:szCs w:val="21"/>
                <w:highlight w:val="none"/>
                <w:shd w:val="clear"/>
                <w:lang w:val="en-US" w:eastAsia="zh-CN" w:bidi="ar"/>
              </w:rPr>
              <w:t>验收工作由采购人组织，包括但不限于以下形式：成交供应商维修、保养完毕后，以正式盖公章的维修保养报告书作为验收凭证，维修保养报告书须包含每次维修保养报告单、并经采购人维修工程师签字确认；其他技术服务的验收按照本采购文件、</w:t>
            </w:r>
            <w:r>
              <w:rPr>
                <w:rFonts w:hint="eastAsia" w:ascii="宋体" w:hAnsi="宋体" w:eastAsia="宋体" w:cs="宋体"/>
                <w:color w:val="auto"/>
                <w:spacing w:val="0"/>
                <w:w w:val="100"/>
                <w:kern w:val="2"/>
                <w:position w:val="0"/>
                <w:sz w:val="21"/>
                <w:szCs w:val="21"/>
                <w:highlight w:val="none"/>
                <w:shd w:val="clear"/>
                <w:lang w:val="en-US" w:eastAsia="zh-CN" w:bidi="ar"/>
              </w:rPr>
              <w:t>成交供应商</w:t>
            </w:r>
            <w:r>
              <w:rPr>
                <w:rFonts w:hint="eastAsia" w:ascii="宋体" w:hAnsi="宋体" w:eastAsia="宋体" w:cs="宋体"/>
                <w:iCs w:val="0"/>
                <w:color w:val="auto"/>
                <w:spacing w:val="0"/>
                <w:w w:val="100"/>
                <w:kern w:val="2"/>
                <w:position w:val="0"/>
                <w:sz w:val="21"/>
                <w:szCs w:val="21"/>
                <w:highlight w:val="none"/>
                <w:shd w:val="clear"/>
                <w:lang w:val="en-US" w:eastAsia="zh-CN" w:bidi="ar"/>
              </w:rPr>
              <w:t>的全保修方案、厂家标准及相应的质量标准要求执行。</w:t>
            </w:r>
          </w:p>
          <w:p w14:paraId="1BB9F8D3">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eastAsia="宋体"/>
                <w:color w:val="auto"/>
                <w:sz w:val="21"/>
                <w:szCs w:val="21"/>
                <w:highlight w:val="none"/>
              </w:rPr>
            </w:pPr>
            <w:r>
              <w:rPr>
                <w:rFonts w:hint="eastAsia" w:ascii="宋体" w:hAnsi="宋体" w:eastAsia="宋体" w:cs="宋体"/>
                <w:iCs w:val="0"/>
                <w:color w:val="auto"/>
                <w:spacing w:val="0"/>
                <w:w w:val="100"/>
                <w:kern w:val="2"/>
                <w:position w:val="0"/>
                <w:sz w:val="21"/>
                <w:szCs w:val="21"/>
                <w:highlight w:val="none"/>
                <w:shd w:val="clear"/>
                <w:lang w:val="en-US" w:eastAsia="zh-CN" w:bidi="ar"/>
              </w:rPr>
              <w:t>3、验收不通过的，根据采购人意见进行整改，直到验收通过为止，期间产生相关费用由成交供应商承担。</w:t>
            </w:r>
          </w:p>
        </w:tc>
      </w:tr>
      <w:tr w14:paraId="34CBF14D">
        <w:tblPrEx>
          <w:tblCellMar>
            <w:top w:w="0" w:type="dxa"/>
            <w:left w:w="108" w:type="dxa"/>
            <w:bottom w:w="0" w:type="dxa"/>
            <w:right w:w="108" w:type="dxa"/>
          </w:tblCellMar>
        </w:tblPrEx>
        <w:trPr>
          <w:trHeight w:val="640"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187B7E9B">
            <w:pPr>
              <w:keepNext w:val="0"/>
              <w:keepLines w:val="0"/>
              <w:widowControl/>
              <w:suppressLineNumbers w:val="0"/>
              <w:spacing w:before="0" w:beforeAutospacing="0" w:after="0" w:afterAutospacing="0" w:line="360" w:lineRule="auto"/>
              <w:ind w:left="0" w:right="0"/>
              <w:jc w:val="center"/>
              <w:textAlignment w:val="auto"/>
              <w:rPr>
                <w:rFonts w:hint="eastAsia" w:ascii="Times New Roman" w:hAnsi="Times New Roman" w:eastAsia="宋体" w:cs="Times New Roman"/>
                <w:color w:val="auto"/>
                <w:spacing w:val="0"/>
                <w:w w:val="100"/>
                <w:kern w:val="2"/>
                <w:position w:val="0"/>
                <w:sz w:val="21"/>
                <w:szCs w:val="21"/>
                <w:highlight w:val="none"/>
                <w:shd w:val="clear"/>
                <w:lang w:val="en-US" w:eastAsia="zh-CN" w:bidi="ar"/>
              </w:rPr>
            </w:pPr>
            <w:r>
              <w:rPr>
                <w:rFonts w:hint="eastAsia" w:ascii="Times New Roman" w:hAnsi="Times New Roman" w:eastAsia="宋体" w:cs="Times New Roman"/>
                <w:color w:val="auto"/>
                <w:spacing w:val="0"/>
                <w:w w:val="100"/>
                <w:kern w:val="2"/>
                <w:position w:val="0"/>
                <w:sz w:val="21"/>
                <w:szCs w:val="21"/>
                <w:highlight w:val="none"/>
                <w:shd w:val="clear"/>
                <w:lang w:val="en-US" w:eastAsia="zh-CN" w:bidi="ar"/>
              </w:rPr>
              <w:t>其他要求</w:t>
            </w:r>
          </w:p>
          <w:p w14:paraId="36C8727D">
            <w:pPr>
              <w:keepNext w:val="0"/>
              <w:keepLines w:val="0"/>
              <w:widowControl/>
              <w:suppressLineNumbers w:val="0"/>
              <w:spacing w:before="0" w:beforeAutospacing="0" w:after="0" w:afterAutospacing="0" w:line="36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bidi="ar"/>
              </w:rPr>
            </w:pPr>
          </w:p>
        </w:tc>
        <w:tc>
          <w:tcPr>
            <w:tcW w:w="7283" w:type="dxa"/>
            <w:gridSpan w:val="5"/>
            <w:tcBorders>
              <w:top w:val="single" w:color="000000" w:sz="4" w:space="0"/>
              <w:left w:val="single" w:color="000000" w:sz="4" w:space="0"/>
              <w:bottom w:val="single" w:color="000000" w:sz="4" w:space="0"/>
              <w:right w:val="single" w:color="000000" w:sz="4" w:space="0"/>
            </w:tcBorders>
            <w:noWrap w:val="0"/>
            <w:vAlign w:val="center"/>
          </w:tcPr>
          <w:p w14:paraId="1A3C2F44">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宋体" w:hAnsi="宋体" w:eastAsia="宋体" w:cs="宋体"/>
                <w:iCs w:val="0"/>
                <w:color w:val="auto"/>
                <w:spacing w:val="0"/>
                <w:w w:val="100"/>
                <w:kern w:val="2"/>
                <w:position w:val="0"/>
                <w:sz w:val="21"/>
                <w:szCs w:val="21"/>
                <w:highlight w:val="none"/>
                <w:shd w:val="clear"/>
                <w:lang w:val="en-US" w:eastAsia="zh-CN" w:bidi="ar"/>
              </w:rPr>
            </w:pPr>
            <w:r>
              <w:rPr>
                <w:rFonts w:hint="eastAsia" w:ascii="宋体" w:hAnsi="宋体" w:eastAsia="宋体" w:cs="宋体"/>
                <w:iCs w:val="0"/>
                <w:color w:val="auto"/>
                <w:spacing w:val="0"/>
                <w:w w:val="100"/>
                <w:kern w:val="2"/>
                <w:position w:val="0"/>
                <w:sz w:val="21"/>
                <w:szCs w:val="21"/>
                <w:highlight w:val="none"/>
                <w:shd w:val="clear"/>
                <w:lang w:val="en-US" w:eastAsia="zh-CN" w:bidi="ar"/>
              </w:rPr>
              <w:t>每季度采购人对供应商进行服务评价，</w:t>
            </w:r>
            <w:r>
              <w:rPr>
                <w:rFonts w:hint="eastAsia" w:ascii="宋体" w:hAnsi="宋体" w:eastAsia="宋体" w:cs="宋体"/>
                <w:iCs w:val="0"/>
                <w:color w:val="auto"/>
                <w:sz w:val="21"/>
                <w:szCs w:val="21"/>
                <w:highlight w:val="none"/>
                <w:shd w:val="clear"/>
                <w:lang w:bidi="ar"/>
              </w:rPr>
              <w:t>考核标准及内容以双方签订的合同内容为基础</w:t>
            </w:r>
            <w:r>
              <w:rPr>
                <w:rFonts w:hint="eastAsia" w:ascii="宋体" w:hAnsi="宋体" w:eastAsia="宋体" w:cs="宋体"/>
                <w:iCs w:val="0"/>
                <w:color w:val="auto"/>
                <w:sz w:val="21"/>
                <w:szCs w:val="21"/>
                <w:highlight w:val="none"/>
                <w:shd w:val="clear"/>
                <w:lang w:eastAsia="zh-CN" w:bidi="ar"/>
              </w:rPr>
              <w:t>，</w:t>
            </w:r>
            <w:r>
              <w:rPr>
                <w:rFonts w:hint="eastAsia" w:ascii="宋体" w:hAnsi="宋体" w:eastAsia="宋体" w:cs="宋体"/>
                <w:iCs w:val="0"/>
                <w:color w:val="auto"/>
                <w:spacing w:val="0"/>
                <w:w w:val="100"/>
                <w:kern w:val="2"/>
                <w:position w:val="0"/>
                <w:sz w:val="21"/>
                <w:szCs w:val="21"/>
                <w:highlight w:val="none"/>
                <w:shd w:val="clear"/>
                <w:lang w:val="en-US" w:eastAsia="zh-CN" w:bidi="ar"/>
              </w:rPr>
              <w:t>采购人按照附件1《服务评价表》对供应商进行评价。每季度服务管理评价分值满分为100分。</w:t>
            </w:r>
          </w:p>
          <w:p w14:paraId="6F18F426">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宋体" w:hAnsi="宋体" w:eastAsia="宋体" w:cs="宋体"/>
                <w:iCs w:val="0"/>
                <w:color w:val="auto"/>
                <w:sz w:val="21"/>
                <w:szCs w:val="21"/>
                <w:highlight w:val="none"/>
                <w:shd w:val="clear"/>
                <w:lang w:bidi="ar"/>
              </w:rPr>
            </w:pPr>
            <w:r>
              <w:rPr>
                <w:rFonts w:hint="eastAsia" w:ascii="宋体" w:hAnsi="宋体" w:eastAsia="宋体" w:cs="宋体"/>
                <w:iCs w:val="0"/>
                <w:color w:val="auto"/>
                <w:sz w:val="21"/>
                <w:szCs w:val="21"/>
                <w:highlight w:val="none"/>
                <w:shd w:val="clear"/>
                <w:lang w:bidi="ar"/>
              </w:rPr>
              <w:t>①当季度综合得分分值在90-100分时，评价等级为“优”，当季度维保费全额支付；</w:t>
            </w:r>
          </w:p>
          <w:p w14:paraId="4DAB5723">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宋体" w:hAnsi="宋体" w:eastAsia="宋体" w:cs="宋体"/>
                <w:iCs w:val="0"/>
                <w:color w:val="auto"/>
                <w:sz w:val="21"/>
                <w:szCs w:val="21"/>
                <w:highlight w:val="none"/>
                <w:shd w:val="clear"/>
                <w:lang w:bidi="ar"/>
              </w:rPr>
            </w:pPr>
            <w:r>
              <w:rPr>
                <w:rFonts w:hint="eastAsia" w:ascii="宋体" w:hAnsi="宋体" w:eastAsia="宋体" w:cs="宋体"/>
                <w:iCs w:val="0"/>
                <w:color w:val="auto"/>
                <w:sz w:val="21"/>
                <w:szCs w:val="21"/>
                <w:highlight w:val="none"/>
                <w:shd w:val="clear"/>
                <w:lang w:bidi="ar"/>
              </w:rPr>
              <w:t>②当季度综合得分分值在80-90（不含）分时，评价等级为“良”，扣除当季度维保费的5%作为罚款；</w:t>
            </w:r>
          </w:p>
          <w:p w14:paraId="2F5B2BDD">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宋体" w:hAnsi="宋体" w:eastAsia="宋体" w:cs="宋体"/>
                <w:iCs w:val="0"/>
                <w:color w:val="auto"/>
                <w:sz w:val="21"/>
                <w:szCs w:val="21"/>
                <w:highlight w:val="none"/>
                <w:shd w:val="clear"/>
                <w:lang w:bidi="ar"/>
              </w:rPr>
            </w:pPr>
            <w:r>
              <w:rPr>
                <w:rFonts w:hint="eastAsia" w:ascii="宋体" w:hAnsi="宋体" w:eastAsia="宋体" w:cs="宋体"/>
                <w:iCs w:val="0"/>
                <w:color w:val="auto"/>
                <w:sz w:val="21"/>
                <w:szCs w:val="21"/>
                <w:highlight w:val="none"/>
                <w:shd w:val="clear"/>
                <w:lang w:bidi="ar"/>
              </w:rPr>
              <w:t>③当季度综合得分分值在70-80（不含）分时，评价等级为“中”，扣除当季度维保费的10%作为罚款；</w:t>
            </w:r>
          </w:p>
          <w:p w14:paraId="52B3EF20">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宋体" w:hAnsi="宋体" w:eastAsia="宋体" w:cs="宋体"/>
                <w:iCs w:val="0"/>
                <w:color w:val="auto"/>
                <w:sz w:val="21"/>
                <w:szCs w:val="21"/>
                <w:highlight w:val="none"/>
                <w:shd w:val="clear"/>
                <w:lang w:bidi="ar"/>
              </w:rPr>
            </w:pPr>
            <w:r>
              <w:rPr>
                <w:rFonts w:hint="eastAsia" w:ascii="宋体" w:hAnsi="宋体" w:eastAsia="宋体" w:cs="宋体"/>
                <w:iCs w:val="0"/>
                <w:color w:val="auto"/>
                <w:sz w:val="21"/>
                <w:szCs w:val="21"/>
                <w:highlight w:val="none"/>
                <w:shd w:val="clear"/>
                <w:lang w:bidi="ar"/>
              </w:rPr>
              <w:t>④当季度综合得分分值＜70分时，评价等级为“差”，扣除当季度维保费的15%作为罚款；</w:t>
            </w:r>
          </w:p>
          <w:p w14:paraId="4B8DE61A">
            <w:pPr>
              <w:keepNext w:val="0"/>
              <w:keepLines w:val="0"/>
              <w:widowControl/>
              <w:suppressLineNumbers w:val="0"/>
              <w:topLinePunct w:val="0"/>
              <w:snapToGrid/>
              <w:spacing w:before="0" w:beforeAutospacing="0" w:after="0" w:afterAutospacing="0" w:line="36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
              </w:rPr>
            </w:pPr>
            <w:r>
              <w:rPr>
                <w:rFonts w:hint="eastAsia" w:ascii="宋体" w:hAnsi="宋体" w:eastAsia="宋体" w:cs="宋体"/>
                <w:iCs w:val="0"/>
                <w:color w:val="auto"/>
                <w:sz w:val="21"/>
                <w:szCs w:val="21"/>
                <w:highlight w:val="none"/>
                <w:shd w:val="clear"/>
                <w:lang w:bidi="ar"/>
              </w:rPr>
              <w:t>⑤如合同期内出现三次季度考核分值低于70分的，采购人有权解除维保服务合同，除扣除当次合同款外，并要求供应商承担由此给采购人造成的损失或供应商支付合同总额 30%的违约金(取其高者</w:t>
            </w:r>
            <w:r>
              <w:rPr>
                <w:rFonts w:hint="eastAsia" w:ascii="宋体" w:hAnsi="宋体" w:eastAsia="宋体" w:cs="宋体"/>
                <w:iCs w:val="0"/>
                <w:color w:val="auto"/>
                <w:sz w:val="21"/>
                <w:szCs w:val="21"/>
                <w:highlight w:val="none"/>
                <w:shd w:val="clear"/>
                <w:lang w:eastAsia="zh-CN" w:bidi="ar"/>
              </w:rPr>
              <w:t>）</w:t>
            </w:r>
            <w:r>
              <w:rPr>
                <w:rFonts w:hint="eastAsia" w:ascii="宋体" w:hAnsi="宋体" w:eastAsia="宋体" w:cs="宋体"/>
                <w:iCs w:val="0"/>
                <w:color w:val="auto"/>
                <w:sz w:val="21"/>
                <w:szCs w:val="21"/>
                <w:highlight w:val="none"/>
                <w:shd w:val="clear"/>
                <w:lang w:bidi="ar"/>
              </w:rPr>
              <w:t>。</w:t>
            </w:r>
          </w:p>
        </w:tc>
      </w:tr>
      <w:bookmarkEnd w:id="57"/>
      <w:bookmarkEnd w:id="58"/>
    </w:tbl>
    <w:p w14:paraId="6ED088C6">
      <w:pPr>
        <w:rPr>
          <w:rFonts w:ascii="宋体" w:hAnsi="宋体" w:cs="宋体"/>
          <w:b/>
          <w:color w:val="auto"/>
          <w:sz w:val="32"/>
          <w:szCs w:val="32"/>
          <w:highlight w:val="none"/>
        </w:rPr>
      </w:pPr>
      <w:r>
        <w:rPr>
          <w:rFonts w:hint="eastAsia" w:ascii="Times New Roman" w:hAnsi="Times New Roman" w:eastAsia="宋体" w:cs="Times New Roman"/>
          <w:color w:val="auto"/>
          <w:sz w:val="21"/>
          <w:szCs w:val="21"/>
          <w:highlight w:val="none"/>
        </w:rPr>
        <w:br w:type="page"/>
      </w:r>
    </w:p>
    <w:p w14:paraId="30BC048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附件1：</w:t>
      </w:r>
      <w:r>
        <w:rPr>
          <w:rFonts w:hint="eastAsia" w:ascii="宋体" w:hAnsi="宋体" w:eastAsia="宋体" w:cs="宋体"/>
          <w:iCs w:val="0"/>
          <w:color w:val="auto"/>
          <w:spacing w:val="0"/>
          <w:w w:val="100"/>
          <w:kern w:val="2"/>
          <w:position w:val="0"/>
          <w:sz w:val="21"/>
          <w:szCs w:val="21"/>
          <w:highlight w:val="none"/>
          <w:shd w:val="clear"/>
          <w:lang w:val="en-US" w:eastAsia="zh-CN" w:bidi="ar"/>
        </w:rPr>
        <w:t>《服务评价表》</w:t>
      </w:r>
    </w:p>
    <w:p w14:paraId="22FC8E49">
      <w:pPr>
        <w:keepNext w:val="0"/>
        <w:keepLines w:val="0"/>
        <w:pageBreakBefore w:val="0"/>
        <w:widowControl w:val="0"/>
        <w:tabs>
          <w:tab w:val="center" w:pos="4410"/>
          <w:tab w:val="left" w:pos="6735"/>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1"/>
          <w:szCs w:val="21"/>
          <w:highlight w:val="none"/>
          <w:u w:val="single"/>
        </w:rPr>
      </w:pPr>
      <w:bookmarkStart w:id="60" w:name="_Toc300846372"/>
      <w:r>
        <w:rPr>
          <w:rFonts w:hint="eastAsia" w:ascii="宋体" w:hAnsi="宋体" w:eastAsia="宋体" w:cs="宋体"/>
          <w:b/>
          <w:bCs/>
          <w:color w:val="auto"/>
          <w:kern w:val="0"/>
          <w:sz w:val="21"/>
          <w:szCs w:val="21"/>
          <w:highlight w:val="none"/>
          <w:u w:val="single"/>
        </w:rPr>
        <w:t>放疗技术中心CT模拟定位机维保服务采购项目XXXX</w:t>
      </w:r>
      <w:r>
        <w:rPr>
          <w:rFonts w:hint="eastAsia" w:ascii="宋体" w:hAnsi="宋体" w:eastAsia="宋体" w:cs="宋体"/>
          <w:b/>
          <w:bCs/>
          <w:color w:val="auto"/>
          <w:kern w:val="0"/>
          <w:sz w:val="21"/>
          <w:szCs w:val="21"/>
          <w:highlight w:val="none"/>
        </w:rPr>
        <w:t>年第</w:t>
      </w:r>
      <w:r>
        <w:rPr>
          <w:rFonts w:hint="eastAsia" w:ascii="宋体" w:hAnsi="宋体" w:eastAsia="宋体" w:cs="宋体"/>
          <w:b/>
          <w:bCs/>
          <w:color w:val="auto"/>
          <w:kern w:val="0"/>
          <w:sz w:val="21"/>
          <w:szCs w:val="21"/>
          <w:highlight w:val="none"/>
          <w:u w:val="single"/>
        </w:rPr>
        <w:t>XX季度（X月--X月）</w:t>
      </w:r>
    </w:p>
    <w:p w14:paraId="715BDAEC">
      <w:pPr>
        <w:keepNext w:val="0"/>
        <w:keepLines w:val="0"/>
        <w:pageBreakBefore w:val="0"/>
        <w:widowControl w:val="0"/>
        <w:tabs>
          <w:tab w:val="center" w:pos="4410"/>
          <w:tab w:val="left" w:pos="6735"/>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评价</w:t>
      </w:r>
      <w:r>
        <w:rPr>
          <w:rFonts w:hint="eastAsia" w:ascii="宋体" w:hAnsi="宋体" w:eastAsia="宋体" w:cs="宋体"/>
          <w:b/>
          <w:bCs/>
          <w:color w:val="auto"/>
          <w:sz w:val="21"/>
          <w:szCs w:val="21"/>
          <w:highlight w:val="none"/>
        </w:rPr>
        <w:t>表</w:t>
      </w:r>
    </w:p>
    <w:p w14:paraId="29DA4CAA">
      <w:pPr>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考核日期：</w:t>
      </w:r>
      <w:r>
        <w:rPr>
          <w:rFonts w:hint="eastAsia" w:ascii="宋体" w:hAnsi="宋体" w:eastAsia="宋体" w:cs="宋体"/>
          <w:b w:val="0"/>
          <w:bCs w:val="0"/>
          <w:color w:val="auto"/>
          <w:kern w:val="0"/>
          <w:szCs w:val="21"/>
          <w:highlight w:val="none"/>
          <w:lang w:val="en-US" w:eastAsia="zh-CN"/>
        </w:rPr>
        <w:t xml:space="preserve">    </w:t>
      </w:r>
      <w:r>
        <w:rPr>
          <w:rFonts w:hint="eastAsia" w:ascii="宋体" w:hAnsi="宋体" w:eastAsia="宋体" w:cs="宋体"/>
          <w:b w:val="0"/>
          <w:bCs w:val="0"/>
          <w:color w:val="auto"/>
          <w:kern w:val="0"/>
          <w:szCs w:val="21"/>
          <w:highlight w:val="none"/>
        </w:rPr>
        <w:t>年  月  日</w:t>
      </w:r>
    </w:p>
    <w:tbl>
      <w:tblPr>
        <w:tblStyle w:val="29"/>
        <w:tblW w:w="9538" w:type="dxa"/>
        <w:tblInd w:w="0" w:type="dxa"/>
        <w:tblLayout w:type="fixed"/>
        <w:tblCellMar>
          <w:top w:w="0" w:type="dxa"/>
          <w:left w:w="108" w:type="dxa"/>
          <w:bottom w:w="0" w:type="dxa"/>
          <w:right w:w="108" w:type="dxa"/>
        </w:tblCellMar>
      </w:tblPr>
      <w:tblGrid>
        <w:gridCol w:w="698"/>
        <w:gridCol w:w="1443"/>
        <w:gridCol w:w="5749"/>
        <w:gridCol w:w="889"/>
        <w:gridCol w:w="759"/>
      </w:tblGrid>
      <w:tr w14:paraId="0437592C">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CB76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59826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评价项目</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25A55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评价内容</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630B2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服务评价得分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68E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备注</w:t>
            </w:r>
          </w:p>
        </w:tc>
      </w:tr>
      <w:tr w14:paraId="241EBC13">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9CC1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43C34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设备开机率（</w:t>
            </w:r>
            <w:r>
              <w:rPr>
                <w:rFonts w:hint="eastAsia" w:ascii="宋体" w:hAnsi="宋体" w:eastAsia="宋体" w:cs="宋体"/>
                <w:b w:val="0"/>
                <w:bCs w:val="0"/>
                <w:color w:val="auto"/>
                <w:kern w:val="0"/>
                <w:sz w:val="21"/>
                <w:szCs w:val="21"/>
                <w:highlight w:val="none"/>
              </w:rPr>
              <w:t>满分</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bidi="ar"/>
              </w:rPr>
              <w:t>分）</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4FD9D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设备</w:t>
            </w:r>
            <w:r>
              <w:rPr>
                <w:rFonts w:hint="eastAsia" w:ascii="宋体" w:hAnsi="宋体" w:eastAsia="宋体" w:cs="宋体"/>
                <w:b w:val="0"/>
                <w:bCs w:val="0"/>
                <w:color w:val="auto"/>
                <w:kern w:val="0"/>
                <w:sz w:val="21"/>
                <w:szCs w:val="21"/>
                <w:highlight w:val="none"/>
                <w:lang w:val="en-US" w:eastAsia="zh-CN" w:bidi="ar"/>
              </w:rPr>
              <w:t>季度</w:t>
            </w:r>
            <w:r>
              <w:rPr>
                <w:rFonts w:hint="eastAsia" w:ascii="宋体" w:hAnsi="宋体" w:eastAsia="宋体" w:cs="宋体"/>
                <w:b w:val="0"/>
                <w:bCs w:val="0"/>
                <w:color w:val="auto"/>
                <w:kern w:val="0"/>
                <w:sz w:val="21"/>
                <w:szCs w:val="21"/>
                <w:highlight w:val="none"/>
                <w:lang w:bidi="ar"/>
              </w:rPr>
              <w:t>平均开机率达到</w:t>
            </w:r>
            <w:r>
              <w:rPr>
                <w:rFonts w:hint="eastAsia" w:ascii="宋体" w:hAnsi="宋体" w:eastAsia="宋体" w:cs="宋体"/>
                <w:b w:val="0"/>
                <w:bCs w:val="0"/>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eastAsia="宋体" w:cs="宋体"/>
                <w:b w:val="0"/>
                <w:bCs w:val="0"/>
                <w:color w:val="auto"/>
                <w:kern w:val="0"/>
                <w:sz w:val="21"/>
                <w:szCs w:val="21"/>
                <w:highlight w:val="none"/>
                <w:lang w:bidi="ar"/>
              </w:rPr>
              <w:t>95%</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得</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分</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在设备季度平均开机率95%的基准上，每降低1%开</w:t>
            </w:r>
            <w:r>
              <w:rPr>
                <w:rFonts w:hint="eastAsia" w:ascii="宋体" w:hAnsi="宋体" w:cs="宋体"/>
                <w:b w:val="0"/>
                <w:bCs w:val="0"/>
                <w:color w:val="auto"/>
                <w:kern w:val="0"/>
                <w:sz w:val="21"/>
                <w:szCs w:val="21"/>
                <w:highlight w:val="none"/>
                <w:lang w:val="en-US" w:eastAsia="zh-CN" w:bidi="ar"/>
              </w:rPr>
              <w:t>机</w:t>
            </w:r>
            <w:r>
              <w:rPr>
                <w:rFonts w:hint="eastAsia" w:ascii="宋体" w:hAnsi="宋体" w:eastAsia="宋体" w:cs="宋体"/>
                <w:b w:val="0"/>
                <w:bCs w:val="0"/>
                <w:color w:val="auto"/>
                <w:kern w:val="0"/>
                <w:sz w:val="21"/>
                <w:szCs w:val="21"/>
                <w:highlight w:val="none"/>
                <w:lang w:val="en-US" w:eastAsia="zh-CN" w:bidi="ar"/>
              </w:rPr>
              <w:t>率扣</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7275C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lang w:val="en-US" w:eastAsia="zh-CN"/>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544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0CD457AF">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1572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7FBF5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维修效率</w:t>
            </w:r>
          </w:p>
          <w:p w14:paraId="7D9CA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（满分</w:t>
            </w:r>
            <w:r>
              <w:rPr>
                <w:rFonts w:hint="eastAsia" w:ascii="宋体" w:hAnsi="宋体" w:eastAsia="宋体" w:cs="宋体"/>
                <w:b w:val="0"/>
                <w:bCs w:val="0"/>
                <w:color w:val="auto"/>
                <w:kern w:val="0"/>
                <w:sz w:val="21"/>
                <w:szCs w:val="21"/>
                <w:highlight w:val="none"/>
                <w:lang w:val="en-US" w:eastAsia="zh-CN"/>
              </w:rPr>
              <w:t>25</w:t>
            </w:r>
            <w:r>
              <w:rPr>
                <w:rFonts w:hint="eastAsia" w:ascii="宋体" w:hAnsi="宋体" w:eastAsia="宋体" w:cs="宋体"/>
                <w:b w:val="0"/>
                <w:bCs w:val="0"/>
                <w:color w:val="auto"/>
                <w:kern w:val="0"/>
                <w:sz w:val="21"/>
                <w:szCs w:val="21"/>
                <w:highlight w:val="none"/>
              </w:rPr>
              <w:t>分）</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0AD6F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1.接到报修后，</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小时内响应，得</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分；每超出 1 小时扣</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分，超出5小时不得分。</w:t>
            </w:r>
          </w:p>
          <w:p w14:paraId="1A2B3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2.简单故障（</w:t>
            </w:r>
            <w:r>
              <w:rPr>
                <w:rFonts w:hint="eastAsia" w:ascii="宋体" w:hAnsi="宋体" w:eastAsia="宋体" w:cs="宋体"/>
                <w:b w:val="0"/>
                <w:bCs w:val="0"/>
                <w:color w:val="auto"/>
                <w:sz w:val="21"/>
                <w:szCs w:val="21"/>
                <w:highlight w:val="none"/>
              </w:rPr>
              <w:t>不需要更换零件</w:t>
            </w:r>
            <w:r>
              <w:rPr>
                <w:rFonts w:hint="eastAsia" w:ascii="宋体" w:hAnsi="宋体" w:eastAsia="宋体" w:cs="宋体"/>
                <w:b w:val="0"/>
                <w:bCs w:val="0"/>
                <w:color w:val="auto"/>
                <w:kern w:val="0"/>
                <w:sz w:val="21"/>
                <w:szCs w:val="21"/>
                <w:highlight w:val="none"/>
              </w:rPr>
              <w:t>）24小时内修复，得10分；每超出12小时扣</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分，超出</w:t>
            </w:r>
            <w:r>
              <w:rPr>
                <w:rFonts w:hint="eastAsia" w:ascii="宋体" w:hAnsi="宋体" w:cs="宋体"/>
                <w:b w:val="0"/>
                <w:bCs w:val="0"/>
                <w:color w:val="auto"/>
                <w:kern w:val="0"/>
                <w:sz w:val="21"/>
                <w:szCs w:val="21"/>
                <w:highlight w:val="none"/>
                <w:lang w:val="en-US" w:eastAsia="zh-CN"/>
              </w:rPr>
              <w:t>48</w:t>
            </w:r>
            <w:r>
              <w:rPr>
                <w:rFonts w:hint="eastAsia" w:ascii="宋体" w:hAnsi="宋体" w:eastAsia="宋体" w:cs="宋体"/>
                <w:b w:val="0"/>
                <w:bCs w:val="0"/>
                <w:color w:val="auto"/>
                <w:kern w:val="0"/>
                <w:sz w:val="21"/>
                <w:szCs w:val="21"/>
                <w:highlight w:val="none"/>
              </w:rPr>
              <w:t>小时不得分。</w:t>
            </w:r>
          </w:p>
          <w:p w14:paraId="453DA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3.复杂故障（</w:t>
            </w:r>
            <w:r>
              <w:rPr>
                <w:rFonts w:hint="eastAsia" w:ascii="宋体" w:hAnsi="宋体" w:eastAsia="宋体" w:cs="宋体"/>
                <w:b w:val="0"/>
                <w:bCs w:val="0"/>
                <w:color w:val="auto"/>
                <w:sz w:val="21"/>
                <w:szCs w:val="21"/>
                <w:highlight w:val="none"/>
              </w:rPr>
              <w:t>需要更换零件</w:t>
            </w:r>
            <w:r>
              <w:rPr>
                <w:rFonts w:hint="eastAsia" w:ascii="宋体" w:hAnsi="宋体" w:eastAsia="宋体" w:cs="宋体"/>
                <w:b w:val="0"/>
                <w:bCs w:val="0"/>
                <w:color w:val="auto"/>
                <w:kern w:val="0"/>
                <w:sz w:val="21"/>
                <w:szCs w:val="21"/>
                <w:highlight w:val="none"/>
              </w:rPr>
              <w:t>）在双方约定时间内修复，得 10 分；每超出约定时间1天扣4分，超出3天不得分。</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4B718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lang w:val="en-US" w:eastAsia="zh-CN"/>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4C69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4FB66DDF">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708B8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04C16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维修效果</w:t>
            </w:r>
          </w:p>
          <w:p w14:paraId="7CDEE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（满分</w:t>
            </w:r>
            <w:r>
              <w:rPr>
                <w:rFonts w:hint="eastAsia" w:ascii="宋体" w:hAnsi="宋体" w:cs="宋体"/>
                <w:b w:val="0"/>
                <w:bCs w:val="0"/>
                <w:color w:val="auto"/>
                <w:kern w:val="0"/>
                <w:sz w:val="21"/>
                <w:szCs w:val="21"/>
                <w:highlight w:val="none"/>
                <w:lang w:val="en-US" w:eastAsia="zh-CN"/>
              </w:rPr>
              <w:t>45</w:t>
            </w:r>
            <w:r>
              <w:rPr>
                <w:rFonts w:hint="eastAsia" w:ascii="宋体" w:hAnsi="宋体" w:eastAsia="宋体" w:cs="宋体"/>
                <w:b w:val="0"/>
                <w:bCs w:val="0"/>
                <w:color w:val="auto"/>
                <w:kern w:val="0"/>
                <w:sz w:val="21"/>
                <w:szCs w:val="21"/>
                <w:highlight w:val="none"/>
              </w:rPr>
              <w:t>分）</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3C649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1.维修后设备运行稳定，1 个月内相同故障复发 1 次扣 5 分，</w:t>
            </w:r>
            <w:r>
              <w:rPr>
                <w:rFonts w:hint="eastAsia" w:ascii="宋体" w:hAnsi="宋体" w:cs="宋体"/>
                <w:b w:val="0"/>
                <w:bCs w:val="0"/>
                <w:color w:val="auto"/>
                <w:kern w:val="0"/>
                <w:sz w:val="21"/>
                <w:szCs w:val="21"/>
                <w:highlight w:val="none"/>
                <w:lang w:eastAsia="zh-CN"/>
              </w:rPr>
              <w:t>累计</w:t>
            </w:r>
            <w:r>
              <w:rPr>
                <w:rFonts w:hint="eastAsia" w:ascii="宋体" w:hAnsi="宋体" w:eastAsia="宋体" w:cs="宋体"/>
                <w:b w:val="0"/>
                <w:bCs w:val="0"/>
                <w:color w:val="auto"/>
                <w:kern w:val="0"/>
                <w:sz w:val="21"/>
                <w:szCs w:val="21"/>
                <w:highlight w:val="none"/>
              </w:rPr>
              <w:t>复发 2 次</w:t>
            </w:r>
            <w:r>
              <w:rPr>
                <w:rFonts w:hint="eastAsia" w:ascii="宋体" w:hAnsi="宋体" w:cs="宋体"/>
                <w:b w:val="0"/>
                <w:bCs w:val="0"/>
                <w:color w:val="auto"/>
                <w:kern w:val="0"/>
                <w:sz w:val="21"/>
                <w:szCs w:val="21"/>
                <w:highlight w:val="none"/>
                <w:lang w:eastAsia="zh-CN"/>
              </w:rPr>
              <w:t>扣</w:t>
            </w:r>
            <w:r>
              <w:rPr>
                <w:rFonts w:hint="eastAsia" w:ascii="宋体" w:hAnsi="宋体" w:cs="宋体"/>
                <w:b w:val="0"/>
                <w:bCs w:val="0"/>
                <w:color w:val="auto"/>
                <w:kern w:val="0"/>
                <w:sz w:val="21"/>
                <w:szCs w:val="21"/>
                <w:highlight w:val="none"/>
                <w:lang w:val="en-US" w:eastAsia="zh-CN"/>
              </w:rPr>
              <w:t>15，累计复发3次扣30分，3次</w:t>
            </w:r>
            <w:r>
              <w:rPr>
                <w:rFonts w:hint="eastAsia" w:ascii="宋体" w:hAnsi="宋体" w:cs="宋体"/>
                <w:b w:val="0"/>
                <w:bCs w:val="0"/>
                <w:color w:val="auto"/>
                <w:kern w:val="0"/>
                <w:sz w:val="21"/>
                <w:szCs w:val="21"/>
                <w:highlight w:val="none"/>
                <w:lang w:eastAsia="zh-CN"/>
              </w:rPr>
              <w:t>以上扣</w:t>
            </w:r>
            <w:r>
              <w:rPr>
                <w:rFonts w:hint="eastAsia" w:ascii="宋体" w:hAnsi="宋体" w:cs="宋体"/>
                <w:b w:val="0"/>
                <w:bCs w:val="0"/>
                <w:color w:val="auto"/>
                <w:kern w:val="0"/>
                <w:sz w:val="21"/>
                <w:szCs w:val="21"/>
                <w:highlight w:val="none"/>
                <w:lang w:val="en-US" w:eastAsia="zh-CN"/>
              </w:rPr>
              <w:t>45分</w:t>
            </w:r>
            <w:r>
              <w:rPr>
                <w:rFonts w:hint="eastAsia" w:ascii="宋体" w:hAnsi="宋体" w:eastAsia="宋体" w:cs="宋体"/>
                <w:b w:val="0"/>
                <w:bCs w:val="0"/>
                <w:color w:val="auto"/>
                <w:kern w:val="0"/>
                <w:sz w:val="21"/>
                <w:szCs w:val="21"/>
                <w:highlight w:val="none"/>
              </w:rPr>
              <w:t>。</w:t>
            </w:r>
          </w:p>
          <w:p w14:paraId="1F75F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2.维修质量</w:t>
            </w:r>
            <w:r>
              <w:rPr>
                <w:rFonts w:hint="eastAsia" w:ascii="宋体" w:hAnsi="宋体" w:cs="宋体"/>
                <w:b w:val="0"/>
                <w:bCs w:val="0"/>
                <w:color w:val="auto"/>
                <w:kern w:val="0"/>
                <w:sz w:val="21"/>
                <w:szCs w:val="21"/>
                <w:highlight w:val="none"/>
                <w:lang w:eastAsia="zh-CN"/>
              </w:rPr>
              <w:t>不</w:t>
            </w:r>
            <w:r>
              <w:rPr>
                <w:rFonts w:hint="eastAsia" w:ascii="宋体" w:hAnsi="宋体" w:eastAsia="宋体" w:cs="宋体"/>
                <w:b w:val="0"/>
                <w:bCs w:val="0"/>
                <w:color w:val="auto"/>
                <w:kern w:val="0"/>
                <w:sz w:val="21"/>
                <w:szCs w:val="21"/>
                <w:highlight w:val="none"/>
              </w:rPr>
              <w:t>符合相关标准和技术要求，</w:t>
            </w:r>
            <w:r>
              <w:rPr>
                <w:rFonts w:hint="eastAsia" w:ascii="宋体" w:hAnsi="宋体" w:cs="宋体"/>
                <w:b w:val="0"/>
                <w:bCs w:val="0"/>
                <w:color w:val="auto"/>
                <w:kern w:val="0"/>
                <w:sz w:val="21"/>
                <w:szCs w:val="21"/>
                <w:highlight w:val="none"/>
                <w:lang w:eastAsia="zh-CN"/>
              </w:rPr>
              <w:t>扣</w:t>
            </w:r>
            <w:r>
              <w:rPr>
                <w:rFonts w:hint="eastAsia" w:ascii="宋体" w:hAnsi="宋体" w:eastAsia="宋体" w:cs="宋体"/>
                <w:b w:val="0"/>
                <w:bCs w:val="0"/>
                <w:color w:val="auto"/>
                <w:kern w:val="0"/>
                <w:sz w:val="21"/>
                <w:szCs w:val="21"/>
                <w:highlight w:val="none"/>
              </w:rPr>
              <w:t xml:space="preserve"> 10 分；</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3F6E7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lang w:val="en-US" w:eastAsia="zh-CN"/>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547E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18CAA8D4">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29A2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55EB8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服务态度</w:t>
            </w:r>
          </w:p>
          <w:p w14:paraId="78630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（满分</w:t>
            </w:r>
            <w:r>
              <w:rPr>
                <w:rFonts w:hint="eastAsia" w:ascii="宋体" w:hAnsi="宋体" w:eastAsia="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rPr>
              <w:t>分）</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1BEE7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1.服务人员热情、耐心、礼貌，得</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 xml:space="preserve"> 分；出现态度不好的情况每次扣 2 分。</w:t>
            </w:r>
          </w:p>
          <w:p w14:paraId="3A38E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2.积极配合医院相关工作，及时提供维修报告和相关资料，得 </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 xml:space="preserve"> 分；不配合或未及时提供每次扣 2 分。</w:t>
            </w:r>
          </w:p>
          <w:p w14:paraId="14E38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 xml:space="preserve">3.主动回访，了解设备使用情况，得 </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 xml:space="preserve"> 分；未回访不得分。</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70C89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lang w:val="en-US" w:eastAsia="zh-CN"/>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2DD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02422F89">
        <w:tblPrEx>
          <w:tblCellMar>
            <w:top w:w="0" w:type="dxa"/>
            <w:left w:w="108" w:type="dxa"/>
            <w:bottom w:w="0" w:type="dxa"/>
            <w:right w:w="108" w:type="dxa"/>
          </w:tblCellMar>
        </w:tblPrEx>
        <w:trPr>
          <w:trHeight w:val="67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139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2944C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7FE98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rPr>
              <w:t>满分</w:t>
            </w:r>
            <w:r>
              <w:rPr>
                <w:rFonts w:hint="eastAsia" w:ascii="宋体" w:hAnsi="宋体" w:eastAsia="宋体" w:cs="宋体"/>
                <w:color w:val="auto"/>
                <w:sz w:val="21"/>
                <w:szCs w:val="21"/>
                <w:highlight w:val="none"/>
              </w:rPr>
              <w:t>5分）</w:t>
            </w:r>
          </w:p>
        </w:tc>
        <w:tc>
          <w:tcPr>
            <w:tcW w:w="5749" w:type="dxa"/>
            <w:tcBorders>
              <w:top w:val="single" w:color="000000" w:sz="4" w:space="0"/>
              <w:left w:val="single" w:color="000000" w:sz="4" w:space="0"/>
              <w:bottom w:val="single" w:color="000000" w:sz="4" w:space="0"/>
              <w:right w:val="single" w:color="000000" w:sz="4" w:space="0"/>
            </w:tcBorders>
            <w:noWrap/>
            <w:vAlign w:val="center"/>
          </w:tcPr>
          <w:p w14:paraId="220BB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按照医院要求完成设备</w:t>
            </w:r>
            <w:r>
              <w:rPr>
                <w:rFonts w:hint="eastAsia" w:ascii="宋体" w:hAnsi="宋体" w:eastAsia="宋体" w:cs="宋体"/>
                <w:color w:val="auto"/>
                <w:sz w:val="21"/>
                <w:szCs w:val="21"/>
                <w:highlight w:val="none"/>
                <w:lang w:val="en-US" w:eastAsia="zh-CN"/>
              </w:rPr>
              <w:t>维保</w:t>
            </w:r>
            <w:r>
              <w:rPr>
                <w:rFonts w:hint="eastAsia" w:ascii="宋体" w:hAnsi="宋体" w:eastAsia="宋体" w:cs="宋体"/>
                <w:color w:val="auto"/>
                <w:sz w:val="21"/>
                <w:szCs w:val="21"/>
                <w:highlight w:val="none"/>
              </w:rPr>
              <w:t>相关事宜</w:t>
            </w:r>
            <w:r>
              <w:rPr>
                <w:rFonts w:hint="eastAsia" w:ascii="宋体" w:hAnsi="宋体" w:eastAsia="宋体" w:cs="宋体"/>
                <w:color w:val="auto"/>
                <w:sz w:val="21"/>
                <w:szCs w:val="21"/>
                <w:highlight w:val="none"/>
                <w:lang w:eastAsia="zh-CN"/>
              </w:rPr>
              <w:t>。</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08A34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lang w:val="en-US" w:eastAsia="zh-CN"/>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E7D0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5C27D66B">
        <w:tblPrEx>
          <w:tblCellMar>
            <w:top w:w="0" w:type="dxa"/>
            <w:left w:w="108" w:type="dxa"/>
            <w:bottom w:w="0" w:type="dxa"/>
            <w:right w:w="108" w:type="dxa"/>
          </w:tblCellMar>
        </w:tblPrEx>
        <w:trPr>
          <w:trHeight w:val="290" w:hRule="atLeast"/>
        </w:trPr>
        <w:tc>
          <w:tcPr>
            <w:tcW w:w="7890" w:type="dxa"/>
            <w:gridSpan w:val="3"/>
            <w:tcBorders>
              <w:top w:val="single" w:color="000000" w:sz="4" w:space="0"/>
              <w:left w:val="single" w:color="000000" w:sz="4" w:space="0"/>
              <w:bottom w:val="single" w:color="000000" w:sz="4" w:space="0"/>
              <w:right w:val="single" w:color="000000" w:sz="4" w:space="0"/>
            </w:tcBorders>
            <w:noWrap/>
            <w:vAlign w:val="center"/>
          </w:tcPr>
          <w:p w14:paraId="6407B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Cs w:val="21"/>
                <w:highlight w:val="none"/>
              </w:rPr>
              <w:t>综合得分（满分100分）</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76C88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402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p>
        </w:tc>
      </w:tr>
      <w:tr w14:paraId="60CE4C87">
        <w:tblPrEx>
          <w:tblCellMar>
            <w:top w:w="0" w:type="dxa"/>
            <w:left w:w="108" w:type="dxa"/>
            <w:bottom w:w="0" w:type="dxa"/>
            <w:right w:w="108" w:type="dxa"/>
          </w:tblCellMar>
        </w:tblPrEx>
        <w:trPr>
          <w:trHeight w:val="286" w:hRule="atLeast"/>
        </w:trPr>
        <w:tc>
          <w:tcPr>
            <w:tcW w:w="7890" w:type="dxa"/>
            <w:gridSpan w:val="3"/>
            <w:tcBorders>
              <w:top w:val="single" w:color="000000" w:sz="4" w:space="0"/>
              <w:left w:val="single" w:color="000000" w:sz="4" w:space="0"/>
              <w:bottom w:val="single" w:color="000000" w:sz="4" w:space="0"/>
              <w:right w:val="single" w:color="000000" w:sz="4" w:space="0"/>
            </w:tcBorders>
            <w:noWrap/>
            <w:vAlign w:val="center"/>
          </w:tcPr>
          <w:p w14:paraId="487DD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评价等级（优、良、中、差）</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5F3E3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B3A7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宋体" w:hAnsi="宋体" w:eastAsia="宋体" w:cs="宋体"/>
                <w:color w:val="auto"/>
                <w:sz w:val="21"/>
                <w:szCs w:val="21"/>
                <w:highlight w:val="none"/>
              </w:rPr>
            </w:pPr>
          </w:p>
        </w:tc>
      </w:tr>
      <w:tr w14:paraId="0ACAB941">
        <w:tblPrEx>
          <w:tblCellMar>
            <w:top w:w="0" w:type="dxa"/>
            <w:left w:w="108" w:type="dxa"/>
            <w:bottom w:w="0" w:type="dxa"/>
            <w:right w:w="108" w:type="dxa"/>
          </w:tblCellMar>
        </w:tblPrEx>
        <w:trPr>
          <w:trHeight w:val="430" w:hRule="atLeast"/>
        </w:trPr>
        <w:tc>
          <w:tcPr>
            <w:tcW w:w="9538" w:type="dxa"/>
            <w:gridSpan w:val="5"/>
            <w:tcBorders>
              <w:top w:val="single" w:color="000000" w:sz="4" w:space="0"/>
              <w:left w:val="single" w:color="000000" w:sz="4" w:space="0"/>
              <w:bottom w:val="single" w:color="000000" w:sz="4" w:space="0"/>
              <w:right w:val="single" w:color="000000" w:sz="4" w:space="0"/>
            </w:tcBorders>
            <w:noWrap/>
            <w:vAlign w:val="center"/>
          </w:tcPr>
          <w:p w14:paraId="12AAD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Cs w:val="21"/>
                <w:highlight w:val="none"/>
              </w:rPr>
              <w:t>考核单位（部门）签字或盖章：</w:t>
            </w:r>
          </w:p>
        </w:tc>
      </w:tr>
      <w:tr w14:paraId="0FD247ED">
        <w:tblPrEx>
          <w:tblCellMar>
            <w:top w:w="0" w:type="dxa"/>
            <w:left w:w="108" w:type="dxa"/>
            <w:bottom w:w="0" w:type="dxa"/>
            <w:right w:w="108" w:type="dxa"/>
          </w:tblCellMar>
        </w:tblPrEx>
        <w:trPr>
          <w:trHeight w:val="494" w:hRule="atLeast"/>
        </w:trPr>
        <w:tc>
          <w:tcPr>
            <w:tcW w:w="9538" w:type="dxa"/>
            <w:gridSpan w:val="5"/>
            <w:tcBorders>
              <w:top w:val="single" w:color="000000" w:sz="4" w:space="0"/>
              <w:left w:val="single" w:color="000000" w:sz="4" w:space="0"/>
              <w:bottom w:val="single" w:color="000000" w:sz="4" w:space="0"/>
              <w:right w:val="single" w:color="000000" w:sz="4" w:space="0"/>
            </w:tcBorders>
            <w:noWrap/>
            <w:vAlign w:val="center"/>
          </w:tcPr>
          <w:p w14:paraId="722CA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Cs w:val="21"/>
                <w:highlight w:val="none"/>
              </w:rPr>
              <w:t>被考核单位（部门）签字或盖章：</w:t>
            </w:r>
          </w:p>
        </w:tc>
      </w:tr>
      <w:tr w14:paraId="6F416B33">
        <w:tblPrEx>
          <w:tblCellMar>
            <w:top w:w="0" w:type="dxa"/>
            <w:left w:w="108" w:type="dxa"/>
            <w:bottom w:w="0" w:type="dxa"/>
            <w:right w:w="108" w:type="dxa"/>
          </w:tblCellMar>
        </w:tblPrEx>
        <w:trPr>
          <w:trHeight w:val="477" w:hRule="atLeast"/>
        </w:trPr>
        <w:tc>
          <w:tcPr>
            <w:tcW w:w="9538" w:type="dxa"/>
            <w:gridSpan w:val="5"/>
            <w:tcBorders>
              <w:top w:val="single" w:color="000000" w:sz="4" w:space="0"/>
              <w:left w:val="single" w:color="000000" w:sz="4" w:space="0"/>
              <w:bottom w:val="single" w:color="000000" w:sz="4" w:space="0"/>
              <w:right w:val="single" w:color="000000" w:sz="4" w:space="0"/>
            </w:tcBorders>
            <w:noWrap w:val="0"/>
            <w:vAlign w:val="center"/>
          </w:tcPr>
          <w:p w14:paraId="35948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备注：考核标准及内容以双方签订的合同内容为基础，采购人每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对成交供应商进行考核</w:t>
            </w:r>
            <w:r>
              <w:rPr>
                <w:rFonts w:hint="eastAsia" w:ascii="宋体" w:hAnsi="宋体" w:eastAsia="宋体" w:cs="宋体"/>
                <w:color w:val="auto"/>
                <w:sz w:val="21"/>
                <w:szCs w:val="21"/>
                <w:highlight w:val="none"/>
                <w:lang w:eastAsia="zh-CN"/>
              </w:rPr>
              <w:t>：</w:t>
            </w:r>
          </w:p>
          <w:p w14:paraId="552D5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①当季度综合得分分值在90-100分时，评价等级为“优”，当季度维保费全额支付；</w:t>
            </w:r>
          </w:p>
          <w:p w14:paraId="7F767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②当季度综合得分分值在80-90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分时，评价等级为“良”，扣除当季度维保费的5%作为罚款；</w:t>
            </w:r>
          </w:p>
          <w:p w14:paraId="18612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③当季度综合得分分值在70-80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分时，评价等级为“中”，扣除当季度维保费的10%作为罚款；</w:t>
            </w:r>
          </w:p>
          <w:p w14:paraId="44A6AF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4" w:firstLineChars="202"/>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④当季度综合得分分值＜70分时，评价等级为“差”，扣除当季度维保费的15%作为罚款</w:t>
            </w:r>
            <w:r>
              <w:rPr>
                <w:rFonts w:hint="eastAsia" w:ascii="宋体" w:hAnsi="宋体" w:eastAsia="宋体" w:cs="宋体"/>
                <w:color w:val="auto"/>
                <w:szCs w:val="21"/>
                <w:highlight w:val="none"/>
                <w:lang w:val="en-US" w:eastAsia="zh-CN"/>
              </w:rPr>
              <w:t>；</w:t>
            </w:r>
          </w:p>
          <w:p w14:paraId="7535C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⑤如合</w:t>
            </w:r>
            <w:r>
              <w:rPr>
                <w:rFonts w:hint="eastAsia" w:ascii="宋体" w:hAnsi="宋体" w:eastAsia="宋体" w:cs="宋体"/>
                <w:color w:val="auto"/>
                <w:szCs w:val="21"/>
                <w:highlight w:val="none"/>
                <w:lang w:val="en-US" w:eastAsia="zh-CN"/>
              </w:rPr>
              <w:t>同</w:t>
            </w:r>
            <w:r>
              <w:rPr>
                <w:rFonts w:hint="eastAsia" w:ascii="宋体" w:hAnsi="宋体" w:eastAsia="宋体" w:cs="宋体"/>
                <w:color w:val="auto"/>
                <w:szCs w:val="21"/>
                <w:highlight w:val="none"/>
              </w:rPr>
              <w:t>期内出现三次季度考</w:t>
            </w:r>
            <w:r>
              <w:rPr>
                <w:rFonts w:hint="eastAsia" w:ascii="宋体" w:hAnsi="宋体" w:eastAsia="宋体" w:cs="宋体"/>
                <w:color w:val="auto"/>
                <w:szCs w:val="21"/>
                <w:highlight w:val="none"/>
                <w:lang w:val="en-US" w:eastAsia="zh-CN"/>
              </w:rPr>
              <w:t>核</w:t>
            </w:r>
            <w:r>
              <w:rPr>
                <w:rFonts w:hint="eastAsia" w:ascii="宋体" w:hAnsi="宋体" w:eastAsia="宋体" w:cs="宋体"/>
                <w:color w:val="auto"/>
                <w:szCs w:val="21"/>
                <w:highlight w:val="none"/>
              </w:rPr>
              <w:t>分值低于70分的，采购人有权解除维保服务合同，除扣除当次合同款外，并要求供应商承担由此给采购人造成的损失或供应商支付合同总额 30%的违约金(取其高者)。</w:t>
            </w:r>
          </w:p>
        </w:tc>
      </w:tr>
      <w:bookmarkEnd w:id="60"/>
    </w:tbl>
    <w:p w14:paraId="44C09B1C">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B3A414E">
      <w:pPr>
        <w:bidi w:val="0"/>
        <w:rPr>
          <w:rFonts w:hint="eastAsia" w:ascii="宋体" w:hAnsi="宋体" w:eastAsia="宋体" w:cs="宋体"/>
          <w:color w:val="auto"/>
          <w:szCs w:val="21"/>
          <w:highlight w:val="none"/>
        </w:rPr>
      </w:pPr>
    </w:p>
    <w:p w14:paraId="7B83F04C">
      <w:pPr>
        <w:spacing w:line="428"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719D6A9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节能产品政府采购品目清单</w:t>
      </w:r>
    </w:p>
    <w:tbl>
      <w:tblPr>
        <w:tblStyle w:val="29"/>
        <w:tblW w:w="9220" w:type="dxa"/>
        <w:tblInd w:w="93" w:type="dxa"/>
        <w:tblLayout w:type="fixed"/>
        <w:tblCellMar>
          <w:top w:w="0" w:type="dxa"/>
          <w:left w:w="108" w:type="dxa"/>
          <w:bottom w:w="0" w:type="dxa"/>
          <w:right w:w="108" w:type="dxa"/>
        </w:tblCellMar>
      </w:tblPr>
      <w:tblGrid>
        <w:gridCol w:w="733"/>
        <w:gridCol w:w="1024"/>
        <w:gridCol w:w="1516"/>
        <w:gridCol w:w="1612"/>
        <w:gridCol w:w="4335"/>
      </w:tblGrid>
      <w:tr w14:paraId="71C9F2E0">
        <w:tblPrEx>
          <w:tblCellMar>
            <w:top w:w="0" w:type="dxa"/>
            <w:left w:w="108" w:type="dxa"/>
            <w:bottom w:w="0" w:type="dxa"/>
            <w:right w:w="108" w:type="dxa"/>
          </w:tblCellMar>
        </w:tblPrEx>
        <w:trPr>
          <w:trHeight w:val="555" w:hRule="atLeast"/>
        </w:trPr>
        <w:tc>
          <w:tcPr>
            <w:tcW w:w="733" w:type="dxa"/>
            <w:tcBorders>
              <w:top w:val="single" w:color="000000" w:sz="8" w:space="0"/>
              <w:left w:val="single" w:color="000000" w:sz="8" w:space="0"/>
              <w:bottom w:val="single" w:color="000000" w:sz="8" w:space="0"/>
              <w:right w:val="single" w:color="000000" w:sz="8" w:space="0"/>
            </w:tcBorders>
          </w:tcPr>
          <w:p w14:paraId="132AD1CB">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品目序号</w:t>
            </w:r>
          </w:p>
        </w:tc>
        <w:tc>
          <w:tcPr>
            <w:tcW w:w="4152" w:type="dxa"/>
            <w:gridSpan w:val="3"/>
            <w:tcBorders>
              <w:top w:val="single" w:color="000000" w:sz="8" w:space="0"/>
              <w:left w:val="nil"/>
              <w:bottom w:val="single" w:color="000000" w:sz="8" w:space="0"/>
              <w:right w:val="single" w:color="000000" w:sz="8" w:space="0"/>
            </w:tcBorders>
            <w:vAlign w:val="center"/>
          </w:tcPr>
          <w:p w14:paraId="61F47FC4">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4335" w:type="dxa"/>
            <w:tcBorders>
              <w:top w:val="single" w:color="000000" w:sz="8" w:space="0"/>
              <w:left w:val="nil"/>
              <w:bottom w:val="single" w:color="000000" w:sz="8" w:space="0"/>
              <w:right w:val="single" w:color="000000" w:sz="8" w:space="0"/>
            </w:tcBorders>
            <w:vAlign w:val="center"/>
          </w:tcPr>
          <w:p w14:paraId="7FEA87FB">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依据的标准</w:t>
            </w:r>
          </w:p>
        </w:tc>
      </w:tr>
      <w:tr w14:paraId="23F052AC">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0BB894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24" w:type="dxa"/>
            <w:vMerge w:val="restart"/>
            <w:tcBorders>
              <w:top w:val="nil"/>
              <w:left w:val="single" w:color="000000" w:sz="8" w:space="0"/>
              <w:bottom w:val="single" w:color="000000" w:sz="8" w:space="0"/>
              <w:right w:val="single" w:color="000000" w:sz="8" w:space="0"/>
            </w:tcBorders>
            <w:vAlign w:val="center"/>
          </w:tcPr>
          <w:p w14:paraId="033998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vAlign w:val="center"/>
          </w:tcPr>
          <w:p w14:paraId="7802CF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vAlign w:val="center"/>
          </w:tcPr>
          <w:p w14:paraId="632522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C5D15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EBEAFE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1EB9516">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29C29AB0">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763436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vAlign w:val="center"/>
          </w:tcPr>
          <w:p w14:paraId="23BAB66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824A5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ED9F66E">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2A34DB85">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029B9A4F">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BFC4B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vAlign w:val="center"/>
          </w:tcPr>
          <w:p w14:paraId="00C76C2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919D8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AAB4E10">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1C876D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24" w:type="dxa"/>
            <w:vMerge w:val="restart"/>
            <w:tcBorders>
              <w:top w:val="nil"/>
              <w:left w:val="single" w:color="000000" w:sz="8" w:space="0"/>
              <w:bottom w:val="single" w:color="000000" w:sz="8" w:space="0"/>
              <w:right w:val="single" w:color="000000" w:sz="8" w:space="0"/>
            </w:tcBorders>
            <w:vAlign w:val="center"/>
          </w:tcPr>
          <w:p w14:paraId="09C93B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608BBC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vAlign w:val="center"/>
          </w:tcPr>
          <w:p w14:paraId="295C59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vAlign w:val="center"/>
          </w:tcPr>
          <w:p w14:paraId="539184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3FCE1F">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CDC63B">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03FB6627">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6985DDED">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763C1E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vAlign w:val="center"/>
          </w:tcPr>
          <w:p w14:paraId="52F824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6AF1B6A">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C522516">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51BBDF8B">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87CCE69">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C3471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vAlign w:val="center"/>
          </w:tcPr>
          <w:p w14:paraId="649492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9BBA34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9FA7B47">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3771B2CB">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C9687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vAlign w:val="center"/>
          </w:tcPr>
          <w:p w14:paraId="365285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vAlign w:val="center"/>
          </w:tcPr>
          <w:p w14:paraId="4098E2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4A8D8AF">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FC2F2F4">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365A5749">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F9E61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vAlign w:val="center"/>
          </w:tcPr>
          <w:p w14:paraId="5951A4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vAlign w:val="center"/>
          </w:tcPr>
          <w:p w14:paraId="554FEE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1C34AA8">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F4DD7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24" w:type="dxa"/>
            <w:tcBorders>
              <w:top w:val="nil"/>
              <w:left w:val="nil"/>
              <w:bottom w:val="single" w:color="000000" w:sz="8" w:space="0"/>
              <w:right w:val="single" w:color="000000" w:sz="8" w:space="0"/>
            </w:tcBorders>
            <w:vAlign w:val="center"/>
          </w:tcPr>
          <w:p w14:paraId="73694F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vAlign w:val="center"/>
          </w:tcPr>
          <w:p w14:paraId="4DAB3B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038A0D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1ED6BF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FEA9770">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DB921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24" w:type="dxa"/>
            <w:tcBorders>
              <w:top w:val="nil"/>
              <w:left w:val="nil"/>
              <w:bottom w:val="single" w:color="000000" w:sz="8" w:space="0"/>
              <w:right w:val="single" w:color="000000" w:sz="8" w:space="0"/>
            </w:tcBorders>
            <w:vAlign w:val="center"/>
          </w:tcPr>
          <w:p w14:paraId="7E16CE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vAlign w:val="center"/>
          </w:tcPr>
          <w:p w14:paraId="667916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6BBD86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B8875F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69DF14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auto" w:sz="4" w:space="0"/>
              <w:right w:val="single" w:color="000000" w:sz="8" w:space="0"/>
            </w:tcBorders>
            <w:vAlign w:val="center"/>
          </w:tcPr>
          <w:p w14:paraId="13BB03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24" w:type="dxa"/>
            <w:tcBorders>
              <w:top w:val="nil"/>
              <w:left w:val="nil"/>
              <w:bottom w:val="single" w:color="auto" w:sz="4" w:space="0"/>
              <w:right w:val="single" w:color="000000" w:sz="8" w:space="0"/>
            </w:tcBorders>
            <w:vAlign w:val="center"/>
          </w:tcPr>
          <w:p w14:paraId="79220B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auto" w:sz="4" w:space="0"/>
              <w:right w:val="single" w:color="000000" w:sz="8" w:space="0"/>
            </w:tcBorders>
            <w:vAlign w:val="center"/>
          </w:tcPr>
          <w:p w14:paraId="494872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auto" w:sz="4" w:space="0"/>
              <w:right w:val="single" w:color="000000" w:sz="8" w:space="0"/>
            </w:tcBorders>
            <w:vAlign w:val="center"/>
          </w:tcPr>
          <w:p w14:paraId="4FBDBE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143DC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4F89445">
        <w:tblPrEx>
          <w:tblCellMar>
            <w:top w:w="0" w:type="dxa"/>
            <w:left w:w="108" w:type="dxa"/>
            <w:bottom w:w="0" w:type="dxa"/>
            <w:right w:w="108" w:type="dxa"/>
          </w:tblCellMar>
        </w:tblPrEx>
        <w:trPr>
          <w:trHeight w:val="73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07D336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09770D2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47060E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1AC3F9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single" w:color="auto" w:sz="4" w:space="0"/>
              <w:bottom w:val="single" w:color="000000" w:sz="8" w:space="0"/>
              <w:right w:val="single" w:color="000000" w:sz="8" w:space="0"/>
            </w:tcBorders>
            <w:vAlign w:val="center"/>
          </w:tcPr>
          <w:p w14:paraId="2A8C1D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E133A04">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AC40A34">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AD6EAAA">
            <w:pPr>
              <w:widowControl/>
              <w:jc w:val="left"/>
              <w:rPr>
                <w:rFonts w:ascii="宋体" w:hAnsi="宋体" w:cs="宋体"/>
                <w:color w:val="auto"/>
                <w:kern w:val="0"/>
                <w:sz w:val="20"/>
                <w:szCs w:val="20"/>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A53C61A">
            <w:pPr>
              <w:widowControl/>
              <w:jc w:val="left"/>
              <w:rPr>
                <w:rFonts w:ascii="宋体" w:hAnsi="宋体" w:cs="宋体"/>
                <w:color w:val="auto"/>
                <w:kern w:val="0"/>
                <w:sz w:val="20"/>
                <w:szCs w:val="20"/>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447C8D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single" w:color="auto" w:sz="4" w:space="0"/>
              <w:bottom w:val="single" w:color="000000" w:sz="8" w:space="0"/>
              <w:right w:val="single" w:color="000000" w:sz="8" w:space="0"/>
            </w:tcBorders>
            <w:vAlign w:val="center"/>
          </w:tcPr>
          <w:p w14:paraId="058718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17EA38F">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02ECBBD">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7ECB765F">
            <w:pPr>
              <w:widowControl/>
              <w:jc w:val="left"/>
              <w:rPr>
                <w:rFonts w:ascii="宋体" w:hAnsi="宋体" w:cs="宋体"/>
                <w:color w:val="auto"/>
                <w:kern w:val="0"/>
                <w:sz w:val="20"/>
                <w:szCs w:val="20"/>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7D612E04">
            <w:pPr>
              <w:widowControl/>
              <w:jc w:val="left"/>
              <w:rPr>
                <w:rFonts w:ascii="宋体" w:hAnsi="宋体" w:cs="宋体"/>
                <w:color w:val="auto"/>
                <w:kern w:val="0"/>
                <w:sz w:val="20"/>
                <w:szCs w:val="20"/>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5BCDDB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single" w:color="auto" w:sz="4" w:space="0"/>
              <w:bottom w:val="single" w:color="000000" w:sz="8" w:space="0"/>
              <w:right w:val="single" w:color="000000" w:sz="8" w:space="0"/>
            </w:tcBorders>
            <w:vAlign w:val="center"/>
          </w:tcPr>
          <w:p w14:paraId="426C471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56EEDD0">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5EB15923">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3F0526F">
            <w:pPr>
              <w:widowControl/>
              <w:jc w:val="left"/>
              <w:rPr>
                <w:rFonts w:ascii="宋体" w:hAnsi="宋体" w:cs="宋体"/>
                <w:color w:val="auto"/>
                <w:kern w:val="0"/>
                <w:sz w:val="20"/>
                <w:szCs w:val="20"/>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55E6AC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53F656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single" w:color="auto" w:sz="4" w:space="0"/>
              <w:bottom w:val="single" w:color="000000" w:sz="8" w:space="0"/>
              <w:right w:val="single" w:color="000000" w:sz="8" w:space="0"/>
            </w:tcBorders>
            <w:vAlign w:val="center"/>
          </w:tcPr>
          <w:p w14:paraId="4BBDFA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D85ADB9">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239C35C">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EA43A77">
            <w:pPr>
              <w:widowControl/>
              <w:jc w:val="left"/>
              <w:rPr>
                <w:rFonts w:ascii="宋体" w:hAnsi="宋体" w:cs="宋体"/>
                <w:color w:val="auto"/>
                <w:kern w:val="0"/>
                <w:sz w:val="20"/>
                <w:szCs w:val="20"/>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5861A5B5">
            <w:pPr>
              <w:widowControl/>
              <w:jc w:val="left"/>
              <w:rPr>
                <w:rFonts w:ascii="宋体" w:hAnsi="宋体" w:cs="宋体"/>
                <w:color w:val="auto"/>
                <w:kern w:val="0"/>
                <w:sz w:val="20"/>
                <w:szCs w:val="20"/>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DAD4F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single" w:color="auto" w:sz="4" w:space="0"/>
              <w:bottom w:val="single" w:color="000000" w:sz="8" w:space="0"/>
              <w:right w:val="single" w:color="000000" w:sz="8" w:space="0"/>
            </w:tcBorders>
            <w:vAlign w:val="center"/>
          </w:tcPr>
          <w:p w14:paraId="6E9A359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FE3298A">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13442AC">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55E2D113">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24F45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007F70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single" w:color="auto" w:sz="4" w:space="0"/>
              <w:bottom w:val="single" w:color="000000" w:sz="8" w:space="0"/>
              <w:right w:val="single" w:color="000000" w:sz="8" w:space="0"/>
            </w:tcBorders>
            <w:vAlign w:val="center"/>
          </w:tcPr>
          <w:p w14:paraId="0F2247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6617F15">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3B0138E">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0DAE069">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42E8B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544211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nil"/>
              <w:left w:val="single" w:color="auto" w:sz="4" w:space="0"/>
              <w:bottom w:val="single" w:color="000000" w:sz="8" w:space="0"/>
              <w:right w:val="single" w:color="000000" w:sz="8" w:space="0"/>
            </w:tcBorders>
            <w:vAlign w:val="center"/>
          </w:tcPr>
          <w:p w14:paraId="7FE4F8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460259F6">
        <w:tblPrEx>
          <w:tblCellMar>
            <w:top w:w="0" w:type="dxa"/>
            <w:left w:w="108" w:type="dxa"/>
            <w:bottom w:w="0" w:type="dxa"/>
            <w:right w:w="108" w:type="dxa"/>
          </w:tblCellMar>
        </w:tblPrEx>
        <w:trPr>
          <w:trHeight w:val="49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182C10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24" w:type="dxa"/>
            <w:tcBorders>
              <w:top w:val="single" w:color="auto" w:sz="4" w:space="0"/>
              <w:left w:val="nil"/>
              <w:bottom w:val="single" w:color="000000" w:sz="8" w:space="0"/>
              <w:right w:val="single" w:color="000000" w:sz="8" w:space="0"/>
            </w:tcBorders>
            <w:vAlign w:val="center"/>
          </w:tcPr>
          <w:p w14:paraId="423A1A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single" w:color="auto" w:sz="4" w:space="0"/>
              <w:left w:val="nil"/>
              <w:bottom w:val="single" w:color="000000" w:sz="8" w:space="0"/>
              <w:right w:val="single" w:color="000000" w:sz="8" w:space="0"/>
            </w:tcBorders>
            <w:vAlign w:val="center"/>
          </w:tcPr>
          <w:p w14:paraId="72E4D9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nil"/>
              <w:bottom w:val="single" w:color="000000" w:sz="8" w:space="0"/>
              <w:right w:val="single" w:color="000000" w:sz="8" w:space="0"/>
            </w:tcBorders>
            <w:vAlign w:val="center"/>
          </w:tcPr>
          <w:p w14:paraId="126BC3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20C2F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4F170F79">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4B980E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24" w:type="dxa"/>
            <w:tcBorders>
              <w:top w:val="nil"/>
              <w:left w:val="nil"/>
              <w:bottom w:val="single" w:color="000000" w:sz="8" w:space="0"/>
              <w:right w:val="single" w:color="000000" w:sz="8" w:space="0"/>
            </w:tcBorders>
            <w:vAlign w:val="center"/>
          </w:tcPr>
          <w:p w14:paraId="20C2FE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vAlign w:val="center"/>
          </w:tcPr>
          <w:p w14:paraId="1CFC0C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vAlign w:val="center"/>
          </w:tcPr>
          <w:p w14:paraId="464BAF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062AB9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44CB529">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8A515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24" w:type="dxa"/>
            <w:tcBorders>
              <w:top w:val="nil"/>
              <w:left w:val="nil"/>
              <w:bottom w:val="single" w:color="000000" w:sz="8" w:space="0"/>
              <w:right w:val="single" w:color="000000" w:sz="8" w:space="0"/>
            </w:tcBorders>
            <w:vAlign w:val="center"/>
          </w:tcPr>
          <w:p w14:paraId="39D995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vAlign w:val="center"/>
          </w:tcPr>
          <w:p w14:paraId="33F569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vAlign w:val="center"/>
          </w:tcPr>
          <w:p w14:paraId="22590B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93D52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1636992">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5A95F2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24" w:type="dxa"/>
            <w:vMerge w:val="restart"/>
            <w:tcBorders>
              <w:top w:val="nil"/>
              <w:left w:val="single" w:color="000000" w:sz="8" w:space="0"/>
              <w:bottom w:val="single" w:color="000000" w:sz="8" w:space="0"/>
              <w:right w:val="single" w:color="000000" w:sz="8" w:space="0"/>
            </w:tcBorders>
            <w:vAlign w:val="center"/>
          </w:tcPr>
          <w:p w14:paraId="47BCCC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vAlign w:val="center"/>
          </w:tcPr>
          <w:p w14:paraId="5FC1F3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vAlign w:val="center"/>
          </w:tcPr>
          <w:p w14:paraId="5716F4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11382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68778E1">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5B12300">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4835C270">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7A1754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vAlign w:val="center"/>
          </w:tcPr>
          <w:p w14:paraId="541884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vAlign w:val="center"/>
          </w:tcPr>
          <w:p w14:paraId="32948E1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44522B6">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6D255D7A">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5A903455">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2D77B08">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D0AC9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vAlign w:val="center"/>
          </w:tcPr>
          <w:p w14:paraId="3E1717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809D943">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00A98731">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6E00377B">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D4BC4EE">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90D05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vAlign w:val="center"/>
          </w:tcPr>
          <w:p w14:paraId="1B2FA0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3C92B9B">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04693D6">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33FFDCF3">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2DE5C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vAlign w:val="center"/>
          </w:tcPr>
          <w:p w14:paraId="0A951F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7E94F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534F9E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438677BA">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20CEA4D2">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07D01D9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vAlign w:val="center"/>
          </w:tcPr>
          <w:p w14:paraId="4C6D37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vAlign w:val="center"/>
          </w:tcPr>
          <w:p w14:paraId="5C7714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5E85B681">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09B7D2CD">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7763A5F7">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4626CB04">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78152BE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vAlign w:val="center"/>
          </w:tcPr>
          <w:p w14:paraId="54F6254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2BA86C6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5E9E1B67">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115E73F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2AD8E87">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4D6CA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vAlign w:val="center"/>
          </w:tcPr>
          <w:p w14:paraId="11181A4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286AE97">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auto" w:sz="4" w:space="0"/>
              <w:right w:val="single" w:color="000000" w:sz="8" w:space="0"/>
            </w:tcBorders>
            <w:vAlign w:val="center"/>
          </w:tcPr>
          <w:p w14:paraId="6F37BB73">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auto" w:sz="4" w:space="0"/>
              <w:right w:val="single" w:color="000000" w:sz="8" w:space="0"/>
            </w:tcBorders>
            <w:vAlign w:val="center"/>
          </w:tcPr>
          <w:p w14:paraId="5142C131">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auto" w:sz="4" w:space="0"/>
              <w:right w:val="single" w:color="000000" w:sz="8" w:space="0"/>
            </w:tcBorders>
            <w:vAlign w:val="center"/>
          </w:tcPr>
          <w:p w14:paraId="0D52CD99">
            <w:pPr>
              <w:widowControl/>
              <w:jc w:val="left"/>
              <w:rPr>
                <w:rFonts w:ascii="宋体" w:hAnsi="宋体" w:cs="宋体"/>
                <w:color w:val="auto"/>
                <w:kern w:val="0"/>
                <w:sz w:val="20"/>
                <w:szCs w:val="20"/>
                <w:highlight w:val="none"/>
              </w:rPr>
            </w:pPr>
          </w:p>
        </w:tc>
        <w:tc>
          <w:tcPr>
            <w:tcW w:w="1612" w:type="dxa"/>
            <w:tcBorders>
              <w:top w:val="nil"/>
              <w:left w:val="nil"/>
              <w:bottom w:val="single" w:color="auto" w:sz="4" w:space="0"/>
              <w:right w:val="single" w:color="000000" w:sz="8" w:space="0"/>
            </w:tcBorders>
            <w:vAlign w:val="center"/>
          </w:tcPr>
          <w:p w14:paraId="1F48738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auto" w:sz="4" w:space="0"/>
              <w:right w:val="single" w:color="000000" w:sz="8" w:space="0"/>
            </w:tcBorders>
            <w:vAlign w:val="center"/>
          </w:tcPr>
          <w:p w14:paraId="3ED0526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0DF3947">
        <w:tblPrEx>
          <w:tblCellMar>
            <w:top w:w="0" w:type="dxa"/>
            <w:left w:w="108" w:type="dxa"/>
            <w:bottom w:w="0" w:type="dxa"/>
            <w:right w:w="108" w:type="dxa"/>
          </w:tblCellMar>
        </w:tblPrEx>
        <w:trPr>
          <w:trHeight w:val="49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55C9FA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07A6DC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44C837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52218F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vAlign w:val="center"/>
          </w:tcPr>
          <w:p w14:paraId="3B0066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D730422">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F104B3B">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0EEFA3D">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D77DC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5CA4BA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vAlign w:val="center"/>
          </w:tcPr>
          <w:p w14:paraId="45F34F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7C56B02">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5D45E864">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A87A3BF">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BC4DC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5341F0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vAlign w:val="center"/>
          </w:tcPr>
          <w:p w14:paraId="517DCE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C2A1D5D">
        <w:tblPrEx>
          <w:tblCellMar>
            <w:top w:w="0" w:type="dxa"/>
            <w:left w:w="108" w:type="dxa"/>
            <w:bottom w:w="0" w:type="dxa"/>
            <w:right w:w="108" w:type="dxa"/>
          </w:tblCellMar>
        </w:tblPrEx>
        <w:trPr>
          <w:trHeight w:val="66"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0C3DDA7">
            <w:pPr>
              <w:widowControl/>
              <w:jc w:val="left"/>
              <w:rPr>
                <w:rFonts w:ascii="宋体" w:hAnsi="宋体" w:cs="宋体"/>
                <w:color w:val="auto"/>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F90BCCB">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91939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51498D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vAlign w:val="center"/>
          </w:tcPr>
          <w:p w14:paraId="583190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06B6BE8">
        <w:tblPrEx>
          <w:tblCellMar>
            <w:top w:w="0" w:type="dxa"/>
            <w:left w:w="108" w:type="dxa"/>
            <w:bottom w:w="0" w:type="dxa"/>
            <w:right w:w="108" w:type="dxa"/>
          </w:tblCellMar>
        </w:tblPrEx>
        <w:trPr>
          <w:trHeight w:val="73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75A693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24" w:type="dxa"/>
            <w:tcBorders>
              <w:top w:val="single" w:color="auto" w:sz="4" w:space="0"/>
              <w:left w:val="nil"/>
              <w:bottom w:val="single" w:color="000000" w:sz="8" w:space="0"/>
              <w:right w:val="single" w:color="000000" w:sz="8" w:space="0"/>
            </w:tcBorders>
            <w:vAlign w:val="center"/>
          </w:tcPr>
          <w:p w14:paraId="4E8A9A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single" w:color="auto" w:sz="4" w:space="0"/>
              <w:left w:val="nil"/>
              <w:bottom w:val="single" w:color="000000" w:sz="8" w:space="0"/>
              <w:right w:val="single" w:color="000000" w:sz="8" w:space="0"/>
            </w:tcBorders>
            <w:vAlign w:val="center"/>
          </w:tcPr>
          <w:p w14:paraId="4BB63B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single" w:color="auto" w:sz="4" w:space="0"/>
              <w:left w:val="nil"/>
              <w:bottom w:val="single" w:color="000000" w:sz="8" w:space="0"/>
              <w:right w:val="single" w:color="000000" w:sz="8" w:space="0"/>
            </w:tcBorders>
            <w:vAlign w:val="center"/>
          </w:tcPr>
          <w:p w14:paraId="03FFED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nil"/>
              <w:bottom w:val="single" w:color="000000" w:sz="8" w:space="0"/>
              <w:right w:val="single" w:color="000000" w:sz="8" w:space="0"/>
            </w:tcBorders>
            <w:vAlign w:val="center"/>
          </w:tcPr>
          <w:p w14:paraId="07BCB1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C5A18ED">
        <w:tblPrEx>
          <w:tblCellMar>
            <w:top w:w="0" w:type="dxa"/>
            <w:left w:w="108" w:type="dxa"/>
            <w:bottom w:w="0" w:type="dxa"/>
            <w:right w:w="108" w:type="dxa"/>
          </w:tblCellMar>
        </w:tblPrEx>
        <w:trPr>
          <w:trHeight w:val="975" w:hRule="atLeast"/>
        </w:trPr>
        <w:tc>
          <w:tcPr>
            <w:tcW w:w="733" w:type="dxa"/>
            <w:tcBorders>
              <w:top w:val="nil"/>
              <w:left w:val="single" w:color="000000" w:sz="8" w:space="0"/>
              <w:bottom w:val="single" w:color="000000" w:sz="8" w:space="0"/>
              <w:right w:val="single" w:color="000000" w:sz="8" w:space="0"/>
            </w:tcBorders>
            <w:vAlign w:val="center"/>
          </w:tcPr>
          <w:p w14:paraId="01630C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24" w:type="dxa"/>
            <w:tcBorders>
              <w:top w:val="nil"/>
              <w:left w:val="nil"/>
              <w:bottom w:val="single" w:color="000000" w:sz="8" w:space="0"/>
              <w:right w:val="single" w:color="000000" w:sz="8" w:space="0"/>
            </w:tcBorders>
            <w:vAlign w:val="center"/>
          </w:tcPr>
          <w:p w14:paraId="3D9586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vAlign w:val="center"/>
          </w:tcPr>
          <w:p w14:paraId="3AAB41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vAlign w:val="center"/>
          </w:tcPr>
          <w:p w14:paraId="79D088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vAlign w:val="center"/>
          </w:tcPr>
          <w:p w14:paraId="1D3D98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C011CE8">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08B864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24" w:type="dxa"/>
            <w:tcBorders>
              <w:top w:val="nil"/>
              <w:left w:val="nil"/>
              <w:bottom w:val="single" w:color="000000" w:sz="8" w:space="0"/>
              <w:right w:val="single" w:color="000000" w:sz="8" w:space="0"/>
            </w:tcBorders>
            <w:vAlign w:val="center"/>
          </w:tcPr>
          <w:p w14:paraId="74721F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vAlign w:val="center"/>
          </w:tcPr>
          <w:p w14:paraId="5421B5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vAlign w:val="center"/>
          </w:tcPr>
          <w:p w14:paraId="588E9A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7CADE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034CE3C">
        <w:tblPrEx>
          <w:tblCellMar>
            <w:top w:w="0" w:type="dxa"/>
            <w:left w:w="108" w:type="dxa"/>
            <w:bottom w:w="0" w:type="dxa"/>
            <w:right w:w="108" w:type="dxa"/>
          </w:tblCellMar>
        </w:tblPrEx>
        <w:trPr>
          <w:trHeight w:val="285" w:hRule="atLeast"/>
        </w:trPr>
        <w:tc>
          <w:tcPr>
            <w:tcW w:w="733" w:type="dxa"/>
            <w:vMerge w:val="restart"/>
            <w:tcBorders>
              <w:top w:val="nil"/>
              <w:left w:val="single" w:color="000000" w:sz="8" w:space="0"/>
              <w:bottom w:val="single" w:color="000000" w:sz="8" w:space="0"/>
              <w:right w:val="single" w:color="000000" w:sz="8" w:space="0"/>
            </w:tcBorders>
            <w:vAlign w:val="center"/>
          </w:tcPr>
          <w:p w14:paraId="68B97FB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24" w:type="dxa"/>
            <w:vMerge w:val="restart"/>
            <w:tcBorders>
              <w:top w:val="nil"/>
              <w:left w:val="single" w:color="000000" w:sz="8" w:space="0"/>
              <w:bottom w:val="single" w:color="000000" w:sz="8" w:space="0"/>
              <w:right w:val="single" w:color="000000" w:sz="8" w:space="0"/>
            </w:tcBorders>
            <w:vAlign w:val="center"/>
          </w:tcPr>
          <w:p w14:paraId="7CA8B6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vAlign w:val="center"/>
          </w:tcPr>
          <w:p w14:paraId="794F21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vAlign w:val="center"/>
          </w:tcPr>
          <w:p w14:paraId="2AD0C4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70A8DC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E6B8E24">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F5306E1">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42061FFE">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507BA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vAlign w:val="center"/>
          </w:tcPr>
          <w:p w14:paraId="68BB71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966D2B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89DDE4B">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32C8E77C">
            <w:pPr>
              <w:widowControl/>
              <w:jc w:val="left"/>
              <w:rPr>
                <w:rFonts w:ascii="宋体" w:hAnsi="宋体" w:cs="宋体"/>
                <w:color w:val="auto"/>
                <w:kern w:val="0"/>
                <w:sz w:val="20"/>
                <w:szCs w:val="20"/>
                <w:highlight w:val="none"/>
              </w:rPr>
            </w:pPr>
          </w:p>
        </w:tc>
        <w:tc>
          <w:tcPr>
            <w:tcW w:w="1024" w:type="dxa"/>
            <w:vMerge w:val="continue"/>
            <w:tcBorders>
              <w:top w:val="nil"/>
              <w:left w:val="single" w:color="000000" w:sz="8" w:space="0"/>
              <w:bottom w:val="single" w:color="000000" w:sz="8" w:space="0"/>
              <w:right w:val="single" w:color="000000" w:sz="8" w:space="0"/>
            </w:tcBorders>
            <w:vAlign w:val="center"/>
          </w:tcPr>
          <w:p w14:paraId="05DD41CF">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EEAE7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vAlign w:val="center"/>
          </w:tcPr>
          <w:p w14:paraId="1F7022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1A608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213C84F">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55E99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24" w:type="dxa"/>
            <w:tcBorders>
              <w:top w:val="nil"/>
              <w:left w:val="nil"/>
              <w:bottom w:val="single" w:color="000000" w:sz="8" w:space="0"/>
              <w:right w:val="single" w:color="000000" w:sz="8" w:space="0"/>
            </w:tcBorders>
            <w:vAlign w:val="center"/>
          </w:tcPr>
          <w:p w14:paraId="3180EE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vAlign w:val="center"/>
          </w:tcPr>
          <w:p w14:paraId="2E2E04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15C20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A07F8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9224662">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EA396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24" w:type="dxa"/>
            <w:tcBorders>
              <w:top w:val="nil"/>
              <w:left w:val="nil"/>
              <w:bottom w:val="single" w:color="000000" w:sz="8" w:space="0"/>
              <w:right w:val="single" w:color="000000" w:sz="8" w:space="0"/>
            </w:tcBorders>
            <w:vAlign w:val="center"/>
          </w:tcPr>
          <w:p w14:paraId="216264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vAlign w:val="center"/>
          </w:tcPr>
          <w:p w14:paraId="297768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34EEA7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07A75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1089ED2">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C374C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24" w:type="dxa"/>
            <w:tcBorders>
              <w:top w:val="nil"/>
              <w:left w:val="nil"/>
              <w:bottom w:val="single" w:color="000000" w:sz="8" w:space="0"/>
              <w:right w:val="single" w:color="000000" w:sz="8" w:space="0"/>
            </w:tcBorders>
            <w:vAlign w:val="center"/>
          </w:tcPr>
          <w:p w14:paraId="73779E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vAlign w:val="center"/>
          </w:tcPr>
          <w:p w14:paraId="2A7CE7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359D4C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D0692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05A9628">
      <w:pPr>
        <w:spacing w:after="12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EEDF6AB">
      <w:pPr>
        <w:jc w:val="left"/>
        <w:rPr>
          <w:rFonts w:ascii="宋体" w:hAnsi="宋体" w:cs="宋体"/>
          <w:color w:val="auto"/>
          <w:kern w:val="0"/>
          <w:sz w:val="32"/>
          <w:szCs w:val="32"/>
          <w:highlight w:val="none"/>
        </w:rPr>
      </w:pPr>
      <w:r>
        <w:rPr>
          <w:rFonts w:hint="eastAsia" w:ascii="宋体" w:hAnsi="宋体" w:cs="宋体"/>
          <w:color w:val="auto"/>
          <w:kern w:val="0"/>
          <w:sz w:val="20"/>
          <w:szCs w:val="21"/>
          <w:highlight w:val="none"/>
        </w:rPr>
        <w:t xml:space="preserve">    2.以“★”标注的为政府强制采购产品。</w:t>
      </w:r>
      <w:r>
        <w:rPr>
          <w:rFonts w:hint="eastAsia" w:ascii="宋体" w:hAnsi="宋体" w:cs="宋体"/>
          <w:color w:val="auto"/>
          <w:kern w:val="0"/>
          <w:sz w:val="20"/>
          <w:szCs w:val="21"/>
          <w:highlight w:val="none"/>
        </w:rPr>
        <w:br w:type="page"/>
      </w:r>
      <w:r>
        <w:rPr>
          <w:rFonts w:hint="eastAsia" w:ascii="宋体" w:hAnsi="宋体" w:cs="宋体"/>
          <w:color w:val="auto"/>
          <w:kern w:val="0"/>
          <w:sz w:val="30"/>
          <w:szCs w:val="30"/>
          <w:highlight w:val="none"/>
        </w:rPr>
        <w:t>附件</w:t>
      </w:r>
      <w:r>
        <w:rPr>
          <w:rFonts w:hint="eastAsia" w:ascii="宋体" w:hAnsi="宋体" w:cs="宋体"/>
          <w:color w:val="auto"/>
          <w:kern w:val="0"/>
          <w:sz w:val="30"/>
          <w:szCs w:val="30"/>
          <w:highlight w:val="none"/>
          <w:lang w:val="en-US" w:eastAsia="zh-CN"/>
        </w:rPr>
        <w:t>3</w:t>
      </w:r>
      <w:r>
        <w:rPr>
          <w:rFonts w:hint="eastAsia" w:ascii="宋体" w:hAnsi="宋体" w:cs="宋体"/>
          <w:color w:val="auto"/>
          <w:kern w:val="0"/>
          <w:sz w:val="30"/>
          <w:szCs w:val="30"/>
          <w:highlight w:val="none"/>
        </w:rPr>
        <w:t>：</w:t>
      </w:r>
    </w:p>
    <w:p w14:paraId="1F6C1AD0">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中小微企业划型标准</w:t>
      </w:r>
    </w:p>
    <w:tbl>
      <w:tblPr>
        <w:tblStyle w:val="29"/>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176BDE31">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5D13667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72" w:type="dxa"/>
            <w:tcBorders>
              <w:top w:val="single" w:color="auto" w:sz="4" w:space="0"/>
              <w:left w:val="nil"/>
              <w:bottom w:val="single" w:color="auto" w:sz="4" w:space="0"/>
              <w:right w:val="single" w:color="auto" w:sz="4" w:space="0"/>
            </w:tcBorders>
            <w:vAlign w:val="center"/>
          </w:tcPr>
          <w:p w14:paraId="00153C6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45" w:type="dxa"/>
            <w:tcBorders>
              <w:top w:val="single" w:color="auto" w:sz="4" w:space="0"/>
              <w:left w:val="nil"/>
              <w:bottom w:val="single" w:color="auto" w:sz="4" w:space="0"/>
              <w:right w:val="single" w:color="auto" w:sz="4" w:space="0"/>
            </w:tcBorders>
            <w:vAlign w:val="center"/>
          </w:tcPr>
          <w:p w14:paraId="17FC3847">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30" w:type="dxa"/>
            <w:tcBorders>
              <w:top w:val="single" w:color="auto" w:sz="4" w:space="0"/>
              <w:left w:val="nil"/>
              <w:bottom w:val="single" w:color="auto" w:sz="4" w:space="0"/>
              <w:right w:val="single" w:color="auto" w:sz="4" w:space="0"/>
            </w:tcBorders>
            <w:vAlign w:val="center"/>
          </w:tcPr>
          <w:p w14:paraId="1A06BAB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90" w:type="dxa"/>
            <w:tcBorders>
              <w:top w:val="single" w:color="auto" w:sz="4" w:space="0"/>
              <w:left w:val="nil"/>
              <w:bottom w:val="single" w:color="auto" w:sz="4" w:space="0"/>
              <w:right w:val="single" w:color="auto" w:sz="4" w:space="0"/>
            </w:tcBorders>
            <w:vAlign w:val="center"/>
          </w:tcPr>
          <w:p w14:paraId="42DB1D26">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27" w:type="dxa"/>
            <w:tcBorders>
              <w:top w:val="single" w:color="auto" w:sz="4" w:space="0"/>
              <w:left w:val="nil"/>
              <w:bottom w:val="single" w:color="auto" w:sz="4" w:space="0"/>
              <w:right w:val="single" w:color="auto" w:sz="4" w:space="0"/>
            </w:tcBorders>
            <w:vAlign w:val="center"/>
          </w:tcPr>
          <w:p w14:paraId="22BB905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686B48A">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0375011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72" w:type="dxa"/>
            <w:tcBorders>
              <w:top w:val="nil"/>
              <w:left w:val="nil"/>
              <w:bottom w:val="single" w:color="auto" w:sz="4" w:space="0"/>
              <w:right w:val="single" w:color="auto" w:sz="4" w:space="0"/>
            </w:tcBorders>
            <w:vAlign w:val="center"/>
          </w:tcPr>
          <w:p w14:paraId="241FF3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2A6B35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8EE9B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90" w:type="dxa"/>
            <w:tcBorders>
              <w:top w:val="nil"/>
              <w:left w:val="nil"/>
              <w:bottom w:val="single" w:color="auto" w:sz="4" w:space="0"/>
              <w:right w:val="single" w:color="auto" w:sz="4" w:space="0"/>
            </w:tcBorders>
            <w:vAlign w:val="center"/>
          </w:tcPr>
          <w:p w14:paraId="5BFC2D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27" w:type="dxa"/>
            <w:tcBorders>
              <w:top w:val="nil"/>
              <w:left w:val="nil"/>
              <w:bottom w:val="single" w:color="auto" w:sz="4" w:space="0"/>
              <w:right w:val="single" w:color="auto" w:sz="4" w:space="0"/>
            </w:tcBorders>
            <w:vAlign w:val="center"/>
          </w:tcPr>
          <w:p w14:paraId="0FD3F7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4A33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60A698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72" w:type="dxa"/>
            <w:tcBorders>
              <w:top w:val="nil"/>
              <w:left w:val="nil"/>
              <w:bottom w:val="single" w:color="auto" w:sz="4" w:space="0"/>
              <w:right w:val="single" w:color="auto" w:sz="4" w:space="0"/>
            </w:tcBorders>
            <w:vAlign w:val="center"/>
          </w:tcPr>
          <w:p w14:paraId="397286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085768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27C85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0" w:type="dxa"/>
            <w:tcBorders>
              <w:top w:val="nil"/>
              <w:left w:val="nil"/>
              <w:bottom w:val="single" w:color="auto" w:sz="4" w:space="0"/>
              <w:right w:val="single" w:color="auto" w:sz="4" w:space="0"/>
            </w:tcBorders>
            <w:vAlign w:val="center"/>
          </w:tcPr>
          <w:p w14:paraId="47128E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27" w:type="dxa"/>
            <w:tcBorders>
              <w:top w:val="nil"/>
              <w:left w:val="nil"/>
              <w:bottom w:val="single" w:color="auto" w:sz="4" w:space="0"/>
              <w:right w:val="single" w:color="auto" w:sz="4" w:space="0"/>
            </w:tcBorders>
            <w:vAlign w:val="center"/>
          </w:tcPr>
          <w:p w14:paraId="3244CC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807E97">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1BC5DEAC">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44E6F6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147451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48F0C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90" w:type="dxa"/>
            <w:tcBorders>
              <w:top w:val="nil"/>
              <w:left w:val="nil"/>
              <w:bottom w:val="single" w:color="auto" w:sz="4" w:space="0"/>
              <w:right w:val="single" w:color="auto" w:sz="4" w:space="0"/>
            </w:tcBorders>
            <w:vAlign w:val="center"/>
          </w:tcPr>
          <w:p w14:paraId="2EC56D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27" w:type="dxa"/>
            <w:tcBorders>
              <w:top w:val="nil"/>
              <w:left w:val="nil"/>
              <w:bottom w:val="single" w:color="auto" w:sz="4" w:space="0"/>
              <w:right w:val="single" w:color="auto" w:sz="4" w:space="0"/>
            </w:tcBorders>
            <w:vAlign w:val="center"/>
          </w:tcPr>
          <w:p w14:paraId="74C57D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72CD23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613D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72" w:type="dxa"/>
            <w:tcBorders>
              <w:top w:val="nil"/>
              <w:left w:val="nil"/>
              <w:bottom w:val="single" w:color="auto" w:sz="4" w:space="0"/>
              <w:right w:val="single" w:color="auto" w:sz="4" w:space="0"/>
            </w:tcBorders>
            <w:vAlign w:val="center"/>
          </w:tcPr>
          <w:p w14:paraId="1A15DB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34E6B9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4ACB09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90" w:type="dxa"/>
            <w:tcBorders>
              <w:top w:val="nil"/>
              <w:left w:val="nil"/>
              <w:bottom w:val="single" w:color="auto" w:sz="4" w:space="0"/>
              <w:right w:val="single" w:color="auto" w:sz="4" w:space="0"/>
            </w:tcBorders>
            <w:vAlign w:val="center"/>
          </w:tcPr>
          <w:p w14:paraId="43F1BE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27" w:type="dxa"/>
            <w:tcBorders>
              <w:top w:val="nil"/>
              <w:left w:val="nil"/>
              <w:bottom w:val="single" w:color="auto" w:sz="4" w:space="0"/>
              <w:right w:val="single" w:color="auto" w:sz="4" w:space="0"/>
            </w:tcBorders>
            <w:vAlign w:val="center"/>
          </w:tcPr>
          <w:p w14:paraId="780982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FA81D6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0861009">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352EF7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45" w:type="dxa"/>
            <w:tcBorders>
              <w:top w:val="nil"/>
              <w:left w:val="nil"/>
              <w:bottom w:val="single" w:color="auto" w:sz="4" w:space="0"/>
              <w:right w:val="single" w:color="auto" w:sz="4" w:space="0"/>
            </w:tcBorders>
            <w:vAlign w:val="center"/>
          </w:tcPr>
          <w:p w14:paraId="684F92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070B07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90" w:type="dxa"/>
            <w:tcBorders>
              <w:top w:val="nil"/>
              <w:left w:val="nil"/>
              <w:bottom w:val="single" w:color="auto" w:sz="4" w:space="0"/>
              <w:right w:val="single" w:color="auto" w:sz="4" w:space="0"/>
            </w:tcBorders>
            <w:vAlign w:val="center"/>
          </w:tcPr>
          <w:p w14:paraId="717D21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27" w:type="dxa"/>
            <w:tcBorders>
              <w:top w:val="nil"/>
              <w:left w:val="nil"/>
              <w:bottom w:val="single" w:color="auto" w:sz="4" w:space="0"/>
              <w:right w:val="single" w:color="auto" w:sz="4" w:space="0"/>
            </w:tcBorders>
            <w:vAlign w:val="center"/>
          </w:tcPr>
          <w:p w14:paraId="3A0C94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717E2D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D3B5E9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72" w:type="dxa"/>
            <w:tcBorders>
              <w:top w:val="nil"/>
              <w:left w:val="nil"/>
              <w:bottom w:val="single" w:color="auto" w:sz="4" w:space="0"/>
              <w:right w:val="single" w:color="auto" w:sz="4" w:space="0"/>
            </w:tcBorders>
            <w:vAlign w:val="center"/>
          </w:tcPr>
          <w:p w14:paraId="05EF2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320B67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7AD307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90" w:type="dxa"/>
            <w:tcBorders>
              <w:top w:val="nil"/>
              <w:left w:val="nil"/>
              <w:bottom w:val="single" w:color="auto" w:sz="4" w:space="0"/>
              <w:right w:val="single" w:color="auto" w:sz="4" w:space="0"/>
            </w:tcBorders>
            <w:vAlign w:val="center"/>
          </w:tcPr>
          <w:p w14:paraId="6F788F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27" w:type="dxa"/>
            <w:tcBorders>
              <w:top w:val="nil"/>
              <w:left w:val="nil"/>
              <w:bottom w:val="single" w:color="auto" w:sz="4" w:space="0"/>
              <w:right w:val="single" w:color="auto" w:sz="4" w:space="0"/>
            </w:tcBorders>
            <w:vAlign w:val="center"/>
          </w:tcPr>
          <w:p w14:paraId="3A841F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5CA4B7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AEA8E85">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3A8ACA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3A291C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F6E0F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90" w:type="dxa"/>
            <w:tcBorders>
              <w:top w:val="nil"/>
              <w:left w:val="nil"/>
              <w:bottom w:val="single" w:color="auto" w:sz="4" w:space="0"/>
              <w:right w:val="single" w:color="auto" w:sz="4" w:space="0"/>
            </w:tcBorders>
            <w:vAlign w:val="center"/>
          </w:tcPr>
          <w:p w14:paraId="14EF9B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27" w:type="dxa"/>
            <w:tcBorders>
              <w:top w:val="nil"/>
              <w:left w:val="nil"/>
              <w:bottom w:val="single" w:color="auto" w:sz="4" w:space="0"/>
              <w:right w:val="single" w:color="auto" w:sz="4" w:space="0"/>
            </w:tcBorders>
            <w:vAlign w:val="center"/>
          </w:tcPr>
          <w:p w14:paraId="2CACF1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ACB420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CBD471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72" w:type="dxa"/>
            <w:tcBorders>
              <w:top w:val="nil"/>
              <w:left w:val="nil"/>
              <w:bottom w:val="single" w:color="auto" w:sz="4" w:space="0"/>
              <w:right w:val="single" w:color="auto" w:sz="4" w:space="0"/>
            </w:tcBorders>
            <w:vAlign w:val="center"/>
          </w:tcPr>
          <w:p w14:paraId="6BAE35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7F5CB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77CA7C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90" w:type="dxa"/>
            <w:tcBorders>
              <w:top w:val="nil"/>
              <w:left w:val="nil"/>
              <w:bottom w:val="single" w:color="auto" w:sz="4" w:space="0"/>
              <w:right w:val="single" w:color="auto" w:sz="4" w:space="0"/>
            </w:tcBorders>
            <w:vAlign w:val="center"/>
          </w:tcPr>
          <w:p w14:paraId="289143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27" w:type="dxa"/>
            <w:tcBorders>
              <w:top w:val="nil"/>
              <w:left w:val="nil"/>
              <w:bottom w:val="single" w:color="auto" w:sz="4" w:space="0"/>
              <w:right w:val="single" w:color="auto" w:sz="4" w:space="0"/>
            </w:tcBorders>
            <w:vAlign w:val="center"/>
          </w:tcPr>
          <w:p w14:paraId="6EC41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9B05F5">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909A03">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759528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0CFC2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4396A4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90" w:type="dxa"/>
            <w:tcBorders>
              <w:top w:val="nil"/>
              <w:left w:val="nil"/>
              <w:bottom w:val="single" w:color="auto" w:sz="4" w:space="0"/>
              <w:right w:val="single" w:color="auto" w:sz="4" w:space="0"/>
            </w:tcBorders>
            <w:vAlign w:val="center"/>
          </w:tcPr>
          <w:p w14:paraId="73864B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27" w:type="dxa"/>
            <w:tcBorders>
              <w:top w:val="nil"/>
              <w:left w:val="nil"/>
              <w:bottom w:val="single" w:color="auto" w:sz="4" w:space="0"/>
              <w:right w:val="single" w:color="auto" w:sz="4" w:space="0"/>
            </w:tcBorders>
            <w:vAlign w:val="center"/>
          </w:tcPr>
          <w:p w14:paraId="1683CD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EAB49A">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6EAF7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72" w:type="dxa"/>
            <w:tcBorders>
              <w:top w:val="nil"/>
              <w:left w:val="nil"/>
              <w:bottom w:val="single" w:color="auto" w:sz="4" w:space="0"/>
              <w:right w:val="single" w:color="auto" w:sz="4" w:space="0"/>
            </w:tcBorders>
            <w:vAlign w:val="center"/>
          </w:tcPr>
          <w:p w14:paraId="04AD07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0C1F0F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71AF3E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0" w:type="dxa"/>
            <w:tcBorders>
              <w:top w:val="nil"/>
              <w:left w:val="nil"/>
              <w:bottom w:val="single" w:color="auto" w:sz="4" w:space="0"/>
              <w:right w:val="single" w:color="auto" w:sz="4" w:space="0"/>
            </w:tcBorders>
            <w:vAlign w:val="center"/>
          </w:tcPr>
          <w:p w14:paraId="5FD855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27" w:type="dxa"/>
            <w:tcBorders>
              <w:top w:val="nil"/>
              <w:left w:val="nil"/>
              <w:bottom w:val="single" w:color="auto" w:sz="4" w:space="0"/>
              <w:right w:val="single" w:color="auto" w:sz="4" w:space="0"/>
            </w:tcBorders>
            <w:vAlign w:val="center"/>
          </w:tcPr>
          <w:p w14:paraId="5EDE5A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BB3187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9687D1E">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344CAB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121FB3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0DD0C5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90" w:type="dxa"/>
            <w:tcBorders>
              <w:top w:val="nil"/>
              <w:left w:val="nil"/>
              <w:bottom w:val="single" w:color="auto" w:sz="4" w:space="0"/>
              <w:right w:val="single" w:color="auto" w:sz="4" w:space="0"/>
            </w:tcBorders>
            <w:vAlign w:val="center"/>
          </w:tcPr>
          <w:p w14:paraId="282B35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27" w:type="dxa"/>
            <w:tcBorders>
              <w:top w:val="nil"/>
              <w:left w:val="nil"/>
              <w:bottom w:val="single" w:color="auto" w:sz="4" w:space="0"/>
              <w:right w:val="single" w:color="auto" w:sz="4" w:space="0"/>
            </w:tcBorders>
            <w:vAlign w:val="center"/>
          </w:tcPr>
          <w:p w14:paraId="420CD4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B31B34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5FCDE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72" w:type="dxa"/>
            <w:tcBorders>
              <w:top w:val="nil"/>
              <w:left w:val="nil"/>
              <w:bottom w:val="single" w:color="auto" w:sz="4" w:space="0"/>
              <w:right w:val="single" w:color="auto" w:sz="4" w:space="0"/>
            </w:tcBorders>
            <w:vAlign w:val="center"/>
          </w:tcPr>
          <w:p w14:paraId="209CA2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6D9C5F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404EFE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90" w:type="dxa"/>
            <w:tcBorders>
              <w:top w:val="nil"/>
              <w:left w:val="nil"/>
              <w:bottom w:val="single" w:color="auto" w:sz="4" w:space="0"/>
              <w:right w:val="single" w:color="auto" w:sz="4" w:space="0"/>
            </w:tcBorders>
            <w:vAlign w:val="center"/>
          </w:tcPr>
          <w:p w14:paraId="3C3CFE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27" w:type="dxa"/>
            <w:tcBorders>
              <w:top w:val="nil"/>
              <w:left w:val="nil"/>
              <w:bottom w:val="single" w:color="auto" w:sz="4" w:space="0"/>
              <w:right w:val="single" w:color="auto" w:sz="4" w:space="0"/>
            </w:tcBorders>
            <w:vAlign w:val="center"/>
          </w:tcPr>
          <w:p w14:paraId="4B65B4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54E06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28D5438">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0ABA79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27579D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20741A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90" w:type="dxa"/>
            <w:tcBorders>
              <w:top w:val="nil"/>
              <w:left w:val="nil"/>
              <w:bottom w:val="single" w:color="auto" w:sz="4" w:space="0"/>
              <w:right w:val="single" w:color="auto" w:sz="4" w:space="0"/>
            </w:tcBorders>
            <w:vAlign w:val="center"/>
          </w:tcPr>
          <w:p w14:paraId="3A13BB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27" w:type="dxa"/>
            <w:tcBorders>
              <w:top w:val="nil"/>
              <w:left w:val="nil"/>
              <w:bottom w:val="single" w:color="auto" w:sz="4" w:space="0"/>
              <w:right w:val="single" w:color="auto" w:sz="4" w:space="0"/>
            </w:tcBorders>
            <w:vAlign w:val="center"/>
          </w:tcPr>
          <w:p w14:paraId="26F3EB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5750EE">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F6805F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72" w:type="dxa"/>
            <w:tcBorders>
              <w:top w:val="nil"/>
              <w:left w:val="nil"/>
              <w:bottom w:val="single" w:color="auto" w:sz="4" w:space="0"/>
              <w:right w:val="single" w:color="auto" w:sz="4" w:space="0"/>
            </w:tcBorders>
            <w:vAlign w:val="center"/>
          </w:tcPr>
          <w:p w14:paraId="6AC9E1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00A998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111FAE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0" w:type="dxa"/>
            <w:tcBorders>
              <w:top w:val="nil"/>
              <w:left w:val="nil"/>
              <w:bottom w:val="single" w:color="auto" w:sz="4" w:space="0"/>
              <w:right w:val="single" w:color="auto" w:sz="4" w:space="0"/>
            </w:tcBorders>
            <w:vAlign w:val="center"/>
          </w:tcPr>
          <w:p w14:paraId="06D259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27" w:type="dxa"/>
            <w:tcBorders>
              <w:top w:val="nil"/>
              <w:left w:val="nil"/>
              <w:bottom w:val="single" w:color="auto" w:sz="4" w:space="0"/>
              <w:right w:val="single" w:color="auto" w:sz="4" w:space="0"/>
            </w:tcBorders>
            <w:vAlign w:val="center"/>
          </w:tcPr>
          <w:p w14:paraId="51283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3E4EA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8038BD2">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4B72C7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30F8FD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C05F9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90" w:type="dxa"/>
            <w:tcBorders>
              <w:top w:val="nil"/>
              <w:left w:val="nil"/>
              <w:bottom w:val="single" w:color="auto" w:sz="4" w:space="0"/>
              <w:right w:val="single" w:color="auto" w:sz="4" w:space="0"/>
            </w:tcBorders>
            <w:vAlign w:val="center"/>
          </w:tcPr>
          <w:p w14:paraId="14BBBB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27" w:type="dxa"/>
            <w:tcBorders>
              <w:top w:val="nil"/>
              <w:left w:val="nil"/>
              <w:bottom w:val="single" w:color="auto" w:sz="4" w:space="0"/>
              <w:right w:val="single" w:color="auto" w:sz="4" w:space="0"/>
            </w:tcBorders>
            <w:vAlign w:val="center"/>
          </w:tcPr>
          <w:p w14:paraId="3E1286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A08F66">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57BF70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72" w:type="dxa"/>
            <w:tcBorders>
              <w:top w:val="nil"/>
              <w:left w:val="nil"/>
              <w:bottom w:val="single" w:color="auto" w:sz="4" w:space="0"/>
              <w:right w:val="single" w:color="auto" w:sz="4" w:space="0"/>
            </w:tcBorders>
            <w:vAlign w:val="center"/>
          </w:tcPr>
          <w:p w14:paraId="4C2C33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079308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1043F1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0" w:type="dxa"/>
            <w:tcBorders>
              <w:top w:val="nil"/>
              <w:left w:val="nil"/>
              <w:bottom w:val="single" w:color="auto" w:sz="4" w:space="0"/>
              <w:right w:val="single" w:color="auto" w:sz="4" w:space="0"/>
            </w:tcBorders>
            <w:vAlign w:val="center"/>
          </w:tcPr>
          <w:p w14:paraId="4CAB51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151410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6E685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59E825D">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56A4BF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2B3178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34DC8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90" w:type="dxa"/>
            <w:tcBorders>
              <w:top w:val="nil"/>
              <w:left w:val="nil"/>
              <w:bottom w:val="single" w:color="auto" w:sz="4" w:space="0"/>
              <w:right w:val="single" w:color="auto" w:sz="4" w:space="0"/>
            </w:tcBorders>
            <w:vAlign w:val="center"/>
          </w:tcPr>
          <w:p w14:paraId="1E75C0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27" w:type="dxa"/>
            <w:tcBorders>
              <w:top w:val="nil"/>
              <w:left w:val="nil"/>
              <w:bottom w:val="single" w:color="auto" w:sz="4" w:space="0"/>
              <w:right w:val="single" w:color="auto" w:sz="4" w:space="0"/>
            </w:tcBorders>
            <w:vAlign w:val="center"/>
          </w:tcPr>
          <w:p w14:paraId="069F5A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861700">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959DC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72" w:type="dxa"/>
            <w:tcBorders>
              <w:top w:val="nil"/>
              <w:left w:val="nil"/>
              <w:bottom w:val="single" w:color="auto" w:sz="4" w:space="0"/>
              <w:right w:val="single" w:color="auto" w:sz="4" w:space="0"/>
            </w:tcBorders>
            <w:vAlign w:val="center"/>
          </w:tcPr>
          <w:p w14:paraId="52930C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699940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731D12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0" w:type="dxa"/>
            <w:tcBorders>
              <w:top w:val="nil"/>
              <w:left w:val="nil"/>
              <w:bottom w:val="single" w:color="auto" w:sz="4" w:space="0"/>
              <w:right w:val="single" w:color="auto" w:sz="4" w:space="0"/>
            </w:tcBorders>
            <w:vAlign w:val="center"/>
          </w:tcPr>
          <w:p w14:paraId="6999F7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3A911C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A0C5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7F9B0EE">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6F6EE4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761E5B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0D2BA5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90" w:type="dxa"/>
            <w:tcBorders>
              <w:top w:val="nil"/>
              <w:left w:val="nil"/>
              <w:bottom w:val="single" w:color="auto" w:sz="4" w:space="0"/>
              <w:right w:val="single" w:color="auto" w:sz="4" w:space="0"/>
            </w:tcBorders>
            <w:vAlign w:val="center"/>
          </w:tcPr>
          <w:p w14:paraId="33856E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27" w:type="dxa"/>
            <w:tcBorders>
              <w:top w:val="nil"/>
              <w:left w:val="nil"/>
              <w:bottom w:val="single" w:color="auto" w:sz="4" w:space="0"/>
              <w:right w:val="single" w:color="auto" w:sz="4" w:space="0"/>
            </w:tcBorders>
            <w:vAlign w:val="center"/>
          </w:tcPr>
          <w:p w14:paraId="5F4D6B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77929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98877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72" w:type="dxa"/>
            <w:tcBorders>
              <w:top w:val="nil"/>
              <w:left w:val="nil"/>
              <w:bottom w:val="single" w:color="auto" w:sz="4" w:space="0"/>
              <w:right w:val="single" w:color="auto" w:sz="4" w:space="0"/>
            </w:tcBorders>
            <w:vAlign w:val="center"/>
          </w:tcPr>
          <w:p w14:paraId="2DF3E3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5FF835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2B251E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90" w:type="dxa"/>
            <w:tcBorders>
              <w:top w:val="nil"/>
              <w:left w:val="nil"/>
              <w:bottom w:val="single" w:color="auto" w:sz="4" w:space="0"/>
              <w:right w:val="single" w:color="auto" w:sz="4" w:space="0"/>
            </w:tcBorders>
            <w:vAlign w:val="center"/>
          </w:tcPr>
          <w:p w14:paraId="629D8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228211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B736F6">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F4EBB73">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4ADC45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285EC0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35052D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90" w:type="dxa"/>
            <w:tcBorders>
              <w:top w:val="nil"/>
              <w:left w:val="nil"/>
              <w:bottom w:val="single" w:color="auto" w:sz="4" w:space="0"/>
              <w:right w:val="single" w:color="auto" w:sz="4" w:space="0"/>
            </w:tcBorders>
            <w:vAlign w:val="center"/>
          </w:tcPr>
          <w:p w14:paraId="4B3D8B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27" w:type="dxa"/>
            <w:tcBorders>
              <w:top w:val="nil"/>
              <w:left w:val="nil"/>
              <w:bottom w:val="single" w:color="auto" w:sz="4" w:space="0"/>
              <w:right w:val="single" w:color="auto" w:sz="4" w:space="0"/>
            </w:tcBorders>
            <w:vAlign w:val="center"/>
          </w:tcPr>
          <w:p w14:paraId="385C82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79960F">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142D1C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72" w:type="dxa"/>
            <w:tcBorders>
              <w:top w:val="nil"/>
              <w:left w:val="nil"/>
              <w:bottom w:val="single" w:color="auto" w:sz="4" w:space="0"/>
              <w:right w:val="single" w:color="auto" w:sz="4" w:space="0"/>
            </w:tcBorders>
            <w:vAlign w:val="center"/>
          </w:tcPr>
          <w:p w14:paraId="13A58C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5F1919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62230E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0" w:type="dxa"/>
            <w:tcBorders>
              <w:top w:val="nil"/>
              <w:left w:val="nil"/>
              <w:bottom w:val="single" w:color="auto" w:sz="4" w:space="0"/>
              <w:right w:val="single" w:color="auto" w:sz="4" w:space="0"/>
            </w:tcBorders>
            <w:vAlign w:val="center"/>
          </w:tcPr>
          <w:p w14:paraId="62D7D4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0F3D0D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24092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7C4284D">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4C10A9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603354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53D0CC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90" w:type="dxa"/>
            <w:tcBorders>
              <w:top w:val="nil"/>
              <w:left w:val="nil"/>
              <w:bottom w:val="single" w:color="auto" w:sz="4" w:space="0"/>
              <w:right w:val="single" w:color="auto" w:sz="4" w:space="0"/>
            </w:tcBorders>
            <w:vAlign w:val="center"/>
          </w:tcPr>
          <w:p w14:paraId="5F8F33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27" w:type="dxa"/>
            <w:tcBorders>
              <w:top w:val="nil"/>
              <w:left w:val="nil"/>
              <w:bottom w:val="single" w:color="auto" w:sz="4" w:space="0"/>
              <w:right w:val="single" w:color="auto" w:sz="4" w:space="0"/>
            </w:tcBorders>
            <w:vAlign w:val="center"/>
          </w:tcPr>
          <w:p w14:paraId="31E7D1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90152CB">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0F1AC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72" w:type="dxa"/>
            <w:tcBorders>
              <w:top w:val="nil"/>
              <w:left w:val="nil"/>
              <w:bottom w:val="single" w:color="auto" w:sz="4" w:space="0"/>
              <w:right w:val="single" w:color="auto" w:sz="4" w:space="0"/>
            </w:tcBorders>
            <w:vAlign w:val="center"/>
          </w:tcPr>
          <w:p w14:paraId="0A8D44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786A84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28EC3E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90" w:type="dxa"/>
            <w:tcBorders>
              <w:top w:val="nil"/>
              <w:left w:val="nil"/>
              <w:bottom w:val="single" w:color="auto" w:sz="4" w:space="0"/>
              <w:right w:val="single" w:color="auto" w:sz="4" w:space="0"/>
            </w:tcBorders>
            <w:vAlign w:val="center"/>
          </w:tcPr>
          <w:p w14:paraId="3F6264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27" w:type="dxa"/>
            <w:tcBorders>
              <w:top w:val="nil"/>
              <w:left w:val="nil"/>
              <w:bottom w:val="single" w:color="auto" w:sz="4" w:space="0"/>
              <w:right w:val="single" w:color="auto" w:sz="4" w:space="0"/>
            </w:tcBorders>
            <w:vAlign w:val="center"/>
          </w:tcPr>
          <w:p w14:paraId="49F4CF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2D722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CC3DFCD">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63C39D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45" w:type="dxa"/>
            <w:tcBorders>
              <w:top w:val="nil"/>
              <w:left w:val="nil"/>
              <w:bottom w:val="single" w:color="auto" w:sz="4" w:space="0"/>
              <w:right w:val="single" w:color="auto" w:sz="4" w:space="0"/>
            </w:tcBorders>
            <w:vAlign w:val="center"/>
          </w:tcPr>
          <w:p w14:paraId="72A514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7CB7B9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90" w:type="dxa"/>
            <w:tcBorders>
              <w:top w:val="nil"/>
              <w:left w:val="nil"/>
              <w:bottom w:val="single" w:color="auto" w:sz="4" w:space="0"/>
              <w:right w:val="single" w:color="auto" w:sz="4" w:space="0"/>
            </w:tcBorders>
            <w:vAlign w:val="center"/>
          </w:tcPr>
          <w:p w14:paraId="258762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27" w:type="dxa"/>
            <w:tcBorders>
              <w:top w:val="nil"/>
              <w:left w:val="nil"/>
              <w:bottom w:val="single" w:color="auto" w:sz="4" w:space="0"/>
              <w:right w:val="single" w:color="auto" w:sz="4" w:space="0"/>
            </w:tcBorders>
            <w:vAlign w:val="center"/>
          </w:tcPr>
          <w:p w14:paraId="058C6C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75C99B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C00BD1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72" w:type="dxa"/>
            <w:tcBorders>
              <w:top w:val="nil"/>
              <w:left w:val="nil"/>
              <w:bottom w:val="single" w:color="auto" w:sz="4" w:space="0"/>
              <w:right w:val="single" w:color="auto" w:sz="4" w:space="0"/>
            </w:tcBorders>
            <w:vAlign w:val="center"/>
          </w:tcPr>
          <w:p w14:paraId="79CBCF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4DAAAA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0F749A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90" w:type="dxa"/>
            <w:tcBorders>
              <w:top w:val="nil"/>
              <w:left w:val="nil"/>
              <w:bottom w:val="single" w:color="auto" w:sz="4" w:space="0"/>
              <w:right w:val="single" w:color="auto" w:sz="4" w:space="0"/>
            </w:tcBorders>
            <w:vAlign w:val="center"/>
          </w:tcPr>
          <w:p w14:paraId="4EEC5A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27" w:type="dxa"/>
            <w:tcBorders>
              <w:top w:val="nil"/>
              <w:left w:val="nil"/>
              <w:bottom w:val="single" w:color="auto" w:sz="4" w:space="0"/>
              <w:right w:val="single" w:color="auto" w:sz="4" w:space="0"/>
            </w:tcBorders>
            <w:vAlign w:val="center"/>
          </w:tcPr>
          <w:p w14:paraId="3F6D50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C73B8C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4374823">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7835F0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45" w:type="dxa"/>
            <w:tcBorders>
              <w:top w:val="nil"/>
              <w:left w:val="nil"/>
              <w:bottom w:val="single" w:color="auto" w:sz="4" w:space="0"/>
              <w:right w:val="single" w:color="auto" w:sz="4" w:space="0"/>
            </w:tcBorders>
            <w:vAlign w:val="center"/>
          </w:tcPr>
          <w:p w14:paraId="0B2A31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15135A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90" w:type="dxa"/>
            <w:tcBorders>
              <w:top w:val="nil"/>
              <w:left w:val="nil"/>
              <w:bottom w:val="single" w:color="auto" w:sz="4" w:space="0"/>
              <w:right w:val="single" w:color="auto" w:sz="4" w:space="0"/>
            </w:tcBorders>
            <w:vAlign w:val="center"/>
          </w:tcPr>
          <w:p w14:paraId="32D7D9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27" w:type="dxa"/>
            <w:tcBorders>
              <w:top w:val="nil"/>
              <w:left w:val="nil"/>
              <w:bottom w:val="single" w:color="auto" w:sz="4" w:space="0"/>
              <w:right w:val="single" w:color="auto" w:sz="4" w:space="0"/>
            </w:tcBorders>
            <w:vAlign w:val="center"/>
          </w:tcPr>
          <w:p w14:paraId="1883DE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7FD12E9">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8A8550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72" w:type="dxa"/>
            <w:tcBorders>
              <w:top w:val="nil"/>
              <w:left w:val="nil"/>
              <w:bottom w:val="single" w:color="auto" w:sz="4" w:space="0"/>
              <w:right w:val="single" w:color="auto" w:sz="4" w:space="0"/>
            </w:tcBorders>
            <w:vAlign w:val="center"/>
          </w:tcPr>
          <w:p w14:paraId="0511E3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3E9B7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0F7F23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0" w:type="dxa"/>
            <w:tcBorders>
              <w:top w:val="nil"/>
              <w:left w:val="nil"/>
              <w:bottom w:val="single" w:color="auto" w:sz="4" w:space="0"/>
              <w:right w:val="single" w:color="auto" w:sz="4" w:space="0"/>
            </w:tcBorders>
            <w:vAlign w:val="center"/>
          </w:tcPr>
          <w:p w14:paraId="68078C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46C13A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7FE3B2">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5BF63D6">
            <w:pPr>
              <w:widowControl/>
              <w:jc w:val="center"/>
              <w:rPr>
                <w:rFonts w:ascii="宋体" w:hAnsi="宋体" w:cs="宋体"/>
                <w:b/>
                <w:bCs/>
                <w:color w:val="auto"/>
                <w:kern w:val="0"/>
                <w:sz w:val="18"/>
                <w:szCs w:val="18"/>
                <w:highlight w:val="none"/>
              </w:rPr>
            </w:pPr>
          </w:p>
        </w:tc>
        <w:tc>
          <w:tcPr>
            <w:tcW w:w="1972" w:type="dxa"/>
            <w:tcBorders>
              <w:top w:val="nil"/>
              <w:left w:val="nil"/>
              <w:bottom w:val="single" w:color="auto" w:sz="4" w:space="0"/>
              <w:right w:val="single" w:color="auto" w:sz="4" w:space="0"/>
            </w:tcBorders>
            <w:vAlign w:val="center"/>
          </w:tcPr>
          <w:p w14:paraId="575F49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45" w:type="dxa"/>
            <w:tcBorders>
              <w:top w:val="nil"/>
              <w:left w:val="nil"/>
              <w:bottom w:val="single" w:color="auto" w:sz="4" w:space="0"/>
              <w:right w:val="single" w:color="auto" w:sz="4" w:space="0"/>
            </w:tcBorders>
            <w:vAlign w:val="center"/>
          </w:tcPr>
          <w:p w14:paraId="4B48A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30" w:type="dxa"/>
            <w:tcBorders>
              <w:top w:val="nil"/>
              <w:left w:val="nil"/>
              <w:bottom w:val="single" w:color="auto" w:sz="4" w:space="0"/>
              <w:right w:val="single" w:color="auto" w:sz="4" w:space="0"/>
            </w:tcBorders>
            <w:vAlign w:val="center"/>
          </w:tcPr>
          <w:p w14:paraId="76FAB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90" w:type="dxa"/>
            <w:tcBorders>
              <w:top w:val="nil"/>
              <w:left w:val="nil"/>
              <w:bottom w:val="single" w:color="auto" w:sz="4" w:space="0"/>
              <w:right w:val="single" w:color="auto" w:sz="4" w:space="0"/>
            </w:tcBorders>
            <w:vAlign w:val="center"/>
          </w:tcPr>
          <w:p w14:paraId="621255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27" w:type="dxa"/>
            <w:tcBorders>
              <w:top w:val="nil"/>
              <w:left w:val="nil"/>
              <w:bottom w:val="single" w:color="auto" w:sz="4" w:space="0"/>
              <w:right w:val="single" w:color="auto" w:sz="4" w:space="0"/>
            </w:tcBorders>
            <w:vAlign w:val="center"/>
          </w:tcPr>
          <w:p w14:paraId="1E4C6F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D6C815">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7E2D66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72" w:type="dxa"/>
            <w:tcBorders>
              <w:top w:val="nil"/>
              <w:left w:val="nil"/>
              <w:bottom w:val="single" w:color="auto" w:sz="4" w:space="0"/>
              <w:right w:val="single" w:color="auto" w:sz="4" w:space="0"/>
            </w:tcBorders>
            <w:vAlign w:val="center"/>
          </w:tcPr>
          <w:p w14:paraId="1EB048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45" w:type="dxa"/>
            <w:tcBorders>
              <w:top w:val="nil"/>
              <w:left w:val="nil"/>
              <w:bottom w:val="single" w:color="auto" w:sz="4" w:space="0"/>
              <w:right w:val="single" w:color="auto" w:sz="4" w:space="0"/>
            </w:tcBorders>
            <w:vAlign w:val="center"/>
          </w:tcPr>
          <w:p w14:paraId="42D009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30" w:type="dxa"/>
            <w:tcBorders>
              <w:top w:val="nil"/>
              <w:left w:val="nil"/>
              <w:bottom w:val="single" w:color="auto" w:sz="4" w:space="0"/>
              <w:right w:val="single" w:color="auto" w:sz="4" w:space="0"/>
            </w:tcBorders>
            <w:vAlign w:val="center"/>
          </w:tcPr>
          <w:p w14:paraId="2E72C9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90" w:type="dxa"/>
            <w:tcBorders>
              <w:top w:val="nil"/>
              <w:left w:val="nil"/>
              <w:bottom w:val="single" w:color="auto" w:sz="4" w:space="0"/>
              <w:right w:val="single" w:color="auto" w:sz="4" w:space="0"/>
            </w:tcBorders>
            <w:vAlign w:val="center"/>
          </w:tcPr>
          <w:p w14:paraId="2C776B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27" w:type="dxa"/>
            <w:tcBorders>
              <w:top w:val="nil"/>
              <w:left w:val="nil"/>
              <w:bottom w:val="single" w:color="auto" w:sz="4" w:space="0"/>
              <w:right w:val="single" w:color="auto" w:sz="4" w:space="0"/>
            </w:tcBorders>
            <w:vAlign w:val="center"/>
          </w:tcPr>
          <w:p w14:paraId="4D8FFB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439E3F7">
      <w:pPr>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cs="宋体"/>
          <w:color w:val="auto"/>
          <w:szCs w:val="21"/>
          <w:highlight w:val="none"/>
        </w:rPr>
        <w:t>），大型、中型和小型企业须同时满足所列指标的下限，否则下划一档；微型企业只须满足所列指标中的一项即可</w:t>
      </w:r>
      <w:r>
        <w:rPr>
          <w:rFonts w:hint="eastAsia" w:ascii="宋体" w:hAnsi="宋体" w:cs="宋体"/>
          <w:color w:val="auto"/>
          <w:szCs w:val="21"/>
          <w:highlight w:val="none"/>
          <w:lang w:bidi="ar"/>
        </w:rPr>
        <w:t>。</w:t>
      </w:r>
    </w:p>
    <w:p w14:paraId="590D6ADB">
      <w:pPr>
        <w:rPr>
          <w:rFonts w:ascii="宋体" w:hAnsi="宋体" w:cs="宋体"/>
          <w:color w:val="auto"/>
          <w:highlight w:val="none"/>
        </w:rPr>
      </w:pPr>
    </w:p>
    <w:p w14:paraId="619A8515">
      <w:pPr>
        <w:rPr>
          <w:rFonts w:ascii="宋体" w:hAnsi="宋体" w:cs="宋体"/>
          <w:color w:val="auto"/>
          <w:highlight w:val="none"/>
        </w:rPr>
      </w:pPr>
    </w:p>
    <w:p w14:paraId="6AC20ECF">
      <w:pPr>
        <w:pStyle w:val="3"/>
        <w:jc w:val="center"/>
        <w:rPr>
          <w:rFonts w:ascii="宋体" w:hAnsi="宋体" w:cs="宋体"/>
          <w:color w:val="auto"/>
          <w:highlight w:val="none"/>
        </w:rPr>
      </w:pPr>
      <w:bookmarkStart w:id="61" w:name="_Toc521"/>
      <w:r>
        <w:rPr>
          <w:rFonts w:hint="eastAsia" w:ascii="宋体" w:hAnsi="宋体" w:cs="宋体"/>
          <w:color w:val="auto"/>
          <w:highlight w:val="none"/>
        </w:rPr>
        <w:br w:type="page"/>
      </w:r>
      <w:r>
        <w:rPr>
          <w:rFonts w:hint="eastAsia" w:ascii="宋体" w:hAnsi="宋体" w:cs="宋体"/>
          <w:color w:val="auto"/>
          <w:highlight w:val="none"/>
        </w:rPr>
        <w:t>第四章  评审程序、评审方法和评审标准</w:t>
      </w:r>
      <w:bookmarkEnd w:id="61"/>
    </w:p>
    <w:p w14:paraId="084AE51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21F112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0D8095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3550763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2"/>
          <w:rFonts w:hint="eastAsia" w:ascii="宋体" w:hAnsi="宋体" w:cs="宋体"/>
          <w:color w:val="auto"/>
          <w:highlight w:val="none"/>
        </w:rPr>
        <w:t>www.creditchina.gov.cn</w:t>
      </w:r>
      <w:r>
        <w:rPr>
          <w:rStyle w:val="62"/>
          <w:rFonts w:hint="eastAsia" w:ascii="宋体" w:hAnsi="宋体" w:cs="宋体"/>
          <w:color w:val="auto"/>
          <w:highlight w:val="none"/>
        </w:rPr>
        <w:fldChar w:fldCharType="end"/>
      </w:r>
      <w:r>
        <w:rPr>
          <w:rFonts w:hint="eastAsia" w:ascii="宋体" w:hAnsi="宋体" w:cs="宋体"/>
          <w:color w:val="auto"/>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62"/>
          <w:rFonts w:hint="eastAsia" w:ascii="宋体" w:hAnsi="宋体" w:cs="宋体"/>
          <w:color w:val="auto"/>
          <w:highlight w:val="none"/>
        </w:rPr>
        <w:t>www.ccgp.gov.cn</w:t>
      </w:r>
      <w:r>
        <w:rPr>
          <w:rStyle w:val="62"/>
          <w:rFonts w:hint="eastAsia" w:ascii="宋体" w:hAnsi="宋体" w:cs="宋体"/>
          <w:color w:val="auto"/>
          <w:highlight w:val="none"/>
        </w:rPr>
        <w:fldChar w:fldCharType="end"/>
      </w:r>
      <w:r>
        <w:rPr>
          <w:rFonts w:hint="eastAsia" w:ascii="宋体" w:hAnsi="宋体" w:cs="宋体"/>
          <w:color w:val="auto"/>
          <w:highlight w:val="none"/>
        </w:rPr>
        <w:t>)链接入口。</w:t>
      </w:r>
    </w:p>
    <w:p w14:paraId="0EE9A2EA">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（2）信用查询截止时点：资格审查结束前。</w:t>
      </w:r>
    </w:p>
    <w:p w14:paraId="11F1D34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（3）信用信息使用规则：</w:t>
      </w:r>
      <w:r>
        <w:rPr>
          <w:rFonts w:hint="eastAsia" w:ascii="宋体" w:hAnsi="宋体" w:cs="宋体"/>
          <w:color w:val="auto"/>
          <w:szCs w:val="21"/>
          <w:highlight w:val="none"/>
        </w:rPr>
        <w:t>对在“信用中国”网站(www.creditchina.gov.cn)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14:paraId="0C8C5C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28D7AC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788267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1169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2EEE6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11573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2F3678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04D4F410">
      <w:pPr>
        <w:spacing w:line="360" w:lineRule="auto"/>
        <w:ind w:firstLine="420" w:firstLineChars="200"/>
        <w:rPr>
          <w:rFonts w:ascii="宋体" w:hAnsi="宋体" w:cs="宋体"/>
          <w:color w:val="auto"/>
          <w:szCs w:val="21"/>
          <w:highlight w:val="none"/>
        </w:rPr>
      </w:pPr>
      <w:bookmarkStart w:id="62"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2"/>
    <w:p w14:paraId="04E23A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BE2DA2">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w:t>
      </w:r>
      <w:r>
        <w:rPr>
          <w:rFonts w:hint="eastAsia" w:ascii="宋体" w:hAnsi="宋体" w:cs="宋体"/>
          <w:color w:val="auto"/>
          <w:highlight w:val="none"/>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highlight w:val="none"/>
        </w:rPr>
        <w:t>。供应商为自然人的，必须由本人签字并附身份证明</w:t>
      </w:r>
      <w:r>
        <w:rPr>
          <w:rFonts w:hint="eastAsia" w:ascii="宋体" w:hAnsi="宋体" w:cs="宋体"/>
          <w:color w:val="auto"/>
          <w:spacing w:val="-6"/>
          <w:szCs w:val="21"/>
          <w:highlight w:val="none"/>
        </w:rPr>
        <w:t>。</w:t>
      </w:r>
    </w:p>
    <w:p w14:paraId="3A7A300D">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33A10F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B2CBD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16D13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3DC01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209CE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FCB3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4B9B75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0F82C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A0FA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66945A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2D6408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0BA67D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206A6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5）响应文件未提供任一项“供应商须知前附表”报价商务技术文件中“必须提供”或者“委托时必须提供”的文件资料；响应文件提供的报价商务技术文件出现任一项不符合“供应商须知前附表”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38D7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6）商务条款中标“▲”的条款发生负偏离的或者允许负偏离的条款数超过“供应商须知前附表”规定项数的或者标明实质性的要求发生负偏离；</w:t>
      </w:r>
    </w:p>
    <w:p w14:paraId="359CF8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14:paraId="4E8C91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14:paraId="23B978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14:paraId="6C915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14:paraId="7235D0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11）属于“供应商须知正文”第7.5条情形；</w:t>
      </w:r>
    </w:p>
    <w:p w14:paraId="036D4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12）明显不满足磋商文件要求的技术规格、安全、质量标准，或者与磋商文件中标“▲”的</w:t>
      </w:r>
      <w:r>
        <w:rPr>
          <w:rFonts w:hint="eastAsia" w:ascii="宋体" w:hAnsi="宋体" w:cs="宋体"/>
          <w:color w:val="auto"/>
          <w:szCs w:val="21"/>
          <w:highlight w:val="none"/>
          <w:lang w:eastAsia="zh-CN"/>
        </w:rPr>
        <w:t>服务需求</w:t>
      </w:r>
      <w:r>
        <w:rPr>
          <w:rFonts w:hint="eastAsia" w:ascii="宋体" w:hAnsi="宋体" w:cs="宋体"/>
          <w:color w:val="auto"/>
          <w:szCs w:val="21"/>
          <w:highlight w:val="none"/>
        </w:rPr>
        <w:t>或者标明实质性的要求发生负偏离；</w:t>
      </w:r>
    </w:p>
    <w:p w14:paraId="69FAB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eastAsia="zh-CN"/>
        </w:rPr>
        <w:t>服务需求</w:t>
      </w:r>
      <w:r>
        <w:rPr>
          <w:rFonts w:hint="eastAsia" w:ascii="宋体" w:hAnsi="宋体" w:cs="宋体"/>
          <w:color w:val="auto"/>
          <w:szCs w:val="21"/>
          <w:highlight w:val="none"/>
        </w:rPr>
        <w:t>允许负偏离的条款数超过“供应商须知前附表”规定项数；</w:t>
      </w:r>
    </w:p>
    <w:p w14:paraId="1D3DCB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w:t>
      </w:r>
    </w:p>
    <w:p w14:paraId="2539D7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15）竞标技术方案不明确，磋商文件未允许但响应文件中存在一个或者一个以上备选（替代）竞标方案；</w:t>
      </w:r>
    </w:p>
    <w:p w14:paraId="671D6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6FC514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372187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5701E6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报价商务技术文件中规定的“竞标报价表”的；</w:t>
      </w:r>
    </w:p>
    <w:p w14:paraId="18E5F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2）未采用人民币报价或者未按照磋商文件标明的币种报价的；</w:t>
      </w:r>
    </w:p>
    <w:p w14:paraId="383CE9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C350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3" w:name="_Hlk42596405"/>
      <w:r>
        <w:rPr>
          <w:rFonts w:hint="eastAsia" w:ascii="宋体" w:hAnsi="宋体" w:cs="宋体"/>
          <w:color w:val="auto"/>
          <w:szCs w:val="21"/>
          <w:highlight w:val="none"/>
        </w:rPr>
        <w:t>竞标报价（包含首次报价、最后报价）</w:t>
      </w:r>
      <w:bookmarkEnd w:id="63"/>
      <w:bookmarkStart w:id="64" w:name="_Hlk42596276"/>
      <w:r>
        <w:rPr>
          <w:rFonts w:hint="eastAsia" w:ascii="宋体" w:hAnsi="宋体" w:cs="宋体"/>
          <w:color w:val="auto"/>
          <w:szCs w:val="21"/>
          <w:highlight w:val="none"/>
        </w:rPr>
        <w:t>超过磋商文件分项采购预算金额或者最高限价的</w:t>
      </w:r>
      <w:bookmarkEnd w:id="64"/>
      <w:r>
        <w:rPr>
          <w:rFonts w:hint="eastAsia" w:ascii="宋体" w:hAnsi="宋体" w:cs="宋体"/>
          <w:color w:val="auto"/>
          <w:szCs w:val="21"/>
          <w:highlight w:val="none"/>
        </w:rPr>
        <w:t>（如本项目公布了最高限价）；</w:t>
      </w:r>
    </w:p>
    <w:p w14:paraId="1DE51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875B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BC4F7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2.7通过符合性审查的合格供应商不足3家的，不得进入磋商环节，采购人或者采购代理机构应当重新开展采购活动（除符合本章3.8条规定的除外）。</w:t>
      </w:r>
    </w:p>
    <w:p w14:paraId="287598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2B53F63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3.磋商的程序</w:t>
      </w:r>
    </w:p>
    <w:p w14:paraId="20E4A1D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D0E04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89F8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3.3对磋商文件作出的实质性变动是磋商文件的有效组成部分，由磋商小组以</w:t>
      </w:r>
      <w:r>
        <w:rPr>
          <w:rFonts w:hint="eastAsia" w:ascii="宋体" w:hAnsi="宋体" w:cs="宋体"/>
          <w:color w:val="auto"/>
          <w:highlight w:val="none"/>
        </w:rPr>
        <w:t>电子澄清函形式</w:t>
      </w:r>
      <w:r>
        <w:rPr>
          <w:rFonts w:hint="eastAsia" w:ascii="宋体" w:hAnsi="宋体" w:cs="宋体"/>
          <w:color w:val="auto"/>
          <w:szCs w:val="21"/>
          <w:highlight w:val="none"/>
        </w:rPr>
        <w:t>同时通知所有参加磋商的供应商。</w:t>
      </w:r>
    </w:p>
    <w:p w14:paraId="693893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w:t>
      </w:r>
      <w:r>
        <w:rPr>
          <w:rFonts w:hint="eastAsia" w:ascii="宋体" w:hAnsi="宋体" w:cs="宋体"/>
          <w:color w:val="auto"/>
          <w:highlight w:val="none"/>
        </w:rPr>
        <w:t>并加盖电子公章</w:t>
      </w:r>
      <w:r>
        <w:rPr>
          <w:rFonts w:hint="eastAsia" w:ascii="宋体" w:hAnsi="宋体" w:cs="宋体"/>
          <w:color w:val="auto"/>
          <w:szCs w:val="21"/>
          <w:highlight w:val="none"/>
        </w:rPr>
        <w:t>。供应商为自然人的，必须由本人签字并附身份证明。参加磋商的供应商未在规定时间内重新提交响应文件的，视同</w:t>
      </w:r>
      <w:bookmarkStart w:id="65" w:name="_Hlk55814495"/>
      <w:r>
        <w:rPr>
          <w:rFonts w:hint="eastAsia" w:ascii="宋体" w:hAnsi="宋体" w:cs="宋体"/>
          <w:color w:val="auto"/>
          <w:szCs w:val="21"/>
          <w:highlight w:val="none"/>
        </w:rPr>
        <w:t>退出磋商</w:t>
      </w:r>
      <w:bookmarkEnd w:id="65"/>
      <w:r>
        <w:rPr>
          <w:rFonts w:hint="eastAsia" w:ascii="宋体" w:hAnsi="宋体" w:cs="宋体"/>
          <w:color w:val="auto"/>
          <w:szCs w:val="21"/>
          <w:highlight w:val="none"/>
        </w:rPr>
        <w:t>，其响应文件作无效处理。</w:t>
      </w:r>
    </w:p>
    <w:p w14:paraId="5ABFC5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56E545BA">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14:paraId="5317E36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3.7磋商过程中重新提交的响应文件，供应商可以在开启前补充、修改。</w:t>
      </w:r>
    </w:p>
    <w:p w14:paraId="144D174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750124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1B44F705">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002C1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14:paraId="46EF7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6C0FA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A438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3EB89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4.5供应商未在规定时间内提交最后报价的，视为退出磋商，其响应文件作无效处理。</w:t>
      </w:r>
    </w:p>
    <w:p w14:paraId="37F67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14:paraId="695818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3FB6C1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11617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6191A4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12D11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D6625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78CD7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65785AB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79A051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524C9A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AEB02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11165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204A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9F136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465F908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313CCDF">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4F41B7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p w14:paraId="4B4D0A3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5D1B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vAlign w:val="center"/>
          </w:tcPr>
          <w:p w14:paraId="036EEC64">
            <w:pPr>
              <w:widowControl/>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418" w:type="dxa"/>
            <w:vAlign w:val="center"/>
          </w:tcPr>
          <w:p w14:paraId="394E337B">
            <w:pPr>
              <w:widowControl/>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288" w:type="dxa"/>
            <w:vAlign w:val="center"/>
          </w:tcPr>
          <w:p w14:paraId="2FD0DA73">
            <w:pPr>
              <w:widowControl/>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51" w:type="dxa"/>
            <w:vAlign w:val="center"/>
          </w:tcPr>
          <w:p w14:paraId="0C34CD2D">
            <w:pPr>
              <w:widowControl/>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05EB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vAlign w:val="center"/>
          </w:tcPr>
          <w:p w14:paraId="1BB2B855">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18" w:type="dxa"/>
            <w:vAlign w:val="center"/>
          </w:tcPr>
          <w:p w14:paraId="34EE372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价格分</w:t>
            </w:r>
          </w:p>
        </w:tc>
        <w:tc>
          <w:tcPr>
            <w:tcW w:w="6288" w:type="dxa"/>
            <w:vAlign w:val="center"/>
          </w:tcPr>
          <w:p w14:paraId="1DC8BF7F">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按照《政府采购促进中小企业发展管理办法》（财库〔2020〕46号）</w:t>
            </w:r>
            <w:r>
              <w:rPr>
                <w:rFonts w:hint="eastAsia" w:ascii="宋体" w:hAnsi="宋体" w:cs="宋体"/>
                <w:color w:val="auto"/>
                <w:sz w:val="21"/>
                <w:szCs w:val="21"/>
                <w:highlight w:val="none"/>
                <w:lang w:eastAsia="zh-CN"/>
              </w:rPr>
              <w:t>、</w:t>
            </w:r>
            <w:r>
              <w:rPr>
                <w:rFonts w:asciiTheme="minorEastAsia" w:hAnsiTheme="minorEastAsia" w:eastAsiaTheme="minorEastAsia"/>
                <w:bCs/>
                <w:color w:val="auto"/>
                <w:sz w:val="21"/>
                <w:szCs w:val="21"/>
                <w:highlight w:val="none"/>
              </w:rPr>
              <w:t>《广西壮族自治区财政厅关于持续优化政府采购营商环境推动高质量发展的通知》（桂财采〔202</w:t>
            </w:r>
            <w:r>
              <w:rPr>
                <w:rFonts w:hint="eastAsia" w:asciiTheme="minorEastAsia" w:hAnsiTheme="minorEastAsia" w:eastAsiaTheme="minorEastAsia"/>
                <w:bCs/>
                <w:color w:val="auto"/>
                <w:sz w:val="21"/>
                <w:szCs w:val="21"/>
                <w:highlight w:val="none"/>
                <w:lang w:val="en-US" w:eastAsia="zh-CN"/>
              </w:rPr>
              <w:t>4</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val="en-US" w:eastAsia="zh-CN"/>
              </w:rPr>
              <w:t>55</w:t>
            </w:r>
            <w:r>
              <w:rPr>
                <w:rFonts w:asciiTheme="minorEastAsia" w:hAnsiTheme="minorEastAsia" w:eastAsiaTheme="minorEastAsia"/>
                <w:bCs/>
                <w:color w:val="auto"/>
                <w:sz w:val="21"/>
                <w:szCs w:val="21"/>
                <w:highlight w:val="none"/>
              </w:rPr>
              <w:t>号）</w:t>
            </w:r>
            <w:r>
              <w:rPr>
                <w:rFonts w:hint="eastAsia" w:ascii="宋体" w:hAnsi="宋体" w:cs="宋体"/>
                <w:color w:val="auto"/>
                <w:sz w:val="21"/>
                <w:szCs w:val="21"/>
                <w:highlight w:val="none"/>
              </w:rPr>
              <w:t>的规定</w:t>
            </w:r>
            <w:r>
              <w:rPr>
                <w:rFonts w:hint="eastAsia" w:ascii="宋体" w:hAnsi="宋体" w:cs="宋体"/>
                <w:color w:val="auto"/>
                <w:sz w:val="21"/>
                <w:szCs w:val="21"/>
                <w:highlight w:val="none"/>
                <w:lang w:val="en-US"/>
              </w:rPr>
              <w:t>，中小企业划分为中型、小型、微型三种类型，具体标准根据企业从业人员、营业收入、资产总额等指标，结合行业特点制定。</w:t>
            </w: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lang w:val="en-US"/>
              </w:rPr>
              <w:t>认定为小型和微型企业的（以国家工信部门出具的证明文件为准），对小型和微型企业</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的价格给予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%的价格扣除，扣除后的价格为</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价，即</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价＝磋商最终报价×（1-</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val="en-US"/>
              </w:rPr>
              <w:t>%）；（以供应商按第五章“响应文件格式”要求提供的《报价表》和《中小企业声明函》为评分依据）</w:t>
            </w:r>
          </w:p>
          <w:p w14:paraId="0AF390F9">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%的价格扣除，扣除后的价格为</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价，即</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价＝磋商最终报价×（1-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rPr>
              <w:t>%）；（以供应商按第五章“响应文件格式”要求提供的《报价表》、《中小企业声明函》和《联合体协议书》为评分依据）</w:t>
            </w:r>
          </w:p>
          <w:p w14:paraId="60136CC6">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（3）竞标产品</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lang w:val="en-US"/>
              </w:rPr>
              <w:t>提供企业按《关于政府采购支持监狱企业发展有关问题的通知》(财库</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2014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68号)认定为监狱企业的，在政府采购活动中，监狱企业视同小型、微型企业。（以供应商按第五章“响应文件格式”要求提供的《报价表》和由省级以上监狱管理局、戒毒管理局(含新疆生产建设兵团)出具的属于监狱企业的证明文件为评分依据。</w:t>
            </w:r>
          </w:p>
          <w:p w14:paraId="70A38D9D">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4）按照《关于促进残疾人就业政府采购政策的通知》（财库〔2017〕141号），供应商是残疾人福利性企业，且在政府采购活动中，提供本单位制造的货物（由本单位承担工程/提供服务），或者提供其他残疾人福利性单位制造的货物（不包括使用非残疾人福利性单位注册商标的货物），视同小型、微型企业小型、微型企业，享受评审中中小企业价格扣除政策。残疾人福利性单位属于小型、微型企业的，不重复享受政策。残疾人福利性单位参加政府采购活动时，应当提供该通知规定的，并提交残疾人证及在本企业缴纳社保证明。（以供应商按第五章“响应文件格式”要求提供的《报价表》和《残疾人福利性单位声明函》为评分依据）</w:t>
            </w:r>
          </w:p>
          <w:p w14:paraId="11D3820F">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（5）除上述情况外，</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价＝磋商最终报价；</w:t>
            </w:r>
          </w:p>
          <w:p w14:paraId="60322062">
            <w:pPr>
              <w:snapToGrid w:val="0"/>
              <w:spacing w:line="360" w:lineRule="auto"/>
              <w:jc w:val="left"/>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（6）以进入综合评分环节的有效最低的</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价为基准价，基准价报价得分为</w:t>
            </w:r>
            <w:r>
              <w:rPr>
                <w:rFonts w:hint="eastAsia" w:ascii="宋体" w:hAnsi="宋体" w:cs="宋体"/>
                <w:color w:val="auto"/>
                <w:sz w:val="21"/>
                <w:szCs w:val="21"/>
                <w:highlight w:val="none"/>
                <w:lang w:val="en-US" w:eastAsia="zh-CN"/>
              </w:rPr>
              <w:t>满</w:t>
            </w:r>
            <w:r>
              <w:rPr>
                <w:rFonts w:hint="eastAsia" w:ascii="宋体" w:hAnsi="宋体" w:cs="宋体"/>
                <w:color w:val="auto"/>
                <w:sz w:val="21"/>
                <w:szCs w:val="21"/>
                <w:highlight w:val="none"/>
                <w:lang w:val="en-US"/>
              </w:rPr>
              <w:t>分。</w:t>
            </w:r>
          </w:p>
          <w:p w14:paraId="0B636FAD">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rPr>
              <w:t>（7）价格分计算公式</w:t>
            </w:r>
            <w:r>
              <w:rPr>
                <w:rFonts w:hint="eastAsia" w:ascii="宋体" w:hAnsi="宋体" w:cs="宋体"/>
                <w:color w:val="auto"/>
                <w:sz w:val="21"/>
                <w:szCs w:val="21"/>
                <w:highlight w:val="none"/>
              </w:rPr>
              <w:t>：</w:t>
            </w:r>
          </w:p>
          <w:p w14:paraId="5D8A628E">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价格分=（基准价/</w:t>
            </w:r>
            <w:r>
              <w:rPr>
                <w:rFonts w:hint="eastAsia" w:hAnsi="宋体" w:cs="宋体"/>
                <w:color w:val="auto"/>
                <w:sz w:val="21"/>
                <w:szCs w:val="21"/>
                <w:highlight w:val="none"/>
                <w:lang w:val="en-US"/>
              </w:rPr>
              <w:t>某供应商</w:t>
            </w:r>
            <w:r>
              <w:rPr>
                <w:rFonts w:hint="eastAsia" w:ascii="宋体" w:hAnsi="宋体" w:cs="宋体"/>
                <w:color w:val="auto"/>
                <w:sz w:val="21"/>
                <w:szCs w:val="21"/>
                <w:highlight w:val="none"/>
                <w:lang w:val="en-US" w:eastAsia="zh-CN"/>
              </w:rPr>
              <w:t>评审</w:t>
            </w:r>
            <w:r>
              <w:rPr>
                <w:rFonts w:hint="eastAsia" w:ascii="宋体" w:hAnsi="宋体" w:cs="宋体"/>
                <w:color w:val="auto"/>
                <w:sz w:val="21"/>
                <w:szCs w:val="21"/>
                <w:highlight w:val="none"/>
                <w:lang w:val="en-US"/>
              </w:rPr>
              <w:t>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tc>
        <w:tc>
          <w:tcPr>
            <w:tcW w:w="851" w:type="dxa"/>
            <w:vAlign w:val="center"/>
          </w:tcPr>
          <w:p w14:paraId="20A5F7CC">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tc>
      </w:tr>
      <w:tr w14:paraId="5B95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BBAD29D">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18" w:type="dxa"/>
            <w:vAlign w:val="center"/>
          </w:tcPr>
          <w:p w14:paraId="6CD18BEC">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技术分</w:t>
            </w:r>
          </w:p>
        </w:tc>
        <w:tc>
          <w:tcPr>
            <w:tcW w:w="7139" w:type="dxa"/>
            <w:gridSpan w:val="2"/>
            <w:vAlign w:val="center"/>
          </w:tcPr>
          <w:p w14:paraId="14D89CB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w:t>
            </w:r>
          </w:p>
        </w:tc>
      </w:tr>
      <w:tr w14:paraId="5ED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7F3E3A75">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418" w:type="dxa"/>
            <w:shd w:val="clear" w:color="auto" w:fill="auto"/>
            <w:vAlign w:val="center"/>
          </w:tcPr>
          <w:p w14:paraId="2D781026">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服务</w:t>
            </w:r>
            <w:r>
              <w:rPr>
                <w:rFonts w:hint="eastAsia" w:ascii="宋体" w:hAnsi="宋体" w:cs="宋体"/>
                <w:color w:val="auto"/>
                <w:sz w:val="21"/>
                <w:szCs w:val="21"/>
                <w:highlight w:val="none"/>
              </w:rPr>
              <w:t>方案分</w:t>
            </w:r>
          </w:p>
        </w:tc>
        <w:tc>
          <w:tcPr>
            <w:tcW w:w="6288" w:type="dxa"/>
            <w:shd w:val="clear" w:color="auto" w:fill="auto"/>
            <w:vAlign w:val="center"/>
          </w:tcPr>
          <w:p w14:paraId="01C42421">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服务方案应包含但不限于以下各项内容：①技术方案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②在线支持服务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③培训方案</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④</w:t>
            </w:r>
            <w:r>
              <w:rPr>
                <w:rFonts w:hint="eastAsia" w:ascii="宋体" w:hAnsi="宋体" w:cs="宋体"/>
                <w:color w:val="auto"/>
                <w:szCs w:val="21"/>
                <w:highlight w:val="none"/>
                <w:lang w:val="zh-TW" w:eastAsia="zh-TW"/>
              </w:rPr>
              <w:t>技术服务质量</w:t>
            </w:r>
            <w:r>
              <w:rPr>
                <w:rFonts w:hint="eastAsia" w:ascii="宋体" w:hAnsi="宋体" w:cs="宋体"/>
                <w:color w:val="auto"/>
                <w:szCs w:val="21"/>
                <w:highlight w:val="none"/>
                <w:lang w:val="zh-TW"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满分20</w:t>
            </w:r>
            <w:r>
              <w:rPr>
                <w:rFonts w:hint="eastAsia" w:ascii="宋体" w:hAnsi="宋体" w:cs="宋体"/>
                <w:color w:val="auto"/>
                <w:szCs w:val="21"/>
                <w:highlight w:val="none"/>
              </w:rPr>
              <w:t>分）</w:t>
            </w:r>
          </w:p>
          <w:p w14:paraId="3A8A95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：服务方案不完整或服务方案与项目实际需求不符，服务方案过于简单不全面且缺乏可行性论据，无法满足项目基本需求；或者表述内容不清晰。</w:t>
            </w:r>
          </w:p>
          <w:p w14:paraId="5F81291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：服务方案可基本满足项目需求，项目管理组织机构基本满足项目服务需求，能够保证维护设备的正常运行。</w:t>
            </w:r>
          </w:p>
          <w:p w14:paraId="0184267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：在满足二档基础上，服务方案安排合理完整可行，可提供具体的备件库信息，对项目的实际情况及采购单位的使用需求具有一定的针对性，能提供保障服务质量的充分依据，完全满足项目服务需求。</w:t>
            </w:r>
          </w:p>
          <w:p w14:paraId="5E78AC3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：在三档基础上，服务方案内容覆盖全面，有具体的针对性措施，制定有规范的规章管理制度</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w:t>
            </w:r>
            <w:r>
              <w:rPr>
                <w:rFonts w:hint="eastAsia" w:ascii="宋体" w:hAnsi="宋体" w:cs="宋体"/>
                <w:color w:val="auto"/>
                <w:szCs w:val="21"/>
                <w:highlight w:val="none"/>
              </w:rPr>
              <w:t>针对采购人日常使用培训有针对性安排；能够提出有利于该项目进展的意见和建议，且具有前瞻性，服务方案全面保障服务质量。</w:t>
            </w:r>
            <w:r>
              <w:rPr>
                <w:rFonts w:hint="eastAsia" w:ascii="宋体" w:hAnsi="宋体" w:cs="宋体"/>
                <w:i w:val="0"/>
                <w:iCs w:val="0"/>
                <w:color w:val="auto"/>
                <w:spacing w:val="0"/>
                <w:w w:val="100"/>
                <w:kern w:val="0"/>
                <w:position w:val="0"/>
                <w:sz w:val="21"/>
                <w:szCs w:val="21"/>
                <w:highlight w:val="none"/>
                <w:u w:val="none"/>
                <w:shd w:val="clear" w:color="auto" w:fill="auto"/>
                <w:lang w:val="en-US" w:eastAsia="zh-CN" w:bidi="ar"/>
              </w:rPr>
              <w:t>具备</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医疗事故质量溯源软件，医疗影像自动诊断，医疗影像分析，影像通信等软件</w:t>
            </w:r>
            <w:r>
              <w:rPr>
                <w:rFonts w:hint="eastAsia" w:hAnsi="宋体" w:cs="宋体"/>
                <w:color w:val="auto"/>
                <w:kern w:val="2"/>
                <w:sz w:val="21"/>
                <w:highlight w:val="none"/>
                <w:lang w:bidi="ar"/>
              </w:rPr>
              <w:t>（须提供</w:t>
            </w:r>
            <w:r>
              <w:rPr>
                <w:rFonts w:hint="eastAsia" w:hAnsi="宋体" w:cs="宋体"/>
                <w:color w:val="auto"/>
                <w:kern w:val="2"/>
                <w:sz w:val="21"/>
                <w:highlight w:val="none"/>
                <w:lang w:val="en-US" w:eastAsia="zh-CN" w:bidi="ar"/>
              </w:rPr>
              <w:t>相关证明材料</w:t>
            </w:r>
            <w:r>
              <w:rPr>
                <w:rFonts w:hint="eastAsia"/>
                <w:color w:val="auto"/>
                <w:highlight w:val="none"/>
                <w:lang w:eastAsia="zh-CN"/>
              </w:rPr>
              <w:t>）。</w:t>
            </w:r>
          </w:p>
          <w:p w14:paraId="64D05171">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注：未提供或不符合一档条件的得0分。</w:t>
            </w:r>
          </w:p>
        </w:tc>
        <w:tc>
          <w:tcPr>
            <w:tcW w:w="851" w:type="dxa"/>
            <w:shd w:val="clear" w:color="auto" w:fill="auto"/>
            <w:vAlign w:val="center"/>
          </w:tcPr>
          <w:p w14:paraId="32E4F40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szCs w:val="21"/>
                <w:highlight w:val="none"/>
                <w:lang w:val="en-US" w:eastAsia="zh-CN"/>
              </w:rPr>
              <w:t>20分</w:t>
            </w:r>
            <w:r>
              <w:rPr>
                <w:rFonts w:hint="eastAsia"/>
                <w:color w:val="auto"/>
                <w:szCs w:val="21"/>
                <w:highlight w:val="none"/>
              </w:rPr>
              <w:t>（</w:t>
            </w:r>
            <w:r>
              <w:rPr>
                <w:rFonts w:hint="eastAsia"/>
                <w:color w:val="auto"/>
                <w:szCs w:val="21"/>
                <w:highlight w:val="none"/>
                <w:lang w:val="en-US" w:eastAsia="zh-CN"/>
              </w:rPr>
              <w:t>主</w:t>
            </w:r>
            <w:r>
              <w:rPr>
                <w:rFonts w:hint="eastAsia"/>
                <w:color w:val="auto"/>
                <w:szCs w:val="21"/>
                <w:highlight w:val="none"/>
              </w:rPr>
              <w:t>观</w:t>
            </w:r>
            <w:r>
              <w:rPr>
                <w:rFonts w:hint="eastAsia"/>
                <w:color w:val="auto"/>
                <w:szCs w:val="21"/>
                <w:highlight w:val="none"/>
                <w:lang w:val="en-US" w:eastAsia="zh-CN"/>
              </w:rPr>
              <w:t>分</w:t>
            </w:r>
            <w:r>
              <w:rPr>
                <w:rFonts w:hint="eastAsia"/>
                <w:color w:val="auto"/>
                <w:szCs w:val="21"/>
                <w:highlight w:val="none"/>
              </w:rPr>
              <w:t>）</w:t>
            </w:r>
          </w:p>
        </w:tc>
      </w:tr>
      <w:tr w14:paraId="58AB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533" w:type="dxa"/>
            <w:vAlign w:val="center"/>
          </w:tcPr>
          <w:p w14:paraId="7770470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1418" w:type="dxa"/>
            <w:shd w:val="clear" w:color="auto" w:fill="auto"/>
            <w:vAlign w:val="center"/>
          </w:tcPr>
          <w:p w14:paraId="2E2455EB">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服务承诺</w:t>
            </w: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分</w:t>
            </w:r>
          </w:p>
        </w:tc>
        <w:tc>
          <w:tcPr>
            <w:tcW w:w="6288" w:type="dxa"/>
            <w:shd w:val="clear" w:color="auto" w:fill="auto"/>
            <w:vAlign w:val="center"/>
          </w:tcPr>
          <w:p w14:paraId="75C8ADF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服务承诺应包含但不限于以下各项内容：①服务响应（含到达故障现场时间）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②保养频率、开机率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③维修技术标准等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满分</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6D327F4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：供应商未提供明确的服务承诺或承诺过于简单不全面且缺乏可行性论据，无法满足项目基本需求；或者表述内容不清晰。</w:t>
            </w:r>
          </w:p>
          <w:p w14:paraId="7598D80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：服务承诺内容可基本满足项目需求。对维保服务重点、难点有了解和认识，服务承诺涵盖能够实现项目基本响应要求的各项内容。</w:t>
            </w:r>
          </w:p>
          <w:p w14:paraId="4BFD88A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：在满足二档基础上，服务响应方式覆盖全面，对维保服务过程中可能遇到的质控检测</w:t>
            </w:r>
            <w:r>
              <w:rPr>
                <w:rFonts w:hint="eastAsia" w:ascii="宋体" w:hAnsi="宋体" w:cs="宋体"/>
                <w:color w:val="auto"/>
                <w:szCs w:val="21"/>
                <w:highlight w:val="none"/>
                <w:lang w:eastAsia="zh-CN"/>
              </w:rPr>
              <w:t>、</w:t>
            </w:r>
            <w:r>
              <w:rPr>
                <w:rFonts w:hint="eastAsia" w:ascii="宋体" w:hAnsi="宋体" w:cs="宋体"/>
                <w:color w:val="auto"/>
                <w:szCs w:val="21"/>
                <w:highlight w:val="none"/>
              </w:rPr>
              <w:t>维修技术</w:t>
            </w:r>
            <w:r>
              <w:rPr>
                <w:rFonts w:hint="eastAsia" w:ascii="宋体" w:hAnsi="宋体" w:cs="宋体"/>
                <w:color w:val="auto"/>
                <w:szCs w:val="21"/>
                <w:highlight w:val="none"/>
                <w:lang w:val="en-US" w:eastAsia="zh-CN"/>
              </w:rPr>
              <w:t>把控</w:t>
            </w:r>
            <w:r>
              <w:rPr>
                <w:rFonts w:hint="eastAsia" w:ascii="宋体" w:hAnsi="宋体" w:cs="宋体"/>
                <w:color w:val="auto"/>
                <w:szCs w:val="21"/>
                <w:highlight w:val="none"/>
              </w:rPr>
              <w:t>等情况进行详细的阐述及合理分析，并对处理方法、时效进行明确承诺，对服务质量有保障，能够保证维护目标的正常运行。</w:t>
            </w:r>
          </w:p>
          <w:p w14:paraId="7C13965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：在满足三档基础上，服务承诺内容覆盖全面，有具体的针对性措施，且在响应时间、保养频率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于采购人</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日常维护过程中</w:t>
            </w:r>
            <w:r>
              <w:rPr>
                <w:rFonts w:hint="eastAsia" w:ascii="宋体" w:hAnsi="宋体" w:cs="宋体"/>
                <w:color w:val="auto"/>
                <w:szCs w:val="21"/>
                <w:highlight w:val="none"/>
                <w:lang w:val="en-US" w:eastAsia="zh-CN"/>
              </w:rPr>
              <w:t>所需的物品</w:t>
            </w:r>
            <w:r>
              <w:rPr>
                <w:rFonts w:hint="eastAsia" w:ascii="宋体" w:hAnsi="宋体" w:cs="宋体"/>
                <w:color w:val="auto"/>
                <w:szCs w:val="21"/>
                <w:highlight w:val="none"/>
              </w:rPr>
              <w:t>有针对性的计划及保障措施等内容有优于磋商文件要求的实质性服务承诺。</w:t>
            </w:r>
          </w:p>
          <w:p w14:paraId="611E1B97">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注：未提供或不符合一档条件的得0分。</w:t>
            </w:r>
          </w:p>
        </w:tc>
        <w:tc>
          <w:tcPr>
            <w:tcW w:w="851" w:type="dxa"/>
            <w:shd w:val="clear" w:color="auto" w:fill="auto"/>
            <w:vAlign w:val="center"/>
          </w:tcPr>
          <w:p w14:paraId="537151BA">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6分</w:t>
            </w:r>
            <w:r>
              <w:rPr>
                <w:rFonts w:hint="eastAsia"/>
                <w:color w:val="auto"/>
                <w:szCs w:val="21"/>
                <w:highlight w:val="none"/>
              </w:rPr>
              <w:t>（</w:t>
            </w:r>
            <w:r>
              <w:rPr>
                <w:rFonts w:hint="eastAsia"/>
                <w:color w:val="auto"/>
                <w:szCs w:val="21"/>
                <w:highlight w:val="none"/>
                <w:lang w:val="en-US" w:eastAsia="zh-CN"/>
              </w:rPr>
              <w:t>主</w:t>
            </w:r>
            <w:r>
              <w:rPr>
                <w:rFonts w:hint="eastAsia"/>
                <w:color w:val="auto"/>
                <w:szCs w:val="21"/>
                <w:highlight w:val="none"/>
              </w:rPr>
              <w:t>观分）</w:t>
            </w:r>
          </w:p>
        </w:tc>
      </w:tr>
      <w:tr w14:paraId="2550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35618BF3">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2.3</w:t>
            </w:r>
          </w:p>
        </w:tc>
        <w:tc>
          <w:tcPr>
            <w:tcW w:w="1418" w:type="dxa"/>
            <w:shd w:val="clear" w:color="auto" w:fill="auto"/>
            <w:vAlign w:val="center"/>
          </w:tcPr>
          <w:p w14:paraId="5A2D87B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管理技术力量分</w:t>
            </w:r>
          </w:p>
        </w:tc>
        <w:tc>
          <w:tcPr>
            <w:tcW w:w="6288" w:type="dxa"/>
            <w:shd w:val="clear" w:color="auto" w:fill="auto"/>
            <w:vAlign w:val="center"/>
          </w:tcPr>
          <w:p w14:paraId="3381DCA6">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管理技术力量</w:t>
            </w:r>
            <w:r>
              <w:rPr>
                <w:rFonts w:hint="eastAsia" w:ascii="宋体" w:hAnsi="宋体" w:cs="宋体"/>
                <w:color w:val="auto"/>
                <w:szCs w:val="21"/>
                <w:highlight w:val="none"/>
              </w:rPr>
              <w:t>包含但不限于以下各项内容：①</w:t>
            </w:r>
            <w:r>
              <w:rPr>
                <w:rFonts w:hint="eastAsia" w:ascii="宋体" w:hAnsi="宋体" w:cs="宋体"/>
                <w:color w:val="auto"/>
                <w:szCs w:val="21"/>
                <w:highlight w:val="none"/>
                <w:lang w:val="en-US" w:eastAsia="zh-CN"/>
              </w:rPr>
              <w:t>管理组织配置；</w:t>
            </w:r>
            <w:r>
              <w:rPr>
                <w:rFonts w:hint="eastAsia" w:ascii="宋体" w:hAnsi="宋体" w:cs="宋体"/>
                <w:color w:val="auto"/>
                <w:szCs w:val="21"/>
                <w:highlight w:val="none"/>
              </w:rPr>
              <w:t>②</w:t>
            </w:r>
            <w:r>
              <w:rPr>
                <w:rFonts w:hint="eastAsia" w:ascii="宋体" w:hAnsi="宋体" w:cs="宋体"/>
                <w:color w:val="auto"/>
                <w:szCs w:val="21"/>
                <w:highlight w:val="none"/>
                <w:lang w:val="en-US" w:eastAsia="zh-CN"/>
              </w:rPr>
              <w:t>人员资质</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满分</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0C5B66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一档（</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分）：项目人员配置基本能满足项目实施要求</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配备</w:t>
            </w:r>
            <w:r>
              <w:rPr>
                <w:rFonts w:hint="eastAsia"/>
                <w:color w:val="auto"/>
                <w:highlight w:val="none"/>
              </w:rPr>
              <w:t>服务本区域的</w:t>
            </w:r>
            <w:r>
              <w:rPr>
                <w:rFonts w:hint="eastAsia"/>
                <w:color w:val="auto"/>
                <w:highlight w:val="none"/>
                <w:lang w:val="en-US" w:eastAsia="zh-CN"/>
              </w:rPr>
              <w:t>全职</w:t>
            </w:r>
            <w:r>
              <w:rPr>
                <w:rFonts w:hint="eastAsia"/>
                <w:color w:val="auto"/>
                <w:highlight w:val="none"/>
              </w:rPr>
              <w:t>工程师至少</w:t>
            </w:r>
            <w:r>
              <w:rPr>
                <w:rFonts w:hint="eastAsia"/>
                <w:color w:val="auto"/>
                <w:highlight w:val="none"/>
                <w:lang w:val="en-US" w:eastAsia="zh-CN"/>
              </w:rPr>
              <w:t>有4</w:t>
            </w:r>
            <w:r>
              <w:rPr>
                <w:rFonts w:hint="eastAsia"/>
                <w:color w:val="auto"/>
                <w:highlight w:val="none"/>
              </w:rPr>
              <w:t>人</w:t>
            </w:r>
            <w:r>
              <w:rPr>
                <w:rFonts w:hint="eastAsia"/>
                <w:color w:val="auto"/>
                <w:highlight w:val="none"/>
                <w:lang w:eastAsia="zh-CN"/>
              </w:rPr>
              <w:t>（</w:t>
            </w:r>
            <w:r>
              <w:rPr>
                <w:rFonts w:hint="eastAsia"/>
                <w:color w:val="auto"/>
                <w:highlight w:val="none"/>
                <w:lang w:val="en-US" w:eastAsia="zh-CN"/>
              </w:rPr>
              <w:t>含</w:t>
            </w:r>
            <w:r>
              <w:rPr>
                <w:rFonts w:hint="eastAsia"/>
                <w:color w:val="auto"/>
                <w:highlight w:val="none"/>
              </w:rPr>
              <w:t>服务本区域的全职工程师至少3人</w:t>
            </w:r>
            <w:r>
              <w:rPr>
                <w:rFonts w:hint="eastAsia"/>
                <w:color w:val="auto"/>
                <w:highlight w:val="none"/>
                <w:lang w:val="en-US" w:eastAsia="zh-CN"/>
              </w:rPr>
              <w:t>在内</w:t>
            </w:r>
            <w:r>
              <w:rPr>
                <w:rFonts w:hint="eastAsia"/>
                <w:color w:val="auto"/>
                <w:highlight w:val="none"/>
                <w:lang w:eastAsia="zh-CN"/>
              </w:rPr>
              <w:t>），</w:t>
            </w:r>
            <w:r>
              <w:rPr>
                <w:rFonts w:hint="eastAsia"/>
                <w:color w:val="auto"/>
                <w:highlight w:val="none"/>
                <w:lang w:val="en-US" w:eastAsia="zh-CN"/>
              </w:rPr>
              <w:t>提供</w:t>
            </w:r>
            <w:r>
              <w:rPr>
                <w:rFonts w:hint="eastAsia"/>
                <w:color w:val="auto"/>
                <w:highlight w:val="none"/>
              </w:rPr>
              <w:t>机器厂家培训证书或厂家技术认证资质证明。</w:t>
            </w:r>
          </w:p>
          <w:p w14:paraId="7093B3E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二档（</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分）：</w:t>
            </w:r>
            <w:r>
              <w:rPr>
                <w:rFonts w:hint="eastAsia" w:ascii="宋体" w:hAnsi="宋体" w:cs="宋体"/>
                <w:color w:val="auto"/>
                <w:szCs w:val="21"/>
                <w:highlight w:val="none"/>
              </w:rPr>
              <w:t>在满足</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档基础上</w:t>
            </w:r>
            <w:r>
              <w:rPr>
                <w:rFonts w:hint="eastAsia" w:ascii="宋体" w:hAnsi="宋体" w:cs="宋体"/>
                <w:color w:val="auto"/>
                <w:szCs w:val="21"/>
                <w:highlight w:val="none"/>
                <w:lang w:eastAsia="zh-CN"/>
              </w:rPr>
              <w:t>，</w:t>
            </w:r>
            <w:r>
              <w:rPr>
                <w:rFonts w:hint="eastAsia" w:ascii="宋体" w:hAnsi="宋体" w:eastAsia="宋体" w:cs="宋体"/>
                <w:bCs/>
                <w:color w:val="auto"/>
                <w:kern w:val="0"/>
                <w:sz w:val="21"/>
                <w:szCs w:val="21"/>
                <w:highlight w:val="none"/>
              </w:rPr>
              <w:t>项目人员配</w:t>
            </w:r>
            <w:r>
              <w:rPr>
                <w:rFonts w:hint="eastAsia" w:ascii="宋体" w:hAnsi="宋体" w:cs="宋体"/>
                <w:bCs/>
                <w:color w:val="auto"/>
                <w:kern w:val="0"/>
                <w:sz w:val="21"/>
                <w:szCs w:val="21"/>
                <w:highlight w:val="none"/>
                <w:lang w:val="en-US" w:eastAsia="zh-CN"/>
              </w:rPr>
              <w:t>备</w:t>
            </w:r>
            <w:r>
              <w:rPr>
                <w:rFonts w:hint="eastAsia" w:ascii="宋体" w:hAnsi="宋体" w:eastAsia="宋体" w:cs="宋体"/>
                <w:bCs/>
                <w:color w:val="auto"/>
                <w:kern w:val="0"/>
                <w:sz w:val="21"/>
                <w:szCs w:val="21"/>
                <w:highlight w:val="none"/>
              </w:rPr>
              <w:t>能</w:t>
            </w:r>
            <w:r>
              <w:rPr>
                <w:rFonts w:hint="eastAsia" w:ascii="宋体" w:hAnsi="宋体" w:cs="宋体"/>
                <w:bCs/>
                <w:color w:val="auto"/>
                <w:kern w:val="0"/>
                <w:sz w:val="21"/>
                <w:szCs w:val="21"/>
                <w:highlight w:val="none"/>
                <w:lang w:val="en-US" w:eastAsia="zh-CN"/>
              </w:rPr>
              <w:t>较好</w:t>
            </w:r>
            <w:r>
              <w:rPr>
                <w:rFonts w:hint="eastAsia" w:ascii="宋体" w:hAnsi="宋体" w:eastAsia="宋体" w:cs="宋体"/>
                <w:bCs/>
                <w:color w:val="auto"/>
                <w:kern w:val="0"/>
                <w:sz w:val="21"/>
                <w:szCs w:val="21"/>
                <w:highlight w:val="none"/>
              </w:rPr>
              <w:t>满足项目实施要求</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配备</w:t>
            </w:r>
            <w:r>
              <w:rPr>
                <w:rFonts w:hint="eastAsia"/>
                <w:color w:val="auto"/>
                <w:highlight w:val="none"/>
              </w:rPr>
              <w:t>服务本区域的</w:t>
            </w:r>
            <w:r>
              <w:rPr>
                <w:rFonts w:hint="eastAsia"/>
                <w:color w:val="auto"/>
                <w:highlight w:val="none"/>
                <w:lang w:val="en-US" w:eastAsia="zh-CN"/>
              </w:rPr>
              <w:t>全职</w:t>
            </w:r>
            <w:r>
              <w:rPr>
                <w:rFonts w:hint="eastAsia"/>
                <w:color w:val="auto"/>
                <w:highlight w:val="none"/>
              </w:rPr>
              <w:t>工程师至少</w:t>
            </w:r>
            <w:r>
              <w:rPr>
                <w:rFonts w:hint="eastAsia"/>
                <w:color w:val="auto"/>
                <w:highlight w:val="none"/>
                <w:lang w:val="en-US" w:eastAsia="zh-CN"/>
              </w:rPr>
              <w:t>有5</w:t>
            </w:r>
            <w:r>
              <w:rPr>
                <w:rFonts w:hint="eastAsia"/>
                <w:color w:val="auto"/>
                <w:highlight w:val="none"/>
              </w:rPr>
              <w:t>人</w:t>
            </w:r>
            <w:r>
              <w:rPr>
                <w:rFonts w:hint="eastAsia"/>
                <w:color w:val="auto"/>
                <w:highlight w:val="none"/>
                <w:lang w:eastAsia="zh-CN"/>
              </w:rPr>
              <w:t>（</w:t>
            </w:r>
            <w:r>
              <w:rPr>
                <w:rFonts w:hint="eastAsia"/>
                <w:color w:val="auto"/>
                <w:highlight w:val="none"/>
                <w:lang w:val="en-US" w:eastAsia="zh-CN"/>
              </w:rPr>
              <w:t>含</w:t>
            </w:r>
            <w:r>
              <w:rPr>
                <w:rFonts w:hint="eastAsia"/>
                <w:color w:val="auto"/>
                <w:highlight w:val="none"/>
              </w:rPr>
              <w:t>服务本区域的全职工程师至少3人</w:t>
            </w:r>
            <w:r>
              <w:rPr>
                <w:rFonts w:hint="eastAsia"/>
                <w:color w:val="auto"/>
                <w:highlight w:val="none"/>
                <w:lang w:val="en-US" w:eastAsia="zh-CN"/>
              </w:rPr>
              <w:t>在内</w:t>
            </w:r>
            <w:r>
              <w:rPr>
                <w:rFonts w:hint="eastAsia"/>
                <w:color w:val="auto"/>
                <w:highlight w:val="none"/>
                <w:lang w:eastAsia="zh-CN"/>
              </w:rPr>
              <w:t>），</w:t>
            </w:r>
            <w:r>
              <w:rPr>
                <w:rFonts w:hint="eastAsia"/>
                <w:color w:val="auto"/>
                <w:highlight w:val="none"/>
                <w:lang w:val="en-US" w:eastAsia="zh-CN"/>
              </w:rPr>
              <w:t>提供</w:t>
            </w:r>
            <w:r>
              <w:rPr>
                <w:rFonts w:hint="eastAsia"/>
                <w:color w:val="auto"/>
                <w:highlight w:val="none"/>
              </w:rPr>
              <w:t>机器厂家培训证书或厂家技术认证资质证明。</w:t>
            </w:r>
          </w:p>
          <w:p w14:paraId="11EC57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w:t>
            </w: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分）：</w:t>
            </w:r>
            <w:r>
              <w:rPr>
                <w:rFonts w:hint="eastAsia" w:ascii="宋体" w:hAnsi="宋体" w:cs="宋体"/>
                <w:color w:val="auto"/>
                <w:szCs w:val="21"/>
                <w:highlight w:val="none"/>
              </w:rPr>
              <w:t>在满足</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档基础上</w:t>
            </w:r>
            <w:r>
              <w:rPr>
                <w:rFonts w:hint="eastAsia" w:ascii="宋体" w:hAnsi="宋体" w:cs="宋体"/>
                <w:color w:val="auto"/>
                <w:szCs w:val="21"/>
                <w:highlight w:val="none"/>
                <w:lang w:eastAsia="zh-CN"/>
              </w:rPr>
              <w:t>，</w:t>
            </w:r>
            <w:r>
              <w:rPr>
                <w:rFonts w:hint="eastAsia" w:ascii="宋体" w:hAnsi="宋体" w:eastAsia="宋体" w:cs="宋体"/>
                <w:bCs/>
                <w:color w:val="auto"/>
                <w:kern w:val="0"/>
                <w:sz w:val="21"/>
                <w:szCs w:val="21"/>
                <w:highlight w:val="none"/>
              </w:rPr>
              <w:t>项目人员配</w:t>
            </w:r>
            <w:r>
              <w:rPr>
                <w:rFonts w:hint="eastAsia" w:ascii="宋体" w:hAnsi="宋体" w:cs="宋体"/>
                <w:bCs/>
                <w:color w:val="auto"/>
                <w:kern w:val="0"/>
                <w:sz w:val="21"/>
                <w:szCs w:val="21"/>
                <w:highlight w:val="none"/>
                <w:lang w:val="en-US" w:eastAsia="zh-CN"/>
              </w:rPr>
              <w:t>备充裕，</w:t>
            </w:r>
            <w:r>
              <w:rPr>
                <w:rFonts w:hint="eastAsia" w:ascii="宋体" w:hAnsi="宋体" w:eastAsia="宋体" w:cs="宋体"/>
                <w:bCs/>
                <w:color w:val="auto"/>
                <w:kern w:val="0"/>
                <w:sz w:val="21"/>
                <w:szCs w:val="21"/>
                <w:highlight w:val="none"/>
              </w:rPr>
              <w:t>满足项目实施要求</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配备</w:t>
            </w:r>
            <w:r>
              <w:rPr>
                <w:rFonts w:hint="eastAsia"/>
                <w:color w:val="auto"/>
                <w:highlight w:val="none"/>
              </w:rPr>
              <w:t>服务本区域的全职工程师至少</w:t>
            </w:r>
            <w:r>
              <w:rPr>
                <w:rFonts w:hint="eastAsia"/>
                <w:color w:val="auto"/>
                <w:highlight w:val="none"/>
                <w:lang w:val="en-US" w:eastAsia="zh-CN"/>
              </w:rPr>
              <w:t>有6</w:t>
            </w:r>
            <w:r>
              <w:rPr>
                <w:rFonts w:hint="eastAsia"/>
                <w:color w:val="auto"/>
                <w:highlight w:val="none"/>
              </w:rPr>
              <w:t>人</w:t>
            </w:r>
            <w:r>
              <w:rPr>
                <w:rFonts w:hint="eastAsia"/>
                <w:color w:val="auto"/>
                <w:highlight w:val="none"/>
                <w:lang w:eastAsia="zh-CN"/>
              </w:rPr>
              <w:t>（</w:t>
            </w:r>
            <w:r>
              <w:rPr>
                <w:rFonts w:hint="eastAsia"/>
                <w:color w:val="auto"/>
                <w:highlight w:val="none"/>
                <w:lang w:val="en-US" w:eastAsia="zh-CN"/>
              </w:rPr>
              <w:t>含</w:t>
            </w:r>
            <w:r>
              <w:rPr>
                <w:rFonts w:hint="eastAsia"/>
                <w:color w:val="auto"/>
                <w:highlight w:val="none"/>
              </w:rPr>
              <w:t>服务本区域的全职工程师至少3人</w:t>
            </w:r>
            <w:r>
              <w:rPr>
                <w:rFonts w:hint="eastAsia"/>
                <w:color w:val="auto"/>
                <w:highlight w:val="none"/>
                <w:lang w:val="en-US" w:eastAsia="zh-CN"/>
              </w:rPr>
              <w:t>在内</w:t>
            </w:r>
            <w:r>
              <w:rPr>
                <w:rFonts w:hint="eastAsia"/>
                <w:color w:val="auto"/>
                <w:highlight w:val="none"/>
                <w:lang w:eastAsia="zh-CN"/>
              </w:rPr>
              <w:t>），</w:t>
            </w:r>
            <w:r>
              <w:rPr>
                <w:rFonts w:hint="eastAsia"/>
                <w:color w:val="auto"/>
                <w:highlight w:val="none"/>
                <w:lang w:val="en-US" w:eastAsia="zh-CN"/>
              </w:rPr>
              <w:t>提供</w:t>
            </w:r>
            <w:r>
              <w:rPr>
                <w:rFonts w:hint="eastAsia"/>
                <w:color w:val="auto"/>
                <w:highlight w:val="none"/>
              </w:rPr>
              <w:t>机器厂家培训证书或厂家技术认证资质证明。</w:t>
            </w:r>
          </w:p>
          <w:p w14:paraId="4F5D93F5">
            <w:pPr>
              <w:snapToGrid/>
              <w:spacing w:line="46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注：未提供或不符合一档条件的得0分。</w:t>
            </w:r>
          </w:p>
        </w:tc>
        <w:tc>
          <w:tcPr>
            <w:tcW w:w="851" w:type="dxa"/>
            <w:shd w:val="clear" w:color="auto" w:fill="auto"/>
            <w:vAlign w:val="center"/>
          </w:tcPr>
          <w:p w14:paraId="675DB0E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2分</w:t>
            </w:r>
            <w:r>
              <w:rPr>
                <w:rFonts w:hint="eastAsia"/>
                <w:color w:val="auto"/>
                <w:szCs w:val="21"/>
                <w:highlight w:val="none"/>
              </w:rPr>
              <w:t>（</w:t>
            </w:r>
            <w:r>
              <w:rPr>
                <w:rFonts w:hint="eastAsia"/>
                <w:color w:val="auto"/>
                <w:szCs w:val="21"/>
                <w:highlight w:val="none"/>
                <w:lang w:val="en-US" w:eastAsia="zh-CN"/>
              </w:rPr>
              <w:t>主</w:t>
            </w:r>
            <w:r>
              <w:rPr>
                <w:rFonts w:hint="eastAsia"/>
                <w:color w:val="auto"/>
                <w:szCs w:val="21"/>
                <w:highlight w:val="none"/>
              </w:rPr>
              <w:t>观分）</w:t>
            </w:r>
          </w:p>
        </w:tc>
      </w:tr>
      <w:tr w14:paraId="1355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63B740B0">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1418" w:type="dxa"/>
            <w:shd w:val="clear" w:color="auto" w:fill="auto"/>
            <w:vAlign w:val="center"/>
          </w:tcPr>
          <w:p w14:paraId="24E821A5">
            <w:pPr>
              <w:jc w:val="center"/>
              <w:rPr>
                <w:rFonts w:hint="default" w:ascii="宋体" w:hAnsi="宋体" w:cs="仿宋"/>
                <w:b w:val="0"/>
                <w:bCs w:val="0"/>
                <w:color w:val="auto"/>
                <w:sz w:val="21"/>
                <w:szCs w:val="21"/>
                <w:highlight w:val="none"/>
                <w:lang w:val="en-US" w:bidi="zh-CN"/>
              </w:rPr>
            </w:pPr>
            <w:r>
              <w:rPr>
                <w:rFonts w:hint="eastAsia" w:ascii="宋体" w:hAnsi="宋体" w:cs="仿宋"/>
                <w:b w:val="0"/>
                <w:bCs w:val="0"/>
                <w:color w:val="auto"/>
                <w:sz w:val="21"/>
                <w:szCs w:val="21"/>
                <w:highlight w:val="none"/>
                <w:lang w:bidi="zh-CN"/>
              </w:rPr>
              <w:t>安全管理和</w:t>
            </w:r>
            <w:r>
              <w:rPr>
                <w:rFonts w:hint="eastAsia" w:ascii="宋体" w:hAnsi="宋体" w:cs="仿宋"/>
                <w:b w:val="0"/>
                <w:bCs w:val="0"/>
                <w:color w:val="auto"/>
                <w:sz w:val="21"/>
                <w:szCs w:val="21"/>
                <w:highlight w:val="none"/>
                <w:lang w:val="en-US" w:bidi="zh-CN"/>
              </w:rPr>
              <w:t>应急</w:t>
            </w:r>
            <w:r>
              <w:rPr>
                <w:rFonts w:hint="eastAsia" w:ascii="宋体" w:hAnsi="宋体" w:cs="仿宋"/>
                <w:b w:val="0"/>
                <w:bCs w:val="0"/>
                <w:color w:val="auto"/>
                <w:sz w:val="21"/>
                <w:szCs w:val="21"/>
                <w:highlight w:val="none"/>
                <w:lang w:bidi="zh-CN"/>
              </w:rPr>
              <w:t>方案</w:t>
            </w:r>
            <w:r>
              <w:rPr>
                <w:rFonts w:hint="eastAsia" w:ascii="宋体" w:hAnsi="宋体" w:cs="仿宋"/>
                <w:b w:val="0"/>
                <w:bCs w:val="0"/>
                <w:color w:val="auto"/>
                <w:sz w:val="21"/>
                <w:szCs w:val="21"/>
                <w:highlight w:val="none"/>
                <w:lang w:val="en-US" w:bidi="zh-CN"/>
              </w:rPr>
              <w:t>分</w:t>
            </w:r>
          </w:p>
          <w:p w14:paraId="254F32C3">
            <w:pPr>
              <w:snapToGrid w:val="0"/>
              <w:spacing w:line="360" w:lineRule="auto"/>
              <w:jc w:val="center"/>
              <w:rPr>
                <w:rFonts w:hint="default" w:ascii="宋体" w:hAnsi="宋体" w:eastAsia="宋体" w:cs="宋体"/>
                <w:color w:val="auto"/>
                <w:kern w:val="2"/>
                <w:sz w:val="21"/>
                <w:szCs w:val="21"/>
                <w:highlight w:val="none"/>
                <w:lang w:val="en-US" w:eastAsia="zh-CN" w:bidi="ar-SA"/>
              </w:rPr>
            </w:pPr>
          </w:p>
        </w:tc>
        <w:tc>
          <w:tcPr>
            <w:tcW w:w="6288" w:type="dxa"/>
            <w:shd w:val="clear" w:color="auto" w:fill="auto"/>
            <w:vAlign w:val="center"/>
          </w:tcPr>
          <w:p w14:paraId="268BEACC">
            <w:pPr>
              <w:snapToGrid w:val="0"/>
              <w:spacing w:line="360" w:lineRule="auto"/>
              <w:ind w:firstLine="420" w:firstLineChars="200"/>
              <w:jc w:val="left"/>
              <w:rPr>
                <w:rFonts w:hint="eastAsia" w:ascii="Arial" w:hAnsi="Arial" w:cs="Arial"/>
                <w:color w:val="auto"/>
                <w:szCs w:val="21"/>
                <w:highlight w:val="none"/>
                <w:lang w:val="en-US" w:eastAsia="zh-CN"/>
              </w:rPr>
            </w:pPr>
            <w:r>
              <w:rPr>
                <w:rFonts w:hint="eastAsia" w:ascii="宋体" w:hAnsi="宋体" w:cs="宋体"/>
                <w:color w:val="auto"/>
                <w:szCs w:val="21"/>
                <w:highlight w:val="none"/>
              </w:rPr>
              <w:t>安全管理和应急方案应包含但不限于以下各项内容：①</w:t>
            </w:r>
            <w:r>
              <w:rPr>
                <w:rFonts w:hint="eastAsia" w:ascii="Arial" w:hAnsi="Arial" w:cs="Arial"/>
                <w:color w:val="auto"/>
                <w:szCs w:val="21"/>
                <w:highlight w:val="none"/>
              </w:rPr>
              <w:t>遵守国家关于安全生产有关管理规定</w:t>
            </w:r>
            <w:r>
              <w:rPr>
                <w:rFonts w:hint="eastAsia" w:ascii="Arial" w:hAnsi="Arial" w:cs="Arial"/>
                <w:color w:val="auto"/>
                <w:szCs w:val="21"/>
                <w:highlight w:val="none"/>
                <w:lang w:val="en-US" w:eastAsia="zh-CN"/>
              </w:rPr>
              <w:t>；</w:t>
            </w:r>
            <w:r>
              <w:rPr>
                <w:rFonts w:hint="eastAsia" w:ascii="宋体" w:hAnsi="宋体" w:cs="宋体"/>
                <w:color w:val="auto"/>
                <w:szCs w:val="21"/>
                <w:highlight w:val="none"/>
              </w:rPr>
              <w:t>②</w:t>
            </w:r>
            <w:r>
              <w:rPr>
                <w:rFonts w:hint="eastAsia" w:ascii="Arial" w:hAnsi="Arial" w:cs="Arial"/>
                <w:color w:val="auto"/>
                <w:szCs w:val="21"/>
                <w:highlight w:val="none"/>
              </w:rPr>
              <w:t>严格按安全标准组织项目实施</w:t>
            </w:r>
            <w:r>
              <w:rPr>
                <w:rFonts w:hint="eastAsia" w:ascii="Arial" w:hAnsi="Arial" w:cs="Arial"/>
                <w:color w:val="auto"/>
                <w:szCs w:val="21"/>
                <w:highlight w:val="none"/>
                <w:lang w:val="en-US" w:eastAsia="zh-CN"/>
              </w:rPr>
              <w:t>；</w:t>
            </w:r>
            <w:r>
              <w:rPr>
                <w:rFonts w:hint="eastAsia" w:ascii="宋体" w:hAnsi="宋体" w:cs="宋体"/>
                <w:color w:val="auto"/>
                <w:szCs w:val="21"/>
                <w:highlight w:val="none"/>
              </w:rPr>
              <w:t>③</w:t>
            </w:r>
            <w:r>
              <w:rPr>
                <w:rFonts w:hint="eastAsia" w:ascii="Arial" w:hAnsi="Arial" w:cs="Arial"/>
                <w:color w:val="auto"/>
                <w:szCs w:val="21"/>
                <w:highlight w:val="none"/>
              </w:rPr>
              <w:t>检查人员实施的监督检查</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④</w:t>
            </w:r>
            <w:r>
              <w:rPr>
                <w:rFonts w:hint="eastAsia" w:ascii="Arial" w:hAnsi="Arial" w:cs="Arial"/>
                <w:color w:val="auto"/>
                <w:szCs w:val="21"/>
                <w:highlight w:val="none"/>
              </w:rPr>
              <w:t>安全防护措施安全教育，消除事故隐患</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⑤</w:t>
            </w:r>
            <w:r>
              <w:rPr>
                <w:rFonts w:hint="eastAsia" w:ascii="宋体" w:hAnsi="宋体" w:cs="宋体"/>
                <w:color w:val="auto"/>
                <w:szCs w:val="21"/>
                <w:highlight w:val="none"/>
                <w:lang w:val="en-US" w:eastAsia="zh-CN"/>
              </w:rPr>
              <w:t>突发安全状况的应急处理</w:t>
            </w:r>
            <w:r>
              <w:rPr>
                <w:rFonts w:hint="eastAsia" w:ascii="Arial" w:hAnsi="Arial" w:cs="Arial"/>
                <w:color w:val="auto"/>
                <w:szCs w:val="21"/>
                <w:highlight w:val="none"/>
              </w:rPr>
              <w:t>措施</w:t>
            </w:r>
            <w:r>
              <w:rPr>
                <w:rFonts w:hint="eastAsia" w:ascii="Arial" w:hAnsi="Arial" w:cs="Arial"/>
                <w:color w:val="auto"/>
                <w:szCs w:val="21"/>
                <w:highlight w:val="none"/>
                <w:lang w:val="en-US" w:eastAsia="zh-CN"/>
              </w:rPr>
              <w:t>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满分</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1E2026B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：供应商未提供明确的安全管理和应急方案或方案过于简单不全面且缺乏可行性论据，无法满足项目基本需求；或者表述内容不清晰。</w:t>
            </w:r>
          </w:p>
          <w:p w14:paraId="26CB958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：安全管理和应急</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内容可基本满足项目需求。对</w:t>
            </w:r>
            <w:r>
              <w:rPr>
                <w:rFonts w:hint="eastAsia" w:ascii="Arial" w:hAnsi="Arial" w:cs="Arial"/>
                <w:color w:val="auto"/>
                <w:szCs w:val="21"/>
                <w:highlight w:val="none"/>
              </w:rPr>
              <w:t>安全生产</w:t>
            </w:r>
            <w:r>
              <w:rPr>
                <w:rFonts w:hint="eastAsia" w:ascii="Arial" w:hAnsi="Arial" w:cs="Arial"/>
                <w:color w:val="auto"/>
                <w:szCs w:val="21"/>
                <w:highlight w:val="none"/>
                <w:lang w:val="en-US" w:eastAsia="zh-CN"/>
              </w:rPr>
              <w:t>管理</w:t>
            </w:r>
            <w:r>
              <w:rPr>
                <w:rFonts w:hint="eastAsia" w:ascii="宋体" w:hAnsi="宋体" w:cs="宋体"/>
                <w:color w:val="auto"/>
                <w:szCs w:val="21"/>
                <w:highlight w:val="none"/>
              </w:rPr>
              <w:t>重点、难点有了解和认识，</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涵盖能够实现项目基本响应要求的各项内容。</w:t>
            </w:r>
          </w:p>
          <w:p w14:paraId="6F1F1ADC">
            <w:pPr>
              <w:snapToGrid w:val="0"/>
              <w:spacing w:line="360" w:lineRule="auto"/>
              <w:ind w:firstLine="420" w:firstLineChars="200"/>
              <w:jc w:val="left"/>
            </w:pPr>
            <w:r>
              <w:rPr>
                <w:rFonts w:hint="eastAsia" w:ascii="宋体" w:hAnsi="宋体" w:cs="宋体"/>
                <w:color w:val="auto"/>
                <w:szCs w:val="21"/>
                <w:highlight w:val="none"/>
              </w:rPr>
              <w:t>三档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：在满足二档基础上，</w:t>
            </w:r>
            <w:r>
              <w:rPr>
                <w:rFonts w:hint="eastAsia" w:ascii="宋体" w:hAnsi="宋体" w:cs="宋体"/>
                <w:color w:val="auto"/>
                <w:szCs w:val="21"/>
                <w:highlight w:val="none"/>
                <w:lang w:val="en-US" w:eastAsia="zh-CN"/>
              </w:rPr>
              <w:t>方案</w:t>
            </w:r>
            <w:r>
              <w:rPr>
                <w:rFonts w:hint="eastAsia" w:ascii="宋体" w:hAnsi="宋体" w:cs="宋体"/>
                <w:color w:val="auto"/>
                <w:sz w:val="21"/>
                <w:szCs w:val="21"/>
                <w:highlight w:val="none"/>
                <w:lang w:eastAsia="zh-CN"/>
              </w:rPr>
              <w:t>能体现针对本项目设备</w:t>
            </w:r>
            <w:r>
              <w:rPr>
                <w:rFonts w:hint="eastAsia" w:ascii="宋体" w:hAnsi="宋体" w:cs="宋体"/>
                <w:color w:val="auto"/>
                <w:sz w:val="21"/>
                <w:szCs w:val="21"/>
                <w:highlight w:val="none"/>
                <w:lang w:val="en-US" w:eastAsia="zh-CN"/>
              </w:rPr>
              <w:t>维护</w:t>
            </w:r>
            <w:r>
              <w:rPr>
                <w:rFonts w:hint="eastAsia" w:ascii="宋体" w:hAnsi="宋体" w:cs="宋体"/>
                <w:color w:val="auto"/>
                <w:sz w:val="21"/>
                <w:szCs w:val="21"/>
                <w:highlight w:val="none"/>
                <w:lang w:eastAsia="zh-CN"/>
              </w:rPr>
              <w:t>的安全管理、</w:t>
            </w:r>
            <w:r>
              <w:rPr>
                <w:rFonts w:hint="eastAsia" w:ascii="宋体" w:hAnsi="宋体" w:cs="宋体"/>
                <w:color w:val="auto"/>
                <w:szCs w:val="21"/>
                <w:highlight w:val="none"/>
              </w:rPr>
              <w:t>对维保服务过程中可能遇到的突发、应急、质控检测</w:t>
            </w:r>
            <w:r>
              <w:rPr>
                <w:rFonts w:hint="eastAsia" w:ascii="宋体" w:hAnsi="宋体" w:cs="宋体"/>
                <w:color w:val="auto"/>
                <w:szCs w:val="21"/>
                <w:highlight w:val="none"/>
                <w:lang w:val="en-US" w:eastAsia="zh-CN"/>
              </w:rPr>
              <w:t>等安全措施</w:t>
            </w:r>
            <w:r>
              <w:rPr>
                <w:rFonts w:hint="eastAsia" w:ascii="宋体" w:hAnsi="宋体" w:cs="宋体"/>
                <w:color w:val="auto"/>
                <w:szCs w:val="21"/>
                <w:highlight w:val="none"/>
              </w:rPr>
              <w:t>情况进行阐述及合理分析。</w:t>
            </w:r>
          </w:p>
          <w:p w14:paraId="1A7EC4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：在满足三档基础上，安全管理和应急</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覆盖全面，</w:t>
            </w:r>
            <w:r>
              <w:rPr>
                <w:rFonts w:hint="eastAsia" w:ascii="宋体" w:hAnsi="宋体" w:cs="宋体"/>
                <w:color w:val="auto"/>
                <w:sz w:val="21"/>
                <w:szCs w:val="21"/>
                <w:highlight w:val="none"/>
                <w:lang w:eastAsia="zh-CN"/>
              </w:rPr>
              <w:t>针对本项目设备</w:t>
            </w:r>
            <w:r>
              <w:rPr>
                <w:rFonts w:hint="eastAsia" w:ascii="宋体" w:hAnsi="宋体" w:cs="宋体"/>
                <w:color w:val="auto"/>
                <w:sz w:val="21"/>
                <w:szCs w:val="21"/>
                <w:highlight w:val="none"/>
                <w:lang w:val="en-US" w:eastAsia="zh-CN"/>
              </w:rPr>
              <w:t>维护</w:t>
            </w:r>
            <w:r>
              <w:rPr>
                <w:rFonts w:hint="eastAsia" w:ascii="宋体" w:hAnsi="宋体" w:cs="宋体"/>
                <w:color w:val="auto"/>
                <w:sz w:val="21"/>
                <w:szCs w:val="21"/>
                <w:highlight w:val="none"/>
                <w:lang w:eastAsia="zh-CN"/>
              </w:rPr>
              <w:t>的安全管理</w:t>
            </w:r>
            <w:r>
              <w:rPr>
                <w:rFonts w:hint="eastAsia" w:ascii="宋体" w:hAnsi="宋体" w:cs="宋体"/>
                <w:color w:val="auto"/>
                <w:szCs w:val="21"/>
                <w:highlight w:val="none"/>
              </w:rPr>
              <w:t>有具体的针对性措施，对维保服务过程中可能遇到的突发、应急、质控检测</w:t>
            </w:r>
            <w:r>
              <w:rPr>
                <w:rFonts w:hint="eastAsia" w:ascii="宋体" w:hAnsi="宋体" w:cs="宋体"/>
                <w:color w:val="auto"/>
                <w:szCs w:val="21"/>
                <w:highlight w:val="none"/>
                <w:lang w:val="en-US" w:eastAsia="zh-CN"/>
              </w:rPr>
              <w:t>等安全措施</w:t>
            </w:r>
            <w:r>
              <w:rPr>
                <w:rFonts w:hint="eastAsia" w:ascii="宋体" w:hAnsi="宋体" w:cs="宋体"/>
                <w:color w:val="auto"/>
                <w:szCs w:val="21"/>
                <w:highlight w:val="none"/>
              </w:rPr>
              <w:t>情况进行详细的阐述及合理分析</w:t>
            </w:r>
            <w:r>
              <w:rPr>
                <w:rFonts w:hint="eastAsia" w:ascii="宋体" w:hAnsi="宋体" w:cs="宋体"/>
                <w:color w:val="auto"/>
                <w:szCs w:val="21"/>
                <w:highlight w:val="none"/>
                <w:lang w:val="en-US" w:eastAsia="zh-CN"/>
              </w:rPr>
              <w:t>或能提供详尽完善的应急预案</w:t>
            </w:r>
            <w:r>
              <w:rPr>
                <w:rFonts w:hint="eastAsia" w:ascii="宋体" w:hAnsi="宋体" w:cs="宋体"/>
                <w:color w:val="auto"/>
                <w:sz w:val="21"/>
                <w:szCs w:val="21"/>
                <w:highlight w:val="none"/>
                <w:lang w:val="en-US" w:eastAsia="zh-CN"/>
              </w:rPr>
              <w:t>，应对措施及相应的解决方案</w:t>
            </w:r>
            <w:r>
              <w:rPr>
                <w:rFonts w:hint="eastAsia" w:ascii="宋体" w:hAnsi="宋体" w:cs="宋体"/>
                <w:color w:val="auto"/>
                <w:sz w:val="21"/>
                <w:szCs w:val="21"/>
                <w:highlight w:val="none"/>
                <w:lang w:eastAsia="zh-CN"/>
              </w:rPr>
              <w:t>条理清晰，可行性高，应急处置方案明确、切实可行，处置时间迅速</w:t>
            </w:r>
            <w:r>
              <w:rPr>
                <w:rFonts w:hint="eastAsia" w:ascii="宋体" w:hAnsi="宋体" w:cs="宋体"/>
                <w:color w:val="auto"/>
                <w:szCs w:val="21"/>
                <w:highlight w:val="none"/>
              </w:rPr>
              <w:t>。</w:t>
            </w:r>
          </w:p>
          <w:p w14:paraId="2BE9DDAD">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注：未提供或不符合一档条件的得0分。</w:t>
            </w:r>
          </w:p>
        </w:tc>
        <w:tc>
          <w:tcPr>
            <w:tcW w:w="851" w:type="dxa"/>
            <w:shd w:val="clear" w:color="auto" w:fill="auto"/>
            <w:vAlign w:val="center"/>
          </w:tcPr>
          <w:p w14:paraId="4FAA2E9C">
            <w:pPr>
              <w:snapToGrid w:val="0"/>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2分</w:t>
            </w:r>
            <w:r>
              <w:rPr>
                <w:rFonts w:hint="eastAsia"/>
                <w:color w:val="auto"/>
                <w:szCs w:val="21"/>
                <w:highlight w:val="none"/>
              </w:rPr>
              <w:t>（</w:t>
            </w:r>
            <w:r>
              <w:rPr>
                <w:rFonts w:hint="eastAsia"/>
                <w:color w:val="auto"/>
                <w:szCs w:val="21"/>
                <w:highlight w:val="none"/>
                <w:lang w:val="en-US" w:eastAsia="zh-CN"/>
              </w:rPr>
              <w:t>主</w:t>
            </w:r>
            <w:r>
              <w:rPr>
                <w:rFonts w:hint="eastAsia"/>
                <w:color w:val="auto"/>
                <w:szCs w:val="21"/>
                <w:highlight w:val="none"/>
              </w:rPr>
              <w:t>观分）</w:t>
            </w:r>
          </w:p>
        </w:tc>
      </w:tr>
      <w:tr w14:paraId="4F8A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vAlign w:val="center"/>
          </w:tcPr>
          <w:p w14:paraId="42252E09">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18" w:type="dxa"/>
            <w:vAlign w:val="center"/>
          </w:tcPr>
          <w:p w14:paraId="459865A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商务分</w:t>
            </w:r>
          </w:p>
        </w:tc>
        <w:tc>
          <w:tcPr>
            <w:tcW w:w="7139" w:type="dxa"/>
            <w:gridSpan w:val="2"/>
            <w:vAlign w:val="center"/>
          </w:tcPr>
          <w:p w14:paraId="14C1FB0E">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w:t>
            </w:r>
          </w:p>
        </w:tc>
      </w:tr>
      <w:tr w14:paraId="5B15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499CE2E9">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3.1</w:t>
            </w:r>
          </w:p>
        </w:tc>
        <w:tc>
          <w:tcPr>
            <w:tcW w:w="1418" w:type="dxa"/>
            <w:vAlign w:val="center"/>
          </w:tcPr>
          <w:p w14:paraId="2F3E6A24">
            <w:pPr>
              <w:snapToGrid w:val="0"/>
              <w:spacing w:line="360" w:lineRule="auto"/>
              <w:jc w:val="center"/>
              <w:rPr>
                <w:rFonts w:ascii="宋体" w:hAnsi="宋体" w:cs="宋体"/>
                <w:color w:val="auto"/>
                <w:sz w:val="21"/>
                <w:szCs w:val="21"/>
                <w:highlight w:val="none"/>
              </w:rPr>
            </w:pPr>
            <w:r>
              <w:rPr>
                <w:rFonts w:hint="eastAsia"/>
                <w:color w:val="auto"/>
                <w:szCs w:val="21"/>
                <w:highlight w:val="none"/>
              </w:rPr>
              <w:t>业绩分</w:t>
            </w:r>
          </w:p>
        </w:tc>
        <w:tc>
          <w:tcPr>
            <w:tcW w:w="6288" w:type="dxa"/>
            <w:vAlign w:val="center"/>
          </w:tcPr>
          <w:p w14:paraId="4AF85AB7">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人提供自2022年1月1日至今（以签订合同时间为准）正在承接或承接过的类似项目业绩（类似项目：指服务内容与本项目服务需求相关的项目），每个项目得2分，满分10分。【提供合同原件扫描件或中标（成交）通知书扫描件且能体现承接内容的】</w:t>
            </w:r>
          </w:p>
        </w:tc>
        <w:tc>
          <w:tcPr>
            <w:tcW w:w="851" w:type="dxa"/>
            <w:vAlign w:val="center"/>
          </w:tcPr>
          <w:p w14:paraId="0D1A122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eastAsia"/>
                <w:color w:val="auto"/>
                <w:szCs w:val="21"/>
                <w:highlight w:val="none"/>
              </w:rPr>
              <w:t>（客观</w:t>
            </w:r>
            <w:r>
              <w:rPr>
                <w:rFonts w:hint="eastAsia"/>
                <w:color w:val="auto"/>
                <w:szCs w:val="21"/>
                <w:highlight w:val="none"/>
                <w:lang w:val="en-US" w:eastAsia="zh-CN"/>
              </w:rPr>
              <w:t>分</w:t>
            </w:r>
            <w:r>
              <w:rPr>
                <w:rFonts w:hint="eastAsia"/>
                <w:color w:val="auto"/>
                <w:szCs w:val="21"/>
                <w:highlight w:val="none"/>
              </w:rPr>
              <w:t>）</w:t>
            </w:r>
          </w:p>
        </w:tc>
      </w:tr>
      <w:tr w14:paraId="1EE6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14:paraId="157E682C">
            <w:pPr>
              <w:widowControl/>
              <w:spacing w:line="360" w:lineRule="auto"/>
              <w:rPr>
                <w:rFonts w:ascii="宋体" w:hAnsi="宋体" w:cs="宋体"/>
                <w:color w:val="auto"/>
                <w:kern w:val="0"/>
                <w:sz w:val="21"/>
                <w:szCs w:val="21"/>
                <w:highlight w:val="none"/>
              </w:rPr>
            </w:pPr>
            <w:r>
              <w:rPr>
                <w:rFonts w:hint="eastAsia" w:ascii="宋体" w:hAnsi="宋体" w:cs="宋体"/>
                <w:bCs/>
                <w:color w:val="auto"/>
                <w:sz w:val="21"/>
                <w:szCs w:val="21"/>
                <w:highlight w:val="none"/>
              </w:rPr>
              <w:t>总得分＝1＋2＋3</w:t>
            </w:r>
          </w:p>
        </w:tc>
      </w:tr>
    </w:tbl>
    <w:p w14:paraId="5914C77B">
      <w:pPr>
        <w:spacing w:line="360" w:lineRule="auto"/>
        <w:ind w:firstLine="420" w:firstLineChars="200"/>
        <w:rPr>
          <w:rFonts w:ascii="宋体" w:hAnsi="宋体" w:cs="宋体"/>
          <w:color w:val="auto"/>
          <w:highlight w:val="none"/>
        </w:rPr>
      </w:pPr>
      <w:r>
        <w:rPr>
          <w:rFonts w:hint="eastAsia" w:ascii="宋体" w:hAnsi="宋体" w:cs="宋体"/>
          <w:bCs/>
          <w:color w:val="auto"/>
          <w:szCs w:val="21"/>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87C1DAD">
      <w:pPr>
        <w:rPr>
          <w:color w:val="auto"/>
          <w:highlight w:val="none"/>
        </w:rPr>
      </w:pPr>
    </w:p>
    <w:p w14:paraId="02A2960B">
      <w:pPr>
        <w:pStyle w:val="3"/>
        <w:jc w:val="center"/>
        <w:rPr>
          <w:rFonts w:ascii="宋体" w:hAnsi="宋体" w:cs="宋体"/>
          <w:color w:val="auto"/>
          <w:highlight w:val="none"/>
        </w:rPr>
      </w:pPr>
      <w:bookmarkStart w:id="66" w:name="_Toc9613"/>
      <w:r>
        <w:rPr>
          <w:rFonts w:hint="eastAsia" w:ascii="宋体" w:hAnsi="宋体" w:cs="宋体"/>
          <w:color w:val="auto"/>
          <w:highlight w:val="none"/>
        </w:rPr>
        <w:br w:type="page"/>
      </w:r>
      <w:r>
        <w:rPr>
          <w:rFonts w:hint="eastAsia" w:ascii="宋体" w:hAnsi="宋体" w:cs="宋体"/>
          <w:color w:val="auto"/>
          <w:highlight w:val="none"/>
        </w:rPr>
        <w:t>第五章  响应文件格式</w:t>
      </w:r>
      <w:bookmarkEnd w:id="66"/>
    </w:p>
    <w:p w14:paraId="50A59CB6">
      <w:pPr>
        <w:pStyle w:val="3"/>
        <w:rPr>
          <w:rFonts w:ascii="宋体" w:hAnsi="宋体" w:cs="宋体"/>
          <w:color w:val="auto"/>
          <w:highlight w:val="none"/>
        </w:rPr>
      </w:pPr>
      <w:bookmarkStart w:id="67" w:name="_Toc31723070"/>
      <w:bookmarkStart w:id="68" w:name="_Toc31728084"/>
      <w:bookmarkStart w:id="69" w:name="_Toc3161"/>
      <w:bookmarkStart w:id="70" w:name="_Toc44229899"/>
      <w:bookmarkStart w:id="71" w:name="_Toc35611516"/>
      <w:bookmarkStart w:id="72" w:name="_Toc35611438"/>
      <w:r>
        <w:rPr>
          <w:rFonts w:hint="eastAsia" w:ascii="宋体" w:hAnsi="宋体" w:cs="宋体"/>
          <w:color w:val="auto"/>
          <w:highlight w:val="none"/>
        </w:rPr>
        <w:t>一、资格证明文件格式</w:t>
      </w:r>
      <w:bookmarkEnd w:id="67"/>
      <w:bookmarkEnd w:id="68"/>
      <w:bookmarkEnd w:id="69"/>
      <w:bookmarkEnd w:id="70"/>
      <w:bookmarkEnd w:id="71"/>
      <w:bookmarkEnd w:id="72"/>
    </w:p>
    <w:p w14:paraId="3D8990BB">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3F2D4DB9">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电子响应文件</w:t>
      </w:r>
    </w:p>
    <w:p w14:paraId="43956DC5">
      <w:pPr>
        <w:snapToGrid w:val="0"/>
        <w:spacing w:before="156" w:beforeLines="50" w:after="50"/>
        <w:rPr>
          <w:rFonts w:ascii="宋体" w:hAnsi="宋体" w:cs="宋体"/>
          <w:color w:val="auto"/>
          <w:sz w:val="24"/>
          <w:szCs w:val="20"/>
          <w:highlight w:val="none"/>
        </w:rPr>
      </w:pPr>
    </w:p>
    <w:p w14:paraId="10F35178">
      <w:pPr>
        <w:snapToGrid w:val="0"/>
        <w:spacing w:before="156" w:beforeLines="50" w:after="50"/>
        <w:rPr>
          <w:rFonts w:ascii="宋体" w:hAnsi="宋体" w:cs="宋体"/>
          <w:color w:val="auto"/>
          <w:sz w:val="24"/>
          <w:szCs w:val="20"/>
          <w:highlight w:val="none"/>
        </w:rPr>
      </w:pPr>
    </w:p>
    <w:p w14:paraId="04E6FA16">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3B26D56B">
      <w:pPr>
        <w:snapToGrid w:val="0"/>
        <w:spacing w:before="156" w:beforeLines="50" w:after="50"/>
        <w:rPr>
          <w:rFonts w:ascii="宋体" w:hAnsi="宋体" w:cs="宋体"/>
          <w:bCs/>
          <w:color w:val="auto"/>
          <w:sz w:val="24"/>
          <w:szCs w:val="20"/>
          <w:highlight w:val="none"/>
        </w:rPr>
      </w:pPr>
    </w:p>
    <w:p w14:paraId="09B2BC02">
      <w:pPr>
        <w:snapToGrid w:val="0"/>
        <w:spacing w:before="156" w:beforeLines="50" w:after="50"/>
        <w:rPr>
          <w:rFonts w:ascii="宋体" w:hAnsi="宋体" w:cs="宋体"/>
          <w:bCs/>
          <w:color w:val="auto"/>
          <w:sz w:val="24"/>
          <w:szCs w:val="20"/>
          <w:highlight w:val="none"/>
        </w:rPr>
      </w:pPr>
    </w:p>
    <w:p w14:paraId="2B100AA4">
      <w:pPr>
        <w:snapToGrid w:val="0"/>
        <w:spacing w:before="156" w:beforeLines="50" w:after="50"/>
        <w:rPr>
          <w:rFonts w:ascii="宋体" w:hAnsi="宋体" w:cs="宋体"/>
          <w:bCs/>
          <w:color w:val="auto"/>
          <w:sz w:val="24"/>
          <w:szCs w:val="20"/>
          <w:highlight w:val="none"/>
        </w:rPr>
      </w:pPr>
    </w:p>
    <w:p w14:paraId="20151C3C">
      <w:pPr>
        <w:snapToGrid w:val="0"/>
        <w:spacing w:before="156" w:beforeLines="50" w:after="50"/>
        <w:rPr>
          <w:rFonts w:ascii="宋体" w:hAnsi="宋体" w:cs="宋体"/>
          <w:bCs/>
          <w:color w:val="auto"/>
          <w:sz w:val="24"/>
          <w:szCs w:val="20"/>
          <w:highlight w:val="none"/>
        </w:rPr>
      </w:pPr>
    </w:p>
    <w:p w14:paraId="250228B3">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925C1B0">
      <w:pPr>
        <w:snapToGrid w:val="0"/>
        <w:spacing w:before="156" w:beforeLines="50" w:after="50"/>
        <w:ind w:firstLine="720" w:firstLineChars="225"/>
        <w:rPr>
          <w:rFonts w:ascii="宋体" w:hAnsi="宋体" w:cs="宋体"/>
          <w:bCs/>
          <w:color w:val="auto"/>
          <w:sz w:val="32"/>
          <w:szCs w:val="32"/>
          <w:highlight w:val="none"/>
        </w:rPr>
      </w:pPr>
    </w:p>
    <w:p w14:paraId="308BFFC6">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1F391F3C">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6D94771">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86E74E3">
      <w:pPr>
        <w:snapToGrid w:val="0"/>
        <w:spacing w:before="156" w:beforeLines="50" w:after="50"/>
        <w:ind w:firstLine="720" w:firstLineChars="225"/>
        <w:rPr>
          <w:rFonts w:ascii="宋体" w:hAnsi="宋体" w:cs="宋体"/>
          <w:bCs/>
          <w:color w:val="auto"/>
          <w:sz w:val="32"/>
          <w:szCs w:val="32"/>
          <w:highlight w:val="none"/>
        </w:rPr>
      </w:pPr>
    </w:p>
    <w:p w14:paraId="6C179808">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A755CF9">
      <w:pPr>
        <w:pStyle w:val="9"/>
        <w:snapToGrid w:val="0"/>
        <w:spacing w:before="50" w:after="50"/>
        <w:ind w:firstLine="1280" w:firstLineChars="400"/>
        <w:rPr>
          <w:rFonts w:ascii="宋体" w:hAnsi="宋体" w:cs="宋体"/>
          <w:bCs/>
          <w:color w:val="auto"/>
          <w:sz w:val="32"/>
          <w:szCs w:val="32"/>
          <w:highlight w:val="none"/>
        </w:rPr>
      </w:pPr>
    </w:p>
    <w:p w14:paraId="4601163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7766BC4">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36919E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kern w:val="0"/>
          <w:sz w:val="24"/>
          <w:highlight w:val="none"/>
        </w:rPr>
        <w:t>…（页码）</w:t>
      </w:r>
    </w:p>
    <w:p w14:paraId="196129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44C153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7108BA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color w:val="auto"/>
          <w:kern w:val="0"/>
          <w:sz w:val="24"/>
          <w:highlight w:val="none"/>
        </w:rPr>
        <w:t>…………………………（页码）</w:t>
      </w:r>
    </w:p>
    <w:p w14:paraId="147F2A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五、供应商直接控股、管理关系信息表</w:t>
      </w:r>
      <w:r>
        <w:rPr>
          <w:rFonts w:hint="eastAsia" w:ascii="宋体" w:hAnsi="宋体" w:cs="宋体"/>
          <w:color w:val="auto"/>
          <w:kern w:val="0"/>
          <w:sz w:val="24"/>
          <w:highlight w:val="none"/>
        </w:rPr>
        <w:t>…………………………………………（页码）</w:t>
      </w:r>
    </w:p>
    <w:p w14:paraId="043CD9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六、竞标声明………………………………………………………………………（页码）</w:t>
      </w:r>
    </w:p>
    <w:p w14:paraId="660AFE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七、联合体协议书……………………………………………………………………（页码）</w:t>
      </w:r>
    </w:p>
    <w:p w14:paraId="09854E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、除磋商文件规定必须提供以外，供应商认为需要提供的其他证明材料…（页码）</w:t>
      </w:r>
    </w:p>
    <w:p w14:paraId="764DF9E6">
      <w:pPr>
        <w:rPr>
          <w:rFonts w:ascii="宋体" w:hAnsi="宋体" w:cs="宋体"/>
          <w:color w:val="auto"/>
          <w:sz w:val="24"/>
          <w:highlight w:val="none"/>
        </w:rPr>
      </w:pPr>
    </w:p>
    <w:p w14:paraId="46DEDF5B">
      <w:pPr>
        <w:snapToGrid w:val="0"/>
        <w:spacing w:before="156" w:beforeLines="50" w:after="50" w:line="360" w:lineRule="auto"/>
        <w:ind w:firstLine="645"/>
        <w:rPr>
          <w:rFonts w:ascii="宋体" w:hAnsi="宋体" w:cs="宋体"/>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r>
        <w:rPr>
          <w:rFonts w:hint="eastAsia" w:ascii="宋体" w:hAnsi="宋体" w:cs="宋体"/>
          <w:color w:val="auto"/>
          <w:sz w:val="24"/>
          <w:highlight w:val="none"/>
        </w:rPr>
        <w:t>。</w:t>
      </w:r>
    </w:p>
    <w:p w14:paraId="6CAD58FE">
      <w:pPr>
        <w:pStyle w:val="21"/>
        <w:rPr>
          <w:rFonts w:ascii="宋体" w:hAnsi="宋体" w:cs="宋体"/>
          <w:color w:val="auto"/>
          <w:highlight w:val="none"/>
        </w:rPr>
      </w:pPr>
    </w:p>
    <w:p w14:paraId="1625648D">
      <w:pPr>
        <w:snapToGrid w:val="0"/>
        <w:spacing w:before="156" w:beforeLines="50" w:after="50"/>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color w:val="auto"/>
          <w:sz w:val="28"/>
          <w:szCs w:val="28"/>
          <w:highlight w:val="none"/>
        </w:rPr>
        <w:t>一、供应商为法人或者其他组织的提供其营业执照等证明文件（如营业执照或者事业单位法人证书或者执业许可证等），供应商为自然人的提供其身份证复印件</w:t>
      </w:r>
    </w:p>
    <w:p w14:paraId="0634FB55">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758D719">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29414272">
      <w:pPr>
        <w:pStyle w:val="21"/>
        <w:rPr>
          <w:rFonts w:ascii="宋体" w:hAnsi="宋体" w:cs="宋体"/>
          <w:color w:val="auto"/>
          <w:highlight w:val="none"/>
        </w:rPr>
      </w:pPr>
    </w:p>
    <w:p w14:paraId="338A2D9F">
      <w:pPr>
        <w:pStyle w:val="21"/>
        <w:rPr>
          <w:rFonts w:ascii="宋体" w:hAnsi="宋体" w:cs="宋体"/>
          <w:color w:val="auto"/>
          <w:highlight w:val="none"/>
        </w:rPr>
      </w:pPr>
    </w:p>
    <w:p w14:paraId="1ED3E9C9">
      <w:pPr>
        <w:pStyle w:val="21"/>
        <w:rPr>
          <w:rFonts w:ascii="宋体" w:hAnsi="宋体" w:cs="宋体"/>
          <w:b/>
          <w:color w:val="auto"/>
          <w:sz w:val="28"/>
          <w:szCs w:val="28"/>
          <w:highlight w:val="none"/>
        </w:rPr>
      </w:pPr>
      <w:r>
        <w:rPr>
          <w:rFonts w:hint="eastAsia" w:ascii="宋体" w:hAnsi="宋体" w:cs="宋体"/>
          <w:b/>
          <w:color w:val="auto"/>
          <w:sz w:val="28"/>
          <w:szCs w:val="28"/>
          <w:highlight w:val="none"/>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43832799">
      <w:pPr>
        <w:pStyle w:val="21"/>
        <w:rPr>
          <w:rFonts w:ascii="宋体" w:hAnsi="宋体" w:cs="宋体"/>
          <w:color w:val="auto"/>
          <w:highlight w:val="none"/>
        </w:rPr>
      </w:pPr>
    </w:p>
    <w:p w14:paraId="653522D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802F641">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2EA41775">
      <w:pPr>
        <w:pStyle w:val="21"/>
        <w:rPr>
          <w:rFonts w:ascii="宋体" w:hAnsi="宋体" w:cs="宋体"/>
          <w:color w:val="auto"/>
          <w:highlight w:val="none"/>
        </w:rPr>
      </w:pPr>
    </w:p>
    <w:p w14:paraId="344745E3">
      <w:pPr>
        <w:pStyle w:val="21"/>
        <w:rPr>
          <w:rFonts w:ascii="宋体" w:hAnsi="宋体" w:cs="宋体"/>
          <w:color w:val="auto"/>
          <w:highlight w:val="none"/>
        </w:rPr>
      </w:pPr>
    </w:p>
    <w:p w14:paraId="0E902419">
      <w:pPr>
        <w:pStyle w:val="21"/>
        <w:rPr>
          <w:rFonts w:ascii="宋体" w:hAnsi="宋体" w:cs="宋体"/>
          <w:b/>
          <w:color w:val="auto"/>
          <w:sz w:val="28"/>
          <w:szCs w:val="28"/>
          <w:highlight w:val="none"/>
        </w:rPr>
      </w:pPr>
      <w:r>
        <w:rPr>
          <w:rFonts w:hint="eastAsia" w:ascii="宋体" w:hAnsi="宋体" w:cs="宋体"/>
          <w:b/>
          <w:color w:val="auto"/>
          <w:sz w:val="28"/>
          <w:szCs w:val="28"/>
          <w:highlight w:val="none"/>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14:paraId="469DF91E">
      <w:pPr>
        <w:pStyle w:val="21"/>
        <w:rPr>
          <w:rFonts w:ascii="宋体" w:hAnsi="宋体" w:cs="宋体"/>
          <w:color w:val="auto"/>
          <w:sz w:val="24"/>
          <w:highlight w:val="none"/>
        </w:rPr>
      </w:pPr>
    </w:p>
    <w:p w14:paraId="17660240">
      <w:pPr>
        <w:pStyle w:val="21"/>
        <w:rPr>
          <w:rFonts w:ascii="宋体" w:hAnsi="宋体" w:cs="宋体"/>
          <w:color w:val="auto"/>
          <w:sz w:val="24"/>
          <w:highlight w:val="none"/>
        </w:rPr>
      </w:pPr>
    </w:p>
    <w:p w14:paraId="0064862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2CC8130">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173BBB97">
      <w:pPr>
        <w:pStyle w:val="21"/>
        <w:rPr>
          <w:rFonts w:ascii="宋体" w:hAnsi="宋体" w:cs="宋体"/>
          <w:color w:val="auto"/>
          <w:highlight w:val="none"/>
        </w:rPr>
      </w:pPr>
    </w:p>
    <w:p w14:paraId="01161684">
      <w:pPr>
        <w:pStyle w:val="21"/>
        <w:rPr>
          <w:rFonts w:ascii="宋体" w:hAnsi="宋体" w:cs="宋体"/>
          <w:color w:val="auto"/>
          <w:highlight w:val="none"/>
        </w:rPr>
      </w:pPr>
    </w:p>
    <w:p w14:paraId="76BCF368">
      <w:pPr>
        <w:pStyle w:val="21"/>
        <w:rPr>
          <w:rFonts w:ascii="宋体" w:hAnsi="宋体" w:cs="宋体"/>
          <w:b/>
          <w:color w:val="auto"/>
          <w:sz w:val="28"/>
          <w:szCs w:val="28"/>
          <w:highlight w:val="none"/>
        </w:rPr>
      </w:pPr>
      <w:r>
        <w:rPr>
          <w:rFonts w:hint="eastAsia" w:ascii="宋体" w:hAnsi="宋体" w:cs="宋体"/>
          <w:b/>
          <w:color w:val="auto"/>
          <w:sz w:val="28"/>
          <w:szCs w:val="28"/>
          <w:highlight w:val="none"/>
        </w:rPr>
        <w:t>四、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58B0D6CB">
      <w:pPr>
        <w:pStyle w:val="21"/>
        <w:rPr>
          <w:rFonts w:ascii="宋体" w:hAnsi="宋体" w:cs="宋体"/>
          <w:color w:val="auto"/>
          <w:highlight w:val="none"/>
        </w:rPr>
      </w:pPr>
    </w:p>
    <w:p w14:paraId="542727B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5BAD29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6833E44F">
      <w:pPr>
        <w:spacing w:line="300" w:lineRule="auto"/>
        <w:rPr>
          <w:rFonts w:ascii="宋体" w:hAnsi="宋体" w:cs="宋体"/>
          <w:color w:val="auto"/>
          <w:szCs w:val="21"/>
          <w:highlight w:val="none"/>
        </w:rPr>
      </w:pPr>
    </w:p>
    <w:p w14:paraId="3FC7977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394E1E6E">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五、供应商直接控股、管理关系信息表</w:t>
      </w:r>
    </w:p>
    <w:p w14:paraId="0044A495">
      <w:pPr>
        <w:snapToGrid w:val="0"/>
        <w:spacing w:before="156" w:beforeLines="50" w:after="50" w:line="360" w:lineRule="auto"/>
        <w:jc w:val="center"/>
        <w:rPr>
          <w:rFonts w:ascii="宋体" w:hAnsi="宋体" w:cs="宋体"/>
          <w:b/>
          <w:color w:val="auto"/>
          <w:sz w:val="24"/>
          <w:highlight w:val="none"/>
        </w:rPr>
      </w:pPr>
    </w:p>
    <w:p w14:paraId="757988A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79060B1B">
      <w:pPr>
        <w:snapToGrid w:val="0"/>
        <w:spacing w:before="50" w:after="156" w:afterLines="50" w:line="360" w:lineRule="auto"/>
        <w:jc w:val="center"/>
        <w:rPr>
          <w:rFonts w:ascii="宋体" w:hAnsi="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DCD642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AD7F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3190F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C4CB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96F4B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0F5B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5734AF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9E922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15908">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20055">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2352E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CBF06">
            <w:pPr>
              <w:widowControl/>
              <w:spacing w:line="360" w:lineRule="auto"/>
              <w:jc w:val="center"/>
              <w:rPr>
                <w:rFonts w:ascii="宋体" w:hAnsi="宋体" w:cs="宋体"/>
                <w:color w:val="auto"/>
                <w:kern w:val="0"/>
                <w:sz w:val="24"/>
                <w:highlight w:val="none"/>
              </w:rPr>
            </w:pPr>
          </w:p>
        </w:tc>
      </w:tr>
      <w:tr w14:paraId="072CEC4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5C37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39E010">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E552E">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9C8C92">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57C641">
            <w:pPr>
              <w:widowControl/>
              <w:spacing w:line="360" w:lineRule="auto"/>
              <w:jc w:val="center"/>
              <w:rPr>
                <w:rFonts w:ascii="宋体" w:hAnsi="宋体" w:cs="宋体"/>
                <w:color w:val="auto"/>
                <w:kern w:val="0"/>
                <w:sz w:val="24"/>
                <w:highlight w:val="none"/>
              </w:rPr>
            </w:pPr>
          </w:p>
        </w:tc>
      </w:tr>
      <w:tr w14:paraId="25854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3C29F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6D5B4D">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382E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0B77C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0C3E6">
            <w:pPr>
              <w:widowControl/>
              <w:spacing w:line="360" w:lineRule="auto"/>
              <w:jc w:val="center"/>
              <w:rPr>
                <w:rFonts w:ascii="宋体" w:hAnsi="宋体" w:cs="宋体"/>
                <w:color w:val="auto"/>
                <w:kern w:val="0"/>
                <w:sz w:val="24"/>
                <w:highlight w:val="none"/>
              </w:rPr>
            </w:pPr>
          </w:p>
        </w:tc>
      </w:tr>
      <w:tr w14:paraId="6979F41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D9BF4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E2A450">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3C82A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3B34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7746E">
            <w:pPr>
              <w:widowControl/>
              <w:spacing w:line="360" w:lineRule="auto"/>
              <w:jc w:val="center"/>
              <w:rPr>
                <w:rFonts w:ascii="宋体" w:hAnsi="宋体" w:cs="宋体"/>
                <w:color w:val="auto"/>
                <w:kern w:val="0"/>
                <w:sz w:val="24"/>
                <w:highlight w:val="none"/>
              </w:rPr>
            </w:pPr>
          </w:p>
        </w:tc>
      </w:tr>
    </w:tbl>
    <w:p w14:paraId="60E32F8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01A6B8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D7C27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797FD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1528E95F">
      <w:pPr>
        <w:snapToGrid w:val="0"/>
        <w:spacing w:line="360" w:lineRule="auto"/>
        <w:jc w:val="left"/>
        <w:rPr>
          <w:rFonts w:ascii="宋体" w:hAnsi="宋体" w:cs="宋体"/>
          <w:color w:val="auto"/>
          <w:sz w:val="24"/>
          <w:highlight w:val="none"/>
        </w:rPr>
      </w:pPr>
    </w:p>
    <w:p w14:paraId="282B164E">
      <w:pPr>
        <w:snapToGrid w:val="0"/>
        <w:spacing w:line="360" w:lineRule="auto"/>
        <w:jc w:val="left"/>
        <w:rPr>
          <w:rFonts w:ascii="宋体" w:hAnsi="宋体" w:cs="宋体"/>
          <w:color w:val="auto"/>
          <w:sz w:val="24"/>
          <w:highlight w:val="none"/>
        </w:rPr>
      </w:pPr>
    </w:p>
    <w:p w14:paraId="1285415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A13950C">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3709F5A9">
      <w:pPr>
        <w:pStyle w:val="21"/>
        <w:rPr>
          <w:rFonts w:ascii="宋体" w:hAnsi="宋体" w:cs="宋体"/>
          <w:color w:val="auto"/>
          <w:highlight w:val="none"/>
        </w:rPr>
      </w:pPr>
    </w:p>
    <w:p w14:paraId="22E97814">
      <w:pPr>
        <w:pStyle w:val="21"/>
        <w:rPr>
          <w:rFonts w:ascii="宋体" w:hAnsi="宋体" w:cs="宋体"/>
          <w:color w:val="auto"/>
          <w:highlight w:val="none"/>
        </w:rPr>
      </w:pPr>
    </w:p>
    <w:p w14:paraId="0476AEFF">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B0CA463">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45519579">
      <w:pPr>
        <w:snapToGrid w:val="0"/>
        <w:spacing w:line="360" w:lineRule="auto"/>
        <w:jc w:val="center"/>
        <w:rPr>
          <w:rFonts w:ascii="宋体" w:hAnsi="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42F64E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9314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209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2ECA2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9D399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59D252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3D154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B5ABD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879096">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0B866F">
            <w:pPr>
              <w:widowControl/>
              <w:spacing w:line="360" w:lineRule="auto"/>
              <w:jc w:val="center"/>
              <w:rPr>
                <w:rFonts w:ascii="宋体" w:hAnsi="宋体" w:cs="宋体"/>
                <w:color w:val="auto"/>
                <w:kern w:val="0"/>
                <w:sz w:val="24"/>
                <w:highlight w:val="none"/>
              </w:rPr>
            </w:pPr>
          </w:p>
        </w:tc>
      </w:tr>
      <w:tr w14:paraId="589304E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50C60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2D07D">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4F53F">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5A0351">
            <w:pPr>
              <w:widowControl/>
              <w:spacing w:line="360" w:lineRule="auto"/>
              <w:jc w:val="center"/>
              <w:rPr>
                <w:rFonts w:ascii="宋体" w:hAnsi="宋体" w:cs="宋体"/>
                <w:color w:val="auto"/>
                <w:kern w:val="0"/>
                <w:sz w:val="24"/>
                <w:highlight w:val="none"/>
              </w:rPr>
            </w:pPr>
          </w:p>
        </w:tc>
      </w:tr>
      <w:tr w14:paraId="0DDD5CA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FF20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4F292">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8917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0E998">
            <w:pPr>
              <w:widowControl/>
              <w:spacing w:line="360" w:lineRule="auto"/>
              <w:jc w:val="center"/>
              <w:rPr>
                <w:rFonts w:ascii="宋体" w:hAnsi="宋体" w:cs="宋体"/>
                <w:color w:val="auto"/>
                <w:kern w:val="0"/>
                <w:sz w:val="24"/>
                <w:highlight w:val="none"/>
              </w:rPr>
            </w:pPr>
          </w:p>
        </w:tc>
      </w:tr>
      <w:tr w14:paraId="21ECA59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2EC78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098A2">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791FC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ED5CAF">
            <w:pPr>
              <w:widowControl/>
              <w:spacing w:line="360" w:lineRule="auto"/>
              <w:jc w:val="center"/>
              <w:rPr>
                <w:rFonts w:ascii="宋体" w:hAnsi="宋体" w:cs="宋体"/>
                <w:color w:val="auto"/>
                <w:kern w:val="0"/>
                <w:sz w:val="24"/>
                <w:highlight w:val="none"/>
              </w:rPr>
            </w:pPr>
          </w:p>
        </w:tc>
      </w:tr>
    </w:tbl>
    <w:p w14:paraId="2718D94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9CAC4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77A2F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6B5B01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485DD64D">
      <w:pPr>
        <w:snapToGrid w:val="0"/>
        <w:spacing w:line="360" w:lineRule="auto"/>
        <w:jc w:val="left"/>
        <w:rPr>
          <w:rFonts w:ascii="宋体" w:hAnsi="宋体" w:cs="宋体"/>
          <w:color w:val="auto"/>
          <w:sz w:val="24"/>
          <w:highlight w:val="none"/>
        </w:rPr>
      </w:pPr>
    </w:p>
    <w:p w14:paraId="6D5928D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9987ED8">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rPr>
        <w:t>日期：  年  月   日</w:t>
      </w:r>
    </w:p>
    <w:p w14:paraId="5EEC673E">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六、竞标声明</w:t>
      </w:r>
    </w:p>
    <w:p w14:paraId="3AA6D00E">
      <w:pPr>
        <w:spacing w:line="320" w:lineRule="exact"/>
        <w:jc w:val="center"/>
        <w:rPr>
          <w:rFonts w:ascii="宋体" w:hAnsi="宋体" w:cs="宋体"/>
          <w:color w:val="auto"/>
          <w:sz w:val="24"/>
          <w:szCs w:val="20"/>
          <w:highlight w:val="none"/>
        </w:rPr>
      </w:pPr>
    </w:p>
    <w:p w14:paraId="5BB14BB4">
      <w:pPr>
        <w:spacing w:before="156" w:beforeLines="50" w:after="5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7F3510CB">
      <w:pPr>
        <w:spacing w:before="156" w:beforeLines="50" w:after="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5F359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F7D8D9A">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E9CFF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70790BB">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8E6B04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FD0DF2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29F2C6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96A7C23">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F0CA97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 我方承诺符合《中华人民共和国政府采购法》第二十二条规定：</w:t>
      </w:r>
    </w:p>
    <w:p w14:paraId="54CA2F8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1FA5B4D">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8F3984B">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564D4D">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D78A3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BA81F4F">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B1313B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2B0B1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DF0965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26336A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FE2087">
      <w:pPr>
        <w:pStyle w:val="17"/>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01E09B4">
      <w:pPr>
        <w:pStyle w:val="17"/>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06FAA8E">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4DEBB7E">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493C72D">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951987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59F0B918">
      <w:pPr>
        <w:spacing w:line="360" w:lineRule="auto"/>
        <w:ind w:firstLine="4320" w:firstLineChars="1800"/>
        <w:rPr>
          <w:rFonts w:ascii="宋体" w:hAnsi="宋体" w:cs="宋体"/>
          <w:color w:val="auto"/>
          <w:sz w:val="24"/>
          <w:highlight w:val="none"/>
        </w:rPr>
      </w:pPr>
    </w:p>
    <w:p w14:paraId="2C21E998">
      <w:pPr>
        <w:snapToGrid w:val="0"/>
        <w:spacing w:before="156"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供应商名称（电子签章）：</w:t>
      </w:r>
    </w:p>
    <w:p w14:paraId="12FDDFD9">
      <w:pPr>
        <w:snapToGrid w:val="0"/>
        <w:spacing w:before="156"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D4B7905">
      <w:pPr>
        <w:rPr>
          <w:rFonts w:ascii="宋体" w:hAnsi="宋体" w:cs="宋体"/>
          <w:color w:val="auto"/>
          <w:highlight w:val="none"/>
        </w:rPr>
      </w:pPr>
    </w:p>
    <w:p w14:paraId="0536D2AD">
      <w:pPr>
        <w:pStyle w:val="21"/>
        <w:rPr>
          <w:rFonts w:ascii="宋体" w:hAnsi="宋体" w:cs="宋体"/>
          <w:color w:val="auto"/>
          <w:highlight w:val="none"/>
        </w:rPr>
      </w:pPr>
    </w:p>
    <w:p w14:paraId="5A03AD4B">
      <w:pPr>
        <w:pStyle w:val="21"/>
        <w:rPr>
          <w:rFonts w:ascii="宋体" w:hAnsi="宋体" w:cs="宋体"/>
          <w:color w:val="auto"/>
          <w:highlight w:val="none"/>
        </w:rPr>
      </w:pPr>
    </w:p>
    <w:p w14:paraId="339C114D">
      <w:pPr>
        <w:pStyle w:val="21"/>
        <w:rPr>
          <w:rFonts w:ascii="宋体" w:hAnsi="宋体" w:cs="宋体"/>
          <w:color w:val="auto"/>
          <w:highlight w:val="none"/>
        </w:rPr>
      </w:pPr>
    </w:p>
    <w:p w14:paraId="54C0EDCB">
      <w:pPr>
        <w:pStyle w:val="21"/>
        <w:rPr>
          <w:rFonts w:ascii="宋体" w:hAnsi="宋体" w:cs="宋体"/>
          <w:color w:val="auto"/>
          <w:highlight w:val="none"/>
        </w:rPr>
      </w:pPr>
    </w:p>
    <w:p w14:paraId="68DE076A">
      <w:pPr>
        <w:pStyle w:val="21"/>
        <w:rPr>
          <w:rFonts w:ascii="宋体" w:hAnsi="宋体" w:cs="宋体"/>
          <w:color w:val="auto"/>
          <w:highlight w:val="none"/>
        </w:rPr>
      </w:pPr>
    </w:p>
    <w:p w14:paraId="5B31ED87">
      <w:pPr>
        <w:spacing w:line="320" w:lineRule="exact"/>
        <w:jc w:val="center"/>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七、联合体协议书</w:t>
      </w:r>
    </w:p>
    <w:p w14:paraId="56055C54">
      <w:pPr>
        <w:rPr>
          <w:rFonts w:ascii="宋体" w:hAnsi="宋体" w:cs="宋体"/>
          <w:color w:val="auto"/>
          <w:highlight w:val="none"/>
        </w:rPr>
      </w:pPr>
    </w:p>
    <w:p w14:paraId="46D6AD1D">
      <w:pPr>
        <w:rPr>
          <w:rFonts w:ascii="宋体" w:hAnsi="宋体" w:cs="宋体"/>
          <w:color w:val="auto"/>
          <w:highlight w:val="none"/>
        </w:rPr>
      </w:pPr>
    </w:p>
    <w:p w14:paraId="0C6628DE">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（所有成员单位名称）自愿组成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（联合体名称）联合体，共同参加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（项目名称）采购项目竞标。现就联合体竞标事宜订立如下协议：</w:t>
      </w:r>
    </w:p>
    <w:p w14:paraId="7E6E16CD">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（联合体名称）牵头人。</w:t>
      </w:r>
    </w:p>
    <w:p w14:paraId="2C41CEAC">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8DCF054">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F7016CC">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4.联合体各成员单位内部的职责分工如下：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BFFDBFE">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5.本</w:t>
      </w:r>
      <w:r>
        <w:rPr>
          <w:rFonts w:hint="eastAsia" w:ascii="宋体" w:hAnsi="宋体" w:cs="宋体"/>
          <w:color w:val="auto"/>
          <w:spacing w:val="-6"/>
          <w:sz w:val="24"/>
          <w:szCs w:val="24"/>
          <w:highlight w:val="none"/>
        </w:rPr>
        <w:t>协议书自所有成员单位法定代表人或者其委托代理人签字或者盖单位章之日起生效，合同履行完毕后自动失效。</w:t>
      </w:r>
    </w:p>
    <w:p w14:paraId="08CF969B">
      <w:pPr>
        <w:pStyle w:val="9"/>
        <w:overflowPunct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6.本协议书一式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份，联合体成员和采购人各执一份。</w:t>
      </w:r>
    </w:p>
    <w:p w14:paraId="0EAC0D11">
      <w:pPr>
        <w:pStyle w:val="9"/>
        <w:overflowPunct w:val="0"/>
        <w:ind w:firstLine="480" w:firstLineChars="200"/>
        <w:rPr>
          <w:rFonts w:ascii="宋体" w:hAnsi="宋体" w:cs="宋体"/>
          <w:color w:val="auto"/>
          <w:sz w:val="24"/>
          <w:highlight w:val="none"/>
        </w:rPr>
      </w:pPr>
      <w:r>
        <w:rPr>
          <w:rFonts w:hint="eastAsia" w:ascii="宋体" w:hAnsi="宋体" w:cs="宋体"/>
          <w:color w:val="auto"/>
          <w:sz w:val="24"/>
          <w:szCs w:val="24"/>
          <w:highlight w:val="none"/>
        </w:rPr>
        <w:t>注：</w:t>
      </w:r>
      <w:r>
        <w:rPr>
          <w:rFonts w:hint="eastAsia" w:ascii="宋体" w:hAnsi="宋体" w:cs="宋体"/>
          <w:color w:val="auto"/>
          <w:sz w:val="24"/>
          <w:highlight w:val="none"/>
        </w:rPr>
        <w:t>本协议书由法定代表人签字的，应附法定代表人身份证明；本协议书由委托代理人签字的，应附法定代表人授权委托书。</w:t>
      </w:r>
    </w:p>
    <w:p w14:paraId="0AE86B82">
      <w:pPr>
        <w:pStyle w:val="9"/>
        <w:overflowPunct w:val="0"/>
        <w:ind w:firstLine="480" w:firstLineChars="200"/>
        <w:rPr>
          <w:rFonts w:ascii="宋体" w:hAnsi="宋体" w:cs="宋体"/>
          <w:color w:val="auto"/>
          <w:sz w:val="24"/>
          <w:highlight w:val="none"/>
        </w:rPr>
      </w:pPr>
    </w:p>
    <w:p w14:paraId="61ABA52C">
      <w:pPr>
        <w:pStyle w:val="9"/>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牵头人名称：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（公章/电子签章）</w:t>
      </w:r>
    </w:p>
    <w:p w14:paraId="02D0D8EE">
      <w:pPr>
        <w:pStyle w:val="9"/>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（手写签名/电子签名）</w:t>
      </w:r>
    </w:p>
    <w:p w14:paraId="02A19DD6">
      <w:pPr>
        <w:pStyle w:val="9"/>
        <w:overflowPunct w:val="0"/>
        <w:ind w:firstLine="480" w:firstLineChars="200"/>
        <w:rPr>
          <w:rFonts w:ascii="宋体" w:hAnsi="宋体" w:cs="宋体"/>
          <w:color w:val="auto"/>
          <w:sz w:val="24"/>
          <w:highlight w:val="none"/>
        </w:rPr>
      </w:pPr>
    </w:p>
    <w:p w14:paraId="1420F573">
      <w:pPr>
        <w:pStyle w:val="9"/>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成员一名称：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（公章/电子签章）</w:t>
      </w:r>
    </w:p>
    <w:p w14:paraId="12C10477">
      <w:pPr>
        <w:pStyle w:val="9"/>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（手写签名/电子签名）</w:t>
      </w:r>
    </w:p>
    <w:p w14:paraId="7FD60565">
      <w:pPr>
        <w:pStyle w:val="9"/>
        <w:overflowPunct w:val="0"/>
        <w:ind w:firstLine="480" w:firstLineChars="200"/>
        <w:rPr>
          <w:rFonts w:ascii="宋体" w:hAnsi="宋体" w:cs="宋体"/>
          <w:color w:val="auto"/>
          <w:sz w:val="24"/>
          <w:highlight w:val="none"/>
        </w:rPr>
      </w:pPr>
    </w:p>
    <w:p w14:paraId="6A300EF8">
      <w:pPr>
        <w:pStyle w:val="9"/>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成员二名称：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（公章/电子签章）</w:t>
      </w:r>
    </w:p>
    <w:p w14:paraId="3FB375C9">
      <w:pPr>
        <w:pStyle w:val="9"/>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（手写签名/电子签名）</w:t>
      </w:r>
    </w:p>
    <w:p w14:paraId="1CF986E5">
      <w:pPr>
        <w:pStyle w:val="9"/>
        <w:overflowPunct w:val="0"/>
        <w:spacing w:line="360" w:lineRule="auto"/>
        <w:ind w:firstLine="480" w:firstLineChars="200"/>
        <w:rPr>
          <w:rFonts w:ascii="宋体" w:hAnsi="宋体" w:cs="宋体"/>
          <w:color w:val="auto"/>
          <w:sz w:val="24"/>
          <w:highlight w:val="none"/>
        </w:rPr>
      </w:pPr>
    </w:p>
    <w:p w14:paraId="1161E22E">
      <w:pPr>
        <w:pStyle w:val="9"/>
        <w:overflowPunct w:val="0"/>
        <w:spacing w:line="360" w:lineRule="auto"/>
        <w:ind w:firstLine="480" w:firstLineChars="200"/>
        <w:rPr>
          <w:rFonts w:ascii="宋体" w:hAnsi="宋体" w:cs="宋体"/>
          <w:color w:val="auto"/>
          <w:sz w:val="24"/>
          <w:highlight w:val="none"/>
        </w:rPr>
      </w:pPr>
    </w:p>
    <w:p w14:paraId="77830593">
      <w:pPr>
        <w:pStyle w:val="21"/>
        <w:rPr>
          <w:rFonts w:ascii="宋体" w:hAnsi="宋体" w:cs="宋体"/>
          <w:color w:val="auto"/>
          <w:sz w:val="24"/>
          <w:szCs w:val="24"/>
          <w:highlight w:val="none"/>
        </w:rPr>
      </w:pPr>
      <w:r>
        <w:rPr>
          <w:rFonts w:hint="eastAsia" w:ascii="宋体" w:hAnsi="宋体" w:cs="宋体"/>
          <w:b/>
          <w:color w:val="auto"/>
          <w:sz w:val="32"/>
          <w:szCs w:val="32"/>
          <w:highlight w:val="none"/>
        </w:rPr>
        <w:br w:type="page"/>
      </w:r>
    </w:p>
    <w:p w14:paraId="24228472">
      <w:pPr>
        <w:pStyle w:val="21"/>
        <w:rPr>
          <w:rFonts w:ascii="宋体" w:hAnsi="宋体" w:cs="宋体"/>
          <w:color w:val="auto"/>
          <w:sz w:val="24"/>
          <w:szCs w:val="24"/>
          <w:highlight w:val="none"/>
        </w:rPr>
      </w:pPr>
    </w:p>
    <w:p w14:paraId="7AECC3DD">
      <w:pPr>
        <w:pStyle w:val="21"/>
        <w:rPr>
          <w:rFonts w:ascii="宋体" w:hAnsi="宋体" w:cs="宋体"/>
          <w:color w:val="auto"/>
          <w:sz w:val="24"/>
          <w:szCs w:val="24"/>
          <w:highlight w:val="none"/>
        </w:rPr>
      </w:pPr>
    </w:p>
    <w:p w14:paraId="2CA81AAE">
      <w:pPr>
        <w:pStyle w:val="21"/>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、除磋商文件规定必须提供以外，供应商认为需要提供的其他证明材料</w:t>
      </w:r>
    </w:p>
    <w:p w14:paraId="581688ED">
      <w:pPr>
        <w:pStyle w:val="21"/>
        <w:rPr>
          <w:rFonts w:ascii="宋体" w:hAnsi="宋体" w:cs="宋体"/>
          <w:color w:val="auto"/>
          <w:sz w:val="24"/>
          <w:szCs w:val="24"/>
          <w:highlight w:val="none"/>
        </w:rPr>
      </w:pPr>
    </w:p>
    <w:p w14:paraId="7AE71F8B">
      <w:pPr>
        <w:pStyle w:val="21"/>
        <w:rPr>
          <w:rFonts w:ascii="宋体" w:hAnsi="宋体" w:cs="宋体"/>
          <w:color w:val="auto"/>
          <w:sz w:val="24"/>
          <w:szCs w:val="24"/>
          <w:highlight w:val="none"/>
        </w:rPr>
      </w:pPr>
    </w:p>
    <w:p w14:paraId="4C84A0F2">
      <w:pPr>
        <w:spacing w:line="360" w:lineRule="auto"/>
        <w:rPr>
          <w:rFonts w:ascii="宋体" w:hAnsi="宋体" w:cs="宋体"/>
          <w:color w:val="auto"/>
          <w:sz w:val="24"/>
          <w:highlight w:val="none"/>
        </w:rPr>
      </w:pPr>
    </w:p>
    <w:p w14:paraId="5377EB2A">
      <w:pPr>
        <w:spacing w:line="276" w:lineRule="auto"/>
        <w:ind w:firstLine="4320" w:firstLineChars="1800"/>
        <w:rPr>
          <w:rFonts w:ascii="宋体" w:hAnsi="宋体" w:cs="宋体"/>
          <w:color w:val="auto"/>
          <w:sz w:val="24"/>
          <w:highlight w:val="none"/>
        </w:rPr>
      </w:pPr>
    </w:p>
    <w:p w14:paraId="65BF7597">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043DFF48">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5AB94F04">
      <w:pPr>
        <w:spacing w:line="360" w:lineRule="auto"/>
        <w:rPr>
          <w:rFonts w:ascii="宋体" w:hAnsi="宋体" w:cs="宋体"/>
          <w:color w:val="auto"/>
          <w:sz w:val="24"/>
          <w:highlight w:val="none"/>
        </w:rPr>
      </w:pPr>
    </w:p>
    <w:p w14:paraId="618B49BD">
      <w:pPr>
        <w:pStyle w:val="21"/>
        <w:rPr>
          <w:rFonts w:ascii="宋体" w:hAnsi="宋体" w:cs="宋体"/>
          <w:color w:val="auto"/>
          <w:sz w:val="24"/>
          <w:szCs w:val="24"/>
          <w:highlight w:val="none"/>
        </w:rPr>
      </w:pPr>
    </w:p>
    <w:p w14:paraId="4651B254">
      <w:pPr>
        <w:pStyle w:val="21"/>
        <w:rPr>
          <w:rFonts w:ascii="宋体" w:hAnsi="宋体" w:cs="宋体"/>
          <w:color w:val="auto"/>
          <w:sz w:val="24"/>
          <w:szCs w:val="24"/>
          <w:highlight w:val="none"/>
        </w:rPr>
      </w:pPr>
    </w:p>
    <w:p w14:paraId="3552B0CC">
      <w:pPr>
        <w:pStyle w:val="21"/>
        <w:rPr>
          <w:rFonts w:ascii="宋体" w:hAnsi="宋体" w:cs="宋体"/>
          <w:color w:val="auto"/>
          <w:sz w:val="24"/>
          <w:szCs w:val="24"/>
          <w:highlight w:val="none"/>
        </w:rPr>
      </w:pPr>
    </w:p>
    <w:p w14:paraId="3C019C3B">
      <w:pPr>
        <w:pStyle w:val="21"/>
        <w:rPr>
          <w:rFonts w:ascii="宋体" w:hAnsi="宋体" w:cs="宋体"/>
          <w:color w:val="auto"/>
          <w:sz w:val="24"/>
          <w:szCs w:val="24"/>
          <w:highlight w:val="none"/>
        </w:rPr>
      </w:pPr>
    </w:p>
    <w:p w14:paraId="423139AB">
      <w:pPr>
        <w:pStyle w:val="21"/>
        <w:rPr>
          <w:rFonts w:ascii="宋体" w:hAnsi="宋体" w:cs="宋体"/>
          <w:color w:val="auto"/>
          <w:highlight w:val="none"/>
        </w:rPr>
      </w:pPr>
    </w:p>
    <w:p w14:paraId="056536C8">
      <w:pPr>
        <w:pStyle w:val="21"/>
        <w:rPr>
          <w:rFonts w:ascii="宋体" w:hAnsi="宋体" w:cs="宋体"/>
          <w:color w:val="auto"/>
          <w:highlight w:val="none"/>
        </w:rPr>
      </w:pPr>
    </w:p>
    <w:p w14:paraId="64D91B8B">
      <w:pPr>
        <w:pStyle w:val="3"/>
        <w:rPr>
          <w:rFonts w:ascii="宋体" w:hAnsi="宋体" w:cs="宋体"/>
          <w:color w:val="auto"/>
          <w:highlight w:val="none"/>
        </w:rPr>
      </w:pPr>
      <w:r>
        <w:rPr>
          <w:rFonts w:hint="eastAsia" w:ascii="宋体" w:hAnsi="宋体" w:cs="宋体"/>
          <w:color w:val="auto"/>
          <w:highlight w:val="none"/>
        </w:rPr>
        <w:br w:type="page"/>
      </w:r>
      <w:bookmarkStart w:id="73" w:name="_Toc2654"/>
      <w:r>
        <w:rPr>
          <w:rFonts w:hint="eastAsia" w:ascii="宋体" w:hAnsi="宋体" w:cs="宋体"/>
          <w:color w:val="auto"/>
          <w:highlight w:val="none"/>
        </w:rPr>
        <w:t>二、商务技术文件格式</w:t>
      </w:r>
      <w:bookmarkEnd w:id="73"/>
      <w:r>
        <w:rPr>
          <w:rFonts w:hint="eastAsia" w:ascii="宋体" w:hAnsi="宋体" w:cs="宋体"/>
          <w:color w:val="auto"/>
          <w:highlight w:val="none"/>
        </w:rPr>
        <w:t xml:space="preserve"> </w:t>
      </w:r>
    </w:p>
    <w:p w14:paraId="75D3C6A5">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1EAF6F7E">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3A93BC4D">
      <w:pPr>
        <w:snapToGrid w:val="0"/>
        <w:spacing w:before="156" w:beforeLines="50" w:after="50"/>
        <w:jc w:val="right"/>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电子响应文件</w:t>
      </w:r>
    </w:p>
    <w:p w14:paraId="7B9365D3">
      <w:pPr>
        <w:snapToGrid w:val="0"/>
        <w:spacing w:before="156" w:beforeLines="50" w:after="50"/>
        <w:rPr>
          <w:rFonts w:ascii="宋体" w:hAnsi="宋体" w:cs="宋体"/>
          <w:color w:val="auto"/>
          <w:sz w:val="24"/>
          <w:szCs w:val="20"/>
          <w:highlight w:val="none"/>
        </w:rPr>
      </w:pPr>
    </w:p>
    <w:p w14:paraId="54EAF81D">
      <w:pPr>
        <w:snapToGrid w:val="0"/>
        <w:spacing w:before="156" w:beforeLines="50" w:after="50"/>
        <w:rPr>
          <w:rFonts w:ascii="宋体" w:hAnsi="宋体" w:cs="宋体"/>
          <w:color w:val="auto"/>
          <w:sz w:val="24"/>
          <w:szCs w:val="20"/>
          <w:highlight w:val="none"/>
        </w:rPr>
      </w:pPr>
    </w:p>
    <w:p w14:paraId="1B87DE5E">
      <w:pPr>
        <w:snapToGrid w:val="0"/>
        <w:spacing w:before="156" w:beforeLines="50" w:after="50"/>
        <w:rPr>
          <w:rFonts w:ascii="宋体" w:hAnsi="宋体" w:cs="宋体"/>
          <w:color w:val="auto"/>
          <w:sz w:val="24"/>
          <w:szCs w:val="20"/>
          <w:highlight w:val="none"/>
        </w:rPr>
      </w:pPr>
    </w:p>
    <w:p w14:paraId="790F6CCC">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3ABC6A38">
      <w:pPr>
        <w:snapToGrid w:val="0"/>
        <w:spacing w:before="156" w:beforeLines="50" w:after="50"/>
        <w:rPr>
          <w:rFonts w:ascii="宋体" w:hAnsi="宋体" w:cs="宋体"/>
          <w:bCs/>
          <w:color w:val="auto"/>
          <w:sz w:val="24"/>
          <w:szCs w:val="20"/>
          <w:highlight w:val="none"/>
        </w:rPr>
      </w:pPr>
    </w:p>
    <w:p w14:paraId="6588D334">
      <w:pPr>
        <w:snapToGrid w:val="0"/>
        <w:spacing w:before="156" w:beforeLines="50" w:after="50"/>
        <w:rPr>
          <w:rFonts w:ascii="宋体" w:hAnsi="宋体" w:cs="宋体"/>
          <w:bCs/>
          <w:color w:val="auto"/>
          <w:sz w:val="24"/>
          <w:szCs w:val="20"/>
          <w:highlight w:val="none"/>
        </w:rPr>
      </w:pPr>
    </w:p>
    <w:p w14:paraId="268F5000">
      <w:pPr>
        <w:snapToGrid w:val="0"/>
        <w:spacing w:before="156" w:beforeLines="50" w:after="50"/>
        <w:rPr>
          <w:rFonts w:ascii="宋体" w:hAnsi="宋体" w:cs="宋体"/>
          <w:bCs/>
          <w:color w:val="auto"/>
          <w:sz w:val="24"/>
          <w:szCs w:val="20"/>
          <w:highlight w:val="none"/>
        </w:rPr>
      </w:pPr>
    </w:p>
    <w:p w14:paraId="78A59717">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FABCCCD">
      <w:pPr>
        <w:snapToGrid w:val="0"/>
        <w:spacing w:before="156" w:beforeLines="50" w:after="50"/>
        <w:ind w:firstLine="720" w:firstLineChars="225"/>
        <w:rPr>
          <w:rFonts w:ascii="宋体" w:hAnsi="宋体" w:cs="宋体"/>
          <w:bCs/>
          <w:color w:val="auto"/>
          <w:sz w:val="32"/>
          <w:szCs w:val="32"/>
          <w:highlight w:val="none"/>
        </w:rPr>
      </w:pPr>
    </w:p>
    <w:p w14:paraId="264653AF">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EF00877">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7171524">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1942E40">
      <w:pPr>
        <w:snapToGrid w:val="0"/>
        <w:spacing w:before="156" w:beforeLines="50" w:after="50"/>
        <w:ind w:firstLine="720" w:firstLineChars="225"/>
        <w:rPr>
          <w:rFonts w:ascii="宋体" w:hAnsi="宋体" w:cs="宋体"/>
          <w:bCs/>
          <w:color w:val="auto"/>
          <w:sz w:val="32"/>
          <w:szCs w:val="32"/>
          <w:highlight w:val="none"/>
        </w:rPr>
      </w:pPr>
    </w:p>
    <w:p w14:paraId="657B627B">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5DDC611">
      <w:pPr>
        <w:pStyle w:val="9"/>
        <w:snapToGrid w:val="0"/>
        <w:spacing w:before="50" w:after="50"/>
        <w:ind w:firstLine="1280" w:firstLineChars="400"/>
        <w:rPr>
          <w:rFonts w:ascii="宋体" w:hAnsi="宋体" w:cs="宋体"/>
          <w:bCs/>
          <w:color w:val="auto"/>
          <w:sz w:val="32"/>
          <w:szCs w:val="32"/>
          <w:highlight w:val="none"/>
        </w:rPr>
      </w:pPr>
    </w:p>
    <w:p w14:paraId="7000C6BB">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CC5E077">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14:paraId="0657099A">
      <w:pPr>
        <w:snapToGrid w:val="0"/>
        <w:spacing w:before="156" w:beforeLines="50" w:after="50"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商务文件</w:t>
      </w:r>
    </w:p>
    <w:p w14:paraId="5756F8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一、无串通竞标行为的承诺函……………………………………………………（页码）</w:t>
      </w:r>
    </w:p>
    <w:p w14:paraId="75E8F3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二、法定代表人身份证明书及法定代表人有效身份证正反面复印件…………（页码）</w:t>
      </w:r>
    </w:p>
    <w:p w14:paraId="41D713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三、法定代表人授权委托书及委托代理人有效身份证正反面复印件…………（页码）四、商务条款偏离表…………………………………………………………………（页码）</w:t>
      </w:r>
    </w:p>
    <w:p w14:paraId="57078E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五、磋商保证金提交凭证……………………………………………………………（页码）</w:t>
      </w:r>
    </w:p>
    <w:p w14:paraId="135313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六、供应商认为需要提供的其他有关资料…………………………………………（页码）</w:t>
      </w:r>
    </w:p>
    <w:p w14:paraId="2E294B12">
      <w:pPr>
        <w:snapToGrid w:val="0"/>
        <w:spacing w:before="156" w:beforeLines="50" w:after="50"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技术文件</w:t>
      </w:r>
    </w:p>
    <w:p w14:paraId="450D5B03">
      <w:pPr>
        <w:pStyle w:val="21"/>
        <w:rPr>
          <w:rFonts w:ascii="宋体" w:hAnsi="宋体" w:cs="宋体"/>
          <w:color w:val="auto"/>
          <w:highlight w:val="none"/>
        </w:rPr>
      </w:pPr>
    </w:p>
    <w:p w14:paraId="70F349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kern w:val="0"/>
          <w:sz w:val="24"/>
          <w:highlight w:val="none"/>
          <w:lang w:eastAsia="zh-CN"/>
        </w:rPr>
        <w:t>服务需求</w:t>
      </w:r>
      <w:r>
        <w:rPr>
          <w:rFonts w:hint="eastAsia" w:ascii="宋体" w:hAnsi="宋体" w:cs="宋体"/>
          <w:color w:val="auto"/>
          <w:kern w:val="0"/>
          <w:sz w:val="24"/>
          <w:highlight w:val="none"/>
        </w:rPr>
        <w:t>偏离表…………………………………………………………………（页码）</w:t>
      </w:r>
    </w:p>
    <w:p w14:paraId="7E92DC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二、服务方案…………………………………………………………………………（页码）</w:t>
      </w:r>
    </w:p>
    <w:p w14:paraId="06E51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三、项目实施人员一览表……………………………………………………………（页码）</w:t>
      </w:r>
    </w:p>
    <w:p w14:paraId="142C2C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四、供应商认为需要提供的其他有关资料…………………………………………（页码）</w:t>
      </w:r>
    </w:p>
    <w:p w14:paraId="60E7658A">
      <w:pPr>
        <w:pStyle w:val="21"/>
        <w:rPr>
          <w:rFonts w:ascii="宋体" w:hAnsi="宋体" w:cs="宋体"/>
          <w:color w:val="auto"/>
          <w:highlight w:val="none"/>
        </w:rPr>
      </w:pPr>
    </w:p>
    <w:p w14:paraId="322882D4">
      <w:pPr>
        <w:pStyle w:val="21"/>
        <w:rPr>
          <w:rFonts w:ascii="宋体" w:hAnsi="宋体" w:cs="宋体"/>
          <w:color w:val="auto"/>
          <w:highlight w:val="none"/>
        </w:rPr>
      </w:pPr>
    </w:p>
    <w:p w14:paraId="4F914045">
      <w:pPr>
        <w:snapToGrid w:val="0"/>
        <w:spacing w:before="156" w:beforeLines="50" w:after="50" w:line="360" w:lineRule="auto"/>
        <w:ind w:firstLine="645"/>
        <w:rPr>
          <w:rFonts w:ascii="宋体" w:hAnsi="宋体" w:cs="宋体"/>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r>
        <w:rPr>
          <w:rFonts w:hint="eastAsia" w:ascii="宋体" w:hAnsi="宋体" w:cs="宋体"/>
          <w:color w:val="auto"/>
          <w:sz w:val="24"/>
          <w:highlight w:val="none"/>
        </w:rPr>
        <w:t>。</w:t>
      </w:r>
    </w:p>
    <w:p w14:paraId="181654E3">
      <w:pPr>
        <w:pStyle w:val="21"/>
        <w:rPr>
          <w:rFonts w:ascii="宋体" w:hAnsi="宋体" w:cs="宋体"/>
          <w:color w:val="auto"/>
          <w:highlight w:val="none"/>
        </w:rPr>
      </w:pPr>
    </w:p>
    <w:p w14:paraId="18A1935A">
      <w:pPr>
        <w:pStyle w:val="21"/>
        <w:rPr>
          <w:rFonts w:ascii="宋体" w:hAnsi="宋体" w:cs="宋体"/>
          <w:color w:val="auto"/>
          <w:highlight w:val="none"/>
        </w:rPr>
      </w:pPr>
    </w:p>
    <w:p w14:paraId="7CFFF5E9">
      <w:pPr>
        <w:pStyle w:val="21"/>
        <w:rPr>
          <w:rFonts w:ascii="宋体" w:hAnsi="宋体" w:cs="宋体"/>
          <w:color w:val="auto"/>
          <w:highlight w:val="none"/>
        </w:rPr>
      </w:pPr>
    </w:p>
    <w:p w14:paraId="4EC2CE46">
      <w:pPr>
        <w:pStyle w:val="21"/>
        <w:rPr>
          <w:rFonts w:ascii="宋体" w:hAnsi="宋体" w:cs="宋体"/>
          <w:color w:val="auto"/>
          <w:highlight w:val="none"/>
        </w:rPr>
      </w:pPr>
    </w:p>
    <w:p w14:paraId="0F181E84">
      <w:pPr>
        <w:spacing w:line="520" w:lineRule="exact"/>
        <w:jc w:val="left"/>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28"/>
          <w:szCs w:val="28"/>
          <w:highlight w:val="none"/>
        </w:rPr>
        <w:t>商务文件</w:t>
      </w:r>
    </w:p>
    <w:p w14:paraId="3443A3C8">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一、无串通竞标行为的承诺函</w:t>
      </w:r>
    </w:p>
    <w:p w14:paraId="043598DD">
      <w:pPr>
        <w:spacing w:line="400" w:lineRule="exact"/>
        <w:ind w:firstLine="640" w:firstLineChars="200"/>
        <w:rPr>
          <w:rFonts w:ascii="宋体" w:hAnsi="宋体" w:cs="宋体"/>
          <w:color w:val="auto"/>
          <w:sz w:val="32"/>
          <w:szCs w:val="32"/>
          <w:highlight w:val="none"/>
        </w:rPr>
      </w:pPr>
    </w:p>
    <w:p w14:paraId="59A9EBF5">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045D04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w:t>
      </w:r>
    </w:p>
    <w:p w14:paraId="5B19B6E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B712C7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3.不同的供应商的响应文件载明的项目管理员为同一个人；</w:t>
      </w:r>
    </w:p>
    <w:p w14:paraId="4D55D0B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7D4108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45D5B0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6.不同供应商的竞标保证金从同一单位或者个人账户转出。</w:t>
      </w:r>
    </w:p>
    <w:p w14:paraId="3B9FD576">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4A930C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D5221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8C6E3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414527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5F02E25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DD894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DECE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30D847F">
      <w:pPr>
        <w:spacing w:line="360" w:lineRule="auto"/>
        <w:ind w:firstLine="480" w:firstLineChars="200"/>
        <w:rPr>
          <w:rFonts w:ascii="宋体" w:hAnsi="宋体" w:cs="宋体"/>
          <w:color w:val="auto"/>
          <w:sz w:val="24"/>
          <w:highlight w:val="none"/>
        </w:rPr>
      </w:pPr>
    </w:p>
    <w:p w14:paraId="11BB59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2A6691F9">
      <w:pPr>
        <w:spacing w:line="360" w:lineRule="auto"/>
        <w:rPr>
          <w:rFonts w:ascii="宋体" w:hAnsi="宋体" w:cs="宋体"/>
          <w:color w:val="auto"/>
          <w:sz w:val="24"/>
          <w:highlight w:val="none"/>
        </w:rPr>
      </w:pPr>
    </w:p>
    <w:p w14:paraId="6CF2F124">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657FDAB2">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4CAA1599">
      <w:pPr>
        <w:pStyle w:val="21"/>
        <w:rPr>
          <w:rFonts w:ascii="宋体" w:hAnsi="宋体" w:cs="宋体"/>
          <w:color w:val="auto"/>
          <w:highlight w:val="none"/>
        </w:rPr>
      </w:pPr>
    </w:p>
    <w:p w14:paraId="5FFC1E4F">
      <w:pPr>
        <w:spacing w:line="520" w:lineRule="exact"/>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二、法定代表人身份证明书及法定代表人有效身份证正反面复印件</w:t>
      </w:r>
    </w:p>
    <w:p w14:paraId="4E6FD3D1">
      <w:pPr>
        <w:pStyle w:val="21"/>
        <w:rPr>
          <w:rFonts w:ascii="宋体" w:hAnsi="宋体" w:cs="宋体"/>
          <w:color w:val="auto"/>
          <w:highlight w:val="none"/>
        </w:rPr>
      </w:pPr>
    </w:p>
    <w:p w14:paraId="03CE7F54">
      <w:pPr>
        <w:pStyle w:val="21"/>
        <w:rPr>
          <w:rFonts w:ascii="宋体" w:hAnsi="宋体" w:cs="宋体"/>
          <w:color w:val="auto"/>
          <w:highlight w:val="none"/>
        </w:rPr>
      </w:pPr>
    </w:p>
    <w:p w14:paraId="33AC6EF6">
      <w:pPr>
        <w:spacing w:before="312" w:beforeLines="100" w:after="156" w:afterLines="50" w:line="520" w:lineRule="exact"/>
        <w:ind w:left="54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5C3A6950">
      <w:pPr>
        <w:spacing w:line="520" w:lineRule="exact"/>
        <w:ind w:left="540"/>
        <w:rPr>
          <w:rFonts w:ascii="宋体" w:hAnsi="宋体" w:cs="宋体"/>
          <w:color w:val="auto"/>
          <w:sz w:val="32"/>
          <w:szCs w:val="32"/>
          <w:highlight w:val="none"/>
        </w:rPr>
      </w:pPr>
    </w:p>
    <w:p w14:paraId="5FEC7CAD">
      <w:pPr>
        <w:spacing w:line="360" w:lineRule="auto"/>
        <w:ind w:left="54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3AB400D">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7FFC65D">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2FD6C76">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E9D7A2C">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B7C47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8282829">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108DFC9">
      <w:pPr>
        <w:spacing w:line="500" w:lineRule="exact"/>
        <w:ind w:left="540"/>
        <w:rPr>
          <w:rFonts w:ascii="宋体" w:hAnsi="宋体" w:cs="宋体"/>
          <w:color w:val="auto"/>
          <w:sz w:val="24"/>
          <w:highlight w:val="none"/>
        </w:rPr>
      </w:pPr>
    </w:p>
    <w:p w14:paraId="7885586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2688614">
      <w:pPr>
        <w:spacing w:line="500" w:lineRule="exact"/>
        <w:ind w:left="540"/>
        <w:rPr>
          <w:rFonts w:ascii="宋体" w:hAnsi="宋体" w:cs="宋体"/>
          <w:color w:val="auto"/>
          <w:sz w:val="24"/>
          <w:highlight w:val="none"/>
        </w:rPr>
      </w:pPr>
    </w:p>
    <w:p w14:paraId="27484C11">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供应商名称(电子签章)：</w:t>
      </w:r>
    </w:p>
    <w:p w14:paraId="1865CAF6">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669816">
      <w:pPr>
        <w:snapToGrid w:val="0"/>
        <w:spacing w:before="156" w:beforeLines="50" w:after="50" w:line="360" w:lineRule="auto"/>
        <w:jc w:val="left"/>
        <w:rPr>
          <w:rFonts w:ascii="宋体" w:hAnsi="宋体" w:cs="宋体"/>
          <w:color w:val="auto"/>
          <w:sz w:val="24"/>
          <w:highlight w:val="none"/>
        </w:rPr>
      </w:pPr>
    </w:p>
    <w:p w14:paraId="197375D6">
      <w:pPr>
        <w:snapToGrid w:val="0"/>
        <w:spacing w:before="156"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6703F2D1">
      <w:pPr>
        <w:snapToGrid w:val="0"/>
        <w:spacing w:before="156" w:beforeLines="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0A5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CE28120">
            <w:pPr>
              <w:spacing w:line="360" w:lineRule="auto"/>
              <w:rPr>
                <w:rFonts w:ascii="宋体" w:hAnsi="宋体" w:cs="宋体"/>
                <w:b/>
                <w:color w:val="auto"/>
                <w:sz w:val="24"/>
                <w:highlight w:val="none"/>
              </w:rPr>
            </w:pPr>
          </w:p>
          <w:p w14:paraId="680DB93A">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3BF5271D">
      <w:pPr>
        <w:pStyle w:val="21"/>
        <w:rPr>
          <w:rFonts w:ascii="宋体" w:hAnsi="宋体" w:cs="宋体"/>
          <w:color w:val="auto"/>
          <w:highlight w:val="none"/>
        </w:rPr>
      </w:pPr>
    </w:p>
    <w:p w14:paraId="40C07624">
      <w:pPr>
        <w:adjustRightInd w:val="0"/>
        <w:snapToGrid w:val="0"/>
        <w:spacing w:line="300" w:lineRule="auto"/>
        <w:jc w:val="left"/>
        <w:rPr>
          <w:rFonts w:ascii="宋体" w:hAnsi="宋体" w:cs="宋体"/>
          <w:b/>
          <w:color w:val="auto"/>
          <w:szCs w:val="21"/>
          <w:highlight w:val="none"/>
        </w:rPr>
      </w:pPr>
    </w:p>
    <w:p w14:paraId="7F3A0BD3">
      <w:pPr>
        <w:spacing w:line="500" w:lineRule="exact"/>
        <w:jc w:val="center"/>
        <w:rPr>
          <w:rFonts w:ascii="宋体" w:hAnsi="宋体" w:cs="宋体"/>
          <w:color w:val="auto"/>
          <w:sz w:val="36"/>
          <w:szCs w:val="36"/>
          <w:highlight w:val="none"/>
        </w:rPr>
      </w:pPr>
      <w:r>
        <w:rPr>
          <w:rFonts w:hint="eastAsia" w:ascii="宋体" w:hAnsi="宋体" w:cs="宋体"/>
          <w:color w:val="auto"/>
          <w:sz w:val="44"/>
          <w:szCs w:val="44"/>
          <w:highlight w:val="none"/>
        </w:rPr>
        <w:br w:type="page"/>
      </w:r>
      <w:r>
        <w:rPr>
          <w:rFonts w:hint="eastAsia" w:ascii="宋体" w:hAnsi="宋体" w:cs="宋体"/>
          <w:b/>
          <w:bCs/>
          <w:color w:val="auto"/>
          <w:sz w:val="32"/>
          <w:szCs w:val="32"/>
          <w:highlight w:val="none"/>
        </w:rPr>
        <w:t xml:space="preserve">三、法定代表人授权委托书及委托代理人有效身份证正反面复印件 </w:t>
      </w:r>
    </w:p>
    <w:p w14:paraId="706277EA">
      <w:pPr>
        <w:pStyle w:val="21"/>
        <w:rPr>
          <w:rFonts w:ascii="宋体" w:hAnsi="宋体" w:cs="宋体"/>
          <w:color w:val="auto"/>
          <w:highlight w:val="none"/>
        </w:rPr>
      </w:pPr>
    </w:p>
    <w:p w14:paraId="5021E1D8">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法定代表人授权委托书（如有委托时）</w:t>
      </w:r>
    </w:p>
    <w:p w14:paraId="088E2F75">
      <w:pPr>
        <w:snapToGrid w:val="0"/>
        <w:spacing w:before="156" w:beforeLines="50" w:after="50"/>
        <w:jc w:val="center"/>
        <w:rPr>
          <w:rFonts w:ascii="宋体" w:hAnsi="宋体" w:cs="宋体"/>
          <w:b/>
          <w:color w:val="auto"/>
          <w:sz w:val="24"/>
          <w:highlight w:val="none"/>
        </w:rPr>
      </w:pPr>
    </w:p>
    <w:p w14:paraId="5D86F5A3">
      <w:pPr>
        <w:pStyle w:val="17"/>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（采购人名称）</w:t>
      </w:r>
    </w:p>
    <w:p w14:paraId="7266E35E">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（供应商名称）的法定代表人，现授权我单位在职正式员工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（姓名和职务）为我方代理人。代理人根据授权，以我方名义签署、澄清、说明、补正、递交、撤回、修改贵方组织的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）的响应文件、签订合同和处理一切有关事宜，其法律后果由我方承担。</w:t>
      </w:r>
    </w:p>
    <w:p w14:paraId="724BC89D">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本授权书于</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日签字生效，委托期限：</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w:t>
      </w:r>
    </w:p>
    <w:p w14:paraId="0CBBC0B4">
      <w:pPr>
        <w:pStyle w:val="17"/>
        <w:spacing w:line="360" w:lineRule="auto"/>
        <w:ind w:firstLine="420"/>
        <w:rPr>
          <w:rFonts w:hAnsi="宋体" w:cs="宋体"/>
          <w:color w:val="auto"/>
          <w:sz w:val="24"/>
          <w:szCs w:val="24"/>
          <w:highlight w:val="none"/>
        </w:rPr>
      </w:pPr>
      <w:r>
        <w:rPr>
          <w:rFonts w:hint="eastAsia" w:hAnsi="宋体" w:cs="宋体"/>
          <w:color w:val="auto"/>
          <w:sz w:val="24"/>
          <w:szCs w:val="24"/>
          <w:highlight w:val="none"/>
        </w:rPr>
        <w:t>代理人无转委托权。</w:t>
      </w:r>
    </w:p>
    <w:p w14:paraId="3B4716CB">
      <w:pPr>
        <w:rPr>
          <w:rFonts w:ascii="宋体" w:hAnsi="宋体" w:cs="宋体"/>
          <w:color w:val="auto"/>
          <w:sz w:val="24"/>
          <w:highlight w:val="none"/>
        </w:rPr>
      </w:pPr>
    </w:p>
    <w:p w14:paraId="6537C7BC">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供应商（或联合体投标牵头人名称）（电子签章）：</w:t>
      </w:r>
      <w:r>
        <w:rPr>
          <w:rFonts w:hint="eastAsia" w:hAnsi="宋体" w:cs="宋体"/>
          <w:color w:val="auto"/>
          <w:sz w:val="24"/>
          <w:szCs w:val="24"/>
          <w:highlight w:val="none"/>
          <w:u w:val="single"/>
        </w:rPr>
        <w:t xml:space="preserve">                            </w:t>
      </w:r>
    </w:p>
    <w:p w14:paraId="0E8984F4">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w:t>
      </w:r>
      <w:r>
        <w:rPr>
          <w:rFonts w:hint="eastAsia" w:hAnsi="宋体" w:cs="宋体"/>
          <w:color w:val="auto"/>
          <w:sz w:val="24"/>
          <w:szCs w:val="24"/>
          <w:highlight w:val="none"/>
          <w:u w:val="single"/>
        </w:rPr>
        <w:t xml:space="preserve">                                </w:t>
      </w:r>
    </w:p>
    <w:p w14:paraId="5310FC05">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法定代表人身份证号码：</w:t>
      </w:r>
      <w:r>
        <w:rPr>
          <w:rFonts w:hint="eastAsia" w:hAnsi="宋体" w:cs="宋体"/>
          <w:color w:val="auto"/>
          <w:sz w:val="24"/>
          <w:szCs w:val="24"/>
          <w:highlight w:val="none"/>
          <w:u w:val="single"/>
        </w:rPr>
        <w:t xml:space="preserve">                                   </w:t>
      </w:r>
    </w:p>
    <w:p w14:paraId="088842CA">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委托代理人（签字）：</w:t>
      </w:r>
      <w:r>
        <w:rPr>
          <w:rFonts w:hint="eastAsia" w:hAnsi="宋体" w:cs="宋体"/>
          <w:color w:val="auto"/>
          <w:sz w:val="24"/>
          <w:szCs w:val="24"/>
          <w:highlight w:val="none"/>
          <w:u w:val="single"/>
        </w:rPr>
        <w:t xml:space="preserve">                                </w:t>
      </w:r>
    </w:p>
    <w:p w14:paraId="4D8BF2E4">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委托代理人身份证号码：</w:t>
      </w:r>
      <w:r>
        <w:rPr>
          <w:rFonts w:hint="eastAsia" w:hAnsi="宋体" w:cs="宋体"/>
          <w:color w:val="auto"/>
          <w:sz w:val="24"/>
          <w:szCs w:val="24"/>
          <w:highlight w:val="none"/>
          <w:u w:val="single"/>
        </w:rPr>
        <w:t xml:space="preserve">                                   </w:t>
      </w:r>
    </w:p>
    <w:p w14:paraId="5F657715">
      <w:pPr>
        <w:rPr>
          <w:rFonts w:ascii="宋体" w:hAnsi="宋体" w:cs="宋体"/>
          <w:color w:val="auto"/>
          <w:sz w:val="24"/>
          <w:highlight w:val="none"/>
        </w:rPr>
      </w:pPr>
    </w:p>
    <w:p w14:paraId="192862D8">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成员一名称（电子签章）：</w:t>
      </w:r>
      <w:r>
        <w:rPr>
          <w:rFonts w:hint="eastAsia" w:hAnsi="宋体" w:cs="宋体"/>
          <w:color w:val="auto"/>
          <w:sz w:val="24"/>
          <w:szCs w:val="24"/>
          <w:highlight w:val="none"/>
          <w:u w:val="single"/>
        </w:rPr>
        <w:t xml:space="preserve">                                    </w:t>
      </w:r>
    </w:p>
    <w:p w14:paraId="716CED9D">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w:t>
      </w:r>
      <w:r>
        <w:rPr>
          <w:rFonts w:hint="eastAsia" w:hAnsi="宋体" w:cs="宋体"/>
          <w:color w:val="auto"/>
          <w:sz w:val="24"/>
          <w:szCs w:val="24"/>
          <w:highlight w:val="none"/>
          <w:u w:val="single"/>
        </w:rPr>
        <w:t xml:space="preserve">                                </w:t>
      </w:r>
    </w:p>
    <w:p w14:paraId="3A044223">
      <w:pPr>
        <w:rPr>
          <w:rFonts w:ascii="宋体" w:hAnsi="宋体" w:cs="宋体"/>
          <w:color w:val="auto"/>
          <w:sz w:val="24"/>
          <w:highlight w:val="none"/>
        </w:rPr>
      </w:pPr>
    </w:p>
    <w:p w14:paraId="4220D8BC">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成员二名称（电子签章）：</w:t>
      </w:r>
      <w:r>
        <w:rPr>
          <w:rFonts w:hint="eastAsia" w:ascii="宋体" w:hAnsi="宋体" w:cs="宋体"/>
          <w:color w:val="auto"/>
          <w:kern w:val="0"/>
          <w:sz w:val="24"/>
          <w:highlight w:val="none"/>
          <w:u w:val="single"/>
        </w:rPr>
        <w:t xml:space="preserve">                                       </w:t>
      </w:r>
    </w:p>
    <w:p w14:paraId="69E6B58D">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2B301D61">
      <w:pPr>
        <w:pStyle w:val="17"/>
        <w:ind w:firstLine="480" w:firstLineChars="200"/>
        <w:rPr>
          <w:rFonts w:hAnsi="宋体" w:cs="宋体"/>
          <w:color w:val="auto"/>
          <w:sz w:val="24"/>
          <w:szCs w:val="24"/>
          <w:highlight w:val="none"/>
        </w:rPr>
      </w:pPr>
      <w:r>
        <w:rPr>
          <w:rFonts w:hint="eastAsia" w:hAnsi="宋体" w:cs="宋体"/>
          <w:color w:val="auto"/>
          <w:sz w:val="24"/>
          <w:szCs w:val="24"/>
          <w:highlight w:val="none"/>
        </w:rPr>
        <w:t>......</w:t>
      </w:r>
    </w:p>
    <w:p w14:paraId="4E87F108">
      <w:pPr>
        <w:spacing w:line="276" w:lineRule="auto"/>
        <w:rPr>
          <w:rFonts w:ascii="宋体" w:hAnsi="宋体" w:cs="宋体"/>
          <w:color w:val="auto"/>
          <w:sz w:val="24"/>
          <w:highlight w:val="none"/>
        </w:rPr>
      </w:pPr>
      <w:r>
        <w:rPr>
          <w:rFonts w:hint="eastAsia" w:ascii="宋体" w:hAnsi="宋体" w:cs="宋体"/>
          <w:color w:val="auto"/>
          <w:sz w:val="24"/>
          <w:highlight w:val="none"/>
        </w:rPr>
        <w:t>注：1.以联合体形式竞标的，本授权委托书应由联合体牵头人的法定代表人按上述规定签署。</w:t>
      </w:r>
    </w:p>
    <w:p w14:paraId="1AFDD7F5">
      <w:pPr>
        <w:snapToGrid w:val="0"/>
        <w:spacing w:before="50" w:after="156" w:afterLines="50" w:line="276" w:lineRule="auto"/>
        <w:jc w:val="left"/>
        <w:rPr>
          <w:rFonts w:ascii="宋体" w:hAnsi="宋体" w:cs="宋体"/>
          <w:color w:val="auto"/>
          <w:sz w:val="24"/>
          <w:highlight w:val="none"/>
        </w:rPr>
      </w:pPr>
      <w:r>
        <w:rPr>
          <w:rFonts w:hint="eastAsia" w:ascii="宋体" w:hAnsi="宋体" w:cs="宋体"/>
          <w:color w:val="auto"/>
          <w:sz w:val="24"/>
          <w:highlight w:val="none"/>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5F01FA56">
      <w:pPr>
        <w:snapToGrid w:val="0"/>
        <w:spacing w:before="50" w:after="156" w:afterLines="50" w:line="276" w:lineRule="auto"/>
        <w:jc w:val="left"/>
        <w:rPr>
          <w:rFonts w:ascii="宋体" w:hAnsi="宋体" w:cs="宋体"/>
          <w:color w:val="auto"/>
          <w:sz w:val="24"/>
          <w:highlight w:val="none"/>
        </w:rPr>
      </w:pPr>
      <w:r>
        <w:rPr>
          <w:rFonts w:hint="eastAsia" w:ascii="宋体" w:hAnsi="宋体" w:cs="宋体"/>
          <w:color w:val="auto"/>
          <w:sz w:val="24"/>
          <w:highlight w:val="none"/>
        </w:rPr>
        <w:t>3. 若为联合体竞标须各方签字或盖章。</w:t>
      </w:r>
    </w:p>
    <w:p w14:paraId="362BD4C4">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w:t>
      </w:r>
    </w:p>
    <w:tbl>
      <w:tblPr>
        <w:tblStyle w:val="29"/>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4B6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270A9CF2">
            <w:pPr>
              <w:spacing w:line="360" w:lineRule="auto"/>
              <w:rPr>
                <w:rFonts w:ascii="宋体" w:hAnsi="宋体" w:cs="宋体"/>
                <w:b/>
                <w:color w:val="auto"/>
                <w:sz w:val="24"/>
                <w:highlight w:val="none"/>
              </w:rPr>
            </w:pPr>
          </w:p>
          <w:p w14:paraId="7AD998CC">
            <w:pPr>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处（正、反面）</w:t>
            </w:r>
          </w:p>
        </w:tc>
      </w:tr>
    </w:tbl>
    <w:p w14:paraId="5B8784DB">
      <w:pPr>
        <w:snapToGrid w:val="0"/>
        <w:spacing w:before="50" w:after="156" w:afterLines="50" w:line="360" w:lineRule="auto"/>
        <w:jc w:val="left"/>
        <w:rPr>
          <w:rFonts w:ascii="宋体" w:hAnsi="宋体" w:cs="宋体"/>
          <w:color w:val="auto"/>
          <w:szCs w:val="21"/>
          <w:highlight w:val="none"/>
        </w:rPr>
      </w:pPr>
    </w:p>
    <w:p w14:paraId="41CA78E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0E9C84A3">
      <w:pPr>
        <w:pStyle w:val="21"/>
        <w:rPr>
          <w:rFonts w:ascii="宋体" w:hAnsi="宋体" w:cs="宋体"/>
          <w:color w:val="auto"/>
          <w:highlight w:val="none"/>
        </w:rPr>
      </w:pPr>
    </w:p>
    <w:p w14:paraId="0A06AE9C">
      <w:pPr>
        <w:jc w:val="center"/>
        <w:rPr>
          <w:rFonts w:ascii="宋体" w:hAnsi="宋体" w:cs="宋体"/>
          <w:bCs/>
          <w:color w:val="auto"/>
          <w:sz w:val="44"/>
          <w:szCs w:val="44"/>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四、商务条款偏离表</w:t>
      </w:r>
    </w:p>
    <w:p w14:paraId="5CDE83D9">
      <w:pPr>
        <w:spacing w:line="500" w:lineRule="exact"/>
        <w:jc w:val="center"/>
        <w:rPr>
          <w:rFonts w:ascii="宋体" w:hAnsi="宋体" w:cs="宋体"/>
          <w:b/>
          <w:color w:val="auto"/>
          <w:sz w:val="32"/>
          <w:szCs w:val="32"/>
          <w:highlight w:val="none"/>
        </w:rPr>
      </w:pPr>
      <w:r>
        <w:rPr>
          <w:rFonts w:hint="eastAsia" w:ascii="宋体" w:hAnsi="宋体" w:cs="宋体"/>
          <w:bCs/>
          <w:color w:val="auto"/>
          <w:sz w:val="32"/>
          <w:szCs w:val="32"/>
          <w:highlight w:val="none"/>
        </w:rPr>
        <w:t>(注：按采购需求具体条款修改</w:t>
      </w:r>
      <w:r>
        <w:rPr>
          <w:rFonts w:hint="eastAsia" w:ascii="宋体" w:hAnsi="宋体" w:cs="宋体"/>
          <w:bCs/>
          <w:color w:val="auto"/>
          <w:sz w:val="32"/>
          <w:szCs w:val="32"/>
          <w:highlight w:val="none"/>
          <w:lang w:eastAsia="zh-CN"/>
        </w:rPr>
        <w:t>）</w:t>
      </w:r>
    </w:p>
    <w:p w14:paraId="4D43083A">
      <w:pPr>
        <w:rPr>
          <w:rFonts w:ascii="宋体" w:hAnsi="宋体" w:cs="宋体"/>
          <w:color w:val="auto"/>
          <w:highlight w:val="none"/>
        </w:rPr>
      </w:pPr>
    </w:p>
    <w:p w14:paraId="36E533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2666CC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12222538">
      <w:pPr>
        <w:pStyle w:val="2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分标号（此处有分标时填写具体分标号，无分标时填写“无”）：</w:t>
      </w:r>
      <w:r>
        <w:rPr>
          <w:rFonts w:hint="eastAsia" w:ascii="宋体" w:hAnsi="宋体" w:cs="宋体"/>
          <w:color w:val="auto"/>
          <w:sz w:val="24"/>
          <w:szCs w:val="24"/>
          <w:highlight w:val="none"/>
          <w:u w:val="single"/>
        </w:rPr>
        <w:t xml:space="preserve">               </w:t>
      </w:r>
    </w:p>
    <w:p w14:paraId="783D24F6">
      <w:pPr>
        <w:snapToGrid w:val="0"/>
        <w:spacing w:before="50" w:line="360" w:lineRule="auto"/>
        <w:jc w:val="left"/>
        <w:rPr>
          <w:rFonts w:ascii="宋体" w:hAnsi="宋体" w:cs="宋体"/>
          <w:color w:val="auto"/>
          <w:sz w:val="24"/>
          <w:highlight w:val="none"/>
          <w:u w:val="single"/>
        </w:rPr>
      </w:pPr>
    </w:p>
    <w:tbl>
      <w:tblPr>
        <w:tblStyle w:val="2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259C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241E8157">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25B56B19">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35B844BD">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569F8D00">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62C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654E76F4">
            <w:pPr>
              <w:snapToGrid w:val="0"/>
              <w:spacing w:before="156" w:beforeLines="50" w:line="360" w:lineRule="auto"/>
              <w:jc w:val="center"/>
              <w:rPr>
                <w:rFonts w:ascii="宋体" w:hAnsi="宋体" w:cs="宋体"/>
                <w:color w:val="auto"/>
                <w:sz w:val="24"/>
                <w:highlight w:val="none"/>
              </w:rPr>
            </w:pPr>
            <w:r>
              <w:rPr>
                <w:rFonts w:hint="eastAsia" w:ascii="宋体" w:hAnsi="宋体" w:eastAsia="宋体" w:cs="宋体"/>
                <w:i w:val="0"/>
                <w:iCs w:val="0"/>
                <w:color w:val="auto"/>
                <w:sz w:val="24"/>
                <w:szCs w:val="24"/>
                <w:highlight w:val="none"/>
                <w:u w:val="none"/>
                <w:lang w:val="en-US" w:eastAsia="zh-CN"/>
              </w:rPr>
              <w:t>服务期及地点</w:t>
            </w:r>
          </w:p>
        </w:tc>
        <w:tc>
          <w:tcPr>
            <w:tcW w:w="2768" w:type="dxa"/>
            <w:tcBorders>
              <w:top w:val="single" w:color="auto" w:sz="4" w:space="0"/>
              <w:left w:val="single" w:color="auto" w:sz="4" w:space="0"/>
              <w:bottom w:val="single" w:color="auto" w:sz="4" w:space="0"/>
              <w:right w:val="single" w:color="auto" w:sz="4" w:space="0"/>
            </w:tcBorders>
            <w:vAlign w:val="center"/>
          </w:tcPr>
          <w:p w14:paraId="076754BC">
            <w:pPr>
              <w:snapToGrid w:val="0"/>
              <w:spacing w:before="156" w:beforeLines="50" w:line="360" w:lineRule="auto"/>
              <w:jc w:val="center"/>
              <w:rPr>
                <w:rFonts w:ascii="宋体" w:hAnsi="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F59209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949D83">
            <w:pPr>
              <w:snapToGrid w:val="0"/>
              <w:spacing w:before="156" w:beforeLines="50" w:line="360" w:lineRule="auto"/>
              <w:jc w:val="center"/>
              <w:rPr>
                <w:rFonts w:ascii="宋体" w:hAnsi="宋体" w:cs="宋体"/>
                <w:color w:val="auto"/>
                <w:sz w:val="24"/>
                <w:highlight w:val="none"/>
              </w:rPr>
            </w:pPr>
          </w:p>
        </w:tc>
      </w:tr>
      <w:tr w14:paraId="27346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3A9D8C4C">
            <w:pPr>
              <w:snapToGrid w:val="0"/>
              <w:spacing w:before="156" w:beforeLines="50" w:line="360" w:lineRule="auto"/>
              <w:jc w:val="center"/>
              <w:rPr>
                <w:rFonts w:ascii="宋体" w:hAnsi="宋体" w:cs="宋体"/>
                <w:color w:val="auto"/>
                <w:sz w:val="24"/>
                <w:highlight w:val="none"/>
              </w:rPr>
            </w:pPr>
            <w:r>
              <w:rPr>
                <w:rFonts w:hint="eastAsia" w:ascii="宋体" w:hAnsi="宋体" w:eastAsia="宋体" w:cs="宋体"/>
                <w:i w:val="0"/>
                <w:iCs w:val="0"/>
                <w:color w:val="auto"/>
                <w:sz w:val="24"/>
                <w:szCs w:val="24"/>
                <w:highlight w:val="none"/>
                <w:u w:val="none"/>
                <w:lang w:val="en-US" w:eastAsia="zh-CN"/>
              </w:rPr>
              <w:t>服务响应速度</w:t>
            </w:r>
          </w:p>
        </w:tc>
        <w:tc>
          <w:tcPr>
            <w:tcW w:w="2768" w:type="dxa"/>
            <w:tcBorders>
              <w:top w:val="single" w:color="auto" w:sz="4" w:space="0"/>
              <w:left w:val="single" w:color="auto" w:sz="4" w:space="0"/>
              <w:bottom w:val="single" w:color="auto" w:sz="4" w:space="0"/>
              <w:right w:val="single" w:color="auto" w:sz="4" w:space="0"/>
            </w:tcBorders>
            <w:vAlign w:val="center"/>
          </w:tcPr>
          <w:p w14:paraId="6030E236">
            <w:pPr>
              <w:snapToGrid w:val="0"/>
              <w:spacing w:before="156" w:beforeLines="50" w:line="360" w:lineRule="auto"/>
              <w:jc w:val="center"/>
              <w:rPr>
                <w:rFonts w:ascii="宋体" w:hAnsi="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6908D227">
            <w:pPr>
              <w:snapToGrid w:val="0"/>
              <w:spacing w:before="156" w:beforeLines="50" w:line="360" w:lineRule="auto"/>
              <w:ind w:left="43"/>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98D94E">
            <w:pPr>
              <w:snapToGrid w:val="0"/>
              <w:spacing w:before="156" w:beforeLines="50" w:line="360" w:lineRule="auto"/>
              <w:ind w:left="43"/>
              <w:jc w:val="center"/>
              <w:rPr>
                <w:rFonts w:ascii="宋体" w:hAnsi="宋体" w:cs="宋体"/>
                <w:color w:val="auto"/>
                <w:sz w:val="24"/>
                <w:highlight w:val="none"/>
              </w:rPr>
            </w:pPr>
          </w:p>
        </w:tc>
      </w:tr>
      <w:tr w14:paraId="54C3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0E2AE303">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合同签订期</w:t>
            </w:r>
          </w:p>
        </w:tc>
        <w:tc>
          <w:tcPr>
            <w:tcW w:w="2768" w:type="dxa"/>
            <w:tcBorders>
              <w:top w:val="single" w:color="auto" w:sz="4" w:space="0"/>
              <w:left w:val="single" w:color="auto" w:sz="4" w:space="0"/>
              <w:bottom w:val="single" w:color="auto" w:sz="4" w:space="0"/>
              <w:right w:val="single" w:color="auto" w:sz="4" w:space="0"/>
            </w:tcBorders>
            <w:vAlign w:val="center"/>
          </w:tcPr>
          <w:p w14:paraId="524F7F2C">
            <w:pPr>
              <w:snapToGrid w:val="0"/>
              <w:spacing w:before="156" w:beforeLines="50" w:line="360" w:lineRule="auto"/>
              <w:jc w:val="center"/>
              <w:rPr>
                <w:rFonts w:ascii="宋体" w:hAnsi="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3C11FC9">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37F34F0">
            <w:pPr>
              <w:snapToGrid w:val="0"/>
              <w:spacing w:before="156" w:beforeLines="50" w:line="360" w:lineRule="auto"/>
              <w:jc w:val="center"/>
              <w:rPr>
                <w:rFonts w:ascii="宋体" w:hAnsi="宋体" w:cs="宋体"/>
                <w:color w:val="auto"/>
                <w:sz w:val="24"/>
                <w:highlight w:val="none"/>
              </w:rPr>
            </w:pPr>
          </w:p>
        </w:tc>
      </w:tr>
      <w:tr w14:paraId="13D6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728B836A">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768" w:type="dxa"/>
            <w:tcBorders>
              <w:top w:val="single" w:color="auto" w:sz="4" w:space="0"/>
              <w:left w:val="single" w:color="auto" w:sz="4" w:space="0"/>
              <w:bottom w:val="single" w:color="auto" w:sz="4" w:space="0"/>
              <w:right w:val="single" w:color="auto" w:sz="4" w:space="0"/>
            </w:tcBorders>
            <w:vAlign w:val="center"/>
          </w:tcPr>
          <w:p w14:paraId="6104B8DB">
            <w:pPr>
              <w:snapToGrid w:val="0"/>
              <w:spacing w:before="156" w:beforeLines="50" w:line="360" w:lineRule="auto"/>
              <w:jc w:val="center"/>
              <w:rPr>
                <w:rFonts w:ascii="宋体" w:hAnsi="宋体" w:cs="宋体"/>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261115">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6E70BC0">
            <w:pPr>
              <w:snapToGrid w:val="0"/>
              <w:spacing w:before="156" w:beforeLines="50" w:line="360" w:lineRule="auto"/>
              <w:jc w:val="center"/>
              <w:rPr>
                <w:rFonts w:ascii="宋体" w:hAnsi="宋体" w:cs="宋体"/>
                <w:color w:val="auto"/>
                <w:sz w:val="24"/>
                <w:highlight w:val="none"/>
              </w:rPr>
            </w:pPr>
          </w:p>
        </w:tc>
      </w:tr>
    </w:tbl>
    <w:p w14:paraId="0385345B">
      <w:pPr>
        <w:pStyle w:val="13"/>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A7E4B2F">
      <w:pPr>
        <w:pStyle w:val="13"/>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采购需求”中的商务条款逐条实质性响应，并作出偏离说明。</w:t>
      </w:r>
    </w:p>
    <w:p w14:paraId="5845ED2D">
      <w:pPr>
        <w:snapToGrid w:val="0"/>
        <w:spacing w:before="50"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负偏离”或者“无偏离”。既不属于“正偏离”也不属于“负偏离”即为“无偏离”。</w:t>
      </w:r>
    </w:p>
    <w:p w14:paraId="19AFD687">
      <w:pPr>
        <w:snapToGrid w:val="0"/>
        <w:spacing w:before="50" w:after="50" w:line="360" w:lineRule="auto"/>
        <w:ind w:right="-817" w:rightChars="-389"/>
        <w:rPr>
          <w:rFonts w:ascii="宋体" w:hAnsi="宋体" w:cs="宋体"/>
          <w:color w:val="auto"/>
          <w:sz w:val="24"/>
          <w:highlight w:val="none"/>
        </w:rPr>
      </w:pPr>
    </w:p>
    <w:p w14:paraId="2490620A">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2C7FABC6">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06A2A221">
      <w:pPr>
        <w:pStyle w:val="21"/>
        <w:rPr>
          <w:rFonts w:ascii="宋体" w:hAnsi="宋体" w:cs="宋体"/>
          <w:color w:val="auto"/>
          <w:highlight w:val="none"/>
        </w:rPr>
      </w:pPr>
    </w:p>
    <w:p w14:paraId="6EC02065">
      <w:pPr>
        <w:pStyle w:val="21"/>
        <w:rPr>
          <w:rFonts w:ascii="宋体" w:hAnsi="宋体" w:cs="宋体"/>
          <w:color w:val="auto"/>
          <w:highlight w:val="none"/>
        </w:rPr>
      </w:pPr>
    </w:p>
    <w:p w14:paraId="2AD5CAB4">
      <w:pPr>
        <w:pStyle w:val="21"/>
        <w:rPr>
          <w:rFonts w:ascii="宋体" w:hAnsi="宋体" w:cs="宋体"/>
          <w:color w:val="auto"/>
          <w:highlight w:val="none"/>
        </w:rPr>
      </w:pPr>
    </w:p>
    <w:p w14:paraId="081DF0CB">
      <w:pPr>
        <w:adjustRightInd w:val="0"/>
        <w:snapToGrid w:val="0"/>
        <w:spacing w:line="520" w:lineRule="exact"/>
        <w:ind w:firstLine="7040" w:firstLineChars="1600"/>
        <w:jc w:val="center"/>
        <w:rPr>
          <w:rFonts w:ascii="宋体" w:hAnsi="宋体" w:cs="宋体"/>
          <w:bCs/>
          <w:color w:val="auto"/>
          <w:sz w:val="44"/>
          <w:szCs w:val="44"/>
          <w:highlight w:val="none"/>
        </w:rPr>
      </w:pPr>
    </w:p>
    <w:p w14:paraId="2000B8E6">
      <w:pPr>
        <w:adjustRightInd w:val="0"/>
        <w:snapToGrid w:val="0"/>
        <w:spacing w:line="520" w:lineRule="exact"/>
        <w:ind w:firstLine="7040" w:firstLineChars="1600"/>
        <w:jc w:val="center"/>
        <w:rPr>
          <w:rFonts w:ascii="宋体" w:hAnsi="宋体" w:cs="宋体"/>
          <w:bCs/>
          <w:color w:val="auto"/>
          <w:sz w:val="44"/>
          <w:szCs w:val="44"/>
          <w:highlight w:val="none"/>
        </w:rPr>
      </w:pPr>
    </w:p>
    <w:p w14:paraId="1F48AA92">
      <w:pPr>
        <w:adjustRightInd w:val="0"/>
        <w:snapToGrid w:val="0"/>
        <w:spacing w:line="520" w:lineRule="exact"/>
        <w:ind w:firstLine="7040" w:firstLineChars="1600"/>
        <w:jc w:val="center"/>
        <w:rPr>
          <w:rFonts w:ascii="宋体" w:hAnsi="宋体" w:cs="宋体"/>
          <w:bCs/>
          <w:color w:val="auto"/>
          <w:sz w:val="44"/>
          <w:szCs w:val="44"/>
          <w:highlight w:val="none"/>
        </w:rPr>
      </w:pPr>
    </w:p>
    <w:p w14:paraId="31880C33">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五、磋商保证金提交凭证</w:t>
      </w:r>
    </w:p>
    <w:p w14:paraId="63D3C450">
      <w:pPr>
        <w:pStyle w:val="21"/>
        <w:rPr>
          <w:rFonts w:ascii="宋体" w:hAnsi="宋体" w:cs="宋体"/>
          <w:color w:val="auto"/>
          <w:highlight w:val="none"/>
        </w:rPr>
      </w:pPr>
    </w:p>
    <w:p w14:paraId="4EC72C81">
      <w:pPr>
        <w:pStyle w:val="21"/>
        <w:rPr>
          <w:rFonts w:ascii="宋体" w:hAnsi="宋体" w:cs="宋体"/>
          <w:color w:val="auto"/>
          <w:highlight w:val="none"/>
        </w:rPr>
      </w:pPr>
    </w:p>
    <w:p w14:paraId="4815369F">
      <w:pPr>
        <w:pStyle w:val="21"/>
        <w:rPr>
          <w:rFonts w:ascii="宋体" w:hAnsi="宋体" w:cs="宋体"/>
          <w:color w:val="auto"/>
          <w:highlight w:val="none"/>
        </w:rPr>
      </w:pPr>
    </w:p>
    <w:p w14:paraId="2F7B9DBB">
      <w:pPr>
        <w:snapToGrid w:val="0"/>
        <w:spacing w:before="50" w:after="50" w:line="360" w:lineRule="auto"/>
        <w:ind w:right="-817" w:rightChars="-389"/>
        <w:rPr>
          <w:rFonts w:ascii="宋体" w:hAnsi="宋体" w:cs="宋体"/>
          <w:color w:val="auto"/>
          <w:sz w:val="24"/>
          <w:highlight w:val="none"/>
        </w:rPr>
      </w:pPr>
    </w:p>
    <w:p w14:paraId="7FF7383E">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2B8F66A0">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0F9CF663">
      <w:pPr>
        <w:pStyle w:val="21"/>
        <w:rPr>
          <w:rFonts w:ascii="宋体" w:hAnsi="宋体" w:cs="宋体"/>
          <w:color w:val="auto"/>
          <w:highlight w:val="none"/>
        </w:rPr>
      </w:pPr>
    </w:p>
    <w:p w14:paraId="2F2638E3">
      <w:pPr>
        <w:pStyle w:val="21"/>
        <w:rPr>
          <w:rFonts w:ascii="宋体" w:hAnsi="宋体" w:cs="宋体"/>
          <w:color w:val="auto"/>
          <w:highlight w:val="none"/>
        </w:rPr>
      </w:pPr>
    </w:p>
    <w:p w14:paraId="4FE3ED80">
      <w:pPr>
        <w:pStyle w:val="21"/>
        <w:rPr>
          <w:rFonts w:ascii="宋体" w:hAnsi="宋体" w:cs="宋体"/>
          <w:color w:val="auto"/>
          <w:highlight w:val="none"/>
        </w:rPr>
      </w:pPr>
    </w:p>
    <w:p w14:paraId="72BA6090">
      <w:pPr>
        <w:pStyle w:val="21"/>
        <w:rPr>
          <w:rFonts w:ascii="宋体" w:hAnsi="宋体" w:cs="宋体"/>
          <w:color w:val="auto"/>
          <w:highlight w:val="none"/>
        </w:rPr>
      </w:pPr>
    </w:p>
    <w:p w14:paraId="6B8F6494">
      <w:pPr>
        <w:snapToGrid w:val="0"/>
        <w:spacing w:before="50" w:after="50" w:line="360" w:lineRule="auto"/>
        <w:ind w:right="-817" w:rightChars="-38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六、供应商认为需要提供的其他有关资料</w:t>
      </w:r>
    </w:p>
    <w:p w14:paraId="51290D74">
      <w:pPr>
        <w:spacing w:line="360" w:lineRule="auto"/>
        <w:ind w:firstLine="5760" w:firstLineChars="1600"/>
        <w:rPr>
          <w:rFonts w:ascii="宋体" w:hAnsi="宋体" w:cs="宋体"/>
          <w:color w:val="auto"/>
          <w:sz w:val="36"/>
          <w:szCs w:val="36"/>
          <w:highlight w:val="none"/>
        </w:rPr>
      </w:pPr>
    </w:p>
    <w:p w14:paraId="08AD3EB6">
      <w:pPr>
        <w:spacing w:line="360" w:lineRule="auto"/>
        <w:ind w:firstLine="5760" w:firstLineChars="1600"/>
        <w:rPr>
          <w:rFonts w:ascii="宋体" w:hAnsi="宋体" w:cs="宋体"/>
          <w:color w:val="auto"/>
          <w:sz w:val="36"/>
          <w:szCs w:val="36"/>
          <w:highlight w:val="none"/>
        </w:rPr>
      </w:pPr>
    </w:p>
    <w:p w14:paraId="5726717A">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54DEA93E">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0B77F788">
      <w:pPr>
        <w:pStyle w:val="21"/>
        <w:rPr>
          <w:rFonts w:ascii="宋体" w:hAnsi="宋体" w:cs="宋体"/>
          <w:color w:val="auto"/>
          <w:highlight w:val="none"/>
        </w:rPr>
      </w:pPr>
    </w:p>
    <w:p w14:paraId="5B0615BE">
      <w:pPr>
        <w:pStyle w:val="21"/>
        <w:rPr>
          <w:rFonts w:ascii="宋体" w:hAnsi="宋体" w:cs="宋体"/>
          <w:color w:val="auto"/>
          <w:highlight w:val="none"/>
        </w:rPr>
      </w:pPr>
    </w:p>
    <w:p w14:paraId="3102F543">
      <w:pPr>
        <w:pStyle w:val="21"/>
        <w:rPr>
          <w:rFonts w:ascii="宋体" w:hAnsi="宋体" w:cs="宋体"/>
          <w:color w:val="auto"/>
          <w:highlight w:val="none"/>
        </w:rPr>
      </w:pPr>
    </w:p>
    <w:p w14:paraId="6CE8519A">
      <w:pPr>
        <w:pStyle w:val="21"/>
        <w:rPr>
          <w:rFonts w:ascii="宋体" w:hAnsi="宋体" w:cs="宋体"/>
          <w:color w:val="auto"/>
          <w:highlight w:val="none"/>
        </w:rPr>
      </w:pPr>
    </w:p>
    <w:p w14:paraId="0E942C4C">
      <w:pPr>
        <w:pStyle w:val="21"/>
        <w:rPr>
          <w:rFonts w:ascii="宋体" w:hAnsi="宋体" w:cs="宋体"/>
          <w:color w:val="auto"/>
          <w:highlight w:val="none"/>
        </w:rPr>
      </w:pPr>
    </w:p>
    <w:p w14:paraId="38DE117A">
      <w:pPr>
        <w:pStyle w:val="21"/>
        <w:rPr>
          <w:rFonts w:ascii="宋体" w:hAnsi="宋体" w:cs="宋体"/>
          <w:color w:val="auto"/>
          <w:highlight w:val="none"/>
        </w:rPr>
      </w:pPr>
    </w:p>
    <w:p w14:paraId="2F0D47D7">
      <w:pPr>
        <w:pStyle w:val="21"/>
        <w:rPr>
          <w:rFonts w:ascii="宋体" w:hAnsi="宋体" w:cs="宋体"/>
          <w:color w:val="auto"/>
          <w:highlight w:val="none"/>
        </w:rPr>
      </w:pPr>
    </w:p>
    <w:p w14:paraId="4118A92A">
      <w:pPr>
        <w:pStyle w:val="21"/>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技术文件</w:t>
      </w:r>
    </w:p>
    <w:p w14:paraId="0EAA92E0">
      <w:pPr>
        <w:pStyle w:val="21"/>
        <w:rPr>
          <w:rFonts w:ascii="宋体" w:hAnsi="宋体" w:cs="宋体"/>
          <w:color w:val="auto"/>
          <w:highlight w:val="none"/>
        </w:rPr>
      </w:pPr>
    </w:p>
    <w:p w14:paraId="1C2BAFD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w:t>
      </w:r>
      <w:r>
        <w:rPr>
          <w:rFonts w:hint="eastAsia" w:ascii="宋体" w:hAnsi="宋体" w:cs="宋体"/>
          <w:b/>
          <w:bCs/>
          <w:color w:val="auto"/>
          <w:sz w:val="32"/>
          <w:szCs w:val="32"/>
          <w:highlight w:val="none"/>
          <w:lang w:eastAsia="zh-CN"/>
        </w:rPr>
        <w:t>服务需求</w:t>
      </w:r>
      <w:r>
        <w:rPr>
          <w:rFonts w:hint="eastAsia" w:ascii="宋体" w:hAnsi="宋体" w:cs="宋体"/>
          <w:b/>
          <w:bCs/>
          <w:color w:val="auto"/>
          <w:sz w:val="32"/>
          <w:szCs w:val="32"/>
          <w:highlight w:val="none"/>
        </w:rPr>
        <w:t>偏离表</w:t>
      </w:r>
    </w:p>
    <w:p w14:paraId="7A3198F7">
      <w:pPr>
        <w:spacing w:line="520" w:lineRule="exact"/>
        <w:rPr>
          <w:rFonts w:ascii="宋体" w:hAnsi="宋体" w:cs="宋体"/>
          <w:color w:val="auto"/>
          <w:sz w:val="32"/>
          <w:szCs w:val="32"/>
          <w:highlight w:val="none"/>
        </w:rPr>
      </w:pPr>
    </w:p>
    <w:p w14:paraId="26B43B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2E4DE3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0EA881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分标号（此处有分标时填写具体分标号，无分标时填写“无”）：</w:t>
      </w:r>
      <w:r>
        <w:rPr>
          <w:rFonts w:hint="eastAsia" w:ascii="宋体" w:hAnsi="宋体" w:cs="宋体"/>
          <w:color w:val="auto"/>
          <w:sz w:val="24"/>
          <w:highlight w:val="none"/>
          <w:u w:val="single"/>
        </w:rPr>
        <w:t xml:space="preserve">               </w:t>
      </w:r>
    </w:p>
    <w:p w14:paraId="513EFFDF">
      <w:pPr>
        <w:pStyle w:val="21"/>
        <w:rPr>
          <w:rFonts w:ascii="宋体" w:hAnsi="宋体" w:cs="宋体"/>
          <w:color w:val="auto"/>
          <w:sz w:val="24"/>
          <w:szCs w:val="24"/>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14:paraId="7346D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494397A">
            <w:pPr>
              <w:pStyle w:val="15"/>
              <w:spacing w:line="360" w:lineRule="auto"/>
              <w:ind w:firstLine="0" w:firstLineChars="0"/>
              <w:jc w:val="center"/>
              <w:rPr>
                <w:rFonts w:ascii="宋体" w:hAnsi="宋体" w:eastAsia="宋体" w:cs="宋体"/>
                <w:color w:val="auto"/>
                <w:kern w:val="2"/>
                <w:sz w:val="24"/>
                <w:szCs w:val="24"/>
                <w:highlight w:val="none"/>
              </w:rPr>
            </w:pPr>
            <w:bookmarkStart w:id="74" w:name="_Toc383699906"/>
            <w:bookmarkStart w:id="75" w:name="_Toc373333689"/>
            <w:bookmarkStart w:id="76" w:name="_Toc295404981"/>
            <w:bookmarkStart w:id="77" w:name="_Toc173211900"/>
            <w:bookmarkStart w:id="78" w:name="_Toc173066401"/>
            <w:bookmarkStart w:id="79" w:name="_Toc301781611"/>
            <w:bookmarkStart w:id="80" w:name="_Toc297193185"/>
            <w:bookmarkStart w:id="81" w:name="_Toc254970588"/>
            <w:bookmarkStart w:id="82" w:name="_Toc254970729"/>
            <w:r>
              <w:rPr>
                <w:rFonts w:hint="eastAsia" w:ascii="宋体" w:hAnsi="宋体" w:eastAsia="宋体" w:cs="宋体"/>
                <w:color w:val="auto"/>
                <w:kern w:val="2"/>
                <w:sz w:val="24"/>
                <w:szCs w:val="24"/>
                <w:highlight w:val="none"/>
              </w:rPr>
              <w:t>序号</w:t>
            </w:r>
            <w:bookmarkEnd w:id="74"/>
            <w:bookmarkEnd w:id="75"/>
            <w:bookmarkEnd w:id="76"/>
            <w:bookmarkEnd w:id="77"/>
            <w:bookmarkEnd w:id="78"/>
            <w:bookmarkEnd w:id="79"/>
            <w:bookmarkEnd w:id="80"/>
            <w:bookmarkEnd w:id="81"/>
            <w:bookmarkEnd w:id="82"/>
          </w:p>
        </w:tc>
        <w:tc>
          <w:tcPr>
            <w:tcW w:w="503" w:type="pct"/>
            <w:tcBorders>
              <w:right w:val="single" w:color="auto" w:sz="4" w:space="0"/>
            </w:tcBorders>
            <w:vAlign w:val="center"/>
          </w:tcPr>
          <w:p w14:paraId="0845E57F">
            <w:pPr>
              <w:pStyle w:val="15"/>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left w:val="single" w:color="auto" w:sz="4" w:space="0"/>
            </w:tcBorders>
            <w:vAlign w:val="center"/>
          </w:tcPr>
          <w:p w14:paraId="554E3A42">
            <w:pPr>
              <w:pStyle w:val="15"/>
              <w:spacing w:line="360" w:lineRule="auto"/>
              <w:ind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eastAsia="zh-CN"/>
              </w:rPr>
              <w:t>服务需求</w:t>
            </w:r>
          </w:p>
        </w:tc>
        <w:tc>
          <w:tcPr>
            <w:tcW w:w="1503" w:type="pct"/>
            <w:vAlign w:val="center"/>
          </w:tcPr>
          <w:p w14:paraId="61612E7E">
            <w:pPr>
              <w:pStyle w:val="15"/>
              <w:spacing w:line="360" w:lineRule="auto"/>
              <w:ind w:firstLine="0" w:firstLineChars="0"/>
              <w:jc w:val="center"/>
              <w:rPr>
                <w:rFonts w:ascii="宋体" w:hAnsi="宋体" w:eastAsia="宋体" w:cs="宋体"/>
                <w:color w:val="auto"/>
                <w:kern w:val="2"/>
                <w:sz w:val="24"/>
                <w:szCs w:val="24"/>
                <w:highlight w:val="none"/>
              </w:rPr>
            </w:pPr>
            <w:bookmarkStart w:id="83" w:name="_Toc295404983"/>
            <w:bookmarkStart w:id="84" w:name="_Toc254970590"/>
            <w:bookmarkStart w:id="85" w:name="_Toc297193187"/>
            <w:bookmarkStart w:id="86" w:name="_Toc383699908"/>
            <w:bookmarkStart w:id="87" w:name="_Toc373333691"/>
            <w:bookmarkStart w:id="88" w:name="_Toc301781613"/>
            <w:bookmarkStart w:id="89" w:name="_Toc173211902"/>
            <w:bookmarkStart w:id="90" w:name="_Toc173066403"/>
            <w:bookmarkStart w:id="91" w:name="_Toc254970731"/>
            <w:r>
              <w:rPr>
                <w:rFonts w:hint="eastAsia" w:ascii="宋体" w:hAnsi="宋体" w:eastAsia="宋体" w:cs="宋体"/>
                <w:color w:val="auto"/>
                <w:kern w:val="2"/>
                <w:sz w:val="24"/>
                <w:szCs w:val="24"/>
                <w:highlight w:val="none"/>
              </w:rPr>
              <w:t>竞标响应</w:t>
            </w:r>
            <w:bookmarkEnd w:id="83"/>
            <w:bookmarkEnd w:id="84"/>
            <w:bookmarkEnd w:id="85"/>
            <w:bookmarkEnd w:id="86"/>
            <w:bookmarkEnd w:id="87"/>
            <w:bookmarkEnd w:id="88"/>
            <w:bookmarkEnd w:id="89"/>
            <w:bookmarkEnd w:id="90"/>
            <w:bookmarkEnd w:id="91"/>
          </w:p>
        </w:tc>
        <w:tc>
          <w:tcPr>
            <w:tcW w:w="820" w:type="pct"/>
            <w:vAlign w:val="center"/>
          </w:tcPr>
          <w:p w14:paraId="1AE027CB">
            <w:pPr>
              <w:pStyle w:val="15"/>
              <w:spacing w:line="360" w:lineRule="auto"/>
              <w:ind w:firstLine="0" w:firstLineChars="0"/>
              <w:jc w:val="center"/>
              <w:rPr>
                <w:rFonts w:ascii="宋体" w:hAnsi="宋体" w:eastAsia="宋体" w:cs="宋体"/>
                <w:color w:val="auto"/>
                <w:kern w:val="2"/>
                <w:sz w:val="24"/>
                <w:szCs w:val="24"/>
                <w:highlight w:val="none"/>
              </w:rPr>
            </w:pPr>
            <w:bookmarkStart w:id="92" w:name="_Toc173211903"/>
            <w:bookmarkStart w:id="93" w:name="_Toc173066404"/>
            <w:bookmarkStart w:id="94" w:name="_Toc301781614"/>
            <w:bookmarkStart w:id="95" w:name="_Toc383699909"/>
            <w:bookmarkStart w:id="96" w:name="_Toc295404984"/>
            <w:bookmarkStart w:id="97" w:name="_Toc254970732"/>
            <w:bookmarkStart w:id="98" w:name="_Toc254970591"/>
            <w:bookmarkStart w:id="99" w:name="_Toc373333692"/>
            <w:bookmarkStart w:id="100" w:name="_Toc297193188"/>
            <w:r>
              <w:rPr>
                <w:rFonts w:hint="eastAsia" w:ascii="宋体" w:hAnsi="宋体" w:eastAsia="宋体" w:cs="宋体"/>
                <w:color w:val="auto"/>
                <w:kern w:val="2"/>
                <w:sz w:val="24"/>
                <w:szCs w:val="24"/>
                <w:highlight w:val="none"/>
              </w:rPr>
              <w:t>偏离</w:t>
            </w:r>
            <w:bookmarkEnd w:id="92"/>
            <w:bookmarkEnd w:id="93"/>
            <w:bookmarkEnd w:id="94"/>
            <w:bookmarkEnd w:id="95"/>
            <w:bookmarkEnd w:id="96"/>
            <w:bookmarkEnd w:id="97"/>
            <w:bookmarkEnd w:id="98"/>
            <w:bookmarkEnd w:id="99"/>
            <w:bookmarkEnd w:id="100"/>
            <w:bookmarkStart w:id="101" w:name="_Toc301781615"/>
            <w:bookmarkStart w:id="102" w:name="_Toc254970592"/>
            <w:bookmarkStart w:id="103" w:name="_Toc383699910"/>
            <w:bookmarkStart w:id="104" w:name="_Toc173066405"/>
            <w:bookmarkStart w:id="105" w:name="_Toc373333693"/>
            <w:bookmarkStart w:id="106" w:name="_Toc173211904"/>
            <w:bookmarkStart w:id="107" w:name="_Toc297193189"/>
            <w:bookmarkStart w:id="108" w:name="_Toc254970733"/>
            <w:bookmarkStart w:id="109" w:name="_Toc295404985"/>
            <w:r>
              <w:rPr>
                <w:rFonts w:hint="eastAsia" w:ascii="宋体" w:hAnsi="宋体" w:eastAsia="宋体" w:cs="宋体"/>
                <w:color w:val="auto"/>
                <w:kern w:val="2"/>
                <w:sz w:val="24"/>
                <w:szCs w:val="24"/>
                <w:highlight w:val="none"/>
              </w:rPr>
              <w:t>说明</w:t>
            </w:r>
            <w:bookmarkEnd w:id="101"/>
            <w:bookmarkEnd w:id="102"/>
            <w:bookmarkEnd w:id="103"/>
            <w:bookmarkEnd w:id="104"/>
            <w:bookmarkEnd w:id="105"/>
            <w:bookmarkEnd w:id="106"/>
            <w:bookmarkEnd w:id="107"/>
            <w:bookmarkEnd w:id="108"/>
            <w:bookmarkEnd w:id="109"/>
          </w:p>
        </w:tc>
      </w:tr>
      <w:tr w14:paraId="37EAC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A9C7387">
            <w:pPr>
              <w:pStyle w:val="15"/>
              <w:spacing w:line="360" w:lineRule="auto"/>
              <w:ind w:firstLine="0" w:firstLineChars="0"/>
              <w:jc w:val="center"/>
              <w:rPr>
                <w:rFonts w:ascii="宋体" w:hAnsi="宋体" w:eastAsia="宋体" w:cs="宋体"/>
                <w:color w:val="auto"/>
                <w:kern w:val="2"/>
                <w:sz w:val="24"/>
                <w:szCs w:val="24"/>
                <w:highlight w:val="none"/>
              </w:rPr>
            </w:pPr>
            <w:bookmarkStart w:id="110" w:name="_Toc254970593"/>
            <w:bookmarkStart w:id="111" w:name="_Toc373333694"/>
            <w:bookmarkStart w:id="112" w:name="_Toc301781616"/>
            <w:bookmarkStart w:id="113" w:name="_Toc297193190"/>
            <w:bookmarkStart w:id="114" w:name="_Toc173066406"/>
            <w:bookmarkStart w:id="115" w:name="_Toc254970734"/>
            <w:bookmarkStart w:id="116" w:name="_Toc383699911"/>
            <w:bookmarkStart w:id="117" w:name="_Toc173211905"/>
            <w:bookmarkStart w:id="118" w:name="_Toc295404986"/>
            <w:r>
              <w:rPr>
                <w:rFonts w:hint="eastAsia" w:ascii="宋体" w:hAnsi="宋体" w:eastAsia="宋体" w:cs="宋体"/>
                <w:color w:val="auto"/>
                <w:kern w:val="2"/>
                <w:sz w:val="24"/>
                <w:szCs w:val="24"/>
                <w:highlight w:val="none"/>
              </w:rPr>
              <w:t>1</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vAlign w:val="center"/>
          </w:tcPr>
          <w:p w14:paraId="0F4F76F0">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6322246">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781B7C72">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vAlign w:val="center"/>
          </w:tcPr>
          <w:p w14:paraId="0A8ECFB0">
            <w:pPr>
              <w:pStyle w:val="15"/>
              <w:spacing w:line="360" w:lineRule="auto"/>
              <w:ind w:firstLine="0" w:firstLineChars="0"/>
              <w:jc w:val="center"/>
              <w:rPr>
                <w:rFonts w:ascii="宋体" w:hAnsi="宋体" w:eastAsia="宋体" w:cs="宋体"/>
                <w:color w:val="auto"/>
                <w:kern w:val="2"/>
                <w:sz w:val="24"/>
                <w:szCs w:val="24"/>
                <w:highlight w:val="none"/>
              </w:rPr>
            </w:pPr>
          </w:p>
        </w:tc>
      </w:tr>
      <w:tr w14:paraId="676ED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18262C0">
            <w:pPr>
              <w:pStyle w:val="15"/>
              <w:spacing w:line="360" w:lineRule="auto"/>
              <w:ind w:firstLine="0" w:firstLineChars="0"/>
              <w:jc w:val="center"/>
              <w:rPr>
                <w:rFonts w:ascii="宋体" w:hAnsi="宋体" w:eastAsia="宋体" w:cs="宋体"/>
                <w:color w:val="auto"/>
                <w:kern w:val="2"/>
                <w:sz w:val="24"/>
                <w:szCs w:val="24"/>
                <w:highlight w:val="none"/>
              </w:rPr>
            </w:pPr>
            <w:bookmarkStart w:id="119" w:name="_Toc373333695"/>
            <w:bookmarkStart w:id="120" w:name="_Toc301781617"/>
            <w:bookmarkStart w:id="121" w:name="_Toc295404987"/>
            <w:bookmarkStart w:id="122" w:name="_Toc173211906"/>
            <w:bookmarkStart w:id="123" w:name="_Toc297193191"/>
            <w:bookmarkStart w:id="124" w:name="_Toc383699912"/>
            <w:bookmarkStart w:id="125" w:name="_Toc254970594"/>
            <w:bookmarkStart w:id="126" w:name="_Toc254970735"/>
            <w:bookmarkStart w:id="127" w:name="_Toc173066407"/>
            <w:r>
              <w:rPr>
                <w:rFonts w:hint="eastAsia" w:ascii="宋体" w:hAnsi="宋体" w:eastAsia="宋体" w:cs="宋体"/>
                <w:color w:val="auto"/>
                <w:kern w:val="2"/>
                <w:sz w:val="24"/>
                <w:szCs w:val="24"/>
                <w:highlight w:val="none"/>
              </w:rPr>
              <w:t>2</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vAlign w:val="center"/>
          </w:tcPr>
          <w:p w14:paraId="17D88382">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06F3E00">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06C0D2DA">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vAlign w:val="center"/>
          </w:tcPr>
          <w:p w14:paraId="1EC95D59">
            <w:pPr>
              <w:pStyle w:val="15"/>
              <w:spacing w:line="360" w:lineRule="auto"/>
              <w:ind w:firstLine="0" w:firstLineChars="0"/>
              <w:jc w:val="center"/>
              <w:rPr>
                <w:rFonts w:ascii="宋体" w:hAnsi="宋体" w:eastAsia="宋体" w:cs="宋体"/>
                <w:color w:val="auto"/>
                <w:kern w:val="2"/>
                <w:sz w:val="24"/>
                <w:szCs w:val="24"/>
                <w:highlight w:val="none"/>
              </w:rPr>
            </w:pPr>
          </w:p>
        </w:tc>
      </w:tr>
      <w:tr w14:paraId="56CAE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FCFCA35">
            <w:pPr>
              <w:pStyle w:val="15"/>
              <w:spacing w:line="360" w:lineRule="auto"/>
              <w:ind w:firstLine="0" w:firstLineChars="0"/>
              <w:jc w:val="center"/>
              <w:rPr>
                <w:rFonts w:ascii="宋体" w:hAnsi="宋体" w:eastAsia="宋体" w:cs="宋体"/>
                <w:color w:val="auto"/>
                <w:kern w:val="2"/>
                <w:sz w:val="24"/>
                <w:szCs w:val="24"/>
                <w:highlight w:val="none"/>
              </w:rPr>
            </w:pPr>
            <w:bookmarkStart w:id="128" w:name="_Toc295404988"/>
            <w:bookmarkStart w:id="129" w:name="_Toc301781618"/>
            <w:bookmarkStart w:id="130" w:name="_Toc173211907"/>
            <w:bookmarkStart w:id="131" w:name="_Toc254970736"/>
            <w:bookmarkStart w:id="132" w:name="_Toc383699913"/>
            <w:bookmarkStart w:id="133" w:name="_Toc297193192"/>
            <w:bookmarkStart w:id="134" w:name="_Toc254970595"/>
            <w:bookmarkStart w:id="135" w:name="_Toc173066408"/>
            <w:bookmarkStart w:id="136" w:name="_Toc373333696"/>
            <w:r>
              <w:rPr>
                <w:rFonts w:hint="eastAsia" w:ascii="宋体" w:hAnsi="宋体" w:eastAsia="宋体" w:cs="宋体"/>
                <w:color w:val="auto"/>
                <w:kern w:val="2"/>
                <w:sz w:val="24"/>
                <w:szCs w:val="24"/>
                <w:highlight w:val="none"/>
              </w:rPr>
              <w:t>3</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vAlign w:val="center"/>
          </w:tcPr>
          <w:p w14:paraId="46421BD5">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0EB086C7">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0B71086D">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vAlign w:val="center"/>
          </w:tcPr>
          <w:p w14:paraId="3D40BA3E">
            <w:pPr>
              <w:pStyle w:val="15"/>
              <w:spacing w:line="360" w:lineRule="auto"/>
              <w:ind w:firstLine="0" w:firstLineChars="0"/>
              <w:jc w:val="center"/>
              <w:rPr>
                <w:rFonts w:ascii="宋体" w:hAnsi="宋体" w:eastAsia="宋体" w:cs="宋体"/>
                <w:color w:val="auto"/>
                <w:kern w:val="2"/>
                <w:sz w:val="24"/>
                <w:szCs w:val="24"/>
                <w:highlight w:val="none"/>
              </w:rPr>
            </w:pPr>
          </w:p>
        </w:tc>
      </w:tr>
      <w:tr w14:paraId="709E6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83C2FDE">
            <w:pPr>
              <w:pStyle w:val="15"/>
              <w:spacing w:line="360" w:lineRule="auto"/>
              <w:ind w:firstLine="0" w:firstLineChars="0"/>
              <w:jc w:val="center"/>
              <w:rPr>
                <w:rFonts w:ascii="宋体" w:hAnsi="宋体" w:eastAsia="宋体" w:cs="宋体"/>
                <w:color w:val="auto"/>
                <w:kern w:val="2"/>
                <w:sz w:val="24"/>
                <w:szCs w:val="24"/>
                <w:highlight w:val="none"/>
              </w:rPr>
            </w:pPr>
            <w:bookmarkStart w:id="137" w:name="_Toc373333697"/>
            <w:bookmarkStart w:id="138" w:name="_Toc173066409"/>
            <w:bookmarkStart w:id="139" w:name="_Toc254970596"/>
            <w:bookmarkStart w:id="140" w:name="_Toc383699914"/>
            <w:bookmarkStart w:id="141" w:name="_Toc301781619"/>
            <w:bookmarkStart w:id="142" w:name="_Toc173211908"/>
            <w:bookmarkStart w:id="143" w:name="_Toc254970737"/>
            <w:bookmarkStart w:id="144" w:name="_Toc295404989"/>
            <w:bookmarkStart w:id="145" w:name="_Toc297193193"/>
            <w:r>
              <w:rPr>
                <w:rFonts w:hint="eastAsia" w:ascii="宋体" w:hAnsi="宋体" w:eastAsia="宋体" w:cs="宋体"/>
                <w:color w:val="auto"/>
                <w:kern w:val="2"/>
                <w:sz w:val="24"/>
                <w:szCs w:val="24"/>
                <w:highlight w:val="none"/>
              </w:rPr>
              <w:t>4</w:t>
            </w:r>
            <w:bookmarkEnd w:id="137"/>
            <w:bookmarkEnd w:id="138"/>
            <w:bookmarkEnd w:id="139"/>
            <w:bookmarkEnd w:id="140"/>
            <w:bookmarkEnd w:id="141"/>
            <w:bookmarkEnd w:id="142"/>
            <w:bookmarkEnd w:id="143"/>
            <w:bookmarkEnd w:id="144"/>
            <w:bookmarkEnd w:id="145"/>
          </w:p>
        </w:tc>
        <w:tc>
          <w:tcPr>
            <w:tcW w:w="503" w:type="pct"/>
            <w:tcBorders>
              <w:right w:val="single" w:color="auto" w:sz="4" w:space="0"/>
            </w:tcBorders>
            <w:vAlign w:val="center"/>
          </w:tcPr>
          <w:p w14:paraId="1872D024">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1FF4AAB">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6128E43B">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vAlign w:val="center"/>
          </w:tcPr>
          <w:p w14:paraId="374EF093">
            <w:pPr>
              <w:pStyle w:val="15"/>
              <w:spacing w:line="360" w:lineRule="auto"/>
              <w:ind w:firstLine="0" w:firstLineChars="0"/>
              <w:jc w:val="center"/>
              <w:rPr>
                <w:rFonts w:ascii="宋体" w:hAnsi="宋体" w:eastAsia="宋体" w:cs="宋体"/>
                <w:color w:val="auto"/>
                <w:kern w:val="2"/>
                <w:sz w:val="24"/>
                <w:szCs w:val="24"/>
                <w:highlight w:val="none"/>
              </w:rPr>
            </w:pPr>
          </w:p>
        </w:tc>
      </w:tr>
      <w:tr w14:paraId="752D6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7DD01E1">
            <w:pPr>
              <w:pStyle w:val="15"/>
              <w:spacing w:line="360" w:lineRule="auto"/>
              <w:ind w:firstLine="0" w:firstLineChars="0"/>
              <w:jc w:val="center"/>
              <w:rPr>
                <w:rFonts w:ascii="宋体" w:hAnsi="宋体" w:eastAsia="宋体" w:cs="宋体"/>
                <w:color w:val="auto"/>
                <w:kern w:val="2"/>
                <w:sz w:val="24"/>
                <w:szCs w:val="24"/>
                <w:highlight w:val="none"/>
              </w:rPr>
            </w:pPr>
            <w:bookmarkStart w:id="146" w:name="_Toc254970597"/>
            <w:bookmarkStart w:id="147" w:name="_Toc173211909"/>
            <w:bookmarkStart w:id="148" w:name="_Toc297193194"/>
            <w:bookmarkStart w:id="149" w:name="_Toc301781620"/>
            <w:bookmarkStart w:id="150" w:name="_Toc295404990"/>
            <w:bookmarkStart w:id="151" w:name="_Toc254970738"/>
            <w:bookmarkStart w:id="152" w:name="_Toc383699915"/>
            <w:bookmarkStart w:id="153" w:name="_Toc173066410"/>
            <w:bookmarkStart w:id="154" w:name="_Toc373333698"/>
            <w:r>
              <w:rPr>
                <w:rFonts w:hint="eastAsia" w:ascii="宋体" w:hAnsi="宋体" w:eastAsia="宋体" w:cs="宋体"/>
                <w:color w:val="auto"/>
                <w:kern w:val="2"/>
                <w:sz w:val="24"/>
                <w:szCs w:val="24"/>
                <w:highlight w:val="none"/>
              </w:rPr>
              <w:t>5</w:t>
            </w:r>
            <w:bookmarkEnd w:id="146"/>
            <w:bookmarkEnd w:id="147"/>
            <w:bookmarkEnd w:id="148"/>
            <w:bookmarkEnd w:id="149"/>
            <w:bookmarkEnd w:id="150"/>
            <w:bookmarkEnd w:id="151"/>
            <w:bookmarkEnd w:id="152"/>
            <w:bookmarkEnd w:id="153"/>
            <w:bookmarkEnd w:id="154"/>
          </w:p>
        </w:tc>
        <w:tc>
          <w:tcPr>
            <w:tcW w:w="503" w:type="pct"/>
            <w:tcBorders>
              <w:right w:val="single" w:color="auto" w:sz="4" w:space="0"/>
            </w:tcBorders>
            <w:vAlign w:val="center"/>
          </w:tcPr>
          <w:p w14:paraId="0ABBE444">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519BCABB">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5F2A0989">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vAlign w:val="center"/>
          </w:tcPr>
          <w:p w14:paraId="1409FC3D">
            <w:pPr>
              <w:pStyle w:val="15"/>
              <w:spacing w:line="360" w:lineRule="auto"/>
              <w:ind w:firstLine="0" w:firstLineChars="0"/>
              <w:jc w:val="center"/>
              <w:rPr>
                <w:rFonts w:ascii="宋体" w:hAnsi="宋体" w:eastAsia="宋体" w:cs="宋体"/>
                <w:color w:val="auto"/>
                <w:kern w:val="2"/>
                <w:sz w:val="24"/>
                <w:szCs w:val="24"/>
                <w:highlight w:val="none"/>
              </w:rPr>
            </w:pPr>
          </w:p>
        </w:tc>
      </w:tr>
      <w:tr w14:paraId="388F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638A997F">
            <w:pPr>
              <w:pStyle w:val="15"/>
              <w:spacing w:line="360" w:lineRule="auto"/>
              <w:ind w:firstLine="0" w:firstLineChars="0"/>
              <w:jc w:val="center"/>
              <w:rPr>
                <w:rFonts w:ascii="宋体" w:hAnsi="宋体" w:eastAsia="宋体" w:cs="宋体"/>
                <w:color w:val="auto"/>
                <w:kern w:val="2"/>
                <w:sz w:val="24"/>
                <w:szCs w:val="24"/>
                <w:highlight w:val="none"/>
              </w:rPr>
            </w:pPr>
            <w:bookmarkStart w:id="155" w:name="_Toc254970743"/>
            <w:bookmarkStart w:id="156" w:name="_Toc373333699"/>
            <w:bookmarkStart w:id="157" w:name="_Toc254970602"/>
            <w:bookmarkStart w:id="158" w:name="_Toc173066415"/>
            <w:bookmarkStart w:id="159" w:name="_Toc383699916"/>
            <w:bookmarkStart w:id="160" w:name="_Toc173211914"/>
            <w:bookmarkStart w:id="161" w:name="_Toc295404991"/>
            <w:bookmarkStart w:id="162" w:name="_Toc297193195"/>
            <w:bookmarkStart w:id="163" w:name="_Toc301781621"/>
            <w:r>
              <w:rPr>
                <w:rFonts w:hint="eastAsia" w:ascii="宋体" w:hAnsi="宋体" w:eastAsia="宋体" w:cs="宋体"/>
                <w:color w:val="auto"/>
                <w:kern w:val="2"/>
                <w:sz w:val="24"/>
                <w:szCs w:val="24"/>
                <w:highlight w:val="none"/>
              </w:rPr>
              <w:t>…</w:t>
            </w:r>
            <w:bookmarkEnd w:id="155"/>
            <w:bookmarkEnd w:id="156"/>
            <w:bookmarkEnd w:id="157"/>
            <w:bookmarkEnd w:id="158"/>
            <w:bookmarkEnd w:id="159"/>
            <w:bookmarkEnd w:id="160"/>
            <w:bookmarkEnd w:id="161"/>
            <w:bookmarkEnd w:id="162"/>
            <w:bookmarkEnd w:id="163"/>
          </w:p>
        </w:tc>
        <w:tc>
          <w:tcPr>
            <w:tcW w:w="503" w:type="pct"/>
            <w:tcBorders>
              <w:right w:val="single" w:color="auto" w:sz="4" w:space="0"/>
            </w:tcBorders>
            <w:vAlign w:val="center"/>
          </w:tcPr>
          <w:p w14:paraId="302F9326">
            <w:pPr>
              <w:pStyle w:val="15"/>
              <w:spacing w:line="360" w:lineRule="auto"/>
              <w:ind w:firstLine="0" w:firstLineChars="0"/>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912A810">
            <w:pPr>
              <w:pStyle w:val="15"/>
              <w:spacing w:line="360" w:lineRule="auto"/>
              <w:ind w:firstLine="0" w:firstLineChars="0"/>
              <w:jc w:val="center"/>
              <w:rPr>
                <w:rFonts w:ascii="宋体" w:hAnsi="宋体" w:eastAsia="宋体" w:cs="宋体"/>
                <w:color w:val="auto"/>
                <w:kern w:val="2"/>
                <w:sz w:val="24"/>
                <w:szCs w:val="24"/>
                <w:highlight w:val="none"/>
              </w:rPr>
            </w:pPr>
          </w:p>
        </w:tc>
        <w:tc>
          <w:tcPr>
            <w:tcW w:w="1503" w:type="pct"/>
            <w:vAlign w:val="center"/>
          </w:tcPr>
          <w:p w14:paraId="3CA03F73">
            <w:pPr>
              <w:pStyle w:val="15"/>
              <w:spacing w:line="360" w:lineRule="auto"/>
              <w:ind w:firstLine="0" w:firstLineChars="0"/>
              <w:jc w:val="center"/>
              <w:rPr>
                <w:rFonts w:ascii="宋体" w:hAnsi="宋体" w:eastAsia="宋体" w:cs="宋体"/>
                <w:color w:val="auto"/>
                <w:kern w:val="2"/>
                <w:sz w:val="24"/>
                <w:szCs w:val="24"/>
                <w:highlight w:val="none"/>
              </w:rPr>
            </w:pPr>
          </w:p>
        </w:tc>
        <w:tc>
          <w:tcPr>
            <w:tcW w:w="820" w:type="pct"/>
            <w:tcBorders>
              <w:right w:val="single" w:color="auto" w:sz="4" w:space="0"/>
            </w:tcBorders>
            <w:vAlign w:val="center"/>
          </w:tcPr>
          <w:p w14:paraId="51FB13E5">
            <w:pPr>
              <w:pStyle w:val="15"/>
              <w:spacing w:line="360" w:lineRule="auto"/>
              <w:ind w:firstLine="0" w:firstLineChars="0"/>
              <w:jc w:val="center"/>
              <w:rPr>
                <w:rFonts w:ascii="宋体" w:hAnsi="宋体" w:eastAsia="宋体" w:cs="宋体"/>
                <w:color w:val="auto"/>
                <w:kern w:val="2"/>
                <w:sz w:val="24"/>
                <w:szCs w:val="24"/>
                <w:highlight w:val="none"/>
              </w:rPr>
            </w:pPr>
          </w:p>
        </w:tc>
      </w:tr>
    </w:tbl>
    <w:p w14:paraId="67E64E4B">
      <w:pPr>
        <w:adjustRightInd w:val="0"/>
        <w:snapToGrid w:val="0"/>
        <w:spacing w:line="360" w:lineRule="auto"/>
        <w:rPr>
          <w:rFonts w:ascii="宋体" w:hAnsi="宋体" w:cs="宋体"/>
          <w:color w:val="auto"/>
          <w:sz w:val="24"/>
          <w:highlight w:val="none"/>
        </w:rPr>
      </w:pPr>
    </w:p>
    <w:p w14:paraId="4001F8DA">
      <w:pPr>
        <w:pStyle w:val="15"/>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A9AC504">
      <w:pPr>
        <w:pStyle w:val="15"/>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w:t>
      </w:r>
      <w:r>
        <w:rPr>
          <w:rFonts w:hint="eastAsia" w:ascii="宋体" w:hAnsi="宋体" w:eastAsia="宋体" w:cs="宋体"/>
          <w:color w:val="auto"/>
          <w:sz w:val="24"/>
          <w:szCs w:val="24"/>
          <w:highlight w:val="none"/>
          <w:lang w:eastAsia="zh-CN"/>
        </w:rPr>
        <w:t>服务需求</w:t>
      </w:r>
      <w:r>
        <w:rPr>
          <w:rFonts w:hint="eastAsia" w:ascii="宋体" w:hAnsi="宋体" w:eastAsia="宋体" w:cs="宋体"/>
          <w:color w:val="auto"/>
          <w:sz w:val="24"/>
          <w:szCs w:val="24"/>
          <w:highlight w:val="none"/>
        </w:rPr>
        <w:t>逐条实质性响应，并作出偏离说明。</w:t>
      </w:r>
    </w:p>
    <w:p w14:paraId="4C0FA6AE">
      <w:pPr>
        <w:pStyle w:val="15"/>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10F97152">
      <w:pPr>
        <w:pStyle w:val="17"/>
        <w:spacing w:line="360" w:lineRule="auto"/>
        <w:rPr>
          <w:rFonts w:hAnsi="宋体" w:cs="宋体"/>
          <w:color w:val="auto"/>
          <w:sz w:val="24"/>
          <w:szCs w:val="24"/>
          <w:highlight w:val="none"/>
        </w:rPr>
      </w:pPr>
    </w:p>
    <w:p w14:paraId="0AF43B37">
      <w:pPr>
        <w:spacing w:line="360" w:lineRule="auto"/>
        <w:ind w:firstLine="3840" w:firstLineChars="1600"/>
        <w:rPr>
          <w:rFonts w:ascii="宋体" w:hAnsi="宋体" w:cs="宋体"/>
          <w:color w:val="auto"/>
          <w:sz w:val="24"/>
          <w:highlight w:val="none"/>
        </w:rPr>
      </w:pPr>
    </w:p>
    <w:p w14:paraId="5E15BD7C">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13127339">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0FAFC060">
      <w:pPr>
        <w:snapToGrid w:val="0"/>
        <w:spacing w:before="156" w:beforeLines="50" w:after="50"/>
        <w:ind w:left="142"/>
        <w:jc w:val="left"/>
        <w:rPr>
          <w:rFonts w:ascii="宋体" w:hAnsi="宋体" w:cs="宋体"/>
          <w:color w:val="auto"/>
          <w:sz w:val="24"/>
          <w:highlight w:val="none"/>
        </w:rPr>
      </w:pPr>
    </w:p>
    <w:p w14:paraId="42A96C5A">
      <w:pPr>
        <w:snapToGrid w:val="0"/>
        <w:spacing w:before="156" w:beforeLines="50" w:after="50"/>
        <w:ind w:left="142"/>
        <w:jc w:val="left"/>
        <w:rPr>
          <w:rFonts w:ascii="宋体" w:hAnsi="宋体" w:cs="宋体"/>
          <w:color w:val="auto"/>
          <w:sz w:val="24"/>
          <w:highlight w:val="none"/>
        </w:rPr>
      </w:pPr>
    </w:p>
    <w:p w14:paraId="1402AA32">
      <w:pPr>
        <w:jc w:val="center"/>
        <w:rPr>
          <w:rFonts w:ascii="宋体" w:hAnsi="宋体" w:cs="宋体"/>
          <w:color w:val="auto"/>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二、服务方案</w:t>
      </w:r>
    </w:p>
    <w:p w14:paraId="6656AE6B">
      <w:pPr>
        <w:pStyle w:val="21"/>
        <w:rPr>
          <w:rFonts w:ascii="宋体" w:hAnsi="宋体" w:cs="宋体"/>
          <w:color w:val="auto"/>
          <w:highlight w:val="none"/>
        </w:rPr>
      </w:pPr>
    </w:p>
    <w:p w14:paraId="464B4243">
      <w:pPr>
        <w:pStyle w:val="21"/>
        <w:rPr>
          <w:rFonts w:ascii="宋体" w:hAnsi="宋体" w:cs="宋体"/>
          <w:color w:val="auto"/>
          <w:highlight w:val="none"/>
        </w:rPr>
      </w:pPr>
    </w:p>
    <w:p w14:paraId="37DD24B1">
      <w:pPr>
        <w:snapToGrid w:val="0"/>
        <w:spacing w:before="50" w:after="50" w:line="360" w:lineRule="auto"/>
        <w:ind w:right="-817" w:rightChars="-389"/>
        <w:rPr>
          <w:rFonts w:ascii="宋体" w:hAnsi="宋体" w:cs="宋体"/>
          <w:color w:val="auto"/>
          <w:sz w:val="24"/>
          <w:highlight w:val="none"/>
        </w:rPr>
      </w:pPr>
    </w:p>
    <w:p w14:paraId="70DBE3E2">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52BB66C5">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14AE2A62">
      <w:pPr>
        <w:pStyle w:val="21"/>
        <w:rPr>
          <w:rFonts w:ascii="宋体" w:hAnsi="宋体" w:cs="宋体"/>
          <w:color w:val="auto"/>
          <w:highlight w:val="none"/>
        </w:rPr>
      </w:pPr>
    </w:p>
    <w:p w14:paraId="72D6271A">
      <w:pPr>
        <w:pStyle w:val="21"/>
        <w:rPr>
          <w:rFonts w:ascii="宋体" w:hAnsi="宋体" w:cs="宋体"/>
          <w:color w:val="auto"/>
          <w:highlight w:val="none"/>
        </w:rPr>
      </w:pPr>
    </w:p>
    <w:p w14:paraId="3983E26D">
      <w:pPr>
        <w:pStyle w:val="21"/>
        <w:rPr>
          <w:rFonts w:ascii="宋体" w:hAnsi="宋体" w:cs="宋体"/>
          <w:color w:val="auto"/>
          <w:highlight w:val="none"/>
        </w:rPr>
      </w:pPr>
    </w:p>
    <w:p w14:paraId="05938DFA">
      <w:pPr>
        <w:pStyle w:val="21"/>
        <w:rPr>
          <w:rFonts w:ascii="宋体" w:hAnsi="宋体" w:cs="宋体"/>
          <w:color w:val="auto"/>
          <w:highlight w:val="none"/>
        </w:rPr>
      </w:pPr>
    </w:p>
    <w:p w14:paraId="5106F95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三、项目实施人员一览表</w:t>
      </w:r>
    </w:p>
    <w:p w14:paraId="703DC673">
      <w:pPr>
        <w:rPr>
          <w:rFonts w:ascii="宋体" w:hAnsi="宋体" w:cs="宋体"/>
          <w:color w:val="auto"/>
          <w:highlight w:val="none"/>
        </w:rPr>
      </w:pPr>
    </w:p>
    <w:p w14:paraId="2900473A">
      <w:pPr>
        <w:rPr>
          <w:rFonts w:ascii="宋体" w:hAnsi="宋体" w:cs="宋体"/>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2ACB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56F801B6">
            <w:pPr>
              <w:snapToGrid w:val="0"/>
              <w:spacing w:before="50" w:after="156" w:afterLines="50"/>
              <w:jc w:val="center"/>
              <w:rPr>
                <w:rFonts w:ascii="宋体" w:hAnsi="宋体" w:cs="宋体"/>
                <w:color w:val="auto"/>
                <w:sz w:val="24"/>
                <w:szCs w:val="20"/>
                <w:highlight w:val="none"/>
              </w:rPr>
            </w:pPr>
          </w:p>
          <w:p w14:paraId="6B07D26E">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66" w:type="dxa"/>
            <w:vAlign w:val="center"/>
          </w:tcPr>
          <w:p w14:paraId="4FB6A41E">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837" w:type="dxa"/>
            <w:vAlign w:val="center"/>
          </w:tcPr>
          <w:p w14:paraId="52DA39ED">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533" w:type="dxa"/>
            <w:vAlign w:val="center"/>
          </w:tcPr>
          <w:p w14:paraId="20B4D6FE">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833" w:type="dxa"/>
            <w:vAlign w:val="center"/>
          </w:tcPr>
          <w:p w14:paraId="1B34903D">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2F328A3E">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990" w:type="dxa"/>
            <w:vAlign w:val="center"/>
          </w:tcPr>
          <w:p w14:paraId="65FFD282">
            <w:pPr>
              <w:snapToGrid w:val="0"/>
              <w:spacing w:before="50" w:after="156"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744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3137FAD6">
            <w:pPr>
              <w:snapToGrid w:val="0"/>
              <w:spacing w:before="50" w:after="156" w:afterLines="50"/>
              <w:jc w:val="center"/>
              <w:rPr>
                <w:rFonts w:ascii="宋体" w:hAnsi="宋体" w:cs="宋体"/>
                <w:color w:val="auto"/>
                <w:sz w:val="24"/>
                <w:szCs w:val="20"/>
                <w:highlight w:val="none"/>
              </w:rPr>
            </w:pPr>
          </w:p>
        </w:tc>
        <w:tc>
          <w:tcPr>
            <w:tcW w:w="766" w:type="dxa"/>
            <w:vAlign w:val="center"/>
          </w:tcPr>
          <w:p w14:paraId="1AABBA34">
            <w:pPr>
              <w:snapToGrid w:val="0"/>
              <w:spacing w:before="50" w:after="156" w:afterLines="50"/>
              <w:jc w:val="center"/>
              <w:rPr>
                <w:rFonts w:ascii="宋体" w:hAnsi="宋体" w:cs="宋体"/>
                <w:color w:val="auto"/>
                <w:sz w:val="24"/>
                <w:szCs w:val="20"/>
                <w:highlight w:val="none"/>
              </w:rPr>
            </w:pPr>
          </w:p>
        </w:tc>
        <w:tc>
          <w:tcPr>
            <w:tcW w:w="1837" w:type="dxa"/>
            <w:vAlign w:val="center"/>
          </w:tcPr>
          <w:p w14:paraId="4EE409E0">
            <w:pPr>
              <w:snapToGrid w:val="0"/>
              <w:spacing w:before="50" w:after="156" w:afterLines="50"/>
              <w:jc w:val="center"/>
              <w:rPr>
                <w:rFonts w:ascii="宋体" w:hAnsi="宋体" w:cs="宋体"/>
                <w:color w:val="auto"/>
                <w:sz w:val="24"/>
                <w:szCs w:val="20"/>
                <w:highlight w:val="none"/>
              </w:rPr>
            </w:pPr>
          </w:p>
        </w:tc>
        <w:tc>
          <w:tcPr>
            <w:tcW w:w="1533" w:type="dxa"/>
            <w:vAlign w:val="center"/>
          </w:tcPr>
          <w:p w14:paraId="62E9F274">
            <w:pPr>
              <w:snapToGrid w:val="0"/>
              <w:spacing w:before="50" w:after="156" w:afterLines="50"/>
              <w:jc w:val="center"/>
              <w:rPr>
                <w:rFonts w:ascii="宋体" w:hAnsi="宋体" w:cs="宋体"/>
                <w:color w:val="auto"/>
                <w:sz w:val="24"/>
                <w:szCs w:val="20"/>
                <w:highlight w:val="none"/>
              </w:rPr>
            </w:pPr>
          </w:p>
        </w:tc>
        <w:tc>
          <w:tcPr>
            <w:tcW w:w="1833" w:type="dxa"/>
            <w:vAlign w:val="center"/>
          </w:tcPr>
          <w:p w14:paraId="2EABBCFE">
            <w:pPr>
              <w:snapToGrid w:val="0"/>
              <w:spacing w:before="50" w:after="156" w:afterLines="50"/>
              <w:jc w:val="center"/>
              <w:rPr>
                <w:rFonts w:ascii="宋体" w:hAnsi="宋体" w:cs="宋体"/>
                <w:color w:val="auto"/>
                <w:sz w:val="24"/>
                <w:szCs w:val="20"/>
                <w:highlight w:val="none"/>
              </w:rPr>
            </w:pPr>
          </w:p>
        </w:tc>
        <w:tc>
          <w:tcPr>
            <w:tcW w:w="1990" w:type="dxa"/>
            <w:vAlign w:val="center"/>
          </w:tcPr>
          <w:p w14:paraId="1E42B1D9">
            <w:pPr>
              <w:snapToGrid w:val="0"/>
              <w:spacing w:before="50" w:after="156" w:afterLines="50"/>
              <w:jc w:val="center"/>
              <w:rPr>
                <w:rFonts w:ascii="宋体" w:hAnsi="宋体" w:cs="宋体"/>
                <w:color w:val="auto"/>
                <w:sz w:val="24"/>
                <w:szCs w:val="20"/>
                <w:highlight w:val="none"/>
              </w:rPr>
            </w:pPr>
          </w:p>
        </w:tc>
      </w:tr>
      <w:tr w14:paraId="0BAC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6E05CD30">
            <w:pPr>
              <w:snapToGrid w:val="0"/>
              <w:spacing w:before="50" w:after="156" w:afterLines="50"/>
              <w:jc w:val="center"/>
              <w:rPr>
                <w:rFonts w:ascii="宋体" w:hAnsi="宋体" w:cs="宋体"/>
                <w:color w:val="auto"/>
                <w:sz w:val="24"/>
                <w:szCs w:val="20"/>
                <w:highlight w:val="none"/>
              </w:rPr>
            </w:pPr>
          </w:p>
        </w:tc>
        <w:tc>
          <w:tcPr>
            <w:tcW w:w="766" w:type="dxa"/>
            <w:vAlign w:val="center"/>
          </w:tcPr>
          <w:p w14:paraId="1B8720B3">
            <w:pPr>
              <w:snapToGrid w:val="0"/>
              <w:spacing w:before="50" w:after="156" w:afterLines="50"/>
              <w:jc w:val="center"/>
              <w:rPr>
                <w:rFonts w:ascii="宋体" w:hAnsi="宋体" w:cs="宋体"/>
                <w:color w:val="auto"/>
                <w:sz w:val="24"/>
                <w:szCs w:val="20"/>
                <w:highlight w:val="none"/>
              </w:rPr>
            </w:pPr>
          </w:p>
        </w:tc>
        <w:tc>
          <w:tcPr>
            <w:tcW w:w="1837" w:type="dxa"/>
            <w:vAlign w:val="center"/>
          </w:tcPr>
          <w:p w14:paraId="251E9557">
            <w:pPr>
              <w:snapToGrid w:val="0"/>
              <w:spacing w:before="50" w:after="156" w:afterLines="50"/>
              <w:jc w:val="center"/>
              <w:rPr>
                <w:rFonts w:ascii="宋体" w:hAnsi="宋体" w:cs="宋体"/>
                <w:color w:val="auto"/>
                <w:sz w:val="24"/>
                <w:szCs w:val="20"/>
                <w:highlight w:val="none"/>
              </w:rPr>
            </w:pPr>
          </w:p>
        </w:tc>
        <w:tc>
          <w:tcPr>
            <w:tcW w:w="1533" w:type="dxa"/>
            <w:vAlign w:val="center"/>
          </w:tcPr>
          <w:p w14:paraId="3BF08CDE">
            <w:pPr>
              <w:snapToGrid w:val="0"/>
              <w:spacing w:before="50" w:after="156" w:afterLines="50"/>
              <w:jc w:val="center"/>
              <w:rPr>
                <w:rFonts w:ascii="宋体" w:hAnsi="宋体" w:cs="宋体"/>
                <w:color w:val="auto"/>
                <w:sz w:val="24"/>
                <w:szCs w:val="20"/>
                <w:highlight w:val="none"/>
              </w:rPr>
            </w:pPr>
          </w:p>
        </w:tc>
        <w:tc>
          <w:tcPr>
            <w:tcW w:w="1833" w:type="dxa"/>
            <w:vAlign w:val="center"/>
          </w:tcPr>
          <w:p w14:paraId="0E386629">
            <w:pPr>
              <w:snapToGrid w:val="0"/>
              <w:spacing w:before="50" w:after="156" w:afterLines="50"/>
              <w:jc w:val="center"/>
              <w:rPr>
                <w:rFonts w:ascii="宋体" w:hAnsi="宋体" w:cs="宋体"/>
                <w:color w:val="auto"/>
                <w:sz w:val="24"/>
                <w:szCs w:val="20"/>
                <w:highlight w:val="none"/>
              </w:rPr>
            </w:pPr>
          </w:p>
        </w:tc>
        <w:tc>
          <w:tcPr>
            <w:tcW w:w="1990" w:type="dxa"/>
            <w:vAlign w:val="center"/>
          </w:tcPr>
          <w:p w14:paraId="7825FCCF">
            <w:pPr>
              <w:snapToGrid w:val="0"/>
              <w:spacing w:before="50" w:after="156" w:afterLines="50"/>
              <w:jc w:val="center"/>
              <w:rPr>
                <w:rFonts w:ascii="宋体" w:hAnsi="宋体" w:cs="宋体"/>
                <w:color w:val="auto"/>
                <w:sz w:val="24"/>
                <w:szCs w:val="20"/>
                <w:highlight w:val="none"/>
              </w:rPr>
            </w:pPr>
          </w:p>
        </w:tc>
      </w:tr>
      <w:tr w14:paraId="1BB4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1070CCB2">
            <w:pPr>
              <w:snapToGrid w:val="0"/>
              <w:spacing w:before="50" w:after="156" w:afterLines="50"/>
              <w:jc w:val="center"/>
              <w:rPr>
                <w:rFonts w:ascii="宋体" w:hAnsi="宋体" w:cs="宋体"/>
                <w:color w:val="auto"/>
                <w:sz w:val="24"/>
                <w:szCs w:val="20"/>
                <w:highlight w:val="none"/>
              </w:rPr>
            </w:pPr>
          </w:p>
        </w:tc>
        <w:tc>
          <w:tcPr>
            <w:tcW w:w="766" w:type="dxa"/>
            <w:vAlign w:val="center"/>
          </w:tcPr>
          <w:p w14:paraId="60C0E1E4">
            <w:pPr>
              <w:snapToGrid w:val="0"/>
              <w:spacing w:before="50" w:after="156" w:afterLines="50"/>
              <w:jc w:val="center"/>
              <w:rPr>
                <w:rFonts w:ascii="宋体" w:hAnsi="宋体" w:cs="宋体"/>
                <w:color w:val="auto"/>
                <w:sz w:val="24"/>
                <w:szCs w:val="20"/>
                <w:highlight w:val="none"/>
              </w:rPr>
            </w:pPr>
          </w:p>
        </w:tc>
        <w:tc>
          <w:tcPr>
            <w:tcW w:w="1837" w:type="dxa"/>
            <w:vAlign w:val="center"/>
          </w:tcPr>
          <w:p w14:paraId="1C0D934B">
            <w:pPr>
              <w:snapToGrid w:val="0"/>
              <w:spacing w:before="50" w:after="156" w:afterLines="50"/>
              <w:jc w:val="center"/>
              <w:rPr>
                <w:rFonts w:ascii="宋体" w:hAnsi="宋体" w:cs="宋体"/>
                <w:color w:val="auto"/>
                <w:sz w:val="24"/>
                <w:szCs w:val="20"/>
                <w:highlight w:val="none"/>
              </w:rPr>
            </w:pPr>
          </w:p>
        </w:tc>
        <w:tc>
          <w:tcPr>
            <w:tcW w:w="1533" w:type="dxa"/>
            <w:vAlign w:val="center"/>
          </w:tcPr>
          <w:p w14:paraId="281A820A">
            <w:pPr>
              <w:snapToGrid w:val="0"/>
              <w:spacing w:before="50" w:after="156" w:afterLines="50"/>
              <w:jc w:val="center"/>
              <w:rPr>
                <w:rFonts w:ascii="宋体" w:hAnsi="宋体" w:cs="宋体"/>
                <w:color w:val="auto"/>
                <w:sz w:val="24"/>
                <w:szCs w:val="20"/>
                <w:highlight w:val="none"/>
              </w:rPr>
            </w:pPr>
          </w:p>
        </w:tc>
        <w:tc>
          <w:tcPr>
            <w:tcW w:w="1833" w:type="dxa"/>
            <w:vAlign w:val="center"/>
          </w:tcPr>
          <w:p w14:paraId="000AC4F8">
            <w:pPr>
              <w:snapToGrid w:val="0"/>
              <w:spacing w:before="50" w:after="156" w:afterLines="50"/>
              <w:jc w:val="center"/>
              <w:rPr>
                <w:rFonts w:ascii="宋体" w:hAnsi="宋体" w:cs="宋体"/>
                <w:color w:val="auto"/>
                <w:sz w:val="24"/>
                <w:szCs w:val="20"/>
                <w:highlight w:val="none"/>
              </w:rPr>
            </w:pPr>
          </w:p>
        </w:tc>
        <w:tc>
          <w:tcPr>
            <w:tcW w:w="1990" w:type="dxa"/>
            <w:vAlign w:val="center"/>
          </w:tcPr>
          <w:p w14:paraId="174F53ED">
            <w:pPr>
              <w:snapToGrid w:val="0"/>
              <w:spacing w:before="50" w:after="156" w:afterLines="50"/>
              <w:jc w:val="center"/>
              <w:rPr>
                <w:rFonts w:ascii="宋体" w:hAnsi="宋体" w:cs="宋体"/>
                <w:color w:val="auto"/>
                <w:sz w:val="24"/>
                <w:szCs w:val="20"/>
                <w:highlight w:val="none"/>
              </w:rPr>
            </w:pPr>
          </w:p>
        </w:tc>
      </w:tr>
    </w:tbl>
    <w:p w14:paraId="56CF9A3E">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z w:val="24"/>
          <w:szCs w:val="20"/>
          <w:highlight w:val="none"/>
        </w:rPr>
        <w:t>注：在填写时，如本表格不适合供应商的实际情况，可根据本表格式自行制表填写。</w:t>
      </w:r>
    </w:p>
    <w:p w14:paraId="3F8704D9">
      <w:pPr>
        <w:spacing w:line="360" w:lineRule="auto"/>
        <w:ind w:firstLine="3840" w:firstLineChars="1600"/>
        <w:rPr>
          <w:rFonts w:ascii="宋体" w:hAnsi="宋体" w:cs="宋体"/>
          <w:color w:val="auto"/>
          <w:kern w:val="0"/>
          <w:sz w:val="24"/>
          <w:highlight w:val="none"/>
        </w:rPr>
      </w:pPr>
    </w:p>
    <w:p w14:paraId="733A517A">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1CC5C491">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343EC222">
      <w:pPr>
        <w:pStyle w:val="27"/>
        <w:ind w:firstLine="210"/>
        <w:rPr>
          <w:rFonts w:ascii="宋体" w:hAnsi="宋体" w:cs="宋体"/>
          <w:color w:val="auto"/>
          <w:highlight w:val="none"/>
        </w:rPr>
      </w:pPr>
    </w:p>
    <w:p w14:paraId="703BE580">
      <w:pPr>
        <w:pStyle w:val="21"/>
        <w:rPr>
          <w:rFonts w:ascii="宋体" w:hAnsi="宋体" w:cs="宋体"/>
          <w:color w:val="auto"/>
          <w:highlight w:val="none"/>
        </w:rPr>
      </w:pPr>
    </w:p>
    <w:p w14:paraId="4154A587">
      <w:pPr>
        <w:pStyle w:val="21"/>
        <w:rPr>
          <w:rFonts w:ascii="宋体" w:hAnsi="宋体" w:cs="宋体"/>
          <w:color w:val="auto"/>
          <w:highlight w:val="none"/>
        </w:rPr>
      </w:pPr>
    </w:p>
    <w:p w14:paraId="100F067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四、供应商认为需要提供的其他有关资料</w:t>
      </w:r>
    </w:p>
    <w:p w14:paraId="7DB4BD84">
      <w:pPr>
        <w:spacing w:line="360" w:lineRule="auto"/>
        <w:ind w:firstLine="5760" w:firstLineChars="1600"/>
        <w:rPr>
          <w:rFonts w:ascii="宋体" w:hAnsi="宋体" w:cs="宋体"/>
          <w:color w:val="auto"/>
          <w:sz w:val="36"/>
          <w:szCs w:val="36"/>
          <w:highlight w:val="none"/>
        </w:rPr>
      </w:pPr>
    </w:p>
    <w:p w14:paraId="3650CF3D">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4287776A">
      <w:pP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7DF55E65">
      <w:pPr>
        <w:pStyle w:val="3"/>
        <w:rPr>
          <w:rFonts w:ascii="宋体" w:hAnsi="宋体" w:cs="宋体"/>
          <w:color w:val="auto"/>
          <w:highlight w:val="none"/>
        </w:rPr>
      </w:pPr>
      <w:r>
        <w:rPr>
          <w:rFonts w:hint="eastAsia" w:ascii="宋体" w:hAnsi="宋体" w:cs="宋体"/>
          <w:color w:val="auto"/>
          <w:highlight w:val="none"/>
        </w:rPr>
        <w:br w:type="page"/>
      </w:r>
      <w:bookmarkStart w:id="164" w:name="_Toc17854"/>
      <w:r>
        <w:rPr>
          <w:rFonts w:hint="eastAsia" w:ascii="宋体" w:hAnsi="宋体" w:cs="宋体"/>
          <w:color w:val="auto"/>
          <w:highlight w:val="none"/>
        </w:rPr>
        <w:t>三、报价文件格式</w:t>
      </w:r>
      <w:bookmarkEnd w:id="164"/>
    </w:p>
    <w:p w14:paraId="250AA275">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1.报价文件封面格式：</w:t>
      </w:r>
      <w:r>
        <w:rPr>
          <w:rFonts w:hint="eastAsia" w:ascii="宋体" w:hAnsi="宋体" w:cs="宋体"/>
          <w:b/>
          <w:color w:val="auto"/>
          <w:sz w:val="24"/>
          <w:highlight w:val="none"/>
        </w:rPr>
        <w:t xml:space="preserve"> </w:t>
      </w:r>
    </w:p>
    <w:p w14:paraId="71E355B7">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电子响应文件</w:t>
      </w:r>
    </w:p>
    <w:p w14:paraId="40241672">
      <w:pPr>
        <w:snapToGrid w:val="0"/>
        <w:spacing w:before="156" w:beforeLines="50" w:after="50"/>
        <w:rPr>
          <w:rFonts w:ascii="宋体" w:hAnsi="宋体" w:cs="宋体"/>
          <w:color w:val="auto"/>
          <w:sz w:val="24"/>
          <w:szCs w:val="20"/>
          <w:highlight w:val="none"/>
        </w:rPr>
      </w:pPr>
    </w:p>
    <w:p w14:paraId="4B381AE3">
      <w:pPr>
        <w:snapToGrid w:val="0"/>
        <w:spacing w:before="156" w:beforeLines="50" w:after="50"/>
        <w:rPr>
          <w:rFonts w:ascii="宋体" w:hAnsi="宋体" w:cs="宋体"/>
          <w:color w:val="auto"/>
          <w:sz w:val="24"/>
          <w:szCs w:val="20"/>
          <w:highlight w:val="none"/>
        </w:rPr>
      </w:pPr>
    </w:p>
    <w:p w14:paraId="14069F21">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156FC6C0">
      <w:pPr>
        <w:snapToGrid w:val="0"/>
        <w:spacing w:before="156" w:beforeLines="50" w:after="50"/>
        <w:rPr>
          <w:rFonts w:ascii="宋体" w:hAnsi="宋体" w:cs="宋体"/>
          <w:bCs/>
          <w:color w:val="auto"/>
          <w:sz w:val="24"/>
          <w:szCs w:val="20"/>
          <w:highlight w:val="none"/>
        </w:rPr>
      </w:pPr>
    </w:p>
    <w:p w14:paraId="1E00B8AB">
      <w:pPr>
        <w:snapToGrid w:val="0"/>
        <w:spacing w:before="156" w:beforeLines="50" w:after="50"/>
        <w:rPr>
          <w:rFonts w:ascii="宋体" w:hAnsi="宋体" w:cs="宋体"/>
          <w:bCs/>
          <w:color w:val="auto"/>
          <w:sz w:val="24"/>
          <w:szCs w:val="20"/>
          <w:highlight w:val="none"/>
        </w:rPr>
      </w:pPr>
    </w:p>
    <w:p w14:paraId="4FCACBE7">
      <w:pPr>
        <w:snapToGrid w:val="0"/>
        <w:spacing w:before="156" w:beforeLines="50" w:after="50"/>
        <w:rPr>
          <w:rFonts w:ascii="宋体" w:hAnsi="宋体" w:cs="宋体"/>
          <w:bCs/>
          <w:color w:val="auto"/>
          <w:sz w:val="24"/>
          <w:szCs w:val="20"/>
          <w:highlight w:val="none"/>
        </w:rPr>
      </w:pPr>
    </w:p>
    <w:p w14:paraId="42779417">
      <w:pPr>
        <w:snapToGrid w:val="0"/>
        <w:spacing w:before="156" w:beforeLines="50" w:after="50"/>
        <w:rPr>
          <w:rFonts w:ascii="宋体" w:hAnsi="宋体" w:cs="宋体"/>
          <w:bCs/>
          <w:color w:val="auto"/>
          <w:sz w:val="24"/>
          <w:szCs w:val="20"/>
          <w:highlight w:val="none"/>
        </w:rPr>
      </w:pPr>
    </w:p>
    <w:p w14:paraId="77D763F7">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B6524A5">
      <w:pPr>
        <w:snapToGrid w:val="0"/>
        <w:spacing w:before="156" w:beforeLines="50" w:after="50"/>
        <w:ind w:firstLine="720" w:firstLineChars="225"/>
        <w:rPr>
          <w:rFonts w:ascii="宋体" w:hAnsi="宋体" w:cs="宋体"/>
          <w:bCs/>
          <w:color w:val="auto"/>
          <w:sz w:val="32"/>
          <w:szCs w:val="32"/>
          <w:highlight w:val="none"/>
        </w:rPr>
      </w:pPr>
    </w:p>
    <w:p w14:paraId="4E21F8BC">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4ACBC28">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3DDD607">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CE6EEF9">
      <w:pPr>
        <w:snapToGrid w:val="0"/>
        <w:spacing w:before="156" w:beforeLines="50" w:after="50"/>
        <w:ind w:firstLine="720" w:firstLineChars="225"/>
        <w:rPr>
          <w:rFonts w:ascii="宋体" w:hAnsi="宋体" w:cs="宋体"/>
          <w:bCs/>
          <w:color w:val="auto"/>
          <w:sz w:val="32"/>
          <w:szCs w:val="32"/>
          <w:highlight w:val="none"/>
        </w:rPr>
      </w:pPr>
    </w:p>
    <w:p w14:paraId="7E6C23AD">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97FA418">
      <w:pPr>
        <w:pStyle w:val="9"/>
        <w:snapToGrid w:val="0"/>
        <w:spacing w:before="50" w:after="50"/>
        <w:ind w:firstLine="1280" w:firstLineChars="400"/>
        <w:rPr>
          <w:rFonts w:ascii="宋体" w:hAnsi="宋体" w:cs="宋体"/>
          <w:bCs/>
          <w:color w:val="auto"/>
          <w:sz w:val="32"/>
          <w:szCs w:val="32"/>
          <w:highlight w:val="none"/>
        </w:rPr>
      </w:pPr>
    </w:p>
    <w:p w14:paraId="7F1679E2">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B9BA069">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2.报价文件目录</w:t>
      </w:r>
    </w:p>
    <w:p w14:paraId="65FBB3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响应函</w:t>
      </w:r>
      <w:r>
        <w:rPr>
          <w:rFonts w:hint="eastAsia" w:ascii="宋体" w:hAnsi="宋体" w:cs="宋体"/>
          <w:color w:val="auto"/>
          <w:kern w:val="0"/>
          <w:sz w:val="24"/>
          <w:highlight w:val="none"/>
        </w:rPr>
        <w:t>…………………………………………………………………………（页码）</w:t>
      </w:r>
    </w:p>
    <w:p w14:paraId="0B6567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500B3C6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三、中小企业声明函或者残疾人福利性单位声明函或者供应商属于监狱企业的证明材料</w:t>
      </w:r>
      <w:r>
        <w:rPr>
          <w:rFonts w:hint="eastAsia" w:ascii="宋体" w:hAnsi="宋体" w:cs="宋体"/>
          <w:color w:val="auto"/>
          <w:kern w:val="0"/>
          <w:sz w:val="24"/>
          <w:highlight w:val="none"/>
        </w:rPr>
        <w:t>……………………………………………………………………………………（页码）</w:t>
      </w:r>
    </w:p>
    <w:p w14:paraId="61DE251A">
      <w:pPr>
        <w:snapToGrid w:val="0"/>
        <w:spacing w:line="360" w:lineRule="auto"/>
        <w:rPr>
          <w:rFonts w:ascii="宋体" w:hAnsi="宋体" w:cs="宋体"/>
          <w:color w:val="auto"/>
          <w:kern w:val="0"/>
          <w:sz w:val="24"/>
          <w:highlight w:val="none"/>
        </w:rPr>
      </w:pPr>
    </w:p>
    <w:p w14:paraId="68A7BDD6">
      <w:pPr>
        <w:rPr>
          <w:rFonts w:ascii="宋体" w:hAnsi="宋体" w:cs="宋体"/>
          <w:color w:val="auto"/>
          <w:sz w:val="24"/>
          <w:highlight w:val="none"/>
        </w:rPr>
      </w:pPr>
    </w:p>
    <w:p w14:paraId="2D8C48F1">
      <w:pPr>
        <w:snapToGrid w:val="0"/>
        <w:spacing w:before="156" w:beforeLines="50" w:after="50" w:line="360" w:lineRule="auto"/>
        <w:ind w:firstLine="645"/>
        <w:rPr>
          <w:rFonts w:ascii="宋体" w:hAnsi="宋体" w:cs="宋体"/>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r>
        <w:rPr>
          <w:rFonts w:hint="eastAsia" w:ascii="宋体" w:hAnsi="宋体" w:cs="宋体"/>
          <w:color w:val="auto"/>
          <w:sz w:val="24"/>
          <w:highlight w:val="none"/>
        </w:rPr>
        <w:t>。</w:t>
      </w:r>
    </w:p>
    <w:p w14:paraId="29292FEF">
      <w:pPr>
        <w:pStyle w:val="21"/>
        <w:rPr>
          <w:rFonts w:ascii="宋体" w:hAnsi="宋体" w:cs="宋体"/>
          <w:color w:val="auto"/>
          <w:highlight w:val="none"/>
        </w:rPr>
      </w:pPr>
    </w:p>
    <w:p w14:paraId="43D82FCD">
      <w:pPr>
        <w:spacing w:line="520" w:lineRule="exact"/>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一、响应函</w:t>
      </w:r>
    </w:p>
    <w:p w14:paraId="6A29EF80">
      <w:pPr>
        <w:rPr>
          <w:rFonts w:ascii="宋体" w:hAnsi="宋体" w:cs="宋体"/>
          <w:color w:val="auto"/>
          <w:highlight w:val="none"/>
        </w:rPr>
      </w:pPr>
    </w:p>
    <w:p w14:paraId="21D23D6D">
      <w:pPr>
        <w:pStyle w:val="17"/>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（采购人名称）</w:t>
      </w:r>
    </w:p>
    <w:p w14:paraId="6C200362">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）的采购文件的全部内容，授权</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(全权代表姓名</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(职务、职称</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为全权代表，现正式递交下述文件参加贵方组织的本次政府采购活动： </w:t>
      </w:r>
    </w:p>
    <w:p w14:paraId="358CFB98">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一、报价文件电子版一份（包含按供应商须知前附表要求提交的全部文件）；</w:t>
      </w:r>
    </w:p>
    <w:p w14:paraId="0CEBD68A">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二、资格文件电子版一份（包含按供应商须知前附表要求提交的全部文件）；</w:t>
      </w:r>
    </w:p>
    <w:p w14:paraId="082D8216">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三、技术文件电子版一份（包含按供应商须知前附表要求提交的全部文件）；</w:t>
      </w:r>
    </w:p>
    <w:p w14:paraId="0951836D">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四、商务文件电子版一份（包含按供应商须知前附表要求提交的全部文件）；</w:t>
      </w:r>
    </w:p>
    <w:p w14:paraId="7DCB887D">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据此函，签字人兹宣布：</w:t>
      </w:r>
    </w:p>
    <w:p w14:paraId="7B763126">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1、我方愿意以（大写）人民币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 (</w:t>
      </w:r>
      <w:r>
        <w:rPr>
          <w:rFonts w:hint="eastAsia" w:hAnsi="宋体" w:cs="宋体"/>
          <w:color w:val="auto"/>
          <w:sz w:val="24"/>
          <w:szCs w:val="24"/>
          <w:highlight w:val="none"/>
          <w:lang w:val="en-US"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int="eastAsia" w:hAnsi="宋体" w:cs="宋体"/>
          <w:color w:val="auto"/>
          <w:sz w:val="24"/>
          <w:szCs w:val="24"/>
          <w:highlight w:val="none"/>
          <w:lang w:eastAsia="zh-CN"/>
        </w:rPr>
        <w:t>）</w:t>
      </w:r>
      <w:r>
        <w:rPr>
          <w:rFonts w:hint="eastAsia" w:hAnsi="宋体" w:cs="宋体"/>
          <w:color w:val="auto"/>
          <w:sz w:val="24"/>
          <w:szCs w:val="24"/>
          <w:highlight w:val="none"/>
        </w:rPr>
        <w:t>的总报价，服务期限</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w:t>
      </w:r>
      <w:r>
        <w:rPr>
          <w:rFonts w:hint="eastAsia" w:hAnsi="宋体" w:cs="宋体"/>
          <w:color w:val="auto"/>
          <w:sz w:val="24"/>
          <w:szCs w:val="24"/>
          <w:highlight w:val="none"/>
          <w:lang w:val="en-US" w:eastAsia="zh-CN"/>
        </w:rPr>
        <w:t>采购</w:t>
      </w:r>
      <w:r>
        <w:rPr>
          <w:rFonts w:hint="eastAsia" w:hAnsi="宋体" w:cs="宋体"/>
          <w:color w:val="auto"/>
          <w:sz w:val="24"/>
          <w:szCs w:val="24"/>
          <w:highlight w:val="none"/>
        </w:rPr>
        <w:t>文件第三章“采购需求”中的相应的采购内容。</w:t>
      </w:r>
    </w:p>
    <w:p w14:paraId="3BD7E207">
      <w:pPr>
        <w:pStyle w:val="17"/>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2、我方同意自本项目招标文件“第二章 供应商须知”第一节 供应商须知前附表 第21.2项规定的截止时间（开标时间）起遵循本响应函，并承诺在“供应商须知前附表”第17.2项规定的响应有效期内不修改、撤销响应文件。</w:t>
      </w:r>
    </w:p>
    <w:p w14:paraId="7D6AA536">
      <w:pPr>
        <w:pStyle w:val="17"/>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3、我方所递交的响应文件及有关资料都是内容完整、真实和准确的。</w:t>
      </w:r>
    </w:p>
    <w:p w14:paraId="1832AAD6">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4、如本项目采购内容涉及须符合国家强制规定的，我方承诺我方本次</w:t>
      </w:r>
      <w:r>
        <w:rPr>
          <w:rFonts w:hint="eastAsia" w:hAnsi="宋体" w:cs="宋体"/>
          <w:color w:val="auto"/>
          <w:sz w:val="24"/>
          <w:szCs w:val="24"/>
          <w:highlight w:val="none"/>
          <w:lang w:val="en-US" w:eastAsia="zh-CN"/>
        </w:rPr>
        <w:t>竞标</w:t>
      </w:r>
      <w:r>
        <w:rPr>
          <w:rFonts w:hint="eastAsia" w:hAnsi="宋体" w:cs="宋体"/>
          <w:color w:val="auto"/>
          <w:sz w:val="24"/>
          <w:szCs w:val="24"/>
          <w:highlight w:val="none"/>
        </w:rPr>
        <w:t>均符合国家有关强制规定。</w:t>
      </w:r>
    </w:p>
    <w:p w14:paraId="180C4D56">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5、如我方</w:t>
      </w:r>
      <w:r>
        <w:rPr>
          <w:rFonts w:hint="eastAsia" w:hAnsi="宋体" w:cs="宋体"/>
          <w:color w:val="auto"/>
          <w:sz w:val="24"/>
          <w:szCs w:val="24"/>
          <w:highlight w:val="none"/>
          <w:lang w:val="en-US" w:eastAsia="zh-CN"/>
        </w:rPr>
        <w:t>成交</w:t>
      </w:r>
      <w:r>
        <w:rPr>
          <w:rFonts w:hint="eastAsia" w:hAnsi="宋体" w:cs="宋体"/>
          <w:color w:val="auto"/>
          <w:sz w:val="24"/>
          <w:szCs w:val="24"/>
          <w:highlight w:val="none"/>
        </w:rPr>
        <w:t>，我方承诺在收到成交通知书后，在成交通知书规定的期限内，根据采购文件、我方的响应文件及有关澄清承诺书的要求按第六章“合同文本”与采购人订立书面合同，并按照合同约定承担完成合同的责任和义务。</w:t>
      </w:r>
    </w:p>
    <w:p w14:paraId="29CF2C1D">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6、我方已详细审核采购文件，我方知道必须放弃提出含糊不清或误解问题的权利。</w:t>
      </w:r>
    </w:p>
    <w:p w14:paraId="0D9B4F20">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7、我方同意应贵方要求提供与本响应有关的任何数据或资料。若贵方需要，我方愿意提供我方作出的一切承诺的证明材料。</w:t>
      </w:r>
    </w:p>
    <w:p w14:paraId="17B6E500">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8、我方完全理解贵方不一定接受响应报价最低的供应商为成交供应商的行为。</w:t>
      </w:r>
    </w:p>
    <w:p w14:paraId="072F6423">
      <w:pPr>
        <w:pStyle w:val="1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FCA6FE">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35321C51">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528DDA93">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169D05D8">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4D424309">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在招标采购过程中与采购人进行协商磋商的；</w:t>
      </w:r>
    </w:p>
    <w:p w14:paraId="369BCE8F">
      <w:pPr>
        <w:pStyle w:val="17"/>
        <w:numPr>
          <w:ilvl w:val="0"/>
          <w:numId w:val="5"/>
        </w:numPr>
        <w:spacing w:line="440" w:lineRule="exact"/>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0671D807">
      <w:pPr>
        <w:pStyle w:val="17"/>
        <w:spacing w:line="360" w:lineRule="auto"/>
        <w:ind w:firstLine="420"/>
        <w:rPr>
          <w:rFonts w:hAnsi="宋体" w:cs="宋体"/>
          <w:color w:val="auto"/>
          <w:sz w:val="24"/>
          <w:szCs w:val="24"/>
          <w:highlight w:val="none"/>
        </w:rPr>
      </w:pPr>
      <w:r>
        <w:rPr>
          <w:rFonts w:hint="eastAsia" w:hAnsi="宋体" w:cs="宋体"/>
          <w:color w:val="auto"/>
          <w:sz w:val="24"/>
          <w:szCs w:val="24"/>
          <w:highlight w:val="none"/>
        </w:rPr>
        <w:t>10</w:t>
      </w:r>
      <w:r>
        <w:rPr>
          <w:rFonts w:hint="eastAsia" w:hAnsi="宋体" w:cs="宋体"/>
          <w:color w:val="auto"/>
          <w:sz w:val="24"/>
          <w:szCs w:val="24"/>
          <w:highlight w:val="none"/>
          <w:lang w:eastAsia="zh-CN"/>
        </w:rPr>
        <w:t>、</w:t>
      </w:r>
      <w:r>
        <w:rPr>
          <w:rFonts w:hint="eastAsia" w:hAnsi="宋体" w:cs="宋体"/>
          <w:color w:val="auto"/>
          <w:sz w:val="24"/>
          <w:szCs w:val="24"/>
          <w:highlight w:val="none"/>
        </w:rPr>
        <w:t>以上事项如有虚假或隐瞒，我方愿意承担一切后果，并不再寻求任何旨在减轻或免除法律责任的辩解。</w:t>
      </w:r>
    </w:p>
    <w:p w14:paraId="7FC75719">
      <w:pPr>
        <w:pStyle w:val="17"/>
        <w:spacing w:line="360" w:lineRule="auto"/>
        <w:ind w:firstLine="42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、与本响应有关的一切正式往来信函请寄：</w:t>
      </w:r>
    </w:p>
    <w:p w14:paraId="07E022CB">
      <w:pPr>
        <w:pStyle w:val="17"/>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3CEC31D">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4516DAFC">
      <w:pPr>
        <w:pStyle w:val="17"/>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48FA195C">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7FF74E2">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101CA027">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610CC7DA">
      <w:pPr>
        <w:pStyle w:val="17"/>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406B7B9C">
      <w:pPr>
        <w:snapToGrid w:val="0"/>
        <w:spacing w:line="360" w:lineRule="auto"/>
        <w:ind w:firstLine="5040" w:firstLineChars="2100"/>
        <w:rPr>
          <w:rFonts w:ascii="宋体" w:hAnsi="宋体" w:cs="宋体"/>
          <w:color w:val="auto"/>
          <w:kern w:val="0"/>
          <w:sz w:val="24"/>
          <w:highlight w:val="none"/>
          <w:lang w:val="zh-CN"/>
        </w:rPr>
      </w:pPr>
    </w:p>
    <w:p w14:paraId="22778C66">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4ED481C">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C696AB">
      <w:pPr>
        <w:snapToGrid w:val="0"/>
        <w:spacing w:line="360" w:lineRule="auto"/>
        <w:ind w:firstLine="5160" w:firstLineChars="2150"/>
        <w:rPr>
          <w:rFonts w:ascii="宋体" w:hAnsi="宋体" w:cs="宋体"/>
          <w:color w:val="auto"/>
          <w:kern w:val="0"/>
          <w:sz w:val="24"/>
          <w:highlight w:val="none"/>
          <w:lang w:val="zh-CN"/>
        </w:rPr>
      </w:pPr>
    </w:p>
    <w:p w14:paraId="31377EBB">
      <w:pPr>
        <w:spacing w:line="520" w:lineRule="exact"/>
        <w:jc w:val="center"/>
        <w:rPr>
          <w:rFonts w:ascii="宋体" w:hAnsi="宋体" w:cs="宋体"/>
          <w:bCs/>
          <w:color w:val="auto"/>
          <w:sz w:val="32"/>
          <w:szCs w:val="32"/>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二、响应报价表</w:t>
      </w:r>
    </w:p>
    <w:p w14:paraId="4ABC136C">
      <w:pPr>
        <w:spacing w:line="440" w:lineRule="exact"/>
        <w:jc w:val="center"/>
        <w:rPr>
          <w:rFonts w:ascii="宋体" w:hAnsi="宋体" w:cs="宋体"/>
          <w:bCs/>
          <w:color w:val="auto"/>
          <w:sz w:val="32"/>
          <w:szCs w:val="32"/>
          <w:highlight w:val="none"/>
        </w:rPr>
      </w:pPr>
    </w:p>
    <w:p w14:paraId="2F109A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16D5EC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122DE5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分标号（此处有分标时填写具体分标号，无分标时填写“无”）：</w:t>
      </w:r>
      <w:r>
        <w:rPr>
          <w:rFonts w:hint="eastAsia" w:ascii="宋体" w:hAnsi="宋体" w:cs="宋体"/>
          <w:color w:val="auto"/>
          <w:sz w:val="24"/>
          <w:highlight w:val="none"/>
          <w:u w:val="single"/>
        </w:rPr>
        <w:t xml:space="preserve">               </w:t>
      </w:r>
    </w:p>
    <w:p w14:paraId="2674C162">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2446C3">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2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406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D85C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F34C5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617" w:type="dxa"/>
            <w:tcBorders>
              <w:top w:val="single" w:color="auto" w:sz="4" w:space="0"/>
              <w:left w:val="single" w:color="auto" w:sz="4" w:space="0"/>
              <w:bottom w:val="single" w:color="auto" w:sz="4" w:space="0"/>
              <w:right w:val="single" w:color="auto" w:sz="4" w:space="0"/>
            </w:tcBorders>
            <w:vAlign w:val="center"/>
          </w:tcPr>
          <w:p w14:paraId="44BAB6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97365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F58FC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84B1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D8F9A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0C13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5E0D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3E1290F5">
            <w:pPr>
              <w:spacing w:line="360" w:lineRule="auto"/>
              <w:jc w:val="center"/>
              <w:rPr>
                <w:rFonts w:ascii="宋体" w:hAnsi="宋体" w:cs="宋体"/>
                <w:color w:val="auto"/>
                <w:sz w:val="24"/>
                <w:highlight w:val="none"/>
              </w:rPr>
            </w:pPr>
            <w:r>
              <w:rPr>
                <w:rFonts w:hint="default" w:ascii="宋体" w:hAnsi="宋体" w:eastAsia="宋体" w:cs="宋体"/>
                <w:color w:val="auto"/>
                <w:sz w:val="24"/>
                <w:highlight w:val="none"/>
                <w:lang w:val="en-US" w:eastAsia="zh-CN"/>
              </w:rPr>
              <w:t>放疗技术中心CT模拟定位机维保服务</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3年期</w:t>
            </w:r>
            <w:r>
              <w:rPr>
                <w:rFonts w:hint="eastAsia" w:ascii="宋体" w:hAnsi="宋体" w:eastAsia="宋体" w:cs="宋体"/>
                <w:color w:val="auto"/>
                <w:sz w:val="24"/>
                <w:highlight w:val="none"/>
                <w:lang w:val="en-US" w:eastAsia="zh-CN"/>
              </w:rPr>
              <w:t>）</w:t>
            </w:r>
          </w:p>
        </w:tc>
        <w:tc>
          <w:tcPr>
            <w:tcW w:w="617" w:type="dxa"/>
            <w:tcBorders>
              <w:top w:val="single" w:color="auto" w:sz="4" w:space="0"/>
              <w:left w:val="single" w:color="auto" w:sz="4" w:space="0"/>
              <w:bottom w:val="single" w:color="auto" w:sz="4" w:space="0"/>
              <w:right w:val="single" w:color="auto" w:sz="4" w:space="0"/>
            </w:tcBorders>
            <w:vAlign w:val="center"/>
          </w:tcPr>
          <w:p w14:paraId="4A262BE2">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1543494B">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598D71F7">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1ED874E6">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26A9961">
            <w:pPr>
              <w:spacing w:line="360" w:lineRule="auto"/>
              <w:rPr>
                <w:rFonts w:ascii="宋体" w:hAnsi="宋体" w:cs="宋体"/>
                <w:color w:val="auto"/>
                <w:sz w:val="24"/>
                <w:highlight w:val="none"/>
              </w:rPr>
            </w:pPr>
          </w:p>
        </w:tc>
      </w:tr>
      <w:tr w14:paraId="0843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E131E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4CF4237E">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4E9160C1">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1876FB05">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36ABD43E">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7049EFF">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27C17A4">
            <w:pPr>
              <w:spacing w:line="360" w:lineRule="auto"/>
              <w:rPr>
                <w:rFonts w:ascii="宋体" w:hAnsi="宋体" w:cs="宋体"/>
                <w:color w:val="auto"/>
                <w:sz w:val="24"/>
                <w:highlight w:val="none"/>
              </w:rPr>
            </w:pPr>
          </w:p>
        </w:tc>
      </w:tr>
      <w:tr w14:paraId="6B45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0FC96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F300ECF">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B1592C3">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53918505">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0F6BC654">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BB32E2A">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84609DE">
            <w:pPr>
              <w:spacing w:line="360" w:lineRule="auto"/>
              <w:rPr>
                <w:rFonts w:ascii="宋体" w:hAnsi="宋体" w:cs="宋体"/>
                <w:color w:val="auto"/>
                <w:sz w:val="24"/>
                <w:highlight w:val="none"/>
              </w:rPr>
            </w:pPr>
          </w:p>
        </w:tc>
      </w:tr>
      <w:tr w14:paraId="20B3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499F1FB">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hAnsi="宋体" w:cs="宋体"/>
                <w:color w:val="auto"/>
                <w:sz w:val="24"/>
                <w:szCs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571B077">
      <w:pPr>
        <w:rPr>
          <w:rFonts w:ascii="宋体" w:hAnsi="宋体" w:cs="宋体"/>
          <w:color w:val="auto"/>
          <w:sz w:val="24"/>
          <w:highlight w:val="none"/>
        </w:rPr>
      </w:pPr>
    </w:p>
    <w:p w14:paraId="3855A03B">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0101C1">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1.供应商的报价表必须加盖供应商电子公章，</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7848D2CA">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1B2F59F3">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3.如为联合体竞标，盖章处须加盖联合体各方电子公章，</w:t>
      </w:r>
      <w:r>
        <w:rPr>
          <w:rFonts w:hint="eastAsia" w:ascii="宋体" w:hAnsi="宋体" w:cs="宋体"/>
          <w:b/>
          <w:color w:val="auto"/>
          <w:sz w:val="24"/>
          <w:highlight w:val="none"/>
        </w:rPr>
        <w:t>否则其响应文件按无效响应处理。</w:t>
      </w:r>
    </w:p>
    <w:p w14:paraId="1A44D4AB">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pacing w:val="-6"/>
          <w:sz w:val="24"/>
          <w:highlight w:val="none"/>
        </w:rPr>
        <w:t>如有多分标，分别列明各分标的报价表，</w:t>
      </w:r>
      <w:r>
        <w:rPr>
          <w:rFonts w:hint="eastAsia" w:ascii="宋体" w:hAnsi="宋体" w:cs="宋体"/>
          <w:b/>
          <w:color w:val="auto"/>
          <w:spacing w:val="-6"/>
          <w:sz w:val="24"/>
          <w:highlight w:val="none"/>
        </w:rPr>
        <w:t>否则其响应文件按无效响应处理。</w:t>
      </w:r>
    </w:p>
    <w:p w14:paraId="4426A013">
      <w:pPr>
        <w:snapToGrid w:val="0"/>
        <w:spacing w:line="360" w:lineRule="auto"/>
        <w:ind w:firstLine="5040" w:firstLineChars="2100"/>
        <w:rPr>
          <w:rFonts w:ascii="宋体" w:hAnsi="宋体" w:cs="宋体"/>
          <w:color w:val="auto"/>
          <w:kern w:val="0"/>
          <w:sz w:val="24"/>
          <w:highlight w:val="none"/>
          <w:lang w:val="zh-CN"/>
        </w:rPr>
      </w:pPr>
    </w:p>
    <w:p w14:paraId="3E187453">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273119D9">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B30C89">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0933E695">
      <w:pPr>
        <w:spacing w:line="24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、中小企业声明函或者残疾人福利性单位声明函或者供应商属于监狱企业的证明材料</w:t>
      </w:r>
    </w:p>
    <w:p w14:paraId="0B2584E0">
      <w:pPr>
        <w:pStyle w:val="21"/>
        <w:rPr>
          <w:rFonts w:ascii="宋体" w:hAnsi="宋体" w:cs="宋体"/>
          <w:color w:val="auto"/>
          <w:highlight w:val="none"/>
        </w:rPr>
      </w:pPr>
    </w:p>
    <w:p w14:paraId="74FAFB01">
      <w:pPr>
        <w:pStyle w:val="21"/>
        <w:rPr>
          <w:rFonts w:ascii="宋体" w:hAnsi="宋体" w:cs="宋体"/>
          <w:color w:val="auto"/>
          <w:highlight w:val="none"/>
        </w:rPr>
      </w:pPr>
    </w:p>
    <w:p w14:paraId="1C981338">
      <w:pPr>
        <w:pStyle w:val="21"/>
        <w:rPr>
          <w:rFonts w:ascii="宋体" w:hAnsi="宋体" w:cs="宋体"/>
          <w:color w:val="auto"/>
          <w:highlight w:val="none"/>
        </w:rPr>
      </w:pPr>
    </w:p>
    <w:p w14:paraId="04D4C3B0">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14:paraId="4D1755F3">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本公司(联合体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郑重声明，根据“政府采购促进中小企业发展管理办法”(财库〔2020〕46号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的规定，本公司(联合体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w:t>
      </w:r>
      <w:r>
        <w:rPr>
          <w:rFonts w:hint="eastAsia" w:ascii="宋体" w:hAnsi="宋体" w:cs="宋体"/>
          <w:color w:val="auto"/>
          <w:sz w:val="24"/>
          <w:szCs w:val="24"/>
          <w:highlight w:val="none"/>
          <w:u w:val="single"/>
        </w:rPr>
        <w:t xml:space="preserve"> (单位名称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的具体情况如下</w:t>
      </w:r>
      <w:r>
        <w:rPr>
          <w:rFonts w:hint="eastAsia" w:ascii="宋体" w:hAnsi="宋体" w:cs="宋体"/>
          <w:color w:val="auto"/>
          <w:sz w:val="24"/>
          <w:szCs w:val="24"/>
          <w:highlight w:val="none"/>
          <w:lang w:eastAsia="zh-CN"/>
        </w:rPr>
        <w:t>：</w:t>
      </w:r>
    </w:p>
    <w:p w14:paraId="0F06DD90">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w:t>
      </w:r>
    </w:p>
    <w:p w14:paraId="5A7DC19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承接企业为 </w:t>
      </w:r>
      <w:r>
        <w:rPr>
          <w:rFonts w:hint="eastAsia" w:ascii="宋体" w:hAnsi="宋体" w:cs="宋体"/>
          <w:color w:val="auto"/>
          <w:sz w:val="24"/>
          <w:szCs w:val="24"/>
          <w:highlight w:val="none"/>
          <w:u w:val="single"/>
        </w:rPr>
        <w:t>(企业名称2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lang w:eastAsia="zh-CN"/>
        </w:rPr>
        <w:t>；</w:t>
      </w:r>
    </w:p>
    <w:p w14:paraId="478566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4C14D3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27DF6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61DAE0D8">
      <w:pPr>
        <w:spacing w:line="360" w:lineRule="auto"/>
        <w:ind w:firstLine="4320" w:firstLineChars="1800"/>
        <w:rPr>
          <w:rFonts w:ascii="宋体" w:hAnsi="宋体" w:cs="宋体"/>
          <w:color w:val="auto"/>
          <w:sz w:val="24"/>
          <w:highlight w:val="none"/>
        </w:rPr>
      </w:pPr>
    </w:p>
    <w:p w14:paraId="2DC23841">
      <w:pPr>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23729658">
      <w:pPr>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0D43F8F3">
      <w:pPr>
        <w:spacing w:line="360" w:lineRule="auto"/>
        <w:ind w:firstLine="4320" w:firstLineChars="1800"/>
        <w:rPr>
          <w:rFonts w:ascii="宋体" w:hAnsi="宋体" w:cs="宋体"/>
          <w:color w:val="auto"/>
          <w:sz w:val="24"/>
          <w:highlight w:val="none"/>
        </w:rPr>
      </w:pPr>
    </w:p>
    <w:p w14:paraId="336DE3F7">
      <w:pPr>
        <w:spacing w:line="360" w:lineRule="auto"/>
        <w:rPr>
          <w:rFonts w:ascii="宋体" w:hAnsi="宋体" w:cs="宋体"/>
          <w:b/>
          <w:bCs/>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结果公开</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供应商的《中小企业声明函》。从业人员、营业收入、资产总额填报上一年度数据，无上一年度数据的新成立企业可不填报。</w:t>
      </w:r>
    </w:p>
    <w:p w14:paraId="6A05E336">
      <w:pPr>
        <w:pStyle w:val="21"/>
        <w:spacing w:line="276" w:lineRule="auto"/>
        <w:rPr>
          <w:rFonts w:ascii="宋体" w:hAnsi="宋体" w:cs="宋体"/>
          <w:color w:val="auto"/>
          <w:sz w:val="24"/>
          <w:szCs w:val="24"/>
          <w:highlight w:val="none"/>
        </w:rPr>
      </w:pPr>
    </w:p>
    <w:p w14:paraId="2E7552C3">
      <w:pPr>
        <w:pStyle w:val="21"/>
        <w:spacing w:line="276" w:lineRule="auto"/>
        <w:rPr>
          <w:rFonts w:ascii="宋体" w:hAnsi="宋体" w:cs="宋体"/>
          <w:color w:val="auto"/>
          <w:sz w:val="24"/>
          <w:szCs w:val="24"/>
          <w:highlight w:val="none"/>
        </w:rPr>
      </w:pPr>
    </w:p>
    <w:p w14:paraId="12545E5B">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残疾人福利性单位声明函</w:t>
      </w:r>
    </w:p>
    <w:p w14:paraId="46C4A23B">
      <w:pPr>
        <w:spacing w:line="520" w:lineRule="exact"/>
        <w:rPr>
          <w:rFonts w:ascii="宋体" w:hAnsi="宋体" w:cs="宋体"/>
          <w:color w:val="auto"/>
          <w:sz w:val="24"/>
          <w:szCs w:val="24"/>
          <w:highlight w:val="none"/>
        </w:rPr>
      </w:pPr>
    </w:p>
    <w:p w14:paraId="69D6901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项目采购活动由本单位提供服务。</w:t>
      </w:r>
    </w:p>
    <w:p w14:paraId="56191F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6233947D">
      <w:pPr>
        <w:spacing w:line="360" w:lineRule="auto"/>
        <w:rPr>
          <w:rFonts w:ascii="宋体" w:hAnsi="宋体" w:cs="宋体"/>
          <w:color w:val="auto"/>
          <w:sz w:val="24"/>
          <w:szCs w:val="24"/>
          <w:highlight w:val="none"/>
        </w:rPr>
      </w:pPr>
    </w:p>
    <w:p w14:paraId="19405FD3">
      <w:pPr>
        <w:spacing w:line="360" w:lineRule="auto"/>
        <w:rPr>
          <w:rFonts w:ascii="宋体" w:hAnsi="宋体" w:cs="宋体"/>
          <w:color w:val="auto"/>
          <w:sz w:val="24"/>
          <w:szCs w:val="24"/>
          <w:highlight w:val="none"/>
        </w:rPr>
      </w:pPr>
    </w:p>
    <w:p w14:paraId="40365E3D">
      <w:pPr>
        <w:spacing w:line="276" w:lineRule="auto"/>
        <w:ind w:firstLine="4320" w:firstLineChars="1800"/>
        <w:rPr>
          <w:rFonts w:ascii="宋体" w:hAnsi="宋体" w:cs="宋体"/>
          <w:color w:val="auto"/>
          <w:sz w:val="24"/>
          <w:szCs w:val="24"/>
          <w:highlight w:val="none"/>
        </w:rPr>
      </w:pPr>
    </w:p>
    <w:p w14:paraId="2CC296C9">
      <w:pPr>
        <w:spacing w:line="276" w:lineRule="auto"/>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供应商名称（电子签章）：</w:t>
      </w:r>
    </w:p>
    <w:p w14:paraId="4A52A2F8">
      <w:pPr>
        <w:spacing w:line="276" w:lineRule="auto"/>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B8D8451">
      <w:pPr>
        <w:spacing w:line="360" w:lineRule="auto"/>
        <w:rPr>
          <w:rFonts w:ascii="宋体" w:hAnsi="宋体" w:cs="宋体"/>
          <w:color w:val="auto"/>
          <w:sz w:val="24"/>
          <w:szCs w:val="24"/>
          <w:highlight w:val="none"/>
        </w:rPr>
      </w:pPr>
    </w:p>
    <w:p w14:paraId="530DFDBB">
      <w:pPr>
        <w:spacing w:line="360" w:lineRule="auto"/>
        <w:rPr>
          <w:rFonts w:ascii="宋体" w:hAnsi="宋体" w:cs="宋体"/>
          <w:color w:val="auto"/>
          <w:sz w:val="24"/>
          <w:szCs w:val="24"/>
          <w:highlight w:val="none"/>
        </w:rPr>
      </w:pPr>
    </w:p>
    <w:p w14:paraId="22301867">
      <w:pPr>
        <w:spacing w:line="360" w:lineRule="auto"/>
        <w:rPr>
          <w:rFonts w:ascii="宋体" w:hAnsi="宋体" w:cs="宋体"/>
          <w:color w:val="auto"/>
          <w:sz w:val="24"/>
          <w:szCs w:val="24"/>
          <w:highlight w:val="none"/>
        </w:rPr>
      </w:pPr>
    </w:p>
    <w:p w14:paraId="07C8F25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1F14681">
      <w:pPr>
        <w:pStyle w:val="21"/>
        <w:spacing w:line="276" w:lineRule="auto"/>
        <w:rPr>
          <w:rFonts w:ascii="宋体" w:hAnsi="宋体" w:cs="宋体"/>
          <w:color w:val="auto"/>
          <w:sz w:val="24"/>
          <w:szCs w:val="24"/>
          <w:highlight w:val="none"/>
        </w:rPr>
      </w:pPr>
    </w:p>
    <w:p w14:paraId="0EFE6C43">
      <w:pPr>
        <w:snapToGrid w:val="0"/>
        <w:spacing w:line="360" w:lineRule="auto"/>
        <w:ind w:firstLine="5160" w:firstLineChars="2150"/>
        <w:rPr>
          <w:rFonts w:hint="eastAsia" w:ascii="宋体" w:hAnsi="宋体" w:cs="宋体"/>
          <w:color w:val="auto"/>
          <w:kern w:val="0"/>
          <w:sz w:val="24"/>
          <w:highlight w:val="none"/>
          <w:lang w:val="zh-CN"/>
        </w:rPr>
      </w:pPr>
    </w:p>
    <w:p w14:paraId="426A2D3F">
      <w:pPr>
        <w:spacing w:line="300" w:lineRule="auto"/>
        <w:rPr>
          <w:rFonts w:ascii="宋体" w:hAnsi="宋体" w:cs="宋体"/>
          <w:color w:val="auto"/>
          <w:sz w:val="24"/>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24"/>
          <w:highlight w:val="none"/>
        </w:rPr>
        <w:t>其他文书、文件格式</w:t>
      </w:r>
    </w:p>
    <w:p w14:paraId="65C92783">
      <w:pPr>
        <w:spacing w:line="360" w:lineRule="auto"/>
        <w:jc w:val="center"/>
        <w:rPr>
          <w:rFonts w:ascii="宋体" w:hAnsi="宋体" w:cs="宋体"/>
          <w:b/>
          <w:bCs/>
          <w:color w:val="auto"/>
          <w:sz w:val="32"/>
          <w:szCs w:val="32"/>
          <w:highlight w:val="none"/>
        </w:rPr>
      </w:pPr>
    </w:p>
    <w:p w14:paraId="55CA0FEA">
      <w:pPr>
        <w:pStyle w:val="21"/>
        <w:rPr>
          <w:rFonts w:ascii="宋体" w:hAnsi="宋体" w:cs="宋体"/>
          <w:color w:val="auto"/>
          <w:highlight w:val="none"/>
        </w:rPr>
      </w:pPr>
    </w:p>
    <w:p w14:paraId="46270384">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D2ABA68">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07E5E3C">
      <w:pPr>
        <w:rPr>
          <w:rFonts w:ascii="宋体" w:hAnsi="宋体" w:cs="宋体"/>
          <w:color w:val="auto"/>
          <w:sz w:val="28"/>
          <w:szCs w:val="28"/>
          <w:highlight w:val="none"/>
          <w:lang w:val="en"/>
        </w:rPr>
      </w:pPr>
      <w:r>
        <w:rPr>
          <w:rFonts w:hint="eastAsia" w:ascii="宋体" w:hAnsi="宋体" w:cs="宋体"/>
          <w:color w:val="auto"/>
          <w:sz w:val="30"/>
          <w:szCs w:val="30"/>
          <w:highlight w:val="none"/>
        </w:rPr>
        <w:t xml:space="preserve">   </w:t>
      </w:r>
      <w:r>
        <w:rPr>
          <w:rFonts w:hint="eastAsia" w:ascii="宋体" w:hAnsi="宋体" w:cs="宋体"/>
          <w:color w:val="auto"/>
          <w:sz w:val="28"/>
          <w:szCs w:val="28"/>
          <w:highlight w:val="none"/>
        </w:rPr>
        <w:t xml:space="preserve"> 本</w:t>
      </w:r>
      <w:r>
        <w:rPr>
          <w:rFonts w:hint="eastAsia" w:ascii="宋体" w:hAnsi="宋体" w:cs="宋体"/>
          <w:color w:val="auto"/>
          <w:sz w:val="28"/>
          <w:szCs w:val="28"/>
          <w:highlight w:val="none"/>
          <w:lang w:val="en"/>
        </w:rPr>
        <w:t>企业（单位）自愿参与政府投资政府采购的</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u w:val="single"/>
          <w:lang w:val="en-US" w:eastAsia="zh-CN"/>
        </w:rPr>
        <w:t xml:space="preserve">（项目名称） </w:t>
      </w:r>
      <w:r>
        <w:rPr>
          <w:rFonts w:hint="eastAsia" w:ascii="宋体" w:hAnsi="宋体" w:cs="宋体"/>
          <w:color w:val="auto"/>
          <w:sz w:val="28"/>
          <w:szCs w:val="28"/>
          <w:highlight w:val="none"/>
          <w:lang w:val="en"/>
        </w:rPr>
        <w:t>，</w:t>
      </w:r>
      <w:r>
        <w:rPr>
          <w:rFonts w:hint="eastAsia" w:ascii="宋体" w:hAnsi="宋体" w:cs="宋体"/>
          <w:b/>
          <w:bCs/>
          <w:color w:val="auto"/>
          <w:sz w:val="28"/>
          <w:szCs w:val="28"/>
          <w:highlight w:val="none"/>
          <w:lang w:val="en"/>
        </w:rPr>
        <w:t>在此郑重承诺：</w:t>
      </w:r>
      <w:r>
        <w:rPr>
          <w:rFonts w:hint="eastAsia" w:ascii="宋体" w:hAnsi="宋体" w:cs="宋体"/>
          <w:color w:val="auto"/>
          <w:sz w:val="28"/>
          <w:szCs w:val="28"/>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3743236">
      <w:pPr>
        <w:snapToGrid w:val="0"/>
        <w:spacing w:line="360" w:lineRule="auto"/>
        <w:ind w:left="5956" w:leftChars="1736" w:hanging="2310" w:hangingChars="825"/>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0378D78B">
      <w:pPr>
        <w:pStyle w:val="21"/>
        <w:spacing w:line="360" w:lineRule="auto"/>
        <w:jc w:val="right"/>
        <w:rPr>
          <w:rFonts w:ascii="宋体" w:hAnsi="宋体" w:cs="宋体"/>
          <w:color w:val="auto"/>
          <w:sz w:val="28"/>
          <w:szCs w:val="28"/>
          <w:highlight w:val="none"/>
        </w:rPr>
      </w:pPr>
      <w:r>
        <w:rPr>
          <w:rFonts w:hint="eastAsia" w:ascii="宋体" w:hAnsi="宋体" w:cs="宋体"/>
          <w:color w:val="auto"/>
          <w:sz w:val="28"/>
          <w:szCs w:val="28"/>
          <w:highlight w:val="none"/>
        </w:rPr>
        <w:t>供应商名称（电子签章）：</w:t>
      </w:r>
    </w:p>
    <w:p w14:paraId="10520391">
      <w:pPr>
        <w:pStyle w:val="21"/>
        <w:spacing w:line="360" w:lineRule="auto"/>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0FEE9379">
      <w:pPr>
        <w:pStyle w:val="21"/>
        <w:jc w:val="right"/>
        <w:rPr>
          <w:rFonts w:ascii="宋体" w:hAnsi="宋体" w:cs="宋体"/>
          <w:color w:val="auto"/>
          <w:sz w:val="28"/>
          <w:szCs w:val="28"/>
          <w:highlight w:val="none"/>
        </w:rPr>
      </w:pPr>
    </w:p>
    <w:p w14:paraId="237BCC36">
      <w:pPr>
        <w:pStyle w:val="21"/>
        <w:jc w:val="right"/>
        <w:rPr>
          <w:rFonts w:ascii="宋体" w:hAnsi="宋体" w:cs="宋体"/>
          <w:color w:val="auto"/>
          <w:sz w:val="28"/>
          <w:szCs w:val="28"/>
          <w:highlight w:val="none"/>
        </w:rPr>
      </w:pPr>
    </w:p>
    <w:p w14:paraId="5E2CC8C2">
      <w:pPr>
        <w:pStyle w:val="21"/>
        <w:jc w:val="right"/>
        <w:rPr>
          <w:rFonts w:ascii="宋体" w:hAnsi="宋体" w:cs="宋体"/>
          <w:color w:val="auto"/>
          <w:sz w:val="28"/>
          <w:szCs w:val="28"/>
          <w:highlight w:val="none"/>
        </w:rPr>
      </w:pPr>
    </w:p>
    <w:p w14:paraId="377E3569">
      <w:pPr>
        <w:pStyle w:val="21"/>
        <w:jc w:val="right"/>
        <w:rPr>
          <w:rFonts w:ascii="宋体" w:hAnsi="宋体" w:cs="宋体"/>
          <w:color w:val="auto"/>
          <w:highlight w:val="none"/>
        </w:rPr>
      </w:pPr>
    </w:p>
    <w:p w14:paraId="2820B7B9">
      <w:pPr>
        <w:spacing w:line="360" w:lineRule="auto"/>
        <w:jc w:val="center"/>
        <w:rPr>
          <w:rFonts w:ascii="宋体" w:hAnsi="宋体" w:cs="宋体"/>
          <w:b/>
          <w:bCs/>
          <w:color w:val="auto"/>
          <w:sz w:val="32"/>
          <w:szCs w:val="32"/>
          <w:highlight w:val="none"/>
        </w:rPr>
      </w:pPr>
      <w:r>
        <w:rPr>
          <w:rFonts w:hint="eastAsia" w:ascii="宋体" w:hAnsi="宋体" w:cs="宋体"/>
          <w:bCs/>
          <w:color w:val="auto"/>
          <w:sz w:val="32"/>
          <w:szCs w:val="32"/>
          <w:highlight w:val="none"/>
        </w:rPr>
        <w:br w:type="page"/>
      </w:r>
      <w:r>
        <w:rPr>
          <w:rFonts w:hint="eastAsia" w:ascii="宋体" w:hAnsi="宋体" w:cs="宋体"/>
          <w:b/>
          <w:bCs/>
          <w:color w:val="auto"/>
          <w:sz w:val="32"/>
          <w:szCs w:val="32"/>
          <w:highlight w:val="none"/>
        </w:rPr>
        <w:t>质疑函（格式）</w:t>
      </w:r>
    </w:p>
    <w:p w14:paraId="760B3904">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26AF2AEC">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E3FF101">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28596B9">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CF0E023">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22CDABC4">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554AAF2">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DA0877A">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364B6BD6">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E8DE1AC">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65" w:name="PO_3000001871_PM001_9"/>
      <w:bookmarkEnd w:id="165"/>
      <w:r>
        <w:rPr>
          <w:rFonts w:hint="eastAsia" w:hAnsi="宋体" w:cs="宋体"/>
          <w:bCs/>
          <w:color w:val="auto"/>
          <w:sz w:val="24"/>
          <w:szCs w:val="24"/>
          <w:highlight w:val="none"/>
          <w:u w:val="single"/>
        </w:rPr>
        <w:t xml:space="preserve">                 </w:t>
      </w:r>
    </w:p>
    <w:p w14:paraId="1A2210D9">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B610EE3">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3933685A">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45EA828">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0C4322C0">
      <w:pPr>
        <w:pStyle w:val="17"/>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410FB9CC">
      <w:pPr>
        <w:pStyle w:val="17"/>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E972945">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95FE728">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788EDDC6">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7BD7CE61">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42219915">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0B8013E9">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53E3B7B8">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D0C3371">
      <w:pPr>
        <w:rPr>
          <w:rFonts w:ascii="宋体" w:hAnsi="宋体" w:cs="宋体"/>
          <w:color w:val="auto"/>
          <w:highlight w:val="none"/>
        </w:rPr>
      </w:pPr>
      <w:r>
        <w:rPr>
          <w:rFonts w:hint="eastAsia" w:ascii="宋体" w:hAnsi="宋体" w:cs="宋体"/>
          <w:color w:val="auto"/>
          <w:highlight w:val="none"/>
        </w:rPr>
        <w:t xml:space="preserve"> </w:t>
      </w:r>
    </w:p>
    <w:p w14:paraId="5AD3A4D2">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14277EF3">
      <w:pPr>
        <w:rPr>
          <w:rFonts w:ascii="宋体" w:hAnsi="宋体" w:cs="宋体"/>
          <w:color w:val="auto"/>
          <w:highlight w:val="none"/>
        </w:rPr>
      </w:pPr>
      <w:r>
        <w:rPr>
          <w:rFonts w:hint="eastAsia" w:ascii="宋体" w:hAnsi="宋体" w:cs="宋体"/>
          <w:color w:val="auto"/>
          <w:highlight w:val="none"/>
        </w:rPr>
        <w:t xml:space="preserve"> </w:t>
      </w:r>
    </w:p>
    <w:p w14:paraId="196577B1">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5F8EF1B2">
      <w:pPr>
        <w:pStyle w:val="17"/>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 xml:space="preserve"> </w:t>
      </w:r>
    </w:p>
    <w:p w14:paraId="0C960EFF">
      <w:pPr>
        <w:pStyle w:val="17"/>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rPr>
        <w:t>说明：</w:t>
      </w:r>
    </w:p>
    <w:p w14:paraId="372EFC78">
      <w:pPr>
        <w:pStyle w:val="17"/>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6F3AF9F0">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DD1C1D">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901BE2D">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3EC0109">
      <w:pPr>
        <w:pStyle w:val="17"/>
        <w:spacing w:line="360" w:lineRule="auto"/>
        <w:ind w:left="25" w:leftChars="12" w:firstLine="354" w:firstLineChars="147"/>
        <w:contextualSpacing/>
        <w:rPr>
          <w:rFonts w:hAnsi="宋体" w:cs="宋体"/>
          <w:b/>
          <w:color w:val="auto"/>
          <w:szCs w:val="20"/>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1E282061">
      <w:pPr>
        <w:pStyle w:val="17"/>
        <w:snapToGrid w:val="0"/>
        <w:rPr>
          <w:rFonts w:hAnsi="宋体" w:cs="宋体"/>
          <w:b/>
          <w:color w:val="auto"/>
          <w:sz w:val="24"/>
          <w:szCs w:val="24"/>
          <w:highlight w:val="none"/>
        </w:rPr>
      </w:pPr>
      <w:r>
        <w:rPr>
          <w:rFonts w:hint="eastAsia" w:hAnsi="宋体" w:cs="宋体"/>
          <w:b/>
          <w:color w:val="auto"/>
          <w:sz w:val="24"/>
          <w:szCs w:val="24"/>
          <w:highlight w:val="none"/>
        </w:rPr>
        <w:t xml:space="preserve"> </w:t>
      </w:r>
    </w:p>
    <w:p w14:paraId="122FF328">
      <w:pPr>
        <w:spacing w:line="46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46862453">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350ECC14">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69FB11A7">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AE9ECC0">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F638DCB">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3821163">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25035E3D">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3BB4984">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6952C94A">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65D4620">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1A03D3E2">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p>
    <w:p w14:paraId="5523440B">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5D1B27E">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B5AEA13">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698DBE74">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19B5ECDA">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48B07F0C">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059BA056">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5358E9D">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A9748E0">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51B29431">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bookmarkStart w:id="166" w:name="PO_3000001871_PM001_10"/>
      <w:bookmarkEnd w:id="166"/>
      <w:r>
        <w:rPr>
          <w:rFonts w:hint="eastAsia" w:hAnsi="宋体" w:cs="宋体"/>
          <w:bCs/>
          <w:color w:val="auto"/>
          <w:sz w:val="24"/>
          <w:szCs w:val="24"/>
          <w:highlight w:val="none"/>
          <w:u w:val="single"/>
        </w:rPr>
        <w:t xml:space="preserve">                      </w:t>
      </w:r>
    </w:p>
    <w:p w14:paraId="4CFD60D2">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DB91048">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bookmarkStart w:id="167" w:name="PO_3000001871_PM031_5"/>
      <w:bookmarkEnd w:id="167"/>
      <w:r>
        <w:rPr>
          <w:rFonts w:hint="eastAsia" w:hAnsi="宋体" w:cs="宋体"/>
          <w:bCs/>
          <w:color w:val="auto"/>
          <w:sz w:val="24"/>
          <w:szCs w:val="24"/>
          <w:highlight w:val="none"/>
          <w:u w:val="single"/>
        </w:rPr>
        <w:t xml:space="preserve">                        </w:t>
      </w:r>
    </w:p>
    <w:p w14:paraId="61A2D94A">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40B421CE">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661187C">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916D408">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C281143">
      <w:pPr>
        <w:pStyle w:val="17"/>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B7C1B64">
      <w:pPr>
        <w:pStyle w:val="17"/>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D87D7FA">
      <w:pPr>
        <w:pStyle w:val="1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47C7D4C1">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08149D6">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A81B2FA">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31017D2">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33EA9E40">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FD6CB4B">
      <w:pPr>
        <w:pStyle w:val="17"/>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AA4D9E7">
      <w:pPr>
        <w:pStyle w:val="17"/>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9AFB0D7">
      <w:pPr>
        <w:pStyle w:val="17"/>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2193238">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FFAF649">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D8B0D81">
      <w:pPr>
        <w:rPr>
          <w:rFonts w:ascii="宋体" w:hAnsi="宋体" w:cs="宋体"/>
          <w:color w:val="auto"/>
          <w:highlight w:val="none"/>
        </w:rPr>
      </w:pPr>
      <w:r>
        <w:rPr>
          <w:rFonts w:hint="eastAsia" w:ascii="宋体" w:hAnsi="宋体" w:cs="宋体"/>
          <w:color w:val="auto"/>
          <w:highlight w:val="none"/>
        </w:rPr>
        <w:t xml:space="preserve"> </w:t>
      </w:r>
    </w:p>
    <w:p w14:paraId="6C920874">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DEA6762">
      <w:pPr>
        <w:rPr>
          <w:rFonts w:ascii="宋体" w:hAnsi="宋体" w:cs="宋体"/>
          <w:color w:val="auto"/>
          <w:highlight w:val="none"/>
        </w:rPr>
      </w:pPr>
      <w:r>
        <w:rPr>
          <w:rFonts w:hint="eastAsia" w:ascii="宋体" w:hAnsi="宋体" w:cs="宋体"/>
          <w:color w:val="auto"/>
          <w:highlight w:val="none"/>
        </w:rPr>
        <w:t xml:space="preserve"> </w:t>
      </w:r>
    </w:p>
    <w:p w14:paraId="5435AEED">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F8B30F7">
      <w:pPr>
        <w:rPr>
          <w:rFonts w:ascii="宋体" w:hAnsi="宋体" w:cs="宋体"/>
          <w:color w:val="auto"/>
          <w:highlight w:val="none"/>
        </w:rPr>
      </w:pPr>
    </w:p>
    <w:p w14:paraId="3DDFD2AE">
      <w:pPr>
        <w:pStyle w:val="1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3838DA5">
      <w:pPr>
        <w:pStyle w:val="17"/>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70AE088">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E7B5CBC">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9227B33">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83D1B0F">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7471709A">
      <w:pPr>
        <w:pStyle w:val="17"/>
        <w:spacing w:line="360" w:lineRule="auto"/>
        <w:ind w:left="25" w:leftChars="12" w:firstLine="354" w:firstLineChars="147"/>
        <w:rPr>
          <w:rFonts w:hAnsi="宋体" w:cs="宋体"/>
          <w:b/>
          <w:color w:val="auto"/>
          <w:szCs w:val="20"/>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27F732E">
      <w:pPr>
        <w:pStyle w:val="17"/>
        <w:snapToGrid w:val="0"/>
        <w:rPr>
          <w:rFonts w:hAnsi="宋体" w:cs="宋体"/>
          <w:b/>
          <w:color w:val="auto"/>
          <w:sz w:val="24"/>
          <w:szCs w:val="24"/>
          <w:highlight w:val="none"/>
        </w:rPr>
      </w:pPr>
    </w:p>
    <w:p w14:paraId="08B166C6">
      <w:pPr>
        <w:rPr>
          <w:rFonts w:ascii="宋体" w:hAnsi="宋体" w:cs="宋体"/>
          <w:color w:val="auto"/>
          <w:highlight w:val="none"/>
        </w:rPr>
      </w:pPr>
      <w:r>
        <w:rPr>
          <w:rFonts w:hint="eastAsia" w:ascii="宋体" w:hAnsi="宋体" w:cs="宋体"/>
          <w:b/>
          <w:bCs/>
          <w:color w:val="auto"/>
          <w:sz w:val="28"/>
          <w:szCs w:val="28"/>
          <w:highlight w:val="none"/>
        </w:rPr>
        <w:t>磋商保证金退还申请（格式）</w:t>
      </w:r>
      <w:r>
        <w:rPr>
          <w:rFonts w:hint="eastAsia" w:ascii="宋体" w:hAnsi="宋体" w:cs="宋体"/>
          <w:b/>
          <w:bCs/>
          <w:color w:val="auto"/>
          <w:highlight w:val="none"/>
        </w:rPr>
        <w:t>：</w:t>
      </w:r>
      <w:r>
        <w:rPr>
          <w:rFonts w:hint="eastAsia" w:ascii="宋体" w:hAnsi="宋体" w:cs="宋体"/>
          <w:color w:val="auto"/>
          <w:sz w:val="28"/>
          <w:szCs w:val="28"/>
          <w:highlight w:val="none"/>
        </w:rPr>
        <w:t>供参考</w:t>
      </w:r>
    </w:p>
    <w:p w14:paraId="52F024F9">
      <w:pPr>
        <w:jc w:val="center"/>
        <w:rPr>
          <w:rFonts w:ascii="宋体" w:hAnsi="宋体" w:cs="宋体"/>
          <w:color w:val="auto"/>
          <w:sz w:val="32"/>
          <w:szCs w:val="32"/>
          <w:highlight w:val="none"/>
        </w:rPr>
      </w:pPr>
    </w:p>
    <w:p w14:paraId="602DAEE7">
      <w:pPr>
        <w:jc w:val="center"/>
        <w:rPr>
          <w:rFonts w:ascii="宋体" w:hAnsi="宋体" w:cs="宋体"/>
          <w:color w:val="auto"/>
          <w:sz w:val="32"/>
          <w:szCs w:val="32"/>
          <w:highlight w:val="none"/>
        </w:rPr>
      </w:pPr>
      <w:r>
        <w:rPr>
          <w:rFonts w:hint="eastAsia" w:ascii="宋体" w:hAnsi="宋体" w:cs="宋体"/>
          <w:color w:val="auto"/>
          <w:sz w:val="32"/>
          <w:szCs w:val="32"/>
          <w:highlight w:val="none"/>
        </w:rPr>
        <w:t>退磋商保证金申请函</w:t>
      </w:r>
    </w:p>
    <w:p w14:paraId="3455A7F2">
      <w:pPr>
        <w:rPr>
          <w:rFonts w:ascii="宋体" w:hAnsi="宋体" w:cs="宋体"/>
          <w:color w:val="auto"/>
          <w:highlight w:val="none"/>
        </w:rPr>
      </w:pPr>
    </w:p>
    <w:p w14:paraId="26BFC1FC">
      <w:pPr>
        <w:spacing w:line="360" w:lineRule="auto"/>
        <w:rPr>
          <w:rFonts w:ascii="宋体" w:hAnsi="宋体" w:cs="宋体"/>
          <w:color w:val="auto"/>
          <w:szCs w:val="21"/>
          <w:highlight w:val="none"/>
        </w:rPr>
      </w:pPr>
      <w:r>
        <w:rPr>
          <w:rFonts w:hint="eastAsia" w:ascii="宋体" w:hAnsi="宋体" w:cs="宋体"/>
          <w:color w:val="auto"/>
          <w:szCs w:val="21"/>
          <w:highlight w:val="none"/>
        </w:rPr>
        <w:t>广西中信恒泰工程顾问有限公司：</w:t>
      </w:r>
    </w:p>
    <w:p w14:paraId="796C6D86">
      <w:pPr>
        <w:spacing w:line="360" w:lineRule="auto"/>
        <w:ind w:firstLine="660"/>
        <w:rPr>
          <w:rFonts w:ascii="宋体" w:hAnsi="宋体" w:cs="宋体"/>
          <w:color w:val="auto"/>
          <w:szCs w:val="21"/>
          <w:highlight w:val="none"/>
        </w:rPr>
      </w:pPr>
      <w:r>
        <w:rPr>
          <w:rFonts w:hint="eastAsia" w:ascii="宋体" w:hAnsi="宋体" w:cs="宋体"/>
          <w:color w:val="auto"/>
          <w:szCs w:val="21"/>
          <w:highlight w:val="none"/>
        </w:rPr>
        <w:t>兹有我单位参加贵公司组织采购的</w:t>
      </w:r>
      <w:r>
        <w:rPr>
          <w:rFonts w:hint="eastAsia" w:ascii="宋体" w:hAnsi="宋体" w:cs="宋体"/>
          <w:color w:val="auto"/>
          <w:szCs w:val="21"/>
          <w:highlight w:val="none"/>
          <w:u w:val="single"/>
        </w:rPr>
        <w:t xml:space="preserve">      项目（项目编号：    ）</w:t>
      </w:r>
      <w:r>
        <w:rPr>
          <w:rFonts w:hint="eastAsia" w:ascii="宋体" w:hAnsi="宋体" w:cs="宋体"/>
          <w:color w:val="auto"/>
          <w:szCs w:val="21"/>
          <w:highlight w:val="none"/>
        </w:rPr>
        <w:t>的磋商，于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日以</w:t>
      </w:r>
      <w:r>
        <w:rPr>
          <w:rFonts w:hint="eastAsia" w:ascii="宋体" w:hAnsi="宋体" w:cs="宋体"/>
          <w:color w:val="auto"/>
          <w:szCs w:val="21"/>
          <w:highlight w:val="none"/>
          <w:u w:val="single"/>
        </w:rPr>
        <w:t xml:space="preserve"> 转账 </w:t>
      </w:r>
      <w:r>
        <w:rPr>
          <w:rFonts w:hint="eastAsia" w:ascii="宋体" w:hAnsi="宋体" w:cs="宋体"/>
          <w:color w:val="auto"/>
          <w:szCs w:val="21"/>
          <w:highlight w:val="none"/>
        </w:rPr>
        <w:t>形式缴纳磋商保证金</w:t>
      </w:r>
      <w:r>
        <w:rPr>
          <w:rFonts w:hint="eastAsia" w:ascii="宋体" w:hAnsi="宋体" w:cs="宋体"/>
          <w:color w:val="auto"/>
          <w:szCs w:val="21"/>
          <w:highlight w:val="none"/>
          <w:u w:val="single"/>
        </w:rPr>
        <w:t xml:space="preserve">       元整（¥     ）</w:t>
      </w:r>
      <w:r>
        <w:rPr>
          <w:rFonts w:hint="eastAsia" w:ascii="宋体" w:hAnsi="宋体" w:cs="宋体"/>
          <w:color w:val="auto"/>
          <w:szCs w:val="21"/>
          <w:highlight w:val="none"/>
        </w:rPr>
        <w:t>，该项目于</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日开标，本单位</w:t>
      </w:r>
      <w:r>
        <w:rPr>
          <w:rFonts w:hint="eastAsia" w:ascii="宋体" w:hAnsi="宋体" w:cs="宋体"/>
          <w:color w:val="auto"/>
          <w:szCs w:val="21"/>
          <w:highlight w:val="none"/>
          <w:u w:val="single"/>
        </w:rPr>
        <w:t>中标/不中标</w:t>
      </w:r>
      <w:r>
        <w:rPr>
          <w:rFonts w:hint="eastAsia" w:ascii="宋体" w:hAnsi="宋体" w:cs="宋体"/>
          <w:color w:val="auto"/>
          <w:szCs w:val="21"/>
          <w:highlight w:val="none"/>
        </w:rPr>
        <w:t>，且对此次采购的结果无任何异议，请贵公司将该项磋商保证金给予办理退还，并退还到我单位以下账户中：</w:t>
      </w:r>
    </w:p>
    <w:p w14:paraId="2E365E28">
      <w:pPr>
        <w:spacing w:line="360" w:lineRule="auto"/>
        <w:ind w:firstLine="660"/>
        <w:rPr>
          <w:rFonts w:ascii="宋体" w:hAnsi="宋体" w:cs="宋体"/>
          <w:color w:val="auto"/>
          <w:szCs w:val="21"/>
          <w:highlight w:val="none"/>
        </w:rPr>
      </w:pPr>
      <w:r>
        <w:rPr>
          <w:rFonts w:hint="eastAsia" w:ascii="宋体" w:hAnsi="宋体" w:cs="宋体"/>
          <w:b/>
          <w:color w:val="auto"/>
          <w:szCs w:val="21"/>
          <w:highlight w:val="none"/>
        </w:rPr>
        <w:t>单位名称：</w:t>
      </w:r>
      <w:r>
        <w:rPr>
          <w:rFonts w:hint="eastAsia" w:ascii="宋体" w:hAnsi="宋体" w:cs="宋体"/>
          <w:bCs/>
          <w:color w:val="auto"/>
          <w:szCs w:val="21"/>
          <w:highlight w:val="none"/>
        </w:rPr>
        <w:t xml:space="preserve"> </w:t>
      </w:r>
    </w:p>
    <w:p w14:paraId="4F38D1D3">
      <w:pPr>
        <w:spacing w:line="360" w:lineRule="auto"/>
        <w:ind w:firstLine="660"/>
        <w:rPr>
          <w:rFonts w:ascii="宋体" w:hAnsi="宋体" w:cs="宋体"/>
          <w:color w:val="auto"/>
          <w:szCs w:val="21"/>
          <w:highlight w:val="none"/>
        </w:rPr>
      </w:pPr>
      <w:r>
        <w:rPr>
          <w:rFonts w:hint="eastAsia" w:ascii="宋体" w:hAnsi="宋体" w:cs="宋体"/>
          <w:b/>
          <w:color w:val="auto"/>
          <w:szCs w:val="21"/>
          <w:highlight w:val="none"/>
        </w:rPr>
        <w:t>开户银行：</w:t>
      </w:r>
      <w:r>
        <w:rPr>
          <w:rFonts w:hint="eastAsia" w:ascii="宋体" w:hAnsi="宋体" w:cs="宋体"/>
          <w:color w:val="auto"/>
          <w:szCs w:val="21"/>
          <w:highlight w:val="none"/>
        </w:rPr>
        <w:t xml:space="preserve">  </w:t>
      </w:r>
    </w:p>
    <w:p w14:paraId="413CE287">
      <w:pPr>
        <w:spacing w:line="360" w:lineRule="auto"/>
        <w:ind w:firstLine="660"/>
        <w:rPr>
          <w:rFonts w:ascii="宋体" w:hAnsi="宋体" w:cs="宋体"/>
          <w:color w:val="auto"/>
          <w:szCs w:val="21"/>
          <w:highlight w:val="none"/>
        </w:rPr>
      </w:pPr>
      <w:r>
        <w:rPr>
          <w:rFonts w:hint="eastAsia" w:ascii="宋体" w:hAnsi="宋体" w:cs="宋体"/>
          <w:b/>
          <w:color w:val="auto"/>
          <w:szCs w:val="21"/>
          <w:highlight w:val="none"/>
        </w:rPr>
        <w:t xml:space="preserve">银行账号： </w:t>
      </w:r>
    </w:p>
    <w:p w14:paraId="2755A6A9">
      <w:pPr>
        <w:spacing w:line="360" w:lineRule="auto"/>
        <w:ind w:firstLine="660"/>
        <w:rPr>
          <w:rFonts w:ascii="宋体" w:hAnsi="宋体" w:cs="宋体"/>
          <w:color w:val="auto"/>
          <w:szCs w:val="21"/>
          <w:highlight w:val="none"/>
        </w:rPr>
      </w:pPr>
      <w:r>
        <w:rPr>
          <w:rFonts w:hint="eastAsia" w:ascii="宋体" w:hAnsi="宋体" w:cs="宋体"/>
          <w:b/>
          <w:color w:val="auto"/>
          <w:szCs w:val="21"/>
          <w:highlight w:val="none"/>
        </w:rPr>
        <w:t>开户地所属省份、市县</w:t>
      </w:r>
      <w:r>
        <w:rPr>
          <w:rFonts w:hint="eastAsia" w:ascii="宋体" w:hAnsi="宋体" w:cs="宋体"/>
          <w:color w:val="auto"/>
          <w:szCs w:val="21"/>
          <w:highlight w:val="none"/>
        </w:rPr>
        <w:t xml:space="preserve">： </w:t>
      </w:r>
    </w:p>
    <w:p w14:paraId="00EC25F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765560F">
      <w:pPr>
        <w:spacing w:line="360" w:lineRule="auto"/>
        <w:rPr>
          <w:rFonts w:ascii="宋体" w:hAnsi="宋体" w:cs="宋体"/>
          <w:color w:val="auto"/>
          <w:szCs w:val="21"/>
          <w:highlight w:val="none"/>
        </w:rPr>
      </w:pPr>
      <w:r>
        <w:rPr>
          <w:rFonts w:hint="eastAsia" w:ascii="宋体" w:hAnsi="宋体" w:cs="宋体"/>
          <w:color w:val="auto"/>
          <w:szCs w:val="21"/>
          <w:highlight w:val="none"/>
        </w:rPr>
        <w:t>供应商全称：</w:t>
      </w:r>
      <w:r>
        <w:rPr>
          <w:rFonts w:hint="eastAsia" w:ascii="宋体" w:hAnsi="宋体" w:cs="宋体"/>
          <w:bCs/>
          <w:color w:val="auto"/>
          <w:szCs w:val="21"/>
          <w:highlight w:val="none"/>
        </w:rPr>
        <w:t xml:space="preserve">         </w:t>
      </w:r>
      <w:r>
        <w:rPr>
          <w:rFonts w:hint="eastAsia" w:ascii="宋体" w:hAnsi="宋体" w:cs="宋体"/>
          <w:color w:val="auto"/>
          <w:szCs w:val="21"/>
          <w:highlight w:val="none"/>
        </w:rPr>
        <w:t>（加盖公章）</w:t>
      </w:r>
    </w:p>
    <w:p w14:paraId="7CD42C56">
      <w:pPr>
        <w:spacing w:line="360" w:lineRule="auto"/>
        <w:rPr>
          <w:rFonts w:ascii="宋体" w:hAnsi="宋体" w:cs="宋体"/>
          <w:color w:val="auto"/>
          <w:szCs w:val="21"/>
          <w:highlight w:val="none"/>
        </w:rPr>
      </w:pPr>
      <w:r>
        <w:rPr>
          <w:rFonts w:hint="eastAsia" w:ascii="宋体" w:hAnsi="宋体" w:cs="宋体"/>
          <w:color w:val="auto"/>
          <w:szCs w:val="21"/>
          <w:highlight w:val="none"/>
        </w:rPr>
        <w:t>时间：    年   月   日</w:t>
      </w:r>
    </w:p>
    <w:p w14:paraId="307FE4EC">
      <w:pPr>
        <w:spacing w:line="360" w:lineRule="auto"/>
        <w:rPr>
          <w:rFonts w:ascii="宋体" w:hAnsi="宋体" w:cs="宋体"/>
          <w:color w:val="auto"/>
          <w:szCs w:val="21"/>
          <w:highlight w:val="none"/>
        </w:rPr>
      </w:pPr>
    </w:p>
    <w:p w14:paraId="5B71A22C">
      <w:pPr>
        <w:spacing w:line="360" w:lineRule="auto"/>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：退磋商保证金申请函可提前做出，并在开标当天递交</w:t>
      </w:r>
      <w:r>
        <w:rPr>
          <w:rFonts w:hint="eastAsia" w:ascii="宋体" w:hAnsi="宋体" w:cs="宋体"/>
          <w:color w:val="auto"/>
          <w:szCs w:val="21"/>
          <w:highlight w:val="none"/>
          <w:lang w:val="en-US" w:eastAsia="zh-CN"/>
        </w:rPr>
        <w:t>(或邮寄）</w:t>
      </w:r>
      <w:r>
        <w:rPr>
          <w:rFonts w:hint="eastAsia" w:ascii="宋体" w:hAnsi="宋体" w:cs="宋体"/>
          <w:color w:val="auto"/>
          <w:szCs w:val="21"/>
          <w:highlight w:val="none"/>
        </w:rPr>
        <w:t>给采购代理机构工作人员，以便发布成交通知书后退还，也可在成交通知书发布后递交。</w:t>
      </w:r>
    </w:p>
    <w:p w14:paraId="4B3508DD">
      <w:pPr>
        <w:spacing w:line="360" w:lineRule="auto"/>
        <w:rPr>
          <w:rFonts w:ascii="宋体" w:hAnsi="宋体" w:cs="宋体"/>
          <w:color w:val="auto"/>
          <w:szCs w:val="21"/>
          <w:highlight w:val="none"/>
        </w:rPr>
      </w:pPr>
      <w:r>
        <w:rPr>
          <w:rFonts w:hint="eastAsia" w:ascii="宋体" w:hAnsi="宋体" w:cs="宋体"/>
          <w:color w:val="auto"/>
          <w:szCs w:val="21"/>
          <w:highlight w:val="none"/>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14:paraId="335A0D35">
      <w:pPr>
        <w:spacing w:line="360" w:lineRule="auto"/>
        <w:rPr>
          <w:rFonts w:ascii="宋体" w:hAnsi="宋体" w:cs="宋体"/>
          <w:color w:val="auto"/>
          <w:sz w:val="32"/>
          <w:szCs w:val="32"/>
          <w:highlight w:val="none"/>
        </w:rPr>
      </w:pPr>
    </w:p>
    <w:p w14:paraId="0D0FDB89">
      <w:pPr>
        <w:spacing w:line="520" w:lineRule="exact"/>
        <w:rPr>
          <w:rFonts w:ascii="宋体" w:hAnsi="宋体" w:cs="宋体"/>
          <w:color w:val="auto"/>
          <w:sz w:val="32"/>
          <w:szCs w:val="32"/>
          <w:highlight w:val="none"/>
        </w:rPr>
      </w:pPr>
    </w:p>
    <w:p w14:paraId="580E5AF3">
      <w:pPr>
        <w:spacing w:line="520" w:lineRule="exact"/>
        <w:rPr>
          <w:rFonts w:ascii="宋体" w:hAnsi="宋体" w:cs="宋体"/>
          <w:color w:val="auto"/>
          <w:sz w:val="32"/>
          <w:szCs w:val="32"/>
          <w:highlight w:val="none"/>
        </w:rPr>
      </w:pPr>
    </w:p>
    <w:p w14:paraId="2643D41B">
      <w:pPr>
        <w:spacing w:line="520" w:lineRule="exact"/>
        <w:rPr>
          <w:rFonts w:ascii="宋体" w:hAnsi="宋体" w:cs="宋体"/>
          <w:color w:val="auto"/>
          <w:sz w:val="32"/>
          <w:szCs w:val="32"/>
          <w:highlight w:val="none"/>
        </w:rPr>
      </w:pPr>
    </w:p>
    <w:p w14:paraId="5585C302">
      <w:pPr>
        <w:autoSpaceDE w:val="0"/>
        <w:autoSpaceDN w:val="0"/>
        <w:spacing w:line="300" w:lineRule="auto"/>
        <w:rPr>
          <w:rFonts w:ascii="宋体" w:hAnsi="宋体" w:cs="宋体"/>
          <w:color w:val="auto"/>
          <w:szCs w:val="21"/>
          <w:highlight w:val="none"/>
        </w:rPr>
      </w:pPr>
    </w:p>
    <w:p w14:paraId="58292C44">
      <w:pPr>
        <w:pStyle w:val="3"/>
        <w:numPr>
          <w:ilvl w:val="0"/>
          <w:numId w:val="6"/>
        </w:numPr>
        <w:spacing w:line="520" w:lineRule="exact"/>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bookmarkStart w:id="168" w:name="_Toc19781"/>
      <w:r>
        <w:rPr>
          <w:rFonts w:hint="eastAsia" w:ascii="宋体" w:hAnsi="宋体" w:cs="宋体"/>
          <w:color w:val="auto"/>
          <w:highlight w:val="none"/>
        </w:rPr>
        <w:t>合同文本</w:t>
      </w:r>
      <w:bookmarkEnd w:id="168"/>
    </w:p>
    <w:p w14:paraId="5F712591">
      <w:pPr>
        <w:pStyle w:val="3"/>
        <w:numPr>
          <w:ilvl w:val="-1"/>
          <w:numId w:val="0"/>
        </w:num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（该合同签订时，按成交供应商响应文件修订）</w:t>
      </w:r>
    </w:p>
    <w:p w14:paraId="5A0D0D2F">
      <w:pPr>
        <w:rPr>
          <w:rFonts w:ascii="宋体" w:hAnsi="宋体" w:cs="宋体"/>
          <w:color w:val="auto"/>
          <w:highlight w:val="none"/>
        </w:rPr>
      </w:pPr>
    </w:p>
    <w:p w14:paraId="686B50FD">
      <w:pPr>
        <w:pStyle w:val="14"/>
        <w:rPr>
          <w:rFonts w:ascii="宋体" w:hAnsi="宋体" w:cs="宋体"/>
          <w:color w:val="auto"/>
          <w:highlight w:val="none"/>
        </w:rPr>
      </w:pPr>
    </w:p>
    <w:p w14:paraId="70071BAA">
      <w:pPr>
        <w:pStyle w:val="14"/>
        <w:rPr>
          <w:rFonts w:ascii="宋体" w:hAnsi="宋体" w:cs="宋体"/>
          <w:color w:val="auto"/>
          <w:highlight w:val="none"/>
        </w:rPr>
      </w:pPr>
    </w:p>
    <w:p w14:paraId="7926E0CD">
      <w:pPr>
        <w:pStyle w:val="14"/>
        <w:rPr>
          <w:rFonts w:ascii="宋体" w:hAnsi="宋体" w:cs="宋体"/>
          <w:color w:val="auto"/>
          <w:highlight w:val="none"/>
        </w:rPr>
      </w:pPr>
    </w:p>
    <w:p w14:paraId="054B9075">
      <w:pPr>
        <w:pStyle w:val="17"/>
        <w:jc w:val="center"/>
        <w:rPr>
          <w:rFonts w:ascii="方正大标宋简体" w:hAnsi="方正大标宋简体" w:eastAsia="方正大标宋简体" w:cs="方正大标宋简体"/>
          <w:bCs/>
          <w:color w:val="auto"/>
          <w:sz w:val="72"/>
          <w:szCs w:val="72"/>
          <w:highlight w:val="none"/>
        </w:rPr>
      </w:pPr>
      <w:r>
        <w:rPr>
          <w:rFonts w:hint="eastAsia" w:ascii="方正大标宋简体" w:hAnsi="方正大标宋简体" w:eastAsia="方正大标宋简体" w:cs="方正大标宋简体"/>
          <w:bCs/>
          <w:color w:val="auto"/>
          <w:sz w:val="72"/>
          <w:szCs w:val="72"/>
          <w:highlight w:val="none"/>
        </w:rPr>
        <w:t>采购合同</w:t>
      </w:r>
    </w:p>
    <w:p w14:paraId="48F36F53">
      <w:pPr>
        <w:pStyle w:val="17"/>
        <w:rPr>
          <w:rFonts w:hAnsi="宋体"/>
          <w:color w:val="auto"/>
          <w:highlight w:val="none"/>
        </w:rPr>
      </w:pPr>
    </w:p>
    <w:p w14:paraId="71D68A25">
      <w:pPr>
        <w:pStyle w:val="17"/>
        <w:rPr>
          <w:rFonts w:hAnsi="宋体"/>
          <w:color w:val="auto"/>
          <w:highlight w:val="none"/>
        </w:rPr>
      </w:pPr>
    </w:p>
    <w:p w14:paraId="280E25E6">
      <w:pPr>
        <w:pStyle w:val="17"/>
        <w:rPr>
          <w:rFonts w:hAnsi="宋体"/>
          <w:color w:val="auto"/>
          <w:highlight w:val="none"/>
        </w:rPr>
      </w:pPr>
    </w:p>
    <w:p w14:paraId="26F81945">
      <w:pPr>
        <w:pStyle w:val="17"/>
        <w:rPr>
          <w:rFonts w:hAnsi="宋体"/>
          <w:color w:val="auto"/>
          <w:highlight w:val="none"/>
        </w:rPr>
      </w:pPr>
    </w:p>
    <w:p w14:paraId="4714D9A0">
      <w:pPr>
        <w:pStyle w:val="17"/>
        <w:rPr>
          <w:rFonts w:hAnsi="宋体"/>
          <w:color w:val="auto"/>
          <w:highlight w:val="none"/>
        </w:rPr>
      </w:pPr>
    </w:p>
    <w:p w14:paraId="0CA341EF">
      <w:pPr>
        <w:pStyle w:val="17"/>
        <w:rPr>
          <w:rFonts w:hAnsi="宋体"/>
          <w:color w:val="auto"/>
          <w:highlight w:val="none"/>
        </w:rPr>
      </w:pPr>
    </w:p>
    <w:p w14:paraId="44A6B49C">
      <w:pPr>
        <w:pStyle w:val="17"/>
        <w:rPr>
          <w:rFonts w:hAnsi="宋体" w:cs="宋体"/>
          <w:color w:val="auto"/>
          <w:highlight w:val="none"/>
        </w:rPr>
      </w:pPr>
    </w:p>
    <w:p w14:paraId="53257F4F">
      <w:pPr>
        <w:pStyle w:val="17"/>
        <w:ind w:firstLine="1386" w:firstLineChars="495"/>
        <w:rPr>
          <w:rFonts w:hAnsi="宋体" w:cs="宋体"/>
          <w:bCs/>
          <w:color w:val="auto"/>
          <w:sz w:val="28"/>
          <w:szCs w:val="28"/>
          <w:highlight w:val="none"/>
          <w:u w:val="single"/>
        </w:rPr>
      </w:pPr>
      <w:r>
        <w:rPr>
          <w:rFonts w:hint="eastAsia" w:hAnsi="宋体" w:cs="宋体"/>
          <w:bCs/>
          <w:color w:val="auto"/>
          <w:sz w:val="28"/>
          <w:szCs w:val="28"/>
          <w:highlight w:val="none"/>
        </w:rPr>
        <w:t>合同名称：</w:t>
      </w:r>
      <w:r>
        <w:rPr>
          <w:rFonts w:hint="eastAsia" w:hAnsi="宋体" w:cs="宋体"/>
          <w:bCs/>
          <w:color w:val="auto"/>
          <w:sz w:val="28"/>
          <w:szCs w:val="28"/>
          <w:highlight w:val="none"/>
          <w:u w:val="single"/>
        </w:rPr>
        <w:t xml:space="preserve">放疗技术中心CT模拟定位机维保服务采购项目 </w:t>
      </w:r>
    </w:p>
    <w:p w14:paraId="5DA5BA5D">
      <w:pPr>
        <w:pStyle w:val="17"/>
        <w:ind w:firstLine="1386" w:firstLineChars="495"/>
        <w:rPr>
          <w:rFonts w:hAnsi="宋体" w:cs="宋体"/>
          <w:bCs/>
          <w:color w:val="auto"/>
          <w:sz w:val="28"/>
          <w:szCs w:val="28"/>
          <w:highlight w:val="none"/>
          <w:u w:val="single"/>
        </w:rPr>
      </w:pPr>
    </w:p>
    <w:p w14:paraId="4193B6F8">
      <w:pPr>
        <w:pStyle w:val="17"/>
        <w:ind w:firstLine="1386" w:firstLineChars="495"/>
        <w:rPr>
          <w:rFonts w:hAnsi="宋体" w:cs="宋体"/>
          <w:bCs/>
          <w:color w:val="auto"/>
          <w:sz w:val="28"/>
          <w:szCs w:val="28"/>
          <w:highlight w:val="none"/>
          <w:u w:val="single"/>
        </w:rPr>
      </w:pPr>
      <w:r>
        <w:rPr>
          <w:rFonts w:hint="eastAsia" w:hAnsi="宋体" w:cs="宋体"/>
          <w:bCs/>
          <w:color w:val="auto"/>
          <w:sz w:val="28"/>
          <w:szCs w:val="28"/>
          <w:highlight w:val="none"/>
        </w:rPr>
        <w:t>合同编号：</w:t>
      </w:r>
      <w:r>
        <w:rPr>
          <w:rFonts w:hint="eastAsia" w:hAnsi="宋体" w:cs="宋体"/>
          <w:bCs/>
          <w:color w:val="auto"/>
          <w:sz w:val="28"/>
          <w:szCs w:val="28"/>
          <w:highlight w:val="none"/>
          <w:u w:val="single"/>
        </w:rPr>
        <w:t xml:space="preserve">                    </w:t>
      </w:r>
    </w:p>
    <w:p w14:paraId="5838759F">
      <w:pPr>
        <w:pStyle w:val="17"/>
        <w:jc w:val="center"/>
        <w:rPr>
          <w:rFonts w:hAnsi="宋体" w:cs="宋体"/>
          <w:bCs/>
          <w:color w:val="auto"/>
          <w:sz w:val="28"/>
          <w:szCs w:val="28"/>
          <w:highlight w:val="none"/>
        </w:rPr>
      </w:pPr>
    </w:p>
    <w:p w14:paraId="67909A70">
      <w:pPr>
        <w:pStyle w:val="17"/>
        <w:jc w:val="both"/>
        <w:rPr>
          <w:rFonts w:hAnsi="宋体" w:cs="宋体"/>
          <w:bCs/>
          <w:color w:val="auto"/>
          <w:sz w:val="28"/>
          <w:szCs w:val="28"/>
          <w:highlight w:val="none"/>
        </w:rPr>
      </w:pPr>
    </w:p>
    <w:p w14:paraId="2C7B19D8">
      <w:pPr>
        <w:pStyle w:val="17"/>
        <w:jc w:val="center"/>
        <w:rPr>
          <w:rFonts w:hAnsi="宋体" w:cs="宋体"/>
          <w:bCs/>
          <w:color w:val="auto"/>
          <w:sz w:val="28"/>
          <w:szCs w:val="28"/>
          <w:highlight w:val="none"/>
        </w:rPr>
      </w:pPr>
    </w:p>
    <w:p w14:paraId="52123243">
      <w:pPr>
        <w:pStyle w:val="17"/>
        <w:jc w:val="center"/>
        <w:rPr>
          <w:rFonts w:hAnsi="宋体" w:cs="宋体"/>
          <w:bCs/>
          <w:color w:val="auto"/>
          <w:sz w:val="28"/>
          <w:szCs w:val="28"/>
          <w:highlight w:val="none"/>
        </w:rPr>
      </w:pPr>
    </w:p>
    <w:p w14:paraId="12C49CC5">
      <w:pPr>
        <w:pStyle w:val="17"/>
        <w:spacing w:line="340" w:lineRule="exact"/>
        <w:ind w:firstLine="1386" w:firstLineChars="495"/>
        <w:rPr>
          <w:rFonts w:hAnsi="宋体" w:cs="宋体"/>
          <w:bCs/>
          <w:color w:val="auto"/>
          <w:sz w:val="28"/>
          <w:szCs w:val="28"/>
          <w:highlight w:val="none"/>
        </w:rPr>
      </w:pPr>
      <w:r>
        <w:rPr>
          <w:rFonts w:hint="eastAsia" w:hAnsi="宋体" w:cs="宋体"/>
          <w:bCs/>
          <w:color w:val="auto"/>
          <w:sz w:val="28"/>
          <w:szCs w:val="28"/>
          <w:highlight w:val="none"/>
        </w:rPr>
        <w:t>采购单位（甲方）</w:t>
      </w:r>
      <w:r>
        <w:rPr>
          <w:rFonts w:hint="eastAsia" w:hAnsi="宋体" w:cs="宋体"/>
          <w:bCs/>
          <w:color w:val="auto"/>
          <w:sz w:val="28"/>
          <w:szCs w:val="28"/>
          <w:highlight w:val="none"/>
          <w:u w:val="single"/>
        </w:rPr>
        <w:t xml:space="preserve">                    </w:t>
      </w:r>
    </w:p>
    <w:p w14:paraId="767EA1BF">
      <w:pPr>
        <w:pStyle w:val="17"/>
        <w:spacing w:line="340" w:lineRule="exact"/>
        <w:ind w:firstLine="1386" w:firstLineChars="495"/>
        <w:rPr>
          <w:rFonts w:hAnsi="宋体" w:cs="宋体"/>
          <w:bCs/>
          <w:color w:val="auto"/>
          <w:sz w:val="28"/>
          <w:szCs w:val="28"/>
          <w:highlight w:val="none"/>
        </w:rPr>
      </w:pPr>
    </w:p>
    <w:p w14:paraId="733C3065">
      <w:pPr>
        <w:pStyle w:val="17"/>
        <w:spacing w:line="340" w:lineRule="exact"/>
        <w:rPr>
          <w:rFonts w:hAnsi="宋体" w:cs="宋体"/>
          <w:bCs/>
          <w:color w:val="auto"/>
          <w:sz w:val="28"/>
          <w:szCs w:val="28"/>
          <w:highlight w:val="none"/>
        </w:rPr>
      </w:pPr>
    </w:p>
    <w:p w14:paraId="6AFE7CD4">
      <w:pPr>
        <w:pStyle w:val="17"/>
        <w:spacing w:line="340" w:lineRule="exact"/>
        <w:ind w:firstLine="1386" w:firstLineChars="495"/>
        <w:rPr>
          <w:rFonts w:hAnsi="宋体" w:cs="宋体"/>
          <w:bCs/>
          <w:color w:val="auto"/>
          <w:sz w:val="28"/>
          <w:szCs w:val="28"/>
          <w:highlight w:val="none"/>
        </w:rPr>
      </w:pPr>
      <w:r>
        <w:rPr>
          <w:rFonts w:hint="eastAsia" w:hAnsi="宋体" w:cs="宋体"/>
          <w:bCs/>
          <w:color w:val="auto"/>
          <w:sz w:val="28"/>
          <w:szCs w:val="28"/>
          <w:highlight w:val="none"/>
        </w:rPr>
        <w:t>供 应 商（乙方）</w:t>
      </w:r>
      <w:r>
        <w:rPr>
          <w:rFonts w:hint="eastAsia" w:hAnsi="宋体" w:cs="宋体"/>
          <w:bCs/>
          <w:color w:val="auto"/>
          <w:sz w:val="28"/>
          <w:szCs w:val="28"/>
          <w:highlight w:val="none"/>
          <w:u w:val="single"/>
        </w:rPr>
        <w:t xml:space="preserve">              </w:t>
      </w:r>
      <w:r>
        <w:rPr>
          <w:rFonts w:hint="eastAsia" w:hAnsi="宋体" w:cs="宋体"/>
          <w:bCs/>
          <w:color w:val="auto"/>
          <w:sz w:val="28"/>
          <w:szCs w:val="28"/>
          <w:highlight w:val="none"/>
          <w:u w:val="single"/>
          <w:lang w:val="en-US" w:eastAsia="zh-CN"/>
        </w:rPr>
        <w:t xml:space="preserve"> </w:t>
      </w:r>
      <w:r>
        <w:rPr>
          <w:rFonts w:hint="eastAsia" w:hAnsi="宋体" w:cs="宋体"/>
          <w:bCs/>
          <w:color w:val="auto"/>
          <w:sz w:val="28"/>
          <w:szCs w:val="28"/>
          <w:highlight w:val="none"/>
          <w:u w:val="single"/>
        </w:rPr>
        <w:t xml:space="preserve">     </w:t>
      </w:r>
    </w:p>
    <w:p w14:paraId="2B92F54A">
      <w:pPr>
        <w:pStyle w:val="17"/>
        <w:spacing w:line="340" w:lineRule="exact"/>
        <w:ind w:firstLine="990" w:firstLineChars="495"/>
        <w:rPr>
          <w:rFonts w:ascii="方正公文小标宋" w:hAnsi="方正公文小标宋" w:eastAsia="方正公文小标宋" w:cs="方正公文小标宋"/>
          <w:bCs/>
          <w:color w:val="auto"/>
          <w:highlight w:val="none"/>
        </w:rPr>
      </w:pPr>
      <w:r>
        <w:rPr>
          <w:rFonts w:hint="eastAsia" w:ascii="方正公文小标宋" w:hAnsi="方正公文小标宋" w:eastAsia="方正公文小标宋" w:cs="方正公文小标宋"/>
          <w:bCs/>
          <w:color w:val="auto"/>
          <w:highlight w:val="none"/>
        </w:rPr>
        <w:t xml:space="preserve">     </w:t>
      </w:r>
    </w:p>
    <w:p w14:paraId="27868D3D">
      <w:pPr>
        <w:jc w:val="center"/>
        <w:rPr>
          <w:color w:val="auto"/>
          <w:highlight w:val="none"/>
        </w:rPr>
      </w:pPr>
      <w:r>
        <w:rPr>
          <w:rFonts w:hint="eastAsia" w:ascii="宋体" w:hAnsi="宋体" w:cs="宋体"/>
          <w:b/>
          <w:bCs/>
          <w:color w:val="auto"/>
          <w:sz w:val="44"/>
          <w:highlight w:val="none"/>
        </w:rPr>
        <w:br w:type="page"/>
      </w:r>
      <w:r>
        <w:rPr>
          <w:rFonts w:hint="eastAsia"/>
          <w:b/>
          <w:bCs/>
          <w:color w:val="auto"/>
          <w:sz w:val="28"/>
          <w:szCs w:val="28"/>
          <w:highlight w:val="none"/>
        </w:rPr>
        <w:t>《</w:t>
      </w:r>
      <w:r>
        <w:rPr>
          <w:rFonts w:hint="eastAsia"/>
          <w:b/>
          <w:bCs/>
          <w:color w:val="auto"/>
          <w:sz w:val="28"/>
          <w:szCs w:val="28"/>
          <w:highlight w:val="none"/>
          <w:lang w:eastAsia="zh-CN"/>
        </w:rPr>
        <w:t>放疗技术中心CT模拟定位机维保服务采购项目</w:t>
      </w:r>
      <w:r>
        <w:rPr>
          <w:rFonts w:hint="eastAsia"/>
          <w:b/>
          <w:bCs/>
          <w:color w:val="auto"/>
          <w:sz w:val="28"/>
          <w:szCs w:val="28"/>
          <w:highlight w:val="none"/>
        </w:rPr>
        <w:t>采购合同》</w:t>
      </w:r>
    </w:p>
    <w:p w14:paraId="1F669E96">
      <w:pPr>
        <w:wordWrap w:val="0"/>
        <w:spacing w:line="360" w:lineRule="auto"/>
        <w:ind w:right="800"/>
        <w:jc w:val="right"/>
        <w:rPr>
          <w:rFonts w:ascii="宋体" w:hAnsi="宋体" w:cs="宋体"/>
          <w:bCs/>
          <w:color w:val="auto"/>
          <w:szCs w:val="21"/>
          <w:highlight w:val="none"/>
          <w:u w:val="single"/>
        </w:rPr>
      </w:pPr>
      <w:r>
        <w:rPr>
          <w:rFonts w:hint="eastAsia" w:ascii="宋体" w:hAnsi="宋体" w:cs="宋体"/>
          <w:bCs/>
          <w:color w:val="auto"/>
          <w:szCs w:val="21"/>
          <w:highlight w:val="none"/>
        </w:rPr>
        <w:t xml:space="preserve">            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61DDDB6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广西壮族自治区肿瘤防治研究所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402FC8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放疗技术中心CT模拟定位机维保服务采购项目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490D679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932C7F4">
      <w:pPr>
        <w:spacing w:line="360" w:lineRule="auto"/>
        <w:ind w:firstLine="420" w:firstLineChars="200"/>
        <w:rPr>
          <w:rFonts w:ascii="宋体" w:hAnsi="宋体" w:cs="宋体"/>
          <w:color w:val="auto"/>
          <w:szCs w:val="21"/>
          <w:highlight w:val="none"/>
        </w:rPr>
      </w:pPr>
    </w:p>
    <w:p w14:paraId="0DF03F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ascii="Times New Roman" w:hAnsi="Times New Roman" w:cs="Times New Roman"/>
          <w:color w:val="000000"/>
        </w:rPr>
        <w:t>《中华人民共和国政府采购法》</w:t>
      </w:r>
      <w:r>
        <w:rPr>
          <w:rFonts w:hint="eastAsia" w:ascii="Times New Roman" w:hAnsi="Times New Roman" w:cs="Times New Roman"/>
          <w:color w:val="000000"/>
        </w:rPr>
        <w:t>、</w:t>
      </w:r>
      <w:r>
        <w:rPr>
          <w:rFonts w:hint="eastAsia" w:ascii="宋体" w:hAnsi="宋体" w:cs="宋体"/>
          <w:color w:val="auto"/>
          <w:szCs w:val="21"/>
          <w:highlight w:val="none"/>
        </w:rPr>
        <w:t>《中华人民共和国民法典》等法律、法规规定，按照磋商文件规定条款和乙方响应文件及其承诺，甲乙双方签订本合同。</w:t>
      </w:r>
    </w:p>
    <w:p w14:paraId="43E9EAE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B450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1、根据《成交通知书》的成交内容，合同的总金额为：人民币（大写）</w:t>
      </w:r>
      <w:r>
        <w:rPr>
          <w:rFonts w:hint="eastAsia" w:ascii="宋体" w:hAnsi="宋体" w:cs="宋体"/>
          <w:color w:val="auto"/>
          <w:szCs w:val="21"/>
          <w:highlight w:val="none"/>
          <w:u w:val="single"/>
        </w:rPr>
        <w:t xml:space="preserve">      元整</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6BAD34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2、合同合计金额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包含本项目所有成果及服务内容、所涉及的维修人员人工费、交通差旅费、检查修理费、备品备件、工具、材料、实施、调试、验收、技术培训及技术资料等各种费用和售后服务、税金、招标代理服务费及其它所有成本费用的总和。</w:t>
      </w:r>
    </w:p>
    <w:p w14:paraId="7796C58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5FB2EA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w:t>
      </w:r>
      <w:r>
        <w:rPr>
          <w:rFonts w:hint="eastAsia" w:ascii="宋体" w:hAnsi="宋体" w:cs="宋体"/>
          <w:color w:val="auto"/>
          <w:szCs w:val="21"/>
          <w:highlight w:val="none"/>
          <w:lang w:eastAsia="zh-CN"/>
        </w:rPr>
        <w:t>，具</w:t>
      </w:r>
      <w:r>
        <w:rPr>
          <w:rFonts w:hint="eastAsia" w:ascii="宋体" w:hAnsi="宋体" w:cs="宋体"/>
          <w:color w:val="auto"/>
          <w:szCs w:val="21"/>
          <w:highlight w:val="none"/>
        </w:rPr>
        <w:t>有国家强制性标准的，还必须符合国家强制性标准的规定，没有国家强制性标准但有其他强制性标准的，必须符合其他强制性标准的规定。</w:t>
      </w:r>
    </w:p>
    <w:p w14:paraId="3A916BE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19F09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59B320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2C10E2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w:t>
      </w:r>
      <w:r>
        <w:rPr>
          <w:rFonts w:hint="eastAsia" w:ascii="宋体" w:hAnsi="宋体" w:cs="宋体"/>
          <w:b/>
          <w:color w:val="auto"/>
          <w:szCs w:val="21"/>
          <w:highlight w:val="none"/>
          <w:lang w:val="en-US" w:eastAsia="zh-CN"/>
        </w:rPr>
        <w:t>服务期限</w:t>
      </w:r>
      <w:r>
        <w:rPr>
          <w:rFonts w:hint="eastAsia" w:ascii="宋体" w:hAnsi="宋体" w:cs="宋体"/>
          <w:b/>
          <w:color w:val="auto"/>
          <w:szCs w:val="21"/>
          <w:highlight w:val="none"/>
        </w:rPr>
        <w:t>和验收</w:t>
      </w:r>
    </w:p>
    <w:p w14:paraId="6C5EE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9C92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3A0753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1E69E1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w:t>
      </w:r>
      <w:r>
        <w:rPr>
          <w:rFonts w:hint="eastAsia" w:asciiTheme="minorEastAsia" w:hAnsiTheme="minorEastAsia" w:eastAsiaTheme="minorEastAsia"/>
          <w:color w:val="000000" w:themeColor="text1"/>
          <w:szCs w:val="21"/>
          <w14:textFill>
            <w14:solidFill>
              <w14:schemeClr w14:val="tx1"/>
            </w14:solidFill>
          </w14:textFill>
        </w:rPr>
        <w:t>，且乙方履行完合同义务之日起七个工作日内组织最终验收，</w:t>
      </w:r>
      <w:r>
        <w:rPr>
          <w:rFonts w:hint="eastAsia" w:ascii="宋体" w:hAnsi="宋体" w:cs="宋体"/>
          <w:color w:val="auto"/>
          <w:szCs w:val="21"/>
          <w:highlight w:val="none"/>
        </w:rPr>
        <w:t>逾期不开始验收的，乙方可视同验收合格。验收合格后由甲乙双方签署验收单并加盖</w:t>
      </w:r>
      <w:r>
        <w:rPr>
          <w:rFonts w:hint="eastAsia" w:asciiTheme="minorEastAsia" w:hAnsiTheme="minorEastAsia" w:eastAsiaTheme="minorEastAsia"/>
          <w:color w:val="000000" w:themeColor="text1"/>
          <w:szCs w:val="21"/>
          <w14:textFill>
            <w14:solidFill>
              <w14:schemeClr w14:val="tx1"/>
            </w14:solidFill>
          </w14:textFill>
        </w:rPr>
        <w:t>甲乙双方单位</w:t>
      </w:r>
      <w:r>
        <w:rPr>
          <w:rFonts w:hint="eastAsia" w:ascii="宋体" w:hAnsi="宋体" w:cs="宋体"/>
          <w:color w:val="auto"/>
          <w:szCs w:val="21"/>
          <w:highlight w:val="none"/>
        </w:rPr>
        <w:t>公章，甲乙双方各执一份。</w:t>
      </w:r>
    </w:p>
    <w:p w14:paraId="0497EC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5、甲乙双方应按照采购文件、双方合同、响应文件验收。</w:t>
      </w:r>
    </w:p>
    <w:p w14:paraId="077B3F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6、甲方在最终验收过程中如发现乙方提供的服务成果不满足响应文件及本合同规定的，可暂缓向乙方付款，直到乙方及时完善并提交相应的服务成果且经甲方验收合格后，方可办理付款。</w:t>
      </w:r>
    </w:p>
    <w:p w14:paraId="7A5E6625">
      <w:pPr>
        <w:snapToGrid w:val="0"/>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auto"/>
          <w:szCs w:val="21"/>
          <w:highlight w:val="none"/>
        </w:rPr>
        <w:t>7、</w:t>
      </w:r>
      <w:r>
        <w:rPr>
          <w:rFonts w:hint="eastAsia" w:asciiTheme="minorEastAsia" w:hAnsiTheme="minorEastAsia" w:eastAsiaTheme="minorEastAsia"/>
          <w:color w:val="000000" w:themeColor="text1"/>
          <w:szCs w:val="21"/>
          <w14:textFill>
            <w14:solidFill>
              <w14:schemeClr w14:val="tx1"/>
            </w14:solidFill>
          </w14:textFill>
        </w:rPr>
        <w:t>若甲方委托第三方组织的验收项目，其验收时间以该项目验收方案确定的验收时间为准，验收结果以该项目验收报告结论为准，验收所产生的费用由乙方负责。</w:t>
      </w:r>
    </w:p>
    <w:p w14:paraId="5184E3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7FD9D53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3A378918">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1、乙方应按照国家有关法律法规和本合同所附的《服务承诺》要求为甲方提供相应的售后服务。</w:t>
      </w:r>
    </w:p>
    <w:p w14:paraId="796968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76671A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甲方根据具体情况安排  </w:t>
      </w:r>
      <w:r>
        <w:rPr>
          <w:rFonts w:hint="eastAsia" w:ascii="宋体" w:hAnsi="宋体" w:cs="宋体"/>
          <w:color w:val="auto"/>
          <w:szCs w:val="21"/>
          <w:highlight w:val="none"/>
        </w:rPr>
        <w:t>。</w:t>
      </w:r>
    </w:p>
    <w:p w14:paraId="34F3706F">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328902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1、本项目无预付款。</w:t>
      </w:r>
    </w:p>
    <w:p w14:paraId="21C1E1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按季度(每三个月)付款。</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每季度向采购人提供上季度的《季度维护保养报告书》，并根据上季度《服务评价表》(详见附件1)的考核结果扣除应扣考核维保服务费后，方可支付上季度维保服务费(应付季度维保服务费=合同约定季度维保服务费-应扣季度考核维保服务费)；</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开具上季度(三个月)应付维保服务费增值税专用发票给</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以转账的方式向</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支付上季度的维保服务费。</w:t>
      </w:r>
    </w:p>
    <w:p w14:paraId="0B35E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3、维保期内，如因设备无法满足工作需求或</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原因，需报废该设备，</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需提前一个月向</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书面告知。设备的服务费将按服务实际履行的天数结算：（合同全款/合同维保天数）×实际履行天数。届时双方需另行签署补充协议约定终止事宜。</w:t>
      </w:r>
    </w:p>
    <w:p w14:paraId="2081E71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0E18B9C3">
      <w:pPr>
        <w:snapToGrid w:val="0"/>
        <w:spacing w:line="360"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履约保证金金额：</w:t>
      </w:r>
      <w:r>
        <w:rPr>
          <w:rFonts w:hint="eastAsia" w:ascii="Arial" w:hAnsi="Arial" w:cs="Arial"/>
          <w:color w:val="auto"/>
          <w:szCs w:val="21"/>
          <w:highlight w:val="none"/>
          <w:u w:val="single"/>
        </w:rPr>
        <w:t>按成交金额的 5 %（中小企业缴纳数额为成交金额的2%）。</w:t>
      </w:r>
    </w:p>
    <w:p w14:paraId="676D66E2">
      <w:pPr>
        <w:snapToGrid w:val="0"/>
        <w:spacing w:line="360"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履约保证金提交方式：</w:t>
      </w:r>
      <w:r>
        <w:rPr>
          <w:rFonts w:hint="eastAsia" w:ascii="Arial" w:hAnsi="Arial" w:cs="Arial"/>
          <w:color w:val="auto"/>
          <w:szCs w:val="21"/>
          <w:highlight w:val="none"/>
          <w:u w:val="single"/>
        </w:rPr>
        <w:t>转账或电汇形式或政府采购规定允许的其它方式。</w:t>
      </w:r>
    </w:p>
    <w:p w14:paraId="107BCC40">
      <w:pPr>
        <w:pStyle w:val="14"/>
        <w:spacing w:line="360" w:lineRule="auto"/>
        <w:ind w:firstLine="420" w:firstLineChars="200"/>
        <w:rPr>
          <w:color w:val="auto"/>
          <w:highlight w:val="none"/>
        </w:rPr>
      </w:pPr>
      <w:r>
        <w:rPr>
          <w:rFonts w:hint="eastAsia" w:ascii="宋体" w:hAnsi="宋体" w:cs="宋体"/>
          <w:color w:val="auto"/>
          <w:szCs w:val="21"/>
          <w:highlight w:val="none"/>
        </w:rPr>
        <w:t>履约保证金提交时间：</w:t>
      </w:r>
      <w:r>
        <w:rPr>
          <w:rFonts w:hint="eastAsia" w:ascii="宋体" w:hAnsi="宋体" w:cs="宋体"/>
          <w:color w:val="auto"/>
          <w:szCs w:val="21"/>
          <w:highlight w:val="none"/>
          <w:u w:val="single"/>
        </w:rPr>
        <w:t>本项目签订合同前。</w:t>
      </w:r>
    </w:p>
    <w:p w14:paraId="648F384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本项目服务期满，经双方验收合格，</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向</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申请办理履约保证金退还手续后，</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将履约保证金退回到</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账户（不计利息）。</w:t>
      </w:r>
      <w:r>
        <w:rPr>
          <w:rFonts w:hint="eastAsia" w:ascii="宋体" w:hAnsi="宋体" w:cs="宋体"/>
          <w:color w:val="000000"/>
          <w:szCs w:val="21"/>
        </w:rPr>
        <w:t>如果</w:t>
      </w:r>
      <w:r>
        <w:rPr>
          <w:rFonts w:hint="eastAsia" w:ascii="宋体" w:hAnsi="宋体" w:cs="宋体"/>
          <w:color w:val="auto"/>
          <w:szCs w:val="21"/>
          <w:highlight w:val="none"/>
          <w:u w:val="single"/>
        </w:rPr>
        <w:t>乙方不履行合同约定的义务或其履行不符合合同的约定，甲方有权扣划全部或相应金额的履约保证金。</w:t>
      </w:r>
    </w:p>
    <w:p w14:paraId="140F87F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甲方收取</w:t>
      </w:r>
      <w:r>
        <w:rPr>
          <w:rFonts w:hint="eastAsia" w:ascii="宋体" w:hAnsi="宋体" w:cs="宋体"/>
          <w:color w:val="auto"/>
          <w:szCs w:val="21"/>
          <w:highlight w:val="none"/>
          <w:u w:val="single"/>
        </w:rPr>
        <w:t>履约保证金指定账户：</w:t>
      </w:r>
    </w:p>
    <w:p w14:paraId="56F798F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none"/>
        </w:rPr>
        <w:t>开户名称：</w:t>
      </w:r>
      <w:r>
        <w:rPr>
          <w:rFonts w:hint="eastAsia" w:ascii="宋体" w:hAnsi="宋体" w:cs="宋体"/>
          <w:color w:val="auto"/>
          <w:szCs w:val="21"/>
          <w:highlight w:val="none"/>
          <w:u w:val="single"/>
        </w:rPr>
        <w:t>广西医科大学附属肿瘤医院</w:t>
      </w:r>
    </w:p>
    <w:p w14:paraId="457F786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none"/>
        </w:rPr>
        <w:t>开户银行：</w:t>
      </w:r>
      <w:r>
        <w:rPr>
          <w:rFonts w:hint="eastAsia" w:ascii="宋体" w:hAnsi="宋体" w:cs="宋体"/>
          <w:color w:val="auto"/>
          <w:szCs w:val="21"/>
          <w:highlight w:val="none"/>
          <w:u w:val="single"/>
        </w:rPr>
        <w:t>中国银行南宁市医科大支行</w:t>
      </w:r>
    </w:p>
    <w:p w14:paraId="35DB97D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none"/>
        </w:rPr>
        <w:t>银行账号：</w:t>
      </w:r>
      <w:r>
        <w:rPr>
          <w:rFonts w:hint="eastAsia" w:ascii="宋体" w:hAnsi="宋体" w:cs="宋体"/>
          <w:color w:val="auto"/>
          <w:szCs w:val="21"/>
          <w:highlight w:val="none"/>
          <w:u w:val="single"/>
        </w:rPr>
        <w:t xml:space="preserve">619759083458             </w:t>
      </w:r>
    </w:p>
    <w:p w14:paraId="44CA392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51E86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1BBA327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2DED2A7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000000"/>
          <w:szCs w:val="21"/>
        </w:rPr>
        <w:t>1.若因乙方原因而未能履行合同或最终验收不合格的，甲方有权解除合同，由此产生的费用由乙方承担，给甲方造成其他损失的，乙方应进行赔偿，并承担甲方追究的其他违约责任。</w:t>
      </w:r>
    </w:p>
    <w:p w14:paraId="474FF8D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、除不可抗力原因外，乙方没有按照合同规定的时间提供服务的，甲方可要求乙方支付违约金。每推迟一天按合同金额的万分之五支付违约金，该违约金累计不超过合同金额的10%。</w:t>
      </w:r>
    </w:p>
    <w:p w14:paraId="72D3EF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、乙方提供的服务如侵犯了第三方合法权益而引发的任何纠纷或者诉讼，均由乙方负责交涉并承担全部责任。</w:t>
      </w:r>
    </w:p>
    <w:p w14:paraId="1A2DB616">
      <w:pPr>
        <w:pStyle w:val="14"/>
        <w:spacing w:after="0" w:line="36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auto"/>
          <w:szCs w:val="21"/>
          <w:highlight w:val="none"/>
        </w:rPr>
        <w:t>4、</w:t>
      </w:r>
      <w:r>
        <w:rPr>
          <w:rFonts w:hint="eastAsia" w:cs="宋体" w:asciiTheme="minorEastAsia" w:hAnsiTheme="minorEastAsia" w:eastAsiaTheme="minorEastAsia"/>
          <w:color w:val="000000" w:themeColor="text1"/>
          <w:szCs w:val="21"/>
          <w14:textFill>
            <w14:solidFill>
              <w14:schemeClr w14:val="tx1"/>
            </w14:solidFill>
          </w14:textFill>
        </w:rPr>
        <w:t>乙方支付的违约金不足以弥补甲方损失的，还应承担赔偿责任，甲方有权继续向乙方追偿。乙方应支付给甲方的任何款项，甲方有权从任何应支付未支付给乙方的款项中直接抵扣。</w:t>
      </w:r>
    </w:p>
    <w:p w14:paraId="0C45BDD2">
      <w:pPr>
        <w:snapToGrid w:val="0"/>
        <w:spacing w:line="360" w:lineRule="auto"/>
        <w:ind w:firstLine="420" w:firstLineChars="200"/>
        <w:rPr>
          <w:rFonts w:hint="eastAsia"/>
        </w:rPr>
      </w:pPr>
      <w:r>
        <w:rPr>
          <w:rFonts w:hint="eastAsia" w:ascii="宋体" w:hAnsi="宋体" w:cs="宋体"/>
          <w:color w:val="000000"/>
          <w:szCs w:val="21"/>
          <w:lang w:val="en-US" w:eastAsia="zh-CN"/>
        </w:rPr>
        <w:t>5</w:t>
      </w:r>
      <w:r>
        <w:rPr>
          <w:rFonts w:hint="eastAsia" w:ascii="宋体" w:hAnsi="宋体" w:cs="宋体"/>
          <w:color w:val="000000"/>
          <w:szCs w:val="21"/>
        </w:rPr>
        <w:t>.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2A583B1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.乙方未按本合同和响应文件中规定的服务承诺提供售后服务的，乙方应按本合同总金额</w:t>
      </w:r>
      <w:r>
        <w:rPr>
          <w:rFonts w:hint="eastAsia" w:ascii="宋体" w:hAnsi="宋体" w:cs="宋体"/>
          <w:color w:val="000000"/>
          <w:szCs w:val="21"/>
          <w:u w:val="single"/>
        </w:rPr>
        <w:t xml:space="preserve"> 5%</w:t>
      </w:r>
      <w:r>
        <w:rPr>
          <w:rFonts w:hint="eastAsia" w:ascii="宋体" w:hAnsi="宋体" w:cs="宋体"/>
          <w:color w:val="000000"/>
          <w:szCs w:val="21"/>
        </w:rPr>
        <w:t>向甲方支付违约金。</w:t>
      </w:r>
    </w:p>
    <w:p w14:paraId="4D673C38">
      <w:pPr>
        <w:snapToGrid w:val="0"/>
        <w:spacing w:line="360" w:lineRule="auto"/>
        <w:ind w:firstLine="420" w:firstLineChars="200"/>
        <w:rPr>
          <w:rFonts w:hint="eastAsia"/>
          <w:color w:val="auto"/>
          <w:highlight w:val="none"/>
        </w:rPr>
      </w:pPr>
      <w:r>
        <w:rPr>
          <w:rFonts w:hint="eastAsia"/>
          <w:color w:val="auto"/>
          <w:highlight w:val="none"/>
          <w:lang w:val="en-US" w:eastAsia="zh-CN"/>
        </w:rPr>
        <w:t>7、</w:t>
      </w:r>
      <w:r>
        <w:rPr>
          <w:rFonts w:hint="eastAsia"/>
          <w:color w:val="auto"/>
          <w:highlight w:val="none"/>
        </w:rPr>
        <w:t>乙方在提供服务过程中，因乙方人员操作过失等问题造成甲方设备损坏的、人身（包括但不限于第三方人员）或财产损害的，由乙方承担，并赔偿甲方因此产生的相关损失及承担全部经济责任及法律责任。如因人民法院判决、仲裁裁决导致甲方需要先行承担责任的，甲方承担责任后可向乙方追偿，乙方应承担甲方的一切损失（包括但不限于甲方向第三方支付的赔偿金、违约金、补偿金等款项，甲方为实现债权而支付的律师费、公证费、诉讼费、保全费、公告费、鉴定费、诉讼财产保全责任险保险费等一切费用）。</w:t>
      </w:r>
    </w:p>
    <w:p w14:paraId="4DBEB9CE">
      <w:pPr>
        <w:pStyle w:val="1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违约行为，违约方应按合同合计金额5%向守约方支付违约金，违约金不足以弥补损失的，还应承担赔偿责任。违约方应承担守约方为实现债权而支出的差旅费、鉴定费、诉讼费、律师费、财产保全费、诉讼财产保全责任保险费等费用。</w:t>
      </w:r>
    </w:p>
    <w:p w14:paraId="45E52C8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794FD9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93DFA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70782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723FCA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344D45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110C33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300D49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6D3EFA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57397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签字并加盖单位公章后生效。</w:t>
      </w:r>
    </w:p>
    <w:p w14:paraId="7B9ED0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2、合同执行中涉及采购资金和采购内容修改或者补充的，须经采购人监督部门审批，并签书面补充协议报采购人监督部门备案，方可作为主合同不可分割的一部分。</w:t>
      </w:r>
    </w:p>
    <w:p w14:paraId="46CA3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041460B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3537D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cs="宋体" w:asciiTheme="minorEastAsia" w:hAnsiTheme="minorEastAsia" w:eastAsiaTheme="minorEastAsia"/>
          <w:color w:val="000000" w:themeColor="text1"/>
          <w:szCs w:val="21"/>
          <w14:textFill>
            <w14:solidFill>
              <w14:schemeClr w14:val="tx1"/>
            </w14:solidFill>
          </w14:textFill>
        </w:rPr>
        <w:t>除《中华人民共和国政府采购法》第五十条规定的情形外，</w:t>
      </w:r>
      <w:r>
        <w:rPr>
          <w:rFonts w:hint="eastAsia" w:ascii="宋体" w:hAnsi="宋体" w:cs="宋体"/>
          <w:color w:val="auto"/>
          <w:szCs w:val="21"/>
          <w:highlight w:val="none"/>
        </w:rPr>
        <w:t>本合同一经签订，甲乙双方不得擅自变更、中止或者终止。</w:t>
      </w:r>
    </w:p>
    <w:p w14:paraId="6F3BB7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EADD4F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2AE90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704A6F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29E4F8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w:t>
      </w:r>
      <w:r>
        <w:rPr>
          <w:rFonts w:hint="eastAsia" w:ascii="宋体" w:hAnsi="宋体" w:cs="宋体"/>
          <w:color w:val="auto"/>
          <w:szCs w:val="21"/>
          <w:highlight w:val="none"/>
          <w:lang w:eastAsia="zh-CN"/>
        </w:rPr>
        <w:t>服务需求</w:t>
      </w:r>
      <w:r>
        <w:rPr>
          <w:rFonts w:hint="eastAsia" w:ascii="宋体" w:hAnsi="宋体" w:cs="宋体"/>
          <w:color w:val="auto"/>
          <w:szCs w:val="21"/>
          <w:highlight w:val="none"/>
        </w:rPr>
        <w:t>偏离表；</w:t>
      </w:r>
    </w:p>
    <w:p w14:paraId="008E8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075E77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5、响应文件中的其他相关文件</w:t>
      </w:r>
      <w:r>
        <w:rPr>
          <w:rFonts w:hint="eastAsia" w:ascii="宋体" w:hAnsi="宋体" w:cs="宋体"/>
          <w:color w:val="auto"/>
          <w:szCs w:val="21"/>
          <w:highlight w:val="none"/>
          <w:lang w:eastAsia="zh-CN"/>
        </w:rPr>
        <w:t>；</w:t>
      </w:r>
    </w:p>
    <w:p w14:paraId="2B664006">
      <w:pPr>
        <w:pStyle w:val="36"/>
        <w:rPr>
          <w:rFonts w:hint="eastAsia"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lang w:val="en-US" w:eastAsia="zh-CN"/>
        </w:rPr>
        <w:t>6、</w:t>
      </w:r>
      <w:r>
        <w:rPr>
          <w:rFonts w:hint="eastAsia" w:ascii="宋体" w:hAnsi="宋体" w:cs="宋体"/>
          <w:color w:val="auto"/>
          <w:spacing w:val="0"/>
          <w:kern w:val="2"/>
          <w:sz w:val="21"/>
          <w:szCs w:val="21"/>
          <w:highlight w:val="none"/>
        </w:rPr>
        <w:t>廉洁</w:t>
      </w:r>
      <w:r>
        <w:rPr>
          <w:rFonts w:hint="eastAsia" w:ascii="宋体" w:hAnsi="宋体" w:cs="宋体"/>
          <w:color w:val="auto"/>
          <w:spacing w:val="0"/>
          <w:kern w:val="2"/>
          <w:sz w:val="21"/>
          <w:szCs w:val="21"/>
          <w:highlight w:val="none"/>
          <w:lang w:val="en-US" w:eastAsia="zh-CN"/>
        </w:rPr>
        <w:t>协议</w:t>
      </w:r>
      <w:r>
        <w:rPr>
          <w:rFonts w:hint="eastAsia" w:ascii="宋体" w:hAnsi="宋体" w:cs="宋体"/>
          <w:color w:val="auto"/>
          <w:spacing w:val="0"/>
          <w:kern w:val="2"/>
          <w:sz w:val="21"/>
          <w:szCs w:val="21"/>
          <w:highlight w:val="none"/>
          <w:lang w:eastAsia="zh-CN"/>
        </w:rPr>
        <w:t>。</w:t>
      </w:r>
    </w:p>
    <w:p w14:paraId="573576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62D61A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本合同壹式</w:t>
      </w:r>
      <w:r>
        <w:rPr>
          <w:rFonts w:hint="eastAsia" w:ascii="宋体" w:hAnsi="宋体" w:cs="宋体"/>
          <w:color w:val="auto"/>
          <w:szCs w:val="21"/>
          <w:highlight w:val="none"/>
          <w:lang w:val="en-US" w:eastAsia="zh-CN"/>
        </w:rPr>
        <w:t>陆</w:t>
      </w:r>
      <w:r>
        <w:rPr>
          <w:rFonts w:hint="eastAsia" w:ascii="宋体" w:hAnsi="宋体" w:cs="宋体"/>
          <w:color w:val="auto"/>
          <w:szCs w:val="21"/>
          <w:highlight w:val="none"/>
        </w:rPr>
        <w:t>份，具有同等法律效力，甲方</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rPr>
        <w:t>份、乙方贰份、采购代理机构壹份。</w:t>
      </w:r>
    </w:p>
    <w:p w14:paraId="78C7CCB9">
      <w:pPr>
        <w:pStyle w:val="36"/>
        <w:rPr>
          <w:rFonts w:hint="default" w:eastAsia="宋体"/>
          <w:sz w:val="21"/>
          <w:szCs w:val="21"/>
          <w:lang w:val="en-US" w:eastAsia="zh-CN"/>
        </w:rPr>
      </w:pPr>
      <w:r>
        <w:rPr>
          <w:rFonts w:hint="eastAsia" w:ascii="宋体" w:hAnsi="宋体" w:cs="宋体"/>
          <w:color w:val="auto"/>
          <w:sz w:val="21"/>
          <w:szCs w:val="21"/>
          <w:highlight w:val="none"/>
          <w:lang w:val="en-US" w:eastAsia="zh-CN"/>
        </w:rPr>
        <w:t>（以下无正文）</w:t>
      </w:r>
    </w:p>
    <w:tbl>
      <w:tblPr>
        <w:tblStyle w:val="29"/>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265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vAlign w:val="center"/>
          </w:tcPr>
          <w:p w14:paraId="42ECE1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广西壮族自治区肿瘤防治研究所</w:t>
            </w:r>
            <w:r>
              <w:rPr>
                <w:rFonts w:hint="eastAsia" w:ascii="宋体" w:hAnsi="宋体" w:cs="宋体"/>
                <w:color w:val="auto"/>
                <w:szCs w:val="21"/>
                <w:highlight w:val="none"/>
              </w:rPr>
              <w:t>（章）</w:t>
            </w:r>
          </w:p>
          <w:p w14:paraId="6F8D4469">
            <w:pPr>
              <w:snapToGrid w:val="0"/>
              <w:spacing w:line="360" w:lineRule="auto"/>
              <w:rPr>
                <w:rFonts w:ascii="宋体" w:hAnsi="宋体" w:cs="宋体"/>
                <w:color w:val="auto"/>
                <w:szCs w:val="21"/>
                <w:highlight w:val="none"/>
              </w:rPr>
            </w:pPr>
          </w:p>
          <w:p w14:paraId="2A36D561">
            <w:pPr>
              <w:snapToGrid w:val="0"/>
              <w:spacing w:line="360" w:lineRule="auto"/>
              <w:rPr>
                <w:rFonts w:ascii="宋体" w:hAnsi="宋体" w:cs="宋体"/>
                <w:color w:val="auto"/>
                <w:szCs w:val="21"/>
                <w:highlight w:val="none"/>
              </w:rPr>
            </w:pPr>
          </w:p>
          <w:p w14:paraId="71DE856B">
            <w:pPr>
              <w:snapToGrid w:val="0"/>
              <w:spacing w:line="360" w:lineRule="auto"/>
              <w:ind w:firstLine="945" w:firstLineChars="450"/>
              <w:jc w:val="right"/>
              <w:rPr>
                <w:rFonts w:ascii="宋体" w:hAnsi="宋体" w:cs="宋体"/>
                <w:color w:val="auto"/>
                <w:szCs w:val="21"/>
                <w:highlight w:val="none"/>
              </w:rPr>
            </w:pPr>
          </w:p>
          <w:p w14:paraId="6CD467FE">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69" w:type="dxa"/>
            <w:tcBorders>
              <w:top w:val="single" w:color="auto" w:sz="4" w:space="0"/>
              <w:left w:val="single" w:color="auto" w:sz="4" w:space="0"/>
              <w:bottom w:val="single" w:color="auto" w:sz="4" w:space="0"/>
              <w:right w:val="single" w:color="auto" w:sz="4" w:space="0"/>
            </w:tcBorders>
            <w:vAlign w:val="center"/>
          </w:tcPr>
          <w:p w14:paraId="344E9D3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AEE5E36">
            <w:pPr>
              <w:snapToGrid w:val="0"/>
              <w:spacing w:line="360" w:lineRule="auto"/>
              <w:rPr>
                <w:rFonts w:ascii="宋体" w:hAnsi="宋体" w:cs="宋体"/>
                <w:color w:val="auto"/>
                <w:szCs w:val="21"/>
                <w:highlight w:val="none"/>
              </w:rPr>
            </w:pPr>
          </w:p>
          <w:p w14:paraId="19B361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05B2533">
            <w:pPr>
              <w:snapToGrid w:val="0"/>
              <w:spacing w:line="360" w:lineRule="auto"/>
              <w:jc w:val="right"/>
              <w:rPr>
                <w:rFonts w:ascii="宋体" w:hAnsi="宋体" w:cs="宋体"/>
                <w:color w:val="auto"/>
                <w:szCs w:val="21"/>
                <w:highlight w:val="none"/>
              </w:rPr>
            </w:pPr>
          </w:p>
          <w:p w14:paraId="47C008DA">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BF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40491088">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单位地址：</w:t>
            </w:r>
          </w:p>
        </w:tc>
        <w:tc>
          <w:tcPr>
            <w:tcW w:w="4569" w:type="dxa"/>
            <w:tcBorders>
              <w:top w:val="single" w:color="auto" w:sz="4" w:space="0"/>
              <w:left w:val="single" w:color="auto" w:sz="4" w:space="0"/>
              <w:bottom w:val="single" w:color="auto" w:sz="4" w:space="0"/>
              <w:right w:val="single" w:color="auto" w:sz="4" w:space="0"/>
            </w:tcBorders>
            <w:vAlign w:val="center"/>
          </w:tcPr>
          <w:p w14:paraId="2425D6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5572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vAlign w:val="center"/>
          </w:tcPr>
          <w:p w14:paraId="469269F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p w14:paraId="0E63044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或委托代理人：</w:t>
            </w:r>
          </w:p>
        </w:tc>
        <w:tc>
          <w:tcPr>
            <w:tcW w:w="4569" w:type="dxa"/>
            <w:tcBorders>
              <w:top w:val="single" w:color="auto" w:sz="4" w:space="0"/>
              <w:left w:val="single" w:color="auto" w:sz="4" w:space="0"/>
              <w:bottom w:val="single" w:color="auto" w:sz="4" w:space="0"/>
              <w:right w:val="single" w:color="auto" w:sz="4" w:space="0"/>
            </w:tcBorders>
            <w:vAlign w:val="center"/>
          </w:tcPr>
          <w:p w14:paraId="0077FB0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p w14:paraId="497152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或委托代理人：</w:t>
            </w:r>
          </w:p>
        </w:tc>
      </w:tr>
      <w:tr w14:paraId="7F20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22F763C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69" w:type="dxa"/>
            <w:tcBorders>
              <w:top w:val="single" w:color="auto" w:sz="4" w:space="0"/>
              <w:left w:val="single" w:color="auto" w:sz="4" w:space="0"/>
              <w:bottom w:val="single" w:color="auto" w:sz="4" w:space="0"/>
              <w:right w:val="single" w:color="auto" w:sz="4" w:space="0"/>
            </w:tcBorders>
            <w:vAlign w:val="center"/>
          </w:tcPr>
          <w:p w14:paraId="6B2A35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90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34D75E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c>
          <w:tcPr>
            <w:tcW w:w="4569" w:type="dxa"/>
            <w:tcBorders>
              <w:top w:val="single" w:color="auto" w:sz="4" w:space="0"/>
              <w:left w:val="single" w:color="auto" w:sz="4" w:space="0"/>
              <w:bottom w:val="single" w:color="auto" w:sz="4" w:space="0"/>
              <w:right w:val="single" w:color="auto" w:sz="4" w:space="0"/>
            </w:tcBorders>
            <w:vAlign w:val="center"/>
          </w:tcPr>
          <w:p w14:paraId="592593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2623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24042D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69" w:type="dxa"/>
            <w:tcBorders>
              <w:top w:val="single" w:color="auto" w:sz="4" w:space="0"/>
              <w:left w:val="single" w:color="auto" w:sz="4" w:space="0"/>
              <w:bottom w:val="single" w:color="auto" w:sz="4" w:space="0"/>
              <w:right w:val="single" w:color="auto" w:sz="4" w:space="0"/>
            </w:tcBorders>
            <w:vAlign w:val="center"/>
          </w:tcPr>
          <w:p w14:paraId="19DCABF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9F0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0B0D99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69" w:type="dxa"/>
            <w:tcBorders>
              <w:top w:val="single" w:color="auto" w:sz="4" w:space="0"/>
              <w:left w:val="single" w:color="auto" w:sz="4" w:space="0"/>
              <w:bottom w:val="single" w:color="auto" w:sz="4" w:space="0"/>
              <w:right w:val="single" w:color="auto" w:sz="4" w:space="0"/>
            </w:tcBorders>
            <w:vAlign w:val="center"/>
          </w:tcPr>
          <w:p w14:paraId="685906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C7FA5D0">
      <w:pPr>
        <w:snapToGrid w:val="0"/>
        <w:spacing w:line="360" w:lineRule="auto"/>
        <w:rPr>
          <w:rFonts w:ascii="宋体" w:hAnsi="宋体" w:cs="宋体"/>
          <w:b/>
          <w:color w:val="auto"/>
          <w:szCs w:val="21"/>
          <w:highlight w:val="none"/>
        </w:rPr>
      </w:pPr>
    </w:p>
    <w:p w14:paraId="46C11255">
      <w:pPr>
        <w:spacing w:line="360" w:lineRule="auto"/>
        <w:ind w:firstLine="420" w:firstLineChars="200"/>
        <w:rPr>
          <w:rFonts w:hint="eastAsia" w:ascii="宋体" w:hAnsi="宋体" w:cs="宋体"/>
          <w:color w:val="auto"/>
          <w:highlight w:val="none"/>
        </w:rPr>
      </w:pPr>
    </w:p>
    <w:p w14:paraId="554A1900">
      <w:pPr>
        <w:spacing w:line="360" w:lineRule="auto"/>
        <w:ind w:firstLine="420" w:firstLineChars="200"/>
        <w:rPr>
          <w:rFonts w:hint="eastAsia" w:ascii="宋体" w:hAnsi="宋体" w:cs="宋体"/>
          <w:color w:val="auto"/>
          <w:highlight w:val="none"/>
        </w:rPr>
      </w:pPr>
    </w:p>
    <w:p w14:paraId="69174430">
      <w:pPr>
        <w:spacing w:line="360" w:lineRule="auto"/>
        <w:ind w:firstLine="420" w:firstLineChars="200"/>
        <w:rPr>
          <w:rFonts w:hint="eastAsia" w:ascii="宋体" w:hAnsi="宋体" w:cs="宋体"/>
          <w:color w:val="auto"/>
          <w:highlight w:val="none"/>
        </w:rPr>
      </w:pPr>
    </w:p>
    <w:p w14:paraId="79043EEA">
      <w:pPr>
        <w:spacing w:line="360" w:lineRule="auto"/>
        <w:ind w:firstLine="420" w:firstLineChars="200"/>
        <w:rPr>
          <w:rFonts w:hint="eastAsia" w:ascii="宋体" w:hAnsi="宋体" w:cs="宋体"/>
          <w:color w:val="auto"/>
          <w:highlight w:val="none"/>
        </w:rPr>
      </w:pPr>
    </w:p>
    <w:p w14:paraId="00F09E29">
      <w:pPr>
        <w:spacing w:line="360" w:lineRule="auto"/>
        <w:ind w:firstLine="420" w:firstLineChars="200"/>
        <w:rPr>
          <w:rFonts w:hint="eastAsia" w:ascii="宋体" w:hAnsi="宋体" w:cs="宋体"/>
          <w:color w:val="auto"/>
          <w:highlight w:val="none"/>
        </w:rPr>
      </w:pPr>
    </w:p>
    <w:p w14:paraId="1F7EBCA2">
      <w:pPr>
        <w:spacing w:line="360" w:lineRule="auto"/>
        <w:ind w:firstLine="420" w:firstLineChars="200"/>
        <w:rPr>
          <w:rFonts w:hint="eastAsia" w:ascii="宋体" w:hAnsi="宋体" w:cs="宋体"/>
          <w:color w:val="auto"/>
          <w:highlight w:val="none"/>
        </w:rPr>
      </w:pPr>
    </w:p>
    <w:p w14:paraId="3DAF2D26">
      <w:pPr>
        <w:spacing w:line="360" w:lineRule="auto"/>
        <w:ind w:firstLine="420" w:firstLineChars="200"/>
        <w:rPr>
          <w:rFonts w:hint="eastAsia" w:ascii="宋体" w:hAnsi="宋体" w:cs="宋体"/>
          <w:color w:val="auto"/>
          <w:highlight w:val="none"/>
        </w:rPr>
      </w:pPr>
    </w:p>
    <w:p w14:paraId="1E72E3C4">
      <w:pPr>
        <w:spacing w:line="360" w:lineRule="auto"/>
        <w:ind w:firstLine="420" w:firstLineChars="200"/>
        <w:rPr>
          <w:rFonts w:hint="eastAsia" w:ascii="宋体" w:hAnsi="宋体" w:cs="宋体"/>
          <w:color w:val="auto"/>
          <w:highlight w:val="none"/>
        </w:rPr>
      </w:pPr>
    </w:p>
    <w:p w14:paraId="08F27DC4">
      <w:pPr>
        <w:spacing w:line="360" w:lineRule="auto"/>
        <w:ind w:firstLine="420" w:firstLineChars="200"/>
        <w:rPr>
          <w:rFonts w:hint="eastAsia" w:ascii="宋体" w:hAnsi="宋体" w:cs="宋体"/>
          <w:color w:val="auto"/>
          <w:highlight w:val="none"/>
        </w:rPr>
      </w:pPr>
    </w:p>
    <w:p w14:paraId="60ACA708">
      <w:pPr>
        <w:spacing w:line="360" w:lineRule="auto"/>
        <w:ind w:firstLine="420" w:firstLineChars="200"/>
        <w:rPr>
          <w:rFonts w:hint="eastAsia" w:ascii="宋体" w:hAnsi="宋体" w:cs="宋体"/>
          <w:color w:val="auto"/>
          <w:highlight w:val="none"/>
        </w:rPr>
      </w:pPr>
    </w:p>
    <w:p w14:paraId="63491BA2">
      <w:pPr>
        <w:spacing w:line="360" w:lineRule="auto"/>
        <w:ind w:firstLine="420" w:firstLineChars="200"/>
        <w:rPr>
          <w:rFonts w:hint="eastAsia" w:ascii="宋体" w:hAnsi="宋体" w:cs="宋体"/>
          <w:color w:val="auto"/>
          <w:highlight w:val="none"/>
        </w:rPr>
      </w:pPr>
    </w:p>
    <w:p w14:paraId="0E20418C">
      <w:pPr>
        <w:spacing w:line="360" w:lineRule="auto"/>
        <w:ind w:firstLine="420" w:firstLineChars="200"/>
        <w:rPr>
          <w:rFonts w:hint="eastAsia" w:ascii="宋体" w:hAnsi="宋体" w:cs="宋体"/>
          <w:color w:val="auto"/>
          <w:highlight w:val="none"/>
        </w:rPr>
      </w:pPr>
    </w:p>
    <w:p w14:paraId="7AA9997C">
      <w:pPr>
        <w:spacing w:line="360" w:lineRule="auto"/>
        <w:ind w:firstLine="420" w:firstLineChars="200"/>
        <w:rPr>
          <w:rFonts w:hint="eastAsia" w:ascii="宋体" w:hAnsi="宋体" w:cs="宋体"/>
          <w:color w:val="auto"/>
          <w:highlight w:val="none"/>
        </w:rPr>
      </w:pPr>
    </w:p>
    <w:p w14:paraId="03DFBC05">
      <w:pPr>
        <w:spacing w:line="360" w:lineRule="auto"/>
        <w:ind w:firstLine="420" w:firstLineChars="200"/>
        <w:rPr>
          <w:rFonts w:hint="eastAsia" w:ascii="宋体" w:hAnsi="宋体" w:cs="宋体"/>
          <w:color w:val="auto"/>
          <w:highlight w:val="none"/>
        </w:rPr>
      </w:pPr>
    </w:p>
    <w:p w14:paraId="06236630">
      <w:pPr>
        <w:spacing w:line="360" w:lineRule="auto"/>
        <w:ind w:firstLine="420" w:firstLineChars="200"/>
        <w:rPr>
          <w:rFonts w:hint="eastAsia" w:ascii="宋体" w:hAnsi="宋体" w:cs="宋体"/>
          <w:color w:val="auto"/>
          <w:highlight w:val="none"/>
        </w:rPr>
      </w:pPr>
    </w:p>
    <w:p w14:paraId="0290B669">
      <w:pPr>
        <w:spacing w:line="360" w:lineRule="auto"/>
        <w:ind w:firstLine="420" w:firstLineChars="200"/>
        <w:rPr>
          <w:rFonts w:hint="eastAsia" w:ascii="宋体" w:hAnsi="宋体" w:cs="宋体"/>
          <w:color w:val="auto"/>
          <w:highlight w:val="none"/>
        </w:rPr>
      </w:pPr>
    </w:p>
    <w:p w14:paraId="4EF035C0">
      <w:pPr>
        <w:ind w:left="-178" w:leftChars="-85"/>
        <w:jc w:val="center"/>
        <w:rPr>
          <w:rFonts w:ascii="Arial" w:hAnsi="Arial" w:cs="Arial"/>
          <w:b/>
          <w:color w:val="auto"/>
          <w:sz w:val="36"/>
          <w:szCs w:val="36"/>
          <w:highlight w:val="none"/>
        </w:rPr>
      </w:pPr>
    </w:p>
    <w:p w14:paraId="7C368A31">
      <w:pPr>
        <w:ind w:left="-178" w:leftChars="-85"/>
        <w:jc w:val="center"/>
        <w:rPr>
          <w:rFonts w:ascii="Arial" w:hAnsi="Arial" w:cs="Arial"/>
          <w:b/>
          <w:color w:val="auto"/>
          <w:sz w:val="36"/>
          <w:szCs w:val="36"/>
          <w:highlight w:val="none"/>
        </w:rPr>
      </w:pPr>
    </w:p>
    <w:p w14:paraId="5F7D62B1">
      <w:pPr>
        <w:ind w:left="-178" w:leftChars="-85"/>
        <w:jc w:val="center"/>
        <w:rPr>
          <w:rFonts w:ascii="Arial" w:hAnsi="Arial" w:cs="Arial"/>
          <w:b/>
          <w:color w:val="auto"/>
          <w:sz w:val="36"/>
          <w:szCs w:val="36"/>
          <w:highlight w:val="none"/>
        </w:rPr>
      </w:pPr>
    </w:p>
    <w:p w14:paraId="4E757108">
      <w:pPr>
        <w:ind w:left="-178" w:leftChars="-85"/>
        <w:jc w:val="center"/>
        <w:rPr>
          <w:rFonts w:ascii="Arial" w:hAnsi="Arial" w:cs="Arial"/>
          <w:b/>
          <w:color w:val="auto"/>
          <w:sz w:val="36"/>
          <w:szCs w:val="36"/>
          <w:highlight w:val="none"/>
        </w:rPr>
      </w:pPr>
    </w:p>
    <w:p w14:paraId="203B9C40">
      <w:pPr>
        <w:ind w:left="-178" w:leftChars="-85"/>
        <w:jc w:val="center"/>
        <w:rPr>
          <w:rFonts w:ascii="Arial" w:hAnsi="Arial" w:cs="Arial"/>
          <w:b/>
          <w:color w:val="auto"/>
          <w:sz w:val="36"/>
          <w:szCs w:val="36"/>
          <w:highlight w:val="none"/>
        </w:rPr>
      </w:pPr>
    </w:p>
    <w:p w14:paraId="5B4A6286">
      <w:pPr>
        <w:ind w:left="-178" w:leftChars="-85"/>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廉洁</w:t>
      </w:r>
      <w:r>
        <w:rPr>
          <w:rFonts w:hint="eastAsia" w:ascii="Arial" w:hAnsi="Arial" w:cs="Arial"/>
          <w:b/>
          <w:color w:val="auto"/>
          <w:sz w:val="36"/>
          <w:szCs w:val="36"/>
          <w:highlight w:val="none"/>
          <w:lang w:val="en-US" w:eastAsia="zh-CN"/>
        </w:rPr>
        <w:t>协议</w:t>
      </w:r>
    </w:p>
    <w:p w14:paraId="7D8D16AB">
      <w:pPr>
        <w:spacing w:line="400" w:lineRule="exact"/>
        <w:rPr>
          <w:rFonts w:ascii="Arial" w:hAnsi="Arial" w:cs="Arial"/>
          <w:b/>
          <w:color w:val="auto"/>
          <w:szCs w:val="21"/>
          <w:highlight w:val="none"/>
        </w:rPr>
      </w:pPr>
    </w:p>
    <w:p w14:paraId="4D13DF00">
      <w:pPr>
        <w:spacing w:line="400" w:lineRule="exact"/>
        <w:rPr>
          <w:rFonts w:hint="eastAsia" w:ascii="宋体" w:hAnsi="宋体" w:cs="Arial"/>
          <w:color w:val="auto"/>
          <w:szCs w:val="21"/>
          <w:highlight w:val="none"/>
        </w:rPr>
      </w:pPr>
      <w:r>
        <w:rPr>
          <w:rFonts w:ascii="宋体" w:hAnsi="宋体" w:cs="Arial"/>
          <w:b/>
          <w:color w:val="auto"/>
          <w:szCs w:val="21"/>
          <w:highlight w:val="none"/>
        </w:rPr>
        <w:t>甲方：</w:t>
      </w:r>
      <w:r>
        <w:rPr>
          <w:rFonts w:hint="eastAsia" w:ascii="宋体" w:hAnsi="宋体" w:cs="Arial"/>
          <w:color w:val="auto"/>
          <w:szCs w:val="21"/>
          <w:highlight w:val="none"/>
        </w:rPr>
        <w:t>广西壮族自治区肿瘤防治研究所</w:t>
      </w:r>
    </w:p>
    <w:p w14:paraId="60518B91">
      <w:pPr>
        <w:spacing w:line="400" w:lineRule="exact"/>
        <w:rPr>
          <w:rFonts w:ascii="宋体" w:hAnsi="宋体" w:cs="Arial"/>
          <w:color w:val="auto"/>
          <w:szCs w:val="21"/>
          <w:highlight w:val="none"/>
        </w:rPr>
      </w:pPr>
      <w:r>
        <w:rPr>
          <w:rFonts w:ascii="宋体" w:hAnsi="宋体" w:cs="Arial"/>
          <w:b/>
          <w:color w:val="auto"/>
          <w:szCs w:val="21"/>
          <w:highlight w:val="none"/>
        </w:rPr>
        <w:t>乙方</w:t>
      </w:r>
      <w:r>
        <w:rPr>
          <w:rFonts w:ascii="宋体" w:hAnsi="宋体" w:cs="Arial"/>
          <w:color w:val="auto"/>
          <w:szCs w:val="21"/>
          <w:highlight w:val="none"/>
        </w:rPr>
        <w:t>：</w:t>
      </w:r>
    </w:p>
    <w:p w14:paraId="4EF6485E">
      <w:pPr>
        <w:spacing w:line="360" w:lineRule="exact"/>
        <w:ind w:firstLine="420" w:firstLineChars="200"/>
        <w:rPr>
          <w:rFonts w:ascii="宋体" w:hAnsi="宋体" w:cs="Arial"/>
          <w:color w:val="auto"/>
          <w:szCs w:val="21"/>
          <w:highlight w:val="none"/>
        </w:rPr>
      </w:pPr>
    </w:p>
    <w:p w14:paraId="04DB927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为认真落实国家、自治区及自治区卫生健康委有关加强行风建设的文件精神，进一步规范</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购销行为，从源头上预防和遏制违纪违法问题，营造公平交易、诚实守信的环境，维护正常的工作秩序和采供货秩序，以全方位防治不正之风的发生，建立健全防治商业贿赂的长效机制，甲乙双方经协商，在签订合同（</w:t>
      </w:r>
      <w:r>
        <w:rPr>
          <w:rFonts w:hint="eastAsia" w:ascii="宋体" w:hAnsi="宋体" w:cs="宋体"/>
          <w:b/>
          <w:bCs/>
          <w:color w:val="auto"/>
          <w:szCs w:val="21"/>
          <w:highlight w:val="none"/>
        </w:rPr>
        <w:t>合同名称：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；合同号：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color w:val="auto"/>
          <w:szCs w:val="21"/>
          <w:highlight w:val="none"/>
        </w:rPr>
        <w:t>的同时，签订本《廉洁</w:t>
      </w:r>
      <w:r>
        <w:rPr>
          <w:rFonts w:hint="eastAsia" w:ascii="宋体" w:hAnsi="宋体" w:cs="宋体"/>
          <w:color w:val="auto"/>
          <w:szCs w:val="21"/>
          <w:highlight w:val="none"/>
          <w:lang w:val="en-US" w:eastAsia="zh-CN"/>
        </w:rPr>
        <w:t>协议</w:t>
      </w:r>
      <w:r>
        <w:rPr>
          <w:rFonts w:hint="eastAsia" w:ascii="宋体" w:hAnsi="宋体" w:cs="宋体"/>
          <w:color w:val="auto"/>
          <w:szCs w:val="21"/>
          <w:highlight w:val="none"/>
        </w:rPr>
        <w:t>》，以共同遵守：</w:t>
      </w:r>
    </w:p>
    <w:p w14:paraId="631442C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一、甲方及其工作人员不得有下列行为：</w:t>
      </w:r>
    </w:p>
    <w:p w14:paraId="595C61C8">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以任何方式索取和接受乙方的现金、提成、回扣、返点、礼金、礼券、礼卡、代币购物卡、券或其他报酬，接受乙方宴请、旅游、娱乐及馈赠礼品等影响业务公正的一切活动，严禁参与任何形式的色情或赌博等违法活动。</w:t>
      </w:r>
    </w:p>
    <w:p w14:paraId="40A0B031">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2.要求和接受乙方为其装修住房、婚丧嫁娶等提供方便，或以工作之便借用乙方的贵重物品。</w:t>
      </w:r>
    </w:p>
    <w:p w14:paraId="2F0D5F54">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3.在家中等非办公场所私下洽谈业务，托乙方办私事，泄露与物资采购招投标、密封报价活动等相关信息，与乙方发生个人经济往来。</w:t>
      </w:r>
    </w:p>
    <w:p w14:paraId="0F9F811F">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4.利用职权故意刁难对方，搞权钱交易、索贿、受贿，或要求乙方支付或报销各种费用。</w:t>
      </w:r>
    </w:p>
    <w:p w14:paraId="3332F511">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5.帮乙方非法统计办公用品销售数量等有关信息。</w:t>
      </w:r>
    </w:p>
    <w:p w14:paraId="693F284C">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6.其他法律法规明令禁止的行为。</w:t>
      </w:r>
    </w:p>
    <w:p w14:paraId="1475E05B">
      <w:pPr>
        <w:spacing w:line="440" w:lineRule="exact"/>
        <w:ind w:firstLine="420"/>
        <w:rPr>
          <w:rFonts w:ascii="宋体" w:hAnsi="宋体" w:cs="宋体"/>
          <w:b/>
          <w:bCs/>
          <w:color w:val="auto"/>
          <w:szCs w:val="21"/>
          <w:highlight w:val="none"/>
        </w:rPr>
      </w:pPr>
      <w:r>
        <w:rPr>
          <w:rFonts w:hint="eastAsia" w:ascii="宋体" w:hAnsi="宋体" w:cs="宋体"/>
          <w:b/>
          <w:bCs/>
          <w:color w:val="auto"/>
          <w:szCs w:val="21"/>
          <w:highlight w:val="none"/>
        </w:rPr>
        <w:t>二、乙方及其工作人员</w:t>
      </w:r>
    </w:p>
    <w:p w14:paraId="647F6F3C">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（一）乙方及其工作人员必须遵守的行为：</w:t>
      </w:r>
    </w:p>
    <w:p w14:paraId="1EC76E90">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1.自觉遵守国家和地方的有关法律、法规，严格执行合同条款，做到诚信经营。</w:t>
      </w:r>
    </w:p>
    <w:p w14:paraId="7F65537C">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 xml:space="preserve">2.在洽谈业务时，必须在工作时间到甲方指定的科室或地点联系商谈。    </w:t>
      </w:r>
    </w:p>
    <w:p w14:paraId="2990EFA1">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（二）乙方及其工作人员不得有下列行为：</w:t>
      </w:r>
    </w:p>
    <w:p w14:paraId="329DE4C6">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1.在业务交往过程，暗中给予甲方工作人员现金、提成、回扣、返点、礼金、礼券、礼卡、代币购物卡、券或其他报酬，以宴请、旅游、娱乐及馈赠礼品等不正当手段影响甲方工作人员的产品或商家的选择权。</w:t>
      </w:r>
    </w:p>
    <w:p w14:paraId="1460D929">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2.故意夸大对产品质量、企业资信的宣传，以骗取需方信任，招揽生意。</w:t>
      </w:r>
    </w:p>
    <w:p w14:paraId="114B689E">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3.捏造、散布虚假事实，损害竞争对手的商业信誉、产品声誉、干扰甲方正常的经营活动行为以及销售假冒、伪劣、不合格产品或以次充好、降低产品质量等。</w:t>
      </w:r>
    </w:p>
    <w:p w14:paraId="44B0FD66">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4.在业务交往中与其他供应方串通，抬高或压低价格，或与甲方人员串通排挤竞争对手的行为。</w:t>
      </w:r>
    </w:p>
    <w:p w14:paraId="2B2D7A88">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5.借故到甲方主管领导、科室负责人及相关工作人员家中访谈或向介绍人提供任何好处费等。</w:t>
      </w:r>
    </w:p>
    <w:p w14:paraId="20E679D9">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6.其他法律法规明令禁止的行为。</w:t>
      </w:r>
    </w:p>
    <w:p w14:paraId="774556FD">
      <w:pPr>
        <w:spacing w:line="440" w:lineRule="exact"/>
        <w:ind w:firstLine="420"/>
        <w:rPr>
          <w:rFonts w:ascii="宋体" w:hAnsi="宋体" w:cs="宋体"/>
          <w:b/>
          <w:bCs/>
          <w:color w:val="auto"/>
          <w:szCs w:val="21"/>
          <w:highlight w:val="none"/>
        </w:rPr>
      </w:pPr>
      <w:r>
        <w:rPr>
          <w:rFonts w:hint="eastAsia" w:ascii="宋体" w:hAnsi="宋体" w:cs="宋体"/>
          <w:b/>
          <w:bCs/>
          <w:color w:val="auto"/>
          <w:szCs w:val="21"/>
          <w:highlight w:val="none"/>
        </w:rPr>
        <w:t>三、责任追究</w:t>
      </w:r>
    </w:p>
    <w:p w14:paraId="7ADCE970">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1.甲方工作人员违反本协议条款的，甲方将根据国家有关法律法规规定和有关廉政制度规定追究其责任，给予处理，涉嫌违法的移送司法机关处理。</w:t>
      </w:r>
    </w:p>
    <w:p w14:paraId="5DD41B02">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2.乙方若发现甲方工作人员有违反本协议条款的，应及时、主动向甲方纪检监察部门举报，并配合调查取证工作。</w:t>
      </w:r>
    </w:p>
    <w:p w14:paraId="5C870E0B">
      <w:pPr>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3.乙方及其工作人员违反本协议条款，一经发现并证实，甲方有权终止购销合同，列入不良记录行为，并在甲方内部通报，情节严重的，按有关规定取消供货资格2年，涉嫌违法的，移送司法机关处理。</w:t>
      </w:r>
    </w:p>
    <w:p w14:paraId="14C39AB7">
      <w:pPr>
        <w:spacing w:line="360" w:lineRule="exact"/>
        <w:ind w:firstLine="420"/>
        <w:rPr>
          <w:rFonts w:ascii="宋体" w:hAnsi="宋体" w:cs="Arial"/>
          <w:color w:val="auto"/>
          <w:szCs w:val="21"/>
          <w:highlight w:val="none"/>
        </w:rPr>
      </w:pPr>
    </w:p>
    <w:p w14:paraId="5D445249">
      <w:pPr>
        <w:spacing w:line="360" w:lineRule="exact"/>
        <w:rPr>
          <w:rFonts w:ascii="宋体" w:hAnsi="宋体" w:cs="Arial"/>
          <w:b/>
          <w:color w:val="auto"/>
          <w:szCs w:val="21"/>
          <w:highlight w:val="none"/>
        </w:rPr>
      </w:pPr>
      <w:r>
        <w:rPr>
          <w:rFonts w:ascii="宋体" w:hAnsi="宋体" w:cs="Arial"/>
          <w:b/>
          <w:color w:val="auto"/>
          <w:szCs w:val="21"/>
          <w:highlight w:val="none"/>
        </w:rPr>
        <w:t xml:space="preserve">甲方（盖章）： </w:t>
      </w:r>
      <w:r>
        <w:rPr>
          <w:rFonts w:hint="eastAsia" w:ascii="宋体" w:hAnsi="宋体" w:cs="Arial"/>
          <w:b/>
          <w:color w:val="auto"/>
          <w:szCs w:val="21"/>
          <w:highlight w:val="none"/>
        </w:rPr>
        <w:t xml:space="preserve">广西壮族自治区肿瘤防治研究所  </w:t>
      </w:r>
      <w:r>
        <w:rPr>
          <w:rFonts w:ascii="宋体" w:hAnsi="宋体" w:cs="Arial"/>
          <w:b/>
          <w:color w:val="auto"/>
          <w:szCs w:val="21"/>
          <w:highlight w:val="none"/>
        </w:rPr>
        <w:t>乙方（盖章）：</w:t>
      </w:r>
    </w:p>
    <w:p w14:paraId="59E4BF55">
      <w:pPr>
        <w:spacing w:line="360" w:lineRule="exact"/>
        <w:rPr>
          <w:rFonts w:ascii="宋体" w:hAnsi="宋体" w:cs="Arial"/>
          <w:b/>
          <w:color w:val="auto"/>
          <w:szCs w:val="21"/>
          <w:highlight w:val="none"/>
        </w:rPr>
      </w:pPr>
    </w:p>
    <w:p w14:paraId="66DC0369">
      <w:pPr>
        <w:spacing w:line="360" w:lineRule="exact"/>
        <w:rPr>
          <w:rFonts w:ascii="宋体" w:hAnsi="宋体" w:cs="Arial"/>
          <w:b/>
          <w:color w:val="auto"/>
          <w:szCs w:val="21"/>
          <w:highlight w:val="none"/>
        </w:rPr>
      </w:pPr>
      <w:r>
        <w:rPr>
          <w:rFonts w:ascii="宋体" w:hAnsi="宋体" w:cs="Arial"/>
          <w:b/>
          <w:color w:val="auto"/>
          <w:szCs w:val="21"/>
          <w:highlight w:val="none"/>
        </w:rPr>
        <w:t xml:space="preserve">法定代表人：                               </w:t>
      </w:r>
      <w:r>
        <w:rPr>
          <w:rFonts w:hint="eastAsia" w:ascii="宋体" w:hAnsi="宋体" w:cs="Arial"/>
          <w:b/>
          <w:color w:val="auto"/>
          <w:szCs w:val="21"/>
          <w:highlight w:val="none"/>
        </w:rPr>
        <w:t xml:space="preserve"> </w:t>
      </w:r>
      <w:r>
        <w:rPr>
          <w:rFonts w:ascii="宋体" w:hAnsi="宋体" w:cs="Arial"/>
          <w:b/>
          <w:color w:val="auto"/>
          <w:szCs w:val="21"/>
          <w:highlight w:val="none"/>
        </w:rPr>
        <w:t>法定代表人：</w:t>
      </w:r>
    </w:p>
    <w:p w14:paraId="24543D17">
      <w:pPr>
        <w:spacing w:line="360" w:lineRule="exact"/>
        <w:rPr>
          <w:rFonts w:ascii="宋体" w:hAnsi="宋体" w:cs="Arial"/>
          <w:b/>
          <w:color w:val="auto"/>
          <w:szCs w:val="21"/>
          <w:highlight w:val="none"/>
        </w:rPr>
      </w:pPr>
    </w:p>
    <w:p w14:paraId="59D7DA25">
      <w:pPr>
        <w:spacing w:line="360" w:lineRule="exact"/>
        <w:rPr>
          <w:rFonts w:ascii="宋体" w:hAnsi="宋体" w:cs="Arial"/>
          <w:b/>
          <w:color w:val="auto"/>
          <w:szCs w:val="21"/>
          <w:highlight w:val="none"/>
        </w:rPr>
      </w:pPr>
      <w:r>
        <w:rPr>
          <w:rFonts w:ascii="宋体" w:hAnsi="宋体" w:cs="Arial"/>
          <w:b/>
          <w:color w:val="auto"/>
          <w:szCs w:val="21"/>
          <w:highlight w:val="none"/>
        </w:rPr>
        <w:t xml:space="preserve">经办人签名：                               </w:t>
      </w:r>
      <w:r>
        <w:rPr>
          <w:rFonts w:hint="eastAsia" w:ascii="宋体" w:hAnsi="宋体" w:cs="Arial"/>
          <w:b/>
          <w:color w:val="auto"/>
          <w:szCs w:val="21"/>
          <w:highlight w:val="none"/>
        </w:rPr>
        <w:t xml:space="preserve"> </w:t>
      </w:r>
      <w:r>
        <w:rPr>
          <w:rFonts w:ascii="宋体" w:hAnsi="宋体" w:cs="Arial"/>
          <w:b/>
          <w:color w:val="auto"/>
          <w:szCs w:val="21"/>
          <w:highlight w:val="none"/>
        </w:rPr>
        <w:t>经办人签名：</w:t>
      </w:r>
    </w:p>
    <w:p w14:paraId="58012E64">
      <w:pPr>
        <w:snapToGrid w:val="0"/>
        <w:spacing w:line="360" w:lineRule="exact"/>
        <w:ind w:firstLine="1050" w:firstLineChars="500"/>
        <w:rPr>
          <w:rFonts w:ascii="宋体" w:hAnsi="宋体" w:cs="Arial"/>
          <w:color w:val="auto"/>
          <w:szCs w:val="21"/>
          <w:highlight w:val="none"/>
        </w:rPr>
      </w:pPr>
    </w:p>
    <w:p w14:paraId="21938086">
      <w:pPr>
        <w:snapToGrid w:val="0"/>
        <w:spacing w:line="360" w:lineRule="exact"/>
        <w:ind w:firstLine="1050" w:firstLineChars="500"/>
        <w:rPr>
          <w:rFonts w:ascii="宋体" w:hAnsi="宋体" w:cs="Arial"/>
          <w:color w:val="auto"/>
          <w:szCs w:val="21"/>
          <w:highlight w:val="none"/>
        </w:rPr>
      </w:pPr>
    </w:p>
    <w:p w14:paraId="64DD1B5A">
      <w:pPr>
        <w:rPr>
          <w:rFonts w:hint="eastAsia"/>
          <w:color w:val="auto"/>
          <w:highlight w:val="none"/>
        </w:rPr>
      </w:pPr>
      <w:r>
        <w:rPr>
          <w:rFonts w:ascii="宋体" w:hAnsi="宋体" w:cs="Arial"/>
          <w:color w:val="auto"/>
          <w:szCs w:val="21"/>
          <w:highlight w:val="none"/>
        </w:rPr>
        <w:t>202</w:t>
      </w:r>
      <w:r>
        <w:rPr>
          <w:rFonts w:hint="eastAsia" w:ascii="宋体" w:hAnsi="宋体" w:cs="Arial"/>
          <w:color w:val="auto"/>
          <w:szCs w:val="21"/>
          <w:highlight w:val="none"/>
        </w:rPr>
        <w:t>5</w:t>
      </w:r>
      <w:r>
        <w:rPr>
          <w:rFonts w:ascii="宋体" w:hAnsi="宋体" w:cs="Arial"/>
          <w:color w:val="auto"/>
          <w:szCs w:val="21"/>
          <w:highlight w:val="none"/>
        </w:rPr>
        <w:t>年</w:t>
      </w:r>
      <w:r>
        <w:rPr>
          <w:rFonts w:hint="eastAsia" w:ascii="宋体" w:hAnsi="宋体" w:cs="Arial"/>
          <w:color w:val="auto"/>
          <w:szCs w:val="21"/>
          <w:highlight w:val="none"/>
        </w:rPr>
        <w:t xml:space="preserve">  </w:t>
      </w:r>
      <w:r>
        <w:rPr>
          <w:rFonts w:ascii="宋体" w:hAnsi="宋体" w:cs="Arial"/>
          <w:color w:val="auto"/>
          <w:szCs w:val="21"/>
          <w:highlight w:val="none"/>
        </w:rPr>
        <w:t>月</w:t>
      </w:r>
      <w:r>
        <w:rPr>
          <w:rFonts w:hint="eastAsia" w:ascii="宋体" w:hAnsi="宋体" w:cs="Arial"/>
          <w:color w:val="auto"/>
          <w:szCs w:val="21"/>
          <w:highlight w:val="none"/>
        </w:rPr>
        <w:t xml:space="preserve">  </w:t>
      </w:r>
      <w:r>
        <w:rPr>
          <w:rFonts w:ascii="宋体" w:hAnsi="宋体" w:cs="Arial"/>
          <w:color w:val="auto"/>
          <w:szCs w:val="21"/>
          <w:highlight w:val="none"/>
        </w:rPr>
        <w:t>日                                  202</w:t>
      </w:r>
      <w:r>
        <w:rPr>
          <w:rFonts w:hint="eastAsia" w:ascii="宋体" w:hAnsi="宋体" w:cs="Arial"/>
          <w:color w:val="auto"/>
          <w:szCs w:val="21"/>
          <w:highlight w:val="none"/>
        </w:rPr>
        <w:t>5</w:t>
      </w:r>
      <w:r>
        <w:rPr>
          <w:rFonts w:ascii="宋体" w:hAnsi="宋体" w:cs="Arial"/>
          <w:color w:val="auto"/>
          <w:szCs w:val="21"/>
          <w:highlight w:val="none"/>
        </w:rPr>
        <w:t>年</w:t>
      </w:r>
      <w:r>
        <w:rPr>
          <w:rFonts w:hint="eastAsia" w:ascii="宋体" w:hAnsi="宋体" w:cs="Arial"/>
          <w:color w:val="auto"/>
          <w:szCs w:val="21"/>
          <w:highlight w:val="none"/>
        </w:rPr>
        <w:t xml:space="preserve">  </w:t>
      </w:r>
      <w:r>
        <w:rPr>
          <w:rFonts w:ascii="宋体" w:hAnsi="宋体" w:cs="Arial"/>
          <w:color w:val="auto"/>
          <w:szCs w:val="21"/>
          <w:highlight w:val="none"/>
        </w:rPr>
        <w:t>月</w:t>
      </w:r>
      <w:r>
        <w:rPr>
          <w:rFonts w:hint="eastAsia" w:ascii="宋体" w:hAnsi="宋体" w:cs="Arial"/>
          <w:color w:val="auto"/>
          <w:szCs w:val="21"/>
          <w:highlight w:val="none"/>
        </w:rPr>
        <w:t xml:space="preserve">  </w:t>
      </w:r>
      <w:r>
        <w:rPr>
          <w:rFonts w:ascii="宋体" w:hAnsi="宋体" w:cs="Arial"/>
          <w:color w:val="auto"/>
          <w:szCs w:val="21"/>
          <w:highlight w:val="none"/>
        </w:rPr>
        <w:t>日</w:t>
      </w:r>
    </w:p>
    <w:p w14:paraId="231E35F8">
      <w:pPr>
        <w:spacing w:line="360" w:lineRule="auto"/>
        <w:ind w:firstLine="420" w:firstLineChars="200"/>
        <w:rPr>
          <w:rFonts w:hint="eastAsia" w:ascii="宋体" w:hAnsi="宋体" w:cs="宋体"/>
          <w:color w:val="auto"/>
          <w:highlight w:val="none"/>
        </w:rPr>
      </w:pPr>
      <w:r>
        <w:rPr>
          <w:color w:val="auto"/>
          <w:szCs w:val="21"/>
          <w:highlight w:val="none"/>
        </w:rPr>
        <w:br w:type="page"/>
      </w:r>
    </w:p>
    <w:p w14:paraId="4B45A333">
      <w:pPr>
        <w:spacing w:line="360" w:lineRule="auto"/>
        <w:ind w:firstLine="0" w:firstLineChars="0"/>
        <w:rPr>
          <w:rFonts w:ascii="宋体" w:hAnsi="宋体" w:cs="宋体"/>
          <w:color w:val="auto"/>
          <w:highlight w:val="none"/>
        </w:rPr>
      </w:pPr>
      <w:r>
        <w:rPr>
          <w:rFonts w:hint="eastAsia" w:ascii="宋体" w:hAnsi="宋体" w:cs="宋体"/>
          <w:bCs/>
          <w:color w:val="auto"/>
          <w:sz w:val="32"/>
          <w:szCs w:val="32"/>
          <w:highlight w:val="none"/>
        </w:rPr>
        <w:t>附件1：</w:t>
      </w:r>
    </w:p>
    <w:p w14:paraId="5F4A3D67">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采购项目合同验收书（格式）</w:t>
      </w:r>
    </w:p>
    <w:p w14:paraId="5B8F25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根据采购项目（采购合同编号：</w:t>
      </w:r>
      <w:r>
        <w:rPr>
          <w:rFonts w:hint="eastAsia" w:ascii="宋体" w:hAnsi="宋体" w:cs="宋体"/>
          <w:color w:val="auto"/>
          <w:highlight w:val="none"/>
        </w:rPr>
        <w:softHyphen/>
      </w:r>
      <w:r>
        <w:rPr>
          <w:rFonts w:hint="eastAsia" w:ascii="宋体" w:hAnsi="宋体" w:cs="宋体"/>
          <w:color w:val="auto"/>
          <w:highlight w:val="none"/>
        </w:rPr>
        <w:t xml:space="preserve"> ）的约定，我单位对（ 项目名称 ） 采购项目成交供应商（ 公司名称 ） 提供的货物（或者工程、服务）进行了验收，验收情况如下：</w:t>
      </w:r>
    </w:p>
    <w:tbl>
      <w:tblPr>
        <w:tblStyle w:val="29"/>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263D61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A2525AA">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AACD9D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332F671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30C3BB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493E840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36D3D7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6027B9A">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98D0D6A">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1934D22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C72335F">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454E48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9E8D50A">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2B7269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EB6919C">
            <w:pPr>
              <w:widowControl/>
              <w:spacing w:before="100" w:beforeAutospacing="1" w:after="100" w:afterAutospacing="1" w:line="240" w:lineRule="atLeast"/>
              <w:jc w:val="center"/>
              <w:rPr>
                <w:rFonts w:ascii="宋体" w:hAnsi="宋体" w:cs="宋体"/>
                <w:color w:val="auto"/>
                <w:kern w:val="0"/>
                <w:szCs w:val="21"/>
                <w:highlight w:val="none"/>
              </w:rPr>
            </w:pPr>
          </w:p>
        </w:tc>
      </w:tr>
      <w:tr w14:paraId="7D8FF0D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00E88A">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5FB9D3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1E8A498">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12695F7">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1F86309">
            <w:pPr>
              <w:widowControl/>
              <w:spacing w:before="100" w:beforeAutospacing="1" w:after="100" w:afterAutospacing="1" w:line="240" w:lineRule="atLeast"/>
              <w:jc w:val="center"/>
              <w:rPr>
                <w:rFonts w:ascii="宋体" w:hAnsi="宋体" w:cs="宋体"/>
                <w:color w:val="auto"/>
                <w:kern w:val="0"/>
                <w:szCs w:val="21"/>
                <w:highlight w:val="none"/>
              </w:rPr>
            </w:pPr>
          </w:p>
        </w:tc>
      </w:tr>
      <w:tr w14:paraId="2D5CF8C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632DCF5">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5F116E5">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38EA855">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E00725E">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AC73D7B">
            <w:pPr>
              <w:widowControl/>
              <w:spacing w:before="100" w:beforeAutospacing="1" w:after="100" w:afterAutospacing="1" w:line="240" w:lineRule="atLeast"/>
              <w:jc w:val="center"/>
              <w:rPr>
                <w:rFonts w:ascii="宋体" w:hAnsi="宋体" w:cs="宋体"/>
                <w:color w:val="auto"/>
                <w:kern w:val="0"/>
                <w:szCs w:val="21"/>
                <w:highlight w:val="none"/>
              </w:rPr>
            </w:pPr>
          </w:p>
        </w:tc>
      </w:tr>
      <w:tr w14:paraId="02850B5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C8CDA04">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AC0E6DA">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C79FA00">
            <w:pPr>
              <w:widowControl/>
              <w:spacing w:before="100" w:beforeAutospacing="1" w:after="100" w:afterAutospacing="1" w:line="240" w:lineRule="atLeast"/>
              <w:jc w:val="center"/>
              <w:rPr>
                <w:rFonts w:ascii="宋体" w:hAnsi="宋体" w:cs="宋体"/>
                <w:color w:val="auto"/>
                <w:kern w:val="0"/>
                <w:szCs w:val="21"/>
                <w:highlight w:val="none"/>
              </w:rPr>
            </w:pPr>
          </w:p>
        </w:tc>
      </w:tr>
      <w:tr w14:paraId="0D3CFCB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94DC8E8">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59802A1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0D59FA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6153911">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181473F">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0036B02">
            <w:pPr>
              <w:widowControl/>
              <w:spacing w:before="100" w:beforeAutospacing="1" w:after="100" w:afterAutospacing="1" w:line="240" w:lineRule="atLeast"/>
              <w:jc w:val="center"/>
              <w:rPr>
                <w:rFonts w:ascii="宋体" w:hAnsi="宋体" w:cs="宋体"/>
                <w:color w:val="auto"/>
                <w:kern w:val="0"/>
                <w:szCs w:val="21"/>
                <w:highlight w:val="none"/>
              </w:rPr>
            </w:pPr>
          </w:p>
        </w:tc>
      </w:tr>
      <w:tr w14:paraId="3DE8330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BC4A32">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91F68F2">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r>
              <w:rPr>
                <w:rFonts w:hint="eastAsia" w:ascii="宋体" w:hAnsi="宋体" w:cs="宋体"/>
                <w:color w:val="auto"/>
                <w:kern w:val="0"/>
                <w:szCs w:val="21"/>
                <w:highlight w:val="none"/>
                <w:lang w:eastAsia="zh-CN"/>
              </w:rPr>
              <w:t>）</w:t>
            </w:r>
          </w:p>
        </w:tc>
      </w:tr>
      <w:tr w14:paraId="3C7941A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684F52">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5D75B68F">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1AFD55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17C1B05">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30938E5">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44FCAF5">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5B85C7D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45481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C034EE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66634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3714D2D">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4689C0C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AA53C7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324E96A5">
            <w:pPr>
              <w:widowControl/>
              <w:spacing w:before="100" w:beforeAutospacing="1" w:after="100" w:afterAutospacing="1" w:line="320" w:lineRule="atLeast"/>
              <w:jc w:val="left"/>
              <w:rPr>
                <w:rFonts w:ascii="宋体" w:hAnsi="宋体" w:cs="宋体"/>
                <w:color w:val="auto"/>
                <w:kern w:val="0"/>
                <w:szCs w:val="21"/>
                <w:highlight w:val="none"/>
              </w:rPr>
            </w:pPr>
          </w:p>
          <w:p w14:paraId="4B9A23E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799BE02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2D14B29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1BC76415">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574A11C8">
      <w:pPr>
        <w:rPr>
          <w:color w:val="auto"/>
          <w:highlight w:val="none"/>
        </w:rPr>
      </w:pPr>
      <w:bookmarkStart w:id="169" w:name="_GoBack"/>
      <w:bookmarkEnd w:id="169"/>
    </w:p>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5D0D48-8721-4CBD-A444-7E625925B5F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730869A-F5F4-4385-9190-3AAE56E40562}"/>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embedRegular r:id="rId3" w:fontKey="{43A8807F-4CB3-4A08-A245-BAD2230793D1}"/>
  </w:font>
  <w:font w:name="方正大标宋简体">
    <w:altName w:val="微软雅黑"/>
    <w:panose1 w:val="00000000000000000000"/>
    <w:charset w:val="86"/>
    <w:family w:val="auto"/>
    <w:pitch w:val="default"/>
    <w:sig w:usb0="00000000" w:usb1="00000000" w:usb2="00000012" w:usb3="00000000" w:csb0="00040001" w:csb1="00000000"/>
    <w:embedRegular r:id="rId4" w:fontKey="{EACBF2F5-71D6-48E0-B18E-694DD9537DBD}"/>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embedRegular r:id="rId5" w:fontKey="{4B255B61-EF2A-43CC-A3DF-62FE18CE6E62}"/>
  </w:font>
  <w:font w:name="Wingdings 2">
    <w:panose1 w:val="05020102010507070707"/>
    <w:charset w:val="02"/>
    <w:family w:val="roman"/>
    <w:pitch w:val="default"/>
    <w:sig w:usb0="00000000" w:usb1="00000000" w:usb2="00000000" w:usb3="00000000" w:csb0="80000000" w:csb1="00000000"/>
    <w:embedRegular r:id="rId6" w:fontKey="{BAB46EB6-5AFC-4613-8C02-FE5B48DE04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651D">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43B56">
                          <w:pPr>
                            <w:pStyle w:val="21"/>
                            <w:jc w:val="center"/>
                          </w:pPr>
                          <w:r>
                            <w:fldChar w:fldCharType="begin"/>
                          </w:r>
                          <w:r>
                            <w:instrText xml:space="preserve"> PAGE   \* MERGEFORMAT </w:instrText>
                          </w:r>
                          <w:r>
                            <w:fldChar w:fldCharType="separate"/>
                          </w:r>
                          <w:r>
                            <w:rPr>
                              <w:lang w:val="zh-CN"/>
                            </w:rPr>
                            <w:t>33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70E43B56">
                    <w:pPr>
                      <w:pStyle w:val="21"/>
                      <w:jc w:val="center"/>
                    </w:pPr>
                    <w:r>
                      <w:fldChar w:fldCharType="begin"/>
                    </w:r>
                    <w:r>
                      <w:instrText xml:space="preserve"> PAGE   \* MERGEFORMAT </w:instrText>
                    </w:r>
                    <w:r>
                      <w:fldChar w:fldCharType="separate"/>
                    </w:r>
                    <w:r>
                      <w:rPr>
                        <w:lang w:val="zh-CN"/>
                      </w:rPr>
                      <w:t>33</w:t>
                    </w:r>
                    <w:r>
                      <w:fldChar w:fldCharType="end"/>
                    </w:r>
                  </w:p>
                </w:txbxContent>
              </v:textbox>
            </v:shape>
          </w:pict>
        </mc:Fallback>
      </mc:AlternateContent>
    </w:r>
  </w:p>
  <w:p w14:paraId="031374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A64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47A62">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34147A62">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1D4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EC9F">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4D15">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D3E3A"/>
    <w:multiLevelType w:val="singleLevel"/>
    <w:tmpl w:val="BD0D3E3A"/>
    <w:lvl w:ilvl="0" w:tentative="0">
      <w:start w:val="2"/>
      <w:numFmt w:val="decimal"/>
      <w:lvlText w:val="%1."/>
      <w:lvlJc w:val="left"/>
      <w:pPr>
        <w:tabs>
          <w:tab w:val="left" w:pos="312"/>
        </w:tabs>
      </w:pPr>
    </w:lvl>
  </w:abstractNum>
  <w:abstractNum w:abstractNumId="1">
    <w:nsid w:val="CB504A04"/>
    <w:multiLevelType w:val="singleLevel"/>
    <w:tmpl w:val="CB504A04"/>
    <w:lvl w:ilvl="0" w:tentative="0">
      <w:start w:val="2"/>
      <w:numFmt w:val="decimal"/>
      <w:suff w:val="nothing"/>
      <w:lvlText w:val="%1、"/>
      <w:lvlJc w:val="left"/>
    </w:lvl>
  </w:abstractNum>
  <w:abstractNum w:abstractNumId="2">
    <w:nsid w:val="D65FCE51"/>
    <w:multiLevelType w:val="singleLevel"/>
    <w:tmpl w:val="D65FCE51"/>
    <w:lvl w:ilvl="0" w:tentative="0">
      <w:start w:val="1"/>
      <w:numFmt w:val="chineseCounting"/>
      <w:suff w:val="nothing"/>
      <w:lvlText w:val="%1、"/>
      <w:lvlJc w:val="left"/>
      <w:rPr>
        <w:rFonts w:hint="eastAsia"/>
      </w:rPr>
    </w:lvl>
  </w:abstractNum>
  <w:abstractNum w:abstractNumId="3">
    <w:nsid w:val="E6449FCA"/>
    <w:multiLevelType w:val="singleLevel"/>
    <w:tmpl w:val="E6449FCA"/>
    <w:lvl w:ilvl="0" w:tentative="0">
      <w:start w:val="6"/>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091C4D1"/>
    <w:multiLevelType w:val="singleLevel"/>
    <w:tmpl w:val="5091C4D1"/>
    <w:lvl w:ilvl="0" w:tentative="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IwMGZmYmMxMmExNTYzZTg0ZjM0ZTg3YzMzNmQ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038"/>
    <w:rsid w:val="00FF78E5"/>
    <w:rsid w:val="010A6AC2"/>
    <w:rsid w:val="01A56261"/>
    <w:rsid w:val="01AC3A93"/>
    <w:rsid w:val="01B31C9D"/>
    <w:rsid w:val="01E21263"/>
    <w:rsid w:val="021A09FD"/>
    <w:rsid w:val="024141DC"/>
    <w:rsid w:val="02511F9D"/>
    <w:rsid w:val="02692B05"/>
    <w:rsid w:val="027A6905"/>
    <w:rsid w:val="0313544C"/>
    <w:rsid w:val="03454B13"/>
    <w:rsid w:val="03660873"/>
    <w:rsid w:val="03A314B8"/>
    <w:rsid w:val="03B9447C"/>
    <w:rsid w:val="03D62253"/>
    <w:rsid w:val="03D82B98"/>
    <w:rsid w:val="03E6079F"/>
    <w:rsid w:val="03F5648C"/>
    <w:rsid w:val="03F83E8B"/>
    <w:rsid w:val="044C6E68"/>
    <w:rsid w:val="04555962"/>
    <w:rsid w:val="04AA0A87"/>
    <w:rsid w:val="04E452F2"/>
    <w:rsid w:val="05E76E48"/>
    <w:rsid w:val="060B65E0"/>
    <w:rsid w:val="061130E9"/>
    <w:rsid w:val="065B08F4"/>
    <w:rsid w:val="06AC6438"/>
    <w:rsid w:val="079C1E7E"/>
    <w:rsid w:val="079E0178"/>
    <w:rsid w:val="079E79DA"/>
    <w:rsid w:val="07B72767"/>
    <w:rsid w:val="07EB0753"/>
    <w:rsid w:val="08077E72"/>
    <w:rsid w:val="08341AFF"/>
    <w:rsid w:val="083566D7"/>
    <w:rsid w:val="087D239C"/>
    <w:rsid w:val="08CF1E16"/>
    <w:rsid w:val="095F3DEF"/>
    <w:rsid w:val="09896FC8"/>
    <w:rsid w:val="09CC2AAC"/>
    <w:rsid w:val="0A652D3E"/>
    <w:rsid w:val="0A6F59CB"/>
    <w:rsid w:val="0A796F3D"/>
    <w:rsid w:val="0A994290"/>
    <w:rsid w:val="0B2A43EE"/>
    <w:rsid w:val="0B512DDC"/>
    <w:rsid w:val="0BFE5DDD"/>
    <w:rsid w:val="0C1E10EA"/>
    <w:rsid w:val="0C2D3729"/>
    <w:rsid w:val="0C92213C"/>
    <w:rsid w:val="0CA35A93"/>
    <w:rsid w:val="0CFB142B"/>
    <w:rsid w:val="0D537A7F"/>
    <w:rsid w:val="0D7C0282"/>
    <w:rsid w:val="0D84032B"/>
    <w:rsid w:val="0E943A2C"/>
    <w:rsid w:val="0EA36BA7"/>
    <w:rsid w:val="0ED76940"/>
    <w:rsid w:val="0FE50784"/>
    <w:rsid w:val="105C384D"/>
    <w:rsid w:val="108A4F0B"/>
    <w:rsid w:val="10A27F31"/>
    <w:rsid w:val="10CB6CDF"/>
    <w:rsid w:val="11665BE8"/>
    <w:rsid w:val="11767E7A"/>
    <w:rsid w:val="11927058"/>
    <w:rsid w:val="11D010D8"/>
    <w:rsid w:val="11D54941"/>
    <w:rsid w:val="1226519C"/>
    <w:rsid w:val="124318AA"/>
    <w:rsid w:val="126C68DF"/>
    <w:rsid w:val="13AF4F03"/>
    <w:rsid w:val="13D77F15"/>
    <w:rsid w:val="14146BAE"/>
    <w:rsid w:val="143C7D16"/>
    <w:rsid w:val="14485052"/>
    <w:rsid w:val="14736E66"/>
    <w:rsid w:val="14853EF0"/>
    <w:rsid w:val="14891A12"/>
    <w:rsid w:val="14CE2396"/>
    <w:rsid w:val="14E52F5A"/>
    <w:rsid w:val="14F91A9D"/>
    <w:rsid w:val="152E2BFE"/>
    <w:rsid w:val="1534169A"/>
    <w:rsid w:val="153B680A"/>
    <w:rsid w:val="15C03E03"/>
    <w:rsid w:val="162A25EB"/>
    <w:rsid w:val="16473933"/>
    <w:rsid w:val="16C1253D"/>
    <w:rsid w:val="16CA79EE"/>
    <w:rsid w:val="16FD2A55"/>
    <w:rsid w:val="17366761"/>
    <w:rsid w:val="17485BB5"/>
    <w:rsid w:val="177C01F0"/>
    <w:rsid w:val="17CE6630"/>
    <w:rsid w:val="18CD0120"/>
    <w:rsid w:val="19185113"/>
    <w:rsid w:val="19414AB5"/>
    <w:rsid w:val="194A1770"/>
    <w:rsid w:val="19906F21"/>
    <w:rsid w:val="19921369"/>
    <w:rsid w:val="19F25BCA"/>
    <w:rsid w:val="19F94921"/>
    <w:rsid w:val="1A49190A"/>
    <w:rsid w:val="1A5F2FF9"/>
    <w:rsid w:val="1A6B57AD"/>
    <w:rsid w:val="1A95517C"/>
    <w:rsid w:val="1AA80E44"/>
    <w:rsid w:val="1ABE7431"/>
    <w:rsid w:val="1AD115B9"/>
    <w:rsid w:val="1AFA16D5"/>
    <w:rsid w:val="1AFB7EAA"/>
    <w:rsid w:val="1B4F19F8"/>
    <w:rsid w:val="1B632FBD"/>
    <w:rsid w:val="1B8D1DE8"/>
    <w:rsid w:val="1BB04ED2"/>
    <w:rsid w:val="1BF62C01"/>
    <w:rsid w:val="1BF956CF"/>
    <w:rsid w:val="1C15085C"/>
    <w:rsid w:val="1C386F93"/>
    <w:rsid w:val="1C5170A2"/>
    <w:rsid w:val="1C9D0174"/>
    <w:rsid w:val="1CE84771"/>
    <w:rsid w:val="1D1A3B4F"/>
    <w:rsid w:val="1DA5166B"/>
    <w:rsid w:val="1DDB32DF"/>
    <w:rsid w:val="1DFB0DC4"/>
    <w:rsid w:val="1E360515"/>
    <w:rsid w:val="1E45661E"/>
    <w:rsid w:val="1F05646C"/>
    <w:rsid w:val="1F063325"/>
    <w:rsid w:val="1F237DD9"/>
    <w:rsid w:val="1F457193"/>
    <w:rsid w:val="1F4B7FF0"/>
    <w:rsid w:val="1F4D6E49"/>
    <w:rsid w:val="1F587B1B"/>
    <w:rsid w:val="1FBC4A4A"/>
    <w:rsid w:val="1FBC5DF5"/>
    <w:rsid w:val="1FCA57B8"/>
    <w:rsid w:val="1FD33DAA"/>
    <w:rsid w:val="201A505F"/>
    <w:rsid w:val="202A22FB"/>
    <w:rsid w:val="205E3D53"/>
    <w:rsid w:val="21960EB9"/>
    <w:rsid w:val="21B83F86"/>
    <w:rsid w:val="22073864"/>
    <w:rsid w:val="221178A8"/>
    <w:rsid w:val="221213CF"/>
    <w:rsid w:val="22327A92"/>
    <w:rsid w:val="226F3FF6"/>
    <w:rsid w:val="227232EB"/>
    <w:rsid w:val="231555D9"/>
    <w:rsid w:val="231762A1"/>
    <w:rsid w:val="231D53A2"/>
    <w:rsid w:val="23254DF5"/>
    <w:rsid w:val="2355768F"/>
    <w:rsid w:val="239F4A6C"/>
    <w:rsid w:val="23B7504C"/>
    <w:rsid w:val="23F43D7F"/>
    <w:rsid w:val="23FE6532"/>
    <w:rsid w:val="24571307"/>
    <w:rsid w:val="24BA3AE7"/>
    <w:rsid w:val="24FF18C5"/>
    <w:rsid w:val="25343050"/>
    <w:rsid w:val="2578016F"/>
    <w:rsid w:val="25BD046F"/>
    <w:rsid w:val="25E6609D"/>
    <w:rsid w:val="26446DE3"/>
    <w:rsid w:val="26885BB6"/>
    <w:rsid w:val="26BB1B30"/>
    <w:rsid w:val="26BB67F0"/>
    <w:rsid w:val="26D7699F"/>
    <w:rsid w:val="27386B1B"/>
    <w:rsid w:val="27494E7F"/>
    <w:rsid w:val="276D527B"/>
    <w:rsid w:val="27C571A4"/>
    <w:rsid w:val="2826784C"/>
    <w:rsid w:val="28447CD2"/>
    <w:rsid w:val="28690B03"/>
    <w:rsid w:val="28BB1712"/>
    <w:rsid w:val="28C32732"/>
    <w:rsid w:val="28DF1432"/>
    <w:rsid w:val="28EA1EBD"/>
    <w:rsid w:val="29312F1A"/>
    <w:rsid w:val="295833A0"/>
    <w:rsid w:val="296C02F7"/>
    <w:rsid w:val="298D13C8"/>
    <w:rsid w:val="299B1B74"/>
    <w:rsid w:val="29AB625B"/>
    <w:rsid w:val="29B652B8"/>
    <w:rsid w:val="29ED1565"/>
    <w:rsid w:val="2A7A0114"/>
    <w:rsid w:val="2A9A3142"/>
    <w:rsid w:val="2AFA0B1C"/>
    <w:rsid w:val="2AFA4C4F"/>
    <w:rsid w:val="2B774624"/>
    <w:rsid w:val="2BA967CA"/>
    <w:rsid w:val="2BAA40D8"/>
    <w:rsid w:val="2BB233F2"/>
    <w:rsid w:val="2BB7794B"/>
    <w:rsid w:val="2C7A72BE"/>
    <w:rsid w:val="2D9B65E7"/>
    <w:rsid w:val="2DA94DE9"/>
    <w:rsid w:val="2DD05DD4"/>
    <w:rsid w:val="2DF41848"/>
    <w:rsid w:val="2ECC11CA"/>
    <w:rsid w:val="2EE45D6B"/>
    <w:rsid w:val="2F401D3C"/>
    <w:rsid w:val="2F4546D7"/>
    <w:rsid w:val="2F9C21A2"/>
    <w:rsid w:val="2FA95C88"/>
    <w:rsid w:val="2FBC45F2"/>
    <w:rsid w:val="30365340"/>
    <w:rsid w:val="3041370F"/>
    <w:rsid w:val="304B663F"/>
    <w:rsid w:val="305B63A0"/>
    <w:rsid w:val="30640F12"/>
    <w:rsid w:val="306C426A"/>
    <w:rsid w:val="30BF083E"/>
    <w:rsid w:val="30BF332D"/>
    <w:rsid w:val="30F32296"/>
    <w:rsid w:val="312745E0"/>
    <w:rsid w:val="31341110"/>
    <w:rsid w:val="316B4522"/>
    <w:rsid w:val="31733B56"/>
    <w:rsid w:val="319B4E07"/>
    <w:rsid w:val="31C84EBF"/>
    <w:rsid w:val="32453A27"/>
    <w:rsid w:val="3263064A"/>
    <w:rsid w:val="32AC0C06"/>
    <w:rsid w:val="32B24DB7"/>
    <w:rsid w:val="32DF75CE"/>
    <w:rsid w:val="32EC297F"/>
    <w:rsid w:val="33264BA4"/>
    <w:rsid w:val="335039CF"/>
    <w:rsid w:val="33C443EE"/>
    <w:rsid w:val="33C8766E"/>
    <w:rsid w:val="341744ED"/>
    <w:rsid w:val="347F2B0C"/>
    <w:rsid w:val="34DE302A"/>
    <w:rsid w:val="34F22868"/>
    <w:rsid w:val="34F238C0"/>
    <w:rsid w:val="351A4295"/>
    <w:rsid w:val="3526736A"/>
    <w:rsid w:val="3537750C"/>
    <w:rsid w:val="3537798C"/>
    <w:rsid w:val="35466E38"/>
    <w:rsid w:val="35A2247A"/>
    <w:rsid w:val="35C13FC9"/>
    <w:rsid w:val="35F11FED"/>
    <w:rsid w:val="363A25DE"/>
    <w:rsid w:val="364257B6"/>
    <w:rsid w:val="36DB7A54"/>
    <w:rsid w:val="370B658B"/>
    <w:rsid w:val="373250FB"/>
    <w:rsid w:val="374264D3"/>
    <w:rsid w:val="377E31E4"/>
    <w:rsid w:val="378F7A82"/>
    <w:rsid w:val="37AB6741"/>
    <w:rsid w:val="37CD3840"/>
    <w:rsid w:val="37DB7874"/>
    <w:rsid w:val="37EA5922"/>
    <w:rsid w:val="38276B93"/>
    <w:rsid w:val="382D2FA2"/>
    <w:rsid w:val="386760A6"/>
    <w:rsid w:val="388A2DB6"/>
    <w:rsid w:val="389271DA"/>
    <w:rsid w:val="38FB7DDE"/>
    <w:rsid w:val="395D293D"/>
    <w:rsid w:val="39690067"/>
    <w:rsid w:val="39DF5AAD"/>
    <w:rsid w:val="3A0B64A7"/>
    <w:rsid w:val="3A956648"/>
    <w:rsid w:val="3AF439F8"/>
    <w:rsid w:val="3AF74C02"/>
    <w:rsid w:val="3AFE3587"/>
    <w:rsid w:val="3B2B5BDA"/>
    <w:rsid w:val="3B787467"/>
    <w:rsid w:val="3BD37655"/>
    <w:rsid w:val="3C0059A5"/>
    <w:rsid w:val="3C0161AE"/>
    <w:rsid w:val="3C123F18"/>
    <w:rsid w:val="3C134E78"/>
    <w:rsid w:val="3C153BDD"/>
    <w:rsid w:val="3DF6345D"/>
    <w:rsid w:val="3DF77869"/>
    <w:rsid w:val="3E2264C8"/>
    <w:rsid w:val="3E611186"/>
    <w:rsid w:val="3E9E4D67"/>
    <w:rsid w:val="3EC62D97"/>
    <w:rsid w:val="3EE13701"/>
    <w:rsid w:val="3F06275E"/>
    <w:rsid w:val="3F1A4BB3"/>
    <w:rsid w:val="3F911751"/>
    <w:rsid w:val="40192BA6"/>
    <w:rsid w:val="401A15ED"/>
    <w:rsid w:val="406B4C56"/>
    <w:rsid w:val="4091778D"/>
    <w:rsid w:val="409E221E"/>
    <w:rsid w:val="41112A10"/>
    <w:rsid w:val="411249BA"/>
    <w:rsid w:val="41637842"/>
    <w:rsid w:val="41DD42A4"/>
    <w:rsid w:val="41FD2F74"/>
    <w:rsid w:val="42064B73"/>
    <w:rsid w:val="42511F4D"/>
    <w:rsid w:val="42550A18"/>
    <w:rsid w:val="42F473A1"/>
    <w:rsid w:val="43163866"/>
    <w:rsid w:val="441E62C0"/>
    <w:rsid w:val="443237DE"/>
    <w:rsid w:val="44942A12"/>
    <w:rsid w:val="44966957"/>
    <w:rsid w:val="44C61D43"/>
    <w:rsid w:val="44CF5BAF"/>
    <w:rsid w:val="44E64001"/>
    <w:rsid w:val="45811C7C"/>
    <w:rsid w:val="45C5024D"/>
    <w:rsid w:val="45C856C5"/>
    <w:rsid w:val="45D15F60"/>
    <w:rsid w:val="468B3EFB"/>
    <w:rsid w:val="469E5ADC"/>
    <w:rsid w:val="470A6193"/>
    <w:rsid w:val="47174AD8"/>
    <w:rsid w:val="47632E4D"/>
    <w:rsid w:val="479F062A"/>
    <w:rsid w:val="47BC567F"/>
    <w:rsid w:val="47DC4F5C"/>
    <w:rsid w:val="47F470DF"/>
    <w:rsid w:val="4851401A"/>
    <w:rsid w:val="48B01114"/>
    <w:rsid w:val="48B40671"/>
    <w:rsid w:val="48D71B69"/>
    <w:rsid w:val="48E219B5"/>
    <w:rsid w:val="491017DF"/>
    <w:rsid w:val="49285E5D"/>
    <w:rsid w:val="497F04AA"/>
    <w:rsid w:val="498E3401"/>
    <w:rsid w:val="499B5738"/>
    <w:rsid w:val="499F244D"/>
    <w:rsid w:val="4A063E75"/>
    <w:rsid w:val="4A6F6859"/>
    <w:rsid w:val="4A8F58C2"/>
    <w:rsid w:val="4AD36CBA"/>
    <w:rsid w:val="4ADB5E1D"/>
    <w:rsid w:val="4AF96BC7"/>
    <w:rsid w:val="4B700B92"/>
    <w:rsid w:val="4BF67355"/>
    <w:rsid w:val="4BF947AC"/>
    <w:rsid w:val="4C1D608B"/>
    <w:rsid w:val="4C4A0834"/>
    <w:rsid w:val="4C6D0CF6"/>
    <w:rsid w:val="4C7B4F91"/>
    <w:rsid w:val="4C854292"/>
    <w:rsid w:val="4CAA7324"/>
    <w:rsid w:val="4CD75F43"/>
    <w:rsid w:val="4CEF36E2"/>
    <w:rsid w:val="4D063625"/>
    <w:rsid w:val="4D333749"/>
    <w:rsid w:val="4D6B4117"/>
    <w:rsid w:val="4DE350EA"/>
    <w:rsid w:val="4E041B47"/>
    <w:rsid w:val="4E11738D"/>
    <w:rsid w:val="4E19509F"/>
    <w:rsid w:val="4E3E6DEE"/>
    <w:rsid w:val="4E6833E5"/>
    <w:rsid w:val="4E933360"/>
    <w:rsid w:val="4ECA2430"/>
    <w:rsid w:val="4EE13E45"/>
    <w:rsid w:val="4F372FFB"/>
    <w:rsid w:val="4F4C553B"/>
    <w:rsid w:val="4FFD05E3"/>
    <w:rsid w:val="50FD23B2"/>
    <w:rsid w:val="51143A3F"/>
    <w:rsid w:val="517B2107"/>
    <w:rsid w:val="52446209"/>
    <w:rsid w:val="524B2A87"/>
    <w:rsid w:val="528717D2"/>
    <w:rsid w:val="52BF46A2"/>
    <w:rsid w:val="52C10D75"/>
    <w:rsid w:val="54264468"/>
    <w:rsid w:val="54880DC3"/>
    <w:rsid w:val="54EE24B5"/>
    <w:rsid w:val="54EE6300"/>
    <w:rsid w:val="550A4D3D"/>
    <w:rsid w:val="550C4BD7"/>
    <w:rsid w:val="55572986"/>
    <w:rsid w:val="55A03EEB"/>
    <w:rsid w:val="55A57753"/>
    <w:rsid w:val="55E81E7D"/>
    <w:rsid w:val="564C575A"/>
    <w:rsid w:val="56CD5F45"/>
    <w:rsid w:val="56FD06B0"/>
    <w:rsid w:val="575136EE"/>
    <w:rsid w:val="57C85A68"/>
    <w:rsid w:val="57FB18AC"/>
    <w:rsid w:val="58192866"/>
    <w:rsid w:val="58A00256"/>
    <w:rsid w:val="58AB22DA"/>
    <w:rsid w:val="590B1FC3"/>
    <w:rsid w:val="593B28A8"/>
    <w:rsid w:val="593B3BD2"/>
    <w:rsid w:val="594E7404"/>
    <w:rsid w:val="59575208"/>
    <w:rsid w:val="5A292701"/>
    <w:rsid w:val="5A295DEF"/>
    <w:rsid w:val="5A30659B"/>
    <w:rsid w:val="5A612779"/>
    <w:rsid w:val="5B264E92"/>
    <w:rsid w:val="5B6F05E7"/>
    <w:rsid w:val="5BF925A6"/>
    <w:rsid w:val="5C4D306A"/>
    <w:rsid w:val="5C602626"/>
    <w:rsid w:val="5CF27722"/>
    <w:rsid w:val="5D3F7C0D"/>
    <w:rsid w:val="5D4A7061"/>
    <w:rsid w:val="5DB771CD"/>
    <w:rsid w:val="5E035108"/>
    <w:rsid w:val="5E5C7260"/>
    <w:rsid w:val="5E7D31AE"/>
    <w:rsid w:val="5E7E0AC9"/>
    <w:rsid w:val="5F5F3E75"/>
    <w:rsid w:val="5F9564C3"/>
    <w:rsid w:val="5FA02317"/>
    <w:rsid w:val="5FA623D2"/>
    <w:rsid w:val="5FDB26EF"/>
    <w:rsid w:val="600357A2"/>
    <w:rsid w:val="6048223E"/>
    <w:rsid w:val="606007BB"/>
    <w:rsid w:val="606241FC"/>
    <w:rsid w:val="60A925E9"/>
    <w:rsid w:val="60AA0313"/>
    <w:rsid w:val="60AC7F66"/>
    <w:rsid w:val="6155374A"/>
    <w:rsid w:val="618835DC"/>
    <w:rsid w:val="61932B55"/>
    <w:rsid w:val="61BF10D9"/>
    <w:rsid w:val="623373A1"/>
    <w:rsid w:val="62E43779"/>
    <w:rsid w:val="630F26B0"/>
    <w:rsid w:val="63115261"/>
    <w:rsid w:val="631B47CF"/>
    <w:rsid w:val="633330CC"/>
    <w:rsid w:val="636724EC"/>
    <w:rsid w:val="637F5A87"/>
    <w:rsid w:val="641071D4"/>
    <w:rsid w:val="641D6482"/>
    <w:rsid w:val="641E4103"/>
    <w:rsid w:val="646C4DA5"/>
    <w:rsid w:val="64860422"/>
    <w:rsid w:val="64A372BF"/>
    <w:rsid w:val="64E45EF7"/>
    <w:rsid w:val="64EC646C"/>
    <w:rsid w:val="6509133A"/>
    <w:rsid w:val="65297A59"/>
    <w:rsid w:val="653B0166"/>
    <w:rsid w:val="65A04580"/>
    <w:rsid w:val="65B30041"/>
    <w:rsid w:val="65BD1428"/>
    <w:rsid w:val="661B0F08"/>
    <w:rsid w:val="66465DA1"/>
    <w:rsid w:val="665E7BD6"/>
    <w:rsid w:val="667016B7"/>
    <w:rsid w:val="66AD6233"/>
    <w:rsid w:val="67432943"/>
    <w:rsid w:val="67705E13"/>
    <w:rsid w:val="677435B2"/>
    <w:rsid w:val="67AF6D78"/>
    <w:rsid w:val="67EF75F1"/>
    <w:rsid w:val="67FB0571"/>
    <w:rsid w:val="683062C3"/>
    <w:rsid w:val="68631177"/>
    <w:rsid w:val="68F83653"/>
    <w:rsid w:val="69026F3E"/>
    <w:rsid w:val="69124F16"/>
    <w:rsid w:val="6956755C"/>
    <w:rsid w:val="699851AD"/>
    <w:rsid w:val="69B93F76"/>
    <w:rsid w:val="69CD5C14"/>
    <w:rsid w:val="69CF0D33"/>
    <w:rsid w:val="6A27443D"/>
    <w:rsid w:val="6A370C39"/>
    <w:rsid w:val="6A46004E"/>
    <w:rsid w:val="6AA02F54"/>
    <w:rsid w:val="6ABF3227"/>
    <w:rsid w:val="6ACE4BFE"/>
    <w:rsid w:val="6B086362"/>
    <w:rsid w:val="6B540076"/>
    <w:rsid w:val="6B564E25"/>
    <w:rsid w:val="6B592734"/>
    <w:rsid w:val="6B9946B3"/>
    <w:rsid w:val="6B9A2A76"/>
    <w:rsid w:val="6BAB5DDA"/>
    <w:rsid w:val="6BBB33D4"/>
    <w:rsid w:val="6BE15B7A"/>
    <w:rsid w:val="6BE23912"/>
    <w:rsid w:val="6BF05ED5"/>
    <w:rsid w:val="6D0F1158"/>
    <w:rsid w:val="6D125276"/>
    <w:rsid w:val="6D3442EB"/>
    <w:rsid w:val="6D747A86"/>
    <w:rsid w:val="6DA851C0"/>
    <w:rsid w:val="6DE76850"/>
    <w:rsid w:val="6E450F8F"/>
    <w:rsid w:val="6E751F61"/>
    <w:rsid w:val="6E8817FA"/>
    <w:rsid w:val="6EB90E26"/>
    <w:rsid w:val="6EBE0CB5"/>
    <w:rsid w:val="6EDD1EFA"/>
    <w:rsid w:val="6EFA3324"/>
    <w:rsid w:val="6F3B2DC5"/>
    <w:rsid w:val="6F8E1280"/>
    <w:rsid w:val="6FB20BD4"/>
    <w:rsid w:val="6FBA59BE"/>
    <w:rsid w:val="6FC44E85"/>
    <w:rsid w:val="6FEC1DAE"/>
    <w:rsid w:val="7021099E"/>
    <w:rsid w:val="70296B3E"/>
    <w:rsid w:val="70611204"/>
    <w:rsid w:val="706856BC"/>
    <w:rsid w:val="7080101B"/>
    <w:rsid w:val="70DA42FD"/>
    <w:rsid w:val="718E1C30"/>
    <w:rsid w:val="71A524C3"/>
    <w:rsid w:val="71C773DD"/>
    <w:rsid w:val="71E2790D"/>
    <w:rsid w:val="726D687E"/>
    <w:rsid w:val="7285473C"/>
    <w:rsid w:val="7290345A"/>
    <w:rsid w:val="72AE3C93"/>
    <w:rsid w:val="72CB65F3"/>
    <w:rsid w:val="72E82FEB"/>
    <w:rsid w:val="73B20337"/>
    <w:rsid w:val="73C53C4F"/>
    <w:rsid w:val="73EF4563"/>
    <w:rsid w:val="74B35591"/>
    <w:rsid w:val="74DC4067"/>
    <w:rsid w:val="74F30F57"/>
    <w:rsid w:val="74F7651B"/>
    <w:rsid w:val="74FA2C30"/>
    <w:rsid w:val="751D6EAE"/>
    <w:rsid w:val="753D64D1"/>
    <w:rsid w:val="75520425"/>
    <w:rsid w:val="75EC16B5"/>
    <w:rsid w:val="760342F6"/>
    <w:rsid w:val="763C5112"/>
    <w:rsid w:val="767174B1"/>
    <w:rsid w:val="76B26134"/>
    <w:rsid w:val="76C70E7F"/>
    <w:rsid w:val="77D53312"/>
    <w:rsid w:val="77D772CE"/>
    <w:rsid w:val="77E77636"/>
    <w:rsid w:val="781E69D1"/>
    <w:rsid w:val="78574485"/>
    <w:rsid w:val="787C2AE0"/>
    <w:rsid w:val="789A00BF"/>
    <w:rsid w:val="78AA6CAB"/>
    <w:rsid w:val="78AF2513"/>
    <w:rsid w:val="78B10A72"/>
    <w:rsid w:val="7908577F"/>
    <w:rsid w:val="79393B8B"/>
    <w:rsid w:val="79690791"/>
    <w:rsid w:val="797A1842"/>
    <w:rsid w:val="79AE4579"/>
    <w:rsid w:val="79BF0C86"/>
    <w:rsid w:val="79EE2BC7"/>
    <w:rsid w:val="7A316DFD"/>
    <w:rsid w:val="7AF46346"/>
    <w:rsid w:val="7B0F5EBF"/>
    <w:rsid w:val="7B130FB9"/>
    <w:rsid w:val="7B1F0F17"/>
    <w:rsid w:val="7B22521E"/>
    <w:rsid w:val="7B534406"/>
    <w:rsid w:val="7B815275"/>
    <w:rsid w:val="7BCC0CE6"/>
    <w:rsid w:val="7BD33389"/>
    <w:rsid w:val="7BF64EDE"/>
    <w:rsid w:val="7C253FBF"/>
    <w:rsid w:val="7C400C1E"/>
    <w:rsid w:val="7C486DA1"/>
    <w:rsid w:val="7C6E0C81"/>
    <w:rsid w:val="7CD2473A"/>
    <w:rsid w:val="7CE9753D"/>
    <w:rsid w:val="7CEE0BDD"/>
    <w:rsid w:val="7D1B0177"/>
    <w:rsid w:val="7D497293"/>
    <w:rsid w:val="7D4D0BA1"/>
    <w:rsid w:val="7D747887"/>
    <w:rsid w:val="7DA63EE4"/>
    <w:rsid w:val="7DD11708"/>
    <w:rsid w:val="7DD76BCD"/>
    <w:rsid w:val="7DE06CCB"/>
    <w:rsid w:val="7DE65456"/>
    <w:rsid w:val="7E010BEF"/>
    <w:rsid w:val="7E210668"/>
    <w:rsid w:val="7E71556B"/>
    <w:rsid w:val="7E7713DD"/>
    <w:rsid w:val="7E776680"/>
    <w:rsid w:val="7E8104AE"/>
    <w:rsid w:val="7EBC46EA"/>
    <w:rsid w:val="7EC167BD"/>
    <w:rsid w:val="7F467964"/>
    <w:rsid w:val="7FA97FCE"/>
    <w:rsid w:val="7FCA378E"/>
    <w:rsid w:val="7FD7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4"/>
    <w:link w:val="40"/>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autoRedefine/>
    <w:qFormat/>
    <w:uiPriority w:val="9"/>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link w:val="41"/>
    <w:autoRedefine/>
    <w:qFormat/>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2"/>
    <w:basedOn w:val="1"/>
    <w:qFormat/>
    <w:uiPriority w:val="0"/>
    <w:pPr>
      <w:jc w:val="center"/>
    </w:pPr>
  </w:style>
  <w:style w:type="paragraph" w:customStyle="1" w:styleId="6">
    <w:name w:val="咨询-正文"/>
    <w:basedOn w:val="1"/>
    <w:qFormat/>
    <w:uiPriority w:val="0"/>
    <w:pPr>
      <w:ind w:firstLine="560" w:firstLineChars="200"/>
      <w:jc w:val="both"/>
    </w:pPr>
  </w:style>
  <w:style w:type="paragraph" w:styleId="9">
    <w:name w:val="Normal Indent"/>
    <w:basedOn w:val="1"/>
    <w:autoRedefine/>
    <w:qFormat/>
    <w:uiPriority w:val="0"/>
    <w:pPr>
      <w:ind w:firstLine="420"/>
    </w:pPr>
    <w:rPr>
      <w:szCs w:val="20"/>
    </w:r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Document Map"/>
    <w:basedOn w:val="1"/>
    <w:link w:val="42"/>
    <w:autoRedefine/>
    <w:qFormat/>
    <w:uiPriority w:val="0"/>
    <w:rPr>
      <w:rFonts w:ascii="宋体"/>
      <w:sz w:val="18"/>
      <w:szCs w:val="18"/>
    </w:rPr>
  </w:style>
  <w:style w:type="paragraph" w:styleId="12">
    <w:name w:val="annotation text"/>
    <w:basedOn w:val="1"/>
    <w:link w:val="43"/>
    <w:autoRedefine/>
    <w:qFormat/>
    <w:uiPriority w:val="0"/>
    <w:pPr>
      <w:jc w:val="left"/>
    </w:pPr>
  </w:style>
  <w:style w:type="paragraph" w:styleId="13">
    <w:name w:val="Body Text 3"/>
    <w:basedOn w:val="1"/>
    <w:link w:val="44"/>
    <w:autoRedefine/>
    <w:qFormat/>
    <w:uiPriority w:val="0"/>
    <w:pPr>
      <w:spacing w:after="120"/>
    </w:pPr>
    <w:rPr>
      <w:sz w:val="16"/>
      <w:szCs w:val="16"/>
    </w:rPr>
  </w:style>
  <w:style w:type="paragraph" w:styleId="14">
    <w:name w:val="Body Text"/>
    <w:basedOn w:val="1"/>
    <w:next w:val="1"/>
    <w:link w:val="39"/>
    <w:autoRedefine/>
    <w:qFormat/>
    <w:uiPriority w:val="0"/>
    <w:pPr>
      <w:spacing w:after="120"/>
    </w:pPr>
  </w:style>
  <w:style w:type="paragraph" w:styleId="15">
    <w:name w:val="Body Text Indent"/>
    <w:basedOn w:val="1"/>
    <w:link w:val="45"/>
    <w:autoRedefine/>
    <w:qFormat/>
    <w:uiPriority w:val="0"/>
    <w:pPr>
      <w:ind w:firstLine="830" w:firstLineChars="352"/>
    </w:pPr>
    <w:rPr>
      <w:rFonts w:ascii="仿宋_GB2312" w:eastAsia="仿宋_GB2312"/>
      <w:kern w:val="0"/>
      <w:sz w:val="32"/>
      <w:szCs w:val="20"/>
    </w:rPr>
  </w:style>
  <w:style w:type="paragraph" w:styleId="16">
    <w:name w:val="List 2"/>
    <w:basedOn w:val="1"/>
    <w:autoRedefine/>
    <w:qFormat/>
    <w:uiPriority w:val="0"/>
    <w:pPr>
      <w:ind w:left="100" w:leftChars="200" w:hanging="200" w:hangingChars="200"/>
      <w:contextualSpacing/>
    </w:pPr>
  </w:style>
  <w:style w:type="paragraph" w:styleId="17">
    <w:name w:val="Plain Text"/>
    <w:basedOn w:val="1"/>
    <w:next w:val="18"/>
    <w:link w:val="46"/>
    <w:autoRedefine/>
    <w:qFormat/>
    <w:uiPriority w:val="0"/>
    <w:rPr>
      <w:rFonts w:ascii="宋体" w:hAnsi="Courier New"/>
      <w:kern w:val="0"/>
      <w:sz w:val="20"/>
      <w:szCs w:val="21"/>
    </w:rPr>
  </w:style>
  <w:style w:type="paragraph" w:customStyle="1" w:styleId="18">
    <w:name w:val="TOC 标题2"/>
    <w:next w:val="1"/>
    <w:autoRedefine/>
    <w:qFormat/>
    <w:uiPriority w:val="99"/>
    <w:pPr>
      <w:wordWrap w:val="0"/>
    </w:pPr>
    <w:rPr>
      <w:rFonts w:ascii="Calibri" w:hAnsi="Calibri" w:eastAsia="宋体" w:cs="Times New Roman"/>
      <w:sz w:val="32"/>
      <w:lang w:val="en-US" w:eastAsia="zh-CN" w:bidi="ar-SA"/>
    </w:rPr>
  </w:style>
  <w:style w:type="paragraph" w:styleId="19">
    <w:name w:val="Date"/>
    <w:basedOn w:val="1"/>
    <w:next w:val="1"/>
    <w:link w:val="47"/>
    <w:autoRedefine/>
    <w:qFormat/>
    <w:uiPriority w:val="0"/>
    <w:pPr>
      <w:ind w:left="100" w:leftChars="2500"/>
    </w:pPr>
  </w:style>
  <w:style w:type="paragraph" w:styleId="20">
    <w:name w:val="Balloon Text"/>
    <w:basedOn w:val="1"/>
    <w:autoRedefine/>
    <w:qFormat/>
    <w:uiPriority w:val="0"/>
    <w:rPr>
      <w:sz w:val="18"/>
      <w:szCs w:val="18"/>
    </w:rPr>
  </w:style>
  <w:style w:type="paragraph" w:styleId="21">
    <w:name w:val="footer"/>
    <w:basedOn w:val="1"/>
    <w:link w:val="48"/>
    <w:autoRedefine/>
    <w:qFormat/>
    <w:uiPriority w:val="0"/>
    <w:pPr>
      <w:tabs>
        <w:tab w:val="center" w:pos="4153"/>
        <w:tab w:val="right" w:pos="8306"/>
      </w:tabs>
      <w:snapToGrid w:val="0"/>
      <w:jc w:val="left"/>
    </w:pPr>
    <w:rPr>
      <w:kern w:val="0"/>
      <w:sz w:val="18"/>
      <w:szCs w:val="18"/>
    </w:rPr>
  </w:style>
  <w:style w:type="paragraph" w:styleId="22">
    <w:name w:val="header"/>
    <w:basedOn w:val="1"/>
    <w:link w:val="4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0"/>
  </w:style>
  <w:style w:type="paragraph" w:styleId="24">
    <w:name w:val="toc 2"/>
    <w:basedOn w:val="1"/>
    <w:next w:val="1"/>
    <w:autoRedefine/>
    <w:qFormat/>
    <w:uiPriority w:val="0"/>
    <w:pPr>
      <w:tabs>
        <w:tab w:val="right" w:leader="dot" w:pos="8296"/>
      </w:tabs>
      <w:ind w:left="420" w:leftChars="200"/>
    </w:pPr>
  </w:style>
  <w:style w:type="paragraph" w:styleId="25">
    <w:name w:val="Normal (Web)"/>
    <w:basedOn w:val="1"/>
    <w:autoRedefine/>
    <w:qFormat/>
    <w:uiPriority w:val="0"/>
    <w:rPr>
      <w:rFonts w:ascii="Calibri" w:hAnsi="Calibri"/>
      <w:kern w:val="0"/>
      <w:sz w:val="24"/>
    </w:rPr>
  </w:style>
  <w:style w:type="paragraph" w:styleId="26">
    <w:name w:val="annotation subject"/>
    <w:basedOn w:val="12"/>
    <w:next w:val="12"/>
    <w:link w:val="50"/>
    <w:autoRedefine/>
    <w:qFormat/>
    <w:uiPriority w:val="0"/>
    <w:rPr>
      <w:b/>
      <w:bCs/>
    </w:rPr>
  </w:style>
  <w:style w:type="paragraph" w:styleId="27">
    <w:name w:val="Body Text First Indent"/>
    <w:basedOn w:val="14"/>
    <w:autoRedefine/>
    <w:qFormat/>
    <w:uiPriority w:val="0"/>
    <w:pPr>
      <w:ind w:firstLine="420" w:firstLineChars="100"/>
    </w:pPr>
  </w:style>
  <w:style w:type="paragraph" w:styleId="28">
    <w:name w:val="Body Text First Indent 2"/>
    <w:basedOn w:val="15"/>
    <w:autoRedefine/>
    <w:qFormat/>
    <w:uiPriority w:val="0"/>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qFormat/>
    <w:uiPriority w:val="0"/>
  </w:style>
  <w:style w:type="character" w:styleId="34">
    <w:name w:val="Hyperlink"/>
    <w:autoRedefine/>
    <w:qFormat/>
    <w:uiPriority w:val="0"/>
    <w:rPr>
      <w:rFonts w:ascii="Times New Roman" w:hAnsi="Times New Roman" w:eastAsia="宋体" w:cs="Times New Roman"/>
      <w:color w:val="0000FF"/>
      <w:u w:val="single"/>
    </w:rPr>
  </w:style>
  <w:style w:type="character" w:styleId="35">
    <w:name w:val="annotation reference"/>
    <w:autoRedefine/>
    <w:qFormat/>
    <w:uiPriority w:val="0"/>
    <w:rPr>
      <w:rFonts w:ascii="Times New Roman" w:hAnsi="Times New Roman" w:eastAsia="宋体" w:cs="Times New Roman"/>
      <w:sz w:val="21"/>
      <w:szCs w:val="21"/>
    </w:rPr>
  </w:style>
  <w:style w:type="paragraph" w:customStyle="1" w:styleId="36">
    <w:name w:val="表格文字"/>
    <w:basedOn w:val="1"/>
    <w:next w:val="14"/>
    <w:autoRedefine/>
    <w:qFormat/>
    <w:uiPriority w:val="0"/>
    <w:pPr>
      <w:spacing w:before="25" w:after="25" w:line="300" w:lineRule="auto"/>
      <w:ind w:firstLine="200" w:firstLineChars="200"/>
    </w:pPr>
    <w:rPr>
      <w:spacing w:val="10"/>
      <w:kern w:val="0"/>
      <w:sz w:val="24"/>
    </w:rPr>
  </w:style>
  <w:style w:type="paragraph" w:customStyle="1" w:styleId="37">
    <w:name w:val="TOC 标题1"/>
    <w:basedOn w:val="2"/>
    <w:next w:val="1"/>
    <w:qFormat/>
    <w:uiPriority w:val="39"/>
    <w:pPr>
      <w:widowControl/>
      <w:tabs>
        <w:tab w:val="left" w:pos="0"/>
        <w:tab w:val="left" w:pos="1080"/>
      </w:tabs>
      <w:spacing w:before="480" w:after="0" w:line="276" w:lineRule="auto"/>
      <w:ind w:hanging="420"/>
      <w:jc w:val="left"/>
      <w:outlineLvl w:val="9"/>
    </w:pPr>
    <w:rPr>
      <w:rFonts w:ascii="Cambria" w:hAnsi="Cambria"/>
      <w:bCs/>
      <w:color w:val="365F91"/>
      <w:kern w:val="0"/>
      <w:sz w:val="28"/>
      <w:szCs w:val="28"/>
    </w:rPr>
  </w:style>
  <w:style w:type="paragraph" w:customStyle="1" w:styleId="38">
    <w:name w:val="NormalIndent"/>
    <w:basedOn w:val="1"/>
    <w:autoRedefine/>
    <w:qFormat/>
    <w:uiPriority w:val="0"/>
    <w:pPr>
      <w:ind w:firstLine="420"/>
    </w:pPr>
    <w:rPr>
      <w:szCs w:val="21"/>
    </w:rPr>
  </w:style>
  <w:style w:type="character" w:customStyle="1" w:styleId="39">
    <w:name w:val="正文文本 字符"/>
    <w:link w:val="14"/>
    <w:autoRedefine/>
    <w:qFormat/>
    <w:uiPriority w:val="0"/>
    <w:rPr>
      <w:rFonts w:ascii="Times New Roman" w:hAnsi="Times New Roman" w:eastAsia="宋体" w:cs="Times New Roman"/>
      <w:kern w:val="2"/>
      <w:sz w:val="21"/>
      <w:szCs w:val="24"/>
    </w:rPr>
  </w:style>
  <w:style w:type="character" w:customStyle="1" w:styleId="40">
    <w:name w:val="标题 2 字符"/>
    <w:link w:val="3"/>
    <w:autoRedefine/>
    <w:qFormat/>
    <w:uiPriority w:val="0"/>
    <w:rPr>
      <w:rFonts w:ascii="Cambria" w:hAnsi="Cambria" w:eastAsia="宋体" w:cs="Times New Roman"/>
      <w:b/>
      <w:bCs/>
      <w:kern w:val="2"/>
      <w:sz w:val="32"/>
      <w:szCs w:val="32"/>
    </w:rPr>
  </w:style>
  <w:style w:type="character" w:customStyle="1" w:styleId="41">
    <w:name w:val="标题 5 字符"/>
    <w:link w:val="8"/>
    <w:autoRedefine/>
    <w:qFormat/>
    <w:uiPriority w:val="0"/>
    <w:rPr>
      <w:rFonts w:ascii="Times New Roman" w:hAnsi="Times New Roman" w:eastAsia="宋体" w:cs="Times New Roman"/>
      <w:b/>
      <w:bCs/>
      <w:kern w:val="2"/>
      <w:sz w:val="28"/>
      <w:szCs w:val="28"/>
    </w:rPr>
  </w:style>
  <w:style w:type="character" w:customStyle="1" w:styleId="42">
    <w:name w:val="文档结构图 字符"/>
    <w:basedOn w:val="31"/>
    <w:link w:val="11"/>
    <w:autoRedefine/>
    <w:qFormat/>
    <w:uiPriority w:val="0"/>
    <w:rPr>
      <w:rFonts w:ascii="宋体"/>
      <w:kern w:val="2"/>
      <w:sz w:val="18"/>
      <w:szCs w:val="18"/>
    </w:rPr>
  </w:style>
  <w:style w:type="character" w:customStyle="1" w:styleId="43">
    <w:name w:val="批注文字 字符"/>
    <w:link w:val="12"/>
    <w:autoRedefine/>
    <w:qFormat/>
    <w:uiPriority w:val="0"/>
    <w:rPr>
      <w:rFonts w:ascii="Times New Roman" w:hAnsi="Times New Roman" w:eastAsia="宋体" w:cs="Times New Roman"/>
      <w:kern w:val="2"/>
      <w:sz w:val="21"/>
      <w:szCs w:val="24"/>
    </w:rPr>
  </w:style>
  <w:style w:type="character" w:customStyle="1" w:styleId="44">
    <w:name w:val="正文文本 3 字符"/>
    <w:link w:val="13"/>
    <w:autoRedefine/>
    <w:qFormat/>
    <w:uiPriority w:val="0"/>
    <w:rPr>
      <w:rFonts w:ascii="Times New Roman" w:hAnsi="Times New Roman" w:eastAsia="宋体" w:cs="Times New Roman"/>
      <w:kern w:val="2"/>
      <w:sz w:val="16"/>
      <w:szCs w:val="16"/>
    </w:rPr>
  </w:style>
  <w:style w:type="character" w:customStyle="1" w:styleId="45">
    <w:name w:val="正文文本缩进 字符"/>
    <w:link w:val="15"/>
    <w:autoRedefine/>
    <w:qFormat/>
    <w:uiPriority w:val="0"/>
    <w:rPr>
      <w:rFonts w:ascii="仿宋_GB2312" w:hAnsi="Times New Roman" w:eastAsia="仿宋_GB2312" w:cs="Times New Roman"/>
      <w:sz w:val="32"/>
      <w:szCs w:val="20"/>
    </w:rPr>
  </w:style>
  <w:style w:type="character" w:customStyle="1" w:styleId="46">
    <w:name w:val="纯文本 字符"/>
    <w:link w:val="17"/>
    <w:autoRedefine/>
    <w:qFormat/>
    <w:uiPriority w:val="0"/>
    <w:rPr>
      <w:rFonts w:ascii="宋体" w:hAnsi="Courier New" w:eastAsia="宋体" w:cs="Courier New"/>
      <w:szCs w:val="21"/>
    </w:rPr>
  </w:style>
  <w:style w:type="character" w:customStyle="1" w:styleId="47">
    <w:name w:val="日期 字符"/>
    <w:link w:val="19"/>
    <w:autoRedefine/>
    <w:qFormat/>
    <w:uiPriority w:val="0"/>
    <w:rPr>
      <w:rFonts w:ascii="Times New Roman" w:hAnsi="Times New Roman" w:eastAsia="宋体" w:cs="Times New Roman"/>
      <w:kern w:val="2"/>
      <w:sz w:val="21"/>
      <w:szCs w:val="24"/>
    </w:rPr>
  </w:style>
  <w:style w:type="character" w:customStyle="1" w:styleId="48">
    <w:name w:val="页脚 字符"/>
    <w:link w:val="21"/>
    <w:autoRedefine/>
    <w:qFormat/>
    <w:uiPriority w:val="0"/>
    <w:rPr>
      <w:rFonts w:ascii="Times New Roman" w:hAnsi="Times New Roman" w:eastAsia="宋体" w:cs="Times New Roman"/>
      <w:sz w:val="18"/>
      <w:szCs w:val="18"/>
    </w:rPr>
  </w:style>
  <w:style w:type="character" w:customStyle="1" w:styleId="49">
    <w:name w:val="页眉 字符"/>
    <w:link w:val="22"/>
    <w:autoRedefine/>
    <w:qFormat/>
    <w:uiPriority w:val="0"/>
    <w:rPr>
      <w:rFonts w:ascii="Times New Roman" w:hAnsi="Times New Roman" w:eastAsia="宋体" w:cs="Times New Roman"/>
      <w:sz w:val="18"/>
      <w:szCs w:val="18"/>
    </w:rPr>
  </w:style>
  <w:style w:type="character" w:customStyle="1" w:styleId="50">
    <w:name w:val="批注主题 字符"/>
    <w:link w:val="26"/>
    <w:autoRedefine/>
    <w:qFormat/>
    <w:uiPriority w:val="0"/>
    <w:rPr>
      <w:rFonts w:ascii="Times New Roman" w:hAnsi="Times New Roman" w:eastAsia="宋体" w:cs="Times New Roman"/>
      <w:b/>
      <w:bCs/>
      <w:kern w:val="2"/>
      <w:sz w:val="21"/>
      <w:szCs w:val="24"/>
    </w:rPr>
  </w:style>
  <w:style w:type="paragraph" w:customStyle="1" w:styleId="51">
    <w:name w:val="列出段落1"/>
    <w:basedOn w:val="1"/>
    <w:autoRedefine/>
    <w:qFormat/>
    <w:uiPriority w:val="0"/>
    <w:pPr>
      <w:ind w:firstLine="420" w:firstLineChars="200"/>
    </w:pPr>
    <w:rPr>
      <w:rFonts w:ascii="Calibri" w:hAnsi="Calibri" w:cs="Calibri"/>
      <w:szCs w:val="21"/>
    </w:rPr>
  </w:style>
  <w:style w:type="character" w:customStyle="1" w:styleId="52">
    <w:name w:val="textcontents"/>
    <w:basedOn w:val="31"/>
    <w:autoRedefine/>
    <w:qFormat/>
    <w:uiPriority w:val="0"/>
    <w:rPr>
      <w:rFonts w:ascii="Times New Roman" w:hAnsi="Times New Roman" w:eastAsia="宋体" w:cs="Times New Roman"/>
    </w:rPr>
  </w:style>
  <w:style w:type="character" w:customStyle="1" w:styleId="53">
    <w:name w:val="纯文本 字符1"/>
    <w:autoRedefine/>
    <w:qFormat/>
    <w:uiPriority w:val="0"/>
    <w:rPr>
      <w:rFonts w:ascii="宋体" w:hAnsi="Courier New" w:eastAsia="宋体" w:cs="Times New Roman"/>
    </w:rPr>
  </w:style>
  <w:style w:type="character" w:customStyle="1" w:styleId="54">
    <w:name w:val="纯文本 字符2"/>
    <w:autoRedefine/>
    <w:qFormat/>
    <w:uiPriority w:val="0"/>
    <w:rPr>
      <w:rFonts w:ascii="宋体" w:hAnsi="Courier New" w:eastAsia="宋体" w:cs="Courier New"/>
      <w:szCs w:val="21"/>
    </w:rPr>
  </w:style>
  <w:style w:type="character" w:customStyle="1" w:styleId="55">
    <w:name w:val="apple-style-span"/>
    <w:basedOn w:val="31"/>
    <w:autoRedefine/>
    <w:qFormat/>
    <w:uiPriority w:val="0"/>
    <w:rPr>
      <w:rFonts w:ascii="Times New Roman" w:hAnsi="Times New Roman" w:eastAsia="宋体" w:cs="Times New Roman"/>
    </w:rPr>
  </w:style>
  <w:style w:type="character" w:customStyle="1" w:styleId="56">
    <w:name w:val="批注文字 字符1"/>
    <w:autoRedefine/>
    <w:qFormat/>
    <w:uiPriority w:val="0"/>
    <w:rPr>
      <w:rFonts w:ascii="Times New Roman" w:hAnsi="Times New Roman" w:eastAsia="宋体" w:cs="Times New Roman"/>
      <w:kern w:val="2"/>
      <w:sz w:val="21"/>
      <w:szCs w:val="24"/>
    </w:rPr>
  </w:style>
  <w:style w:type="paragraph" w:customStyle="1" w:styleId="5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8">
    <w:name w:val="List Paragraph"/>
    <w:basedOn w:val="1"/>
    <w:autoRedefine/>
    <w:qFormat/>
    <w:uiPriority w:val="0"/>
    <w:pPr>
      <w:ind w:firstLine="420" w:firstLineChars="200"/>
    </w:p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character" w:customStyle="1" w:styleId="60">
    <w:name w:val="正文文本 Char1"/>
    <w:autoRedefine/>
    <w:qFormat/>
    <w:uiPriority w:val="0"/>
    <w:rPr>
      <w:rFonts w:ascii="Times New Roman" w:hAnsi="Times New Roman" w:eastAsia="宋体" w:cs="Times New Roman"/>
      <w:kern w:val="2"/>
      <w:sz w:val="21"/>
      <w:szCs w:val="24"/>
    </w:rPr>
  </w:style>
  <w:style w:type="character" w:customStyle="1" w:styleId="61">
    <w:name w:val="纯文本 Char1"/>
    <w:autoRedefine/>
    <w:qFormat/>
    <w:uiPriority w:val="0"/>
    <w:rPr>
      <w:rFonts w:ascii="宋体" w:hAnsi="Courier New" w:eastAsia="宋体" w:cs="Courier New"/>
      <w:szCs w:val="21"/>
    </w:rPr>
  </w:style>
  <w:style w:type="character" w:customStyle="1" w:styleId="62">
    <w:name w:val="15"/>
    <w:autoRedefine/>
    <w:qFormat/>
    <w:uiPriority w:val="0"/>
    <w:rPr>
      <w:rFonts w:hint="default" w:ascii="Times New Roman" w:hAnsi="Times New Roman" w:cs="Times New Roman"/>
      <w:color w:val="0000FF"/>
      <w:u w:val="single"/>
    </w:rPr>
  </w:style>
  <w:style w:type="character" w:customStyle="1" w:styleId="63">
    <w:name w:val="font21"/>
    <w:autoRedefine/>
    <w:qFormat/>
    <w:uiPriority w:val="0"/>
    <w:rPr>
      <w:rFonts w:hint="eastAsia" w:ascii="宋体" w:hAnsi="宋体" w:eastAsia="宋体" w:cs="宋体"/>
      <w:color w:val="000000"/>
      <w:sz w:val="21"/>
      <w:szCs w:val="21"/>
      <w:u w:val="none"/>
    </w:rPr>
  </w:style>
  <w:style w:type="paragraph" w:customStyle="1" w:styleId="64">
    <w:name w:val="p15"/>
    <w:basedOn w:val="1"/>
    <w:qFormat/>
    <w:uiPriority w:val="99"/>
    <w:pPr>
      <w:widowControl/>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83</Pages>
  <Words>44318</Words>
  <Characters>47117</Characters>
  <Lines>449</Lines>
  <Paragraphs>126</Paragraphs>
  <TotalTime>53</TotalTime>
  <ScaleCrop>false</ScaleCrop>
  <LinksUpToDate>false</LinksUpToDate>
  <CharactersWithSpaces>53266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唐冰</dc:creator>
  <cp:lastModifiedBy>123</cp:lastModifiedBy>
  <cp:lastPrinted>2025-05-29T02:07:00Z</cp:lastPrinted>
  <dcterms:modified xsi:type="dcterms:W3CDTF">2025-05-29T08:01:41Z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8E2EA1C4C9124F9FA9C4947C10919124_13</vt:lpwstr>
  </property>
  <property fmtid="{D5CDD505-2E9C-101B-9397-08002B2CF9AE}" pid="4" name="KSOTemplateDocerSaveRecord">
    <vt:lpwstr>eyJoZGlkIjoiMTYzMDM0YTMyN2ZmM2NjMTRmYWQ0ZGE3Y2M2MzNjMTMiLCJ1c2VySWQiOiI1NzY1MDkyMDgifQ==</vt:lpwstr>
  </property>
</Properties>
</file>