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2F82">
      <w:pPr>
        <w:rPr>
          <w:rFonts w:ascii="宋体" w:hAnsi="宋体" w:cs="宋体"/>
          <w:b/>
          <w:bCs/>
          <w:color w:val="auto"/>
          <w:sz w:val="52"/>
          <w:highlight w:val="none"/>
        </w:rPr>
      </w:pPr>
      <w:bookmarkStart w:id="209" w:name="_GoBack"/>
      <w:bookmarkEnd w:id="209"/>
      <w:r>
        <w:rPr>
          <w:rFonts w:hint="eastAsia" w:ascii="宋体" w:hAnsi="宋体" w:cs="宋体"/>
          <w:color w:val="auto"/>
          <w:highlight w:val="none"/>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9"/>
                    <a:stretch>
                      <a:fillRect/>
                    </a:stretch>
                  </pic:blipFill>
                  <pic:spPr>
                    <a:xfrm>
                      <a:off x="0" y="0"/>
                      <a:ext cx="752475" cy="752475"/>
                    </a:xfrm>
                    <a:prstGeom prst="rect">
                      <a:avLst/>
                    </a:prstGeom>
                    <a:noFill/>
                    <a:ln>
                      <a:noFill/>
                    </a:ln>
                  </pic:spPr>
                </pic:pic>
              </a:graphicData>
            </a:graphic>
          </wp:anchor>
        </w:drawing>
      </w:r>
    </w:p>
    <w:p w14:paraId="2FDE81E4">
      <w:pPr>
        <w:rPr>
          <w:rFonts w:ascii="宋体" w:hAnsi="宋体" w:cs="宋体"/>
          <w:b/>
          <w:bCs/>
          <w:color w:val="auto"/>
          <w:sz w:val="52"/>
          <w:highlight w:val="none"/>
        </w:rPr>
      </w:pPr>
    </w:p>
    <w:p w14:paraId="64FA7102">
      <w:pPr>
        <w:rPr>
          <w:rFonts w:ascii="宋体" w:hAnsi="宋体" w:cs="宋体"/>
          <w:color w:val="auto"/>
          <w:highlight w:val="none"/>
        </w:rPr>
      </w:pPr>
    </w:p>
    <w:p w14:paraId="5DD36B73">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广西中信恒泰工程顾问有限公司</w:t>
      </w:r>
    </w:p>
    <w:p w14:paraId="05709BDE">
      <w:pPr>
        <w:ind w:firstLine="199" w:firstLineChars="66"/>
        <w:jc w:val="center"/>
        <w:rPr>
          <w:rFonts w:ascii="宋体" w:hAnsi="宋体" w:cs="宋体"/>
          <w:b/>
          <w:bCs/>
          <w:color w:val="auto"/>
          <w:sz w:val="30"/>
          <w:szCs w:val="30"/>
          <w:highlight w:val="none"/>
        </w:rPr>
      </w:pPr>
      <w:r>
        <w:rPr>
          <w:rFonts w:hint="eastAsia" w:ascii="宋体" w:hAnsi="宋体" w:cs="宋体"/>
          <w:b/>
          <w:color w:val="auto"/>
          <w:sz w:val="30"/>
          <w:szCs w:val="30"/>
          <w:highlight w:val="none"/>
        </w:rPr>
        <w:t xml:space="preserve">Guangxi Zhongxinhengtai </w:t>
      </w:r>
      <w:r>
        <w:rPr>
          <w:rFonts w:hint="eastAsia" w:ascii="宋体" w:hAnsi="宋体" w:cs="宋体"/>
          <w:b/>
          <w:caps/>
          <w:color w:val="auto"/>
          <w:sz w:val="30"/>
          <w:szCs w:val="30"/>
          <w:highlight w:val="none"/>
        </w:rPr>
        <w:t>e</w:t>
      </w:r>
      <w:r>
        <w:rPr>
          <w:rFonts w:hint="eastAsia" w:ascii="宋体" w:hAnsi="宋体" w:cs="宋体"/>
          <w:b/>
          <w:color w:val="auto"/>
          <w:sz w:val="30"/>
          <w:szCs w:val="30"/>
          <w:highlight w:val="none"/>
        </w:rPr>
        <w:t xml:space="preserve">ngineering </w:t>
      </w:r>
      <w:r>
        <w:rPr>
          <w:rFonts w:hint="eastAsia" w:ascii="宋体" w:hAnsi="宋体" w:cs="宋体"/>
          <w:b/>
          <w:caps/>
          <w:color w:val="auto"/>
          <w:sz w:val="30"/>
          <w:szCs w:val="30"/>
          <w:highlight w:val="none"/>
        </w:rPr>
        <w:t>c</w:t>
      </w:r>
      <w:r>
        <w:rPr>
          <w:rFonts w:hint="eastAsia" w:ascii="宋体" w:hAnsi="宋体" w:cs="宋体"/>
          <w:b/>
          <w:color w:val="auto"/>
          <w:sz w:val="30"/>
          <w:szCs w:val="30"/>
          <w:highlight w:val="none"/>
        </w:rPr>
        <w:t xml:space="preserve">onsulting </w:t>
      </w:r>
      <w:r>
        <w:rPr>
          <w:rFonts w:hint="eastAsia" w:ascii="宋体" w:hAnsi="宋体" w:cs="宋体"/>
          <w:b/>
          <w:caps/>
          <w:color w:val="auto"/>
          <w:sz w:val="30"/>
          <w:szCs w:val="30"/>
          <w:highlight w:val="none"/>
        </w:rPr>
        <w:t>c</w:t>
      </w:r>
      <w:r>
        <w:rPr>
          <w:rFonts w:hint="eastAsia" w:ascii="宋体" w:hAnsi="宋体" w:cs="宋体"/>
          <w:b/>
          <w:color w:val="auto"/>
          <w:sz w:val="30"/>
          <w:szCs w:val="30"/>
          <w:highlight w:val="none"/>
        </w:rPr>
        <w:t>o.,</w:t>
      </w:r>
      <w:r>
        <w:rPr>
          <w:rFonts w:hint="eastAsia" w:ascii="宋体" w:hAnsi="宋体" w:cs="宋体"/>
          <w:b/>
          <w:caps/>
          <w:color w:val="auto"/>
          <w:sz w:val="30"/>
          <w:szCs w:val="30"/>
          <w:highlight w:val="none"/>
        </w:rPr>
        <w:t>l</w:t>
      </w:r>
      <w:r>
        <w:rPr>
          <w:rFonts w:hint="eastAsia" w:ascii="宋体" w:hAnsi="宋体" w:cs="宋体"/>
          <w:b/>
          <w:color w:val="auto"/>
          <w:sz w:val="30"/>
          <w:szCs w:val="30"/>
          <w:highlight w:val="none"/>
        </w:rPr>
        <w:t>td</w:t>
      </w:r>
    </w:p>
    <w:p w14:paraId="2F81D73F">
      <w:pPr>
        <w:pStyle w:val="3"/>
        <w:ind w:firstLine="400"/>
        <w:rPr>
          <w:rFonts w:ascii="宋体" w:hAnsi="宋体" w:cs="宋体"/>
          <w:color w:val="auto"/>
          <w:szCs w:val="21"/>
          <w:highlight w:val="none"/>
          <w14:shadow w14:blurRad="50800" w14:dist="38100" w14:dir="2700000" w14:sx="100000" w14:sy="100000" w14:kx="0" w14:ky="0" w14:algn="tl">
            <w14:srgbClr w14:val="000000">
              <w14:alpha w14:val="60000"/>
            </w14:srgbClr>
          </w14:shadow>
        </w:rPr>
      </w:pPr>
      <w:r>
        <w:rPr>
          <w:rFonts w:hint="eastAsia" w:ascii="宋体"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77470</wp:posOffset>
                </wp:positionV>
                <wp:extent cx="5944235" cy="8255"/>
                <wp:effectExtent l="0" t="13970" r="14605" b="23495"/>
                <wp:wrapNone/>
                <wp:docPr id="1"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11.2pt;margin-top:6.1pt;height:0.65pt;width:468.05pt;z-index:251659264;mso-width-relative:page;mso-height-relative:page;" filled="f" stroked="t" coordsize="21600,21600" o:gfxdata="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B8WPX&#10;AAAACQEAAA8AAAAAAAAAAQAgAAAAIgAAAGRycy9kb3ducmV2LnhtbFBLAQIUABQAAAAIAIdO4kAd&#10;mrFm6AEAAN0DAAAOAAAAAAAAAAEAIAAAACYBAABkcnMvZTJvRG9jLnhtbFBLBQYAAAAABgAGAFkB&#10;AACABQAAAAA=&#10;">
                <v:fill on="f" focussize="0,0"/>
                <v:stroke weight="2.25pt" color="#000000" joinstyle="round"/>
                <v:imagedata o:title=""/>
                <o:lock v:ext="edit" aspectratio="f"/>
              </v:line>
            </w:pict>
          </mc:Fallback>
        </mc:AlternateContent>
      </w:r>
    </w:p>
    <w:p w14:paraId="3585EEC1">
      <w:pPr>
        <w:snapToGrid w:val="0"/>
        <w:jc w:val="center"/>
        <w:rPr>
          <w:rFonts w:ascii="宋体" w:hAnsi="宋体" w:cs="宋体"/>
          <w:b/>
          <w:color w:val="auto"/>
          <w:sz w:val="72"/>
          <w:szCs w:val="72"/>
          <w:highlight w:val="none"/>
        </w:rPr>
      </w:pPr>
    </w:p>
    <w:p w14:paraId="63FD4335">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竞争性磋商采购文件</w:t>
      </w:r>
    </w:p>
    <w:p w14:paraId="7FFF89D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14:paraId="131A73D9">
      <w:pPr>
        <w:jc w:val="center"/>
        <w:rPr>
          <w:rFonts w:ascii="宋体" w:hAnsi="宋体" w:cs="宋体"/>
          <w:b/>
          <w:color w:val="auto"/>
          <w:sz w:val="32"/>
          <w:szCs w:val="32"/>
          <w:highlight w:val="none"/>
        </w:rPr>
      </w:pPr>
    </w:p>
    <w:p w14:paraId="48D00E57">
      <w:pPr>
        <w:snapToGrid w:val="0"/>
        <w:spacing w:before="156"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（全流程电子化项目）</w:t>
      </w:r>
    </w:p>
    <w:p w14:paraId="4736921A">
      <w:pPr>
        <w:jc w:val="center"/>
        <w:rPr>
          <w:rFonts w:ascii="宋体" w:hAnsi="宋体" w:cs="宋体"/>
          <w:b/>
          <w:color w:val="auto"/>
          <w:sz w:val="32"/>
          <w:szCs w:val="32"/>
          <w:highlight w:val="none"/>
        </w:rPr>
      </w:pPr>
    </w:p>
    <w:p w14:paraId="57E60EAE">
      <w:pPr>
        <w:jc w:val="center"/>
        <w:rPr>
          <w:rFonts w:ascii="宋体" w:hAnsi="宋体" w:cs="宋体"/>
          <w:b/>
          <w:color w:val="auto"/>
          <w:sz w:val="32"/>
          <w:szCs w:val="32"/>
          <w:highlight w:val="none"/>
        </w:rPr>
      </w:pPr>
    </w:p>
    <w:p w14:paraId="5F32F04C">
      <w:pPr>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val="0"/>
          <w:color w:val="auto"/>
          <w:sz w:val="32"/>
          <w:szCs w:val="32"/>
          <w:highlight w:val="none"/>
          <w:lang w:eastAsia="zh-CN"/>
        </w:rPr>
        <w:t>人工智能便民医疗服务运营项目</w:t>
      </w:r>
    </w:p>
    <w:p w14:paraId="4700EB95">
      <w:pPr>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val="0"/>
          <w:i w:val="0"/>
          <w:iCs w:val="0"/>
          <w:caps w:val="0"/>
          <w:color w:val="auto"/>
          <w:spacing w:val="0"/>
          <w:sz w:val="32"/>
          <w:szCs w:val="32"/>
          <w:highlight w:val="none"/>
          <w:shd w:val="clear"/>
        </w:rPr>
        <w:t>GXZC2025-C3-003559-GXZX</w:t>
      </w:r>
    </w:p>
    <w:p w14:paraId="4300F067">
      <w:pPr>
        <w:pStyle w:val="21"/>
        <w:rPr>
          <w:rFonts w:ascii="宋体" w:hAnsi="宋体" w:cs="宋体"/>
          <w:b/>
          <w:color w:val="auto"/>
          <w:sz w:val="32"/>
          <w:szCs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108585</wp:posOffset>
                </wp:positionV>
                <wp:extent cx="5944235" cy="8255"/>
                <wp:effectExtent l="0" t="13970" r="14605" b="23495"/>
                <wp:wrapNone/>
                <wp:docPr id="3" name="直线 8"/>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flip:y;margin-left:-7.65pt;margin-top:8.55pt;height:0.65pt;width:468.05pt;z-index:251661312;mso-width-relative:page;mso-height-relative:page;" filled="f" stroked="t" coordsize="21600,21600" o:gfxdata="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jCEx&#10;1wAAAAkBAAAPAAAAAAAAAAEAIAAAACIAAABkcnMvZG93bnJldi54bWxQSwECFAAUAAAACACHTuJA&#10;bLr0r+kBAADdAwAADgAAAAAAAAABACAAAAAmAQAAZHJzL2Uyb0RvYy54bWxQSwUGAAAAAAYABgBZ&#10;AQAAgQUAAAAA&#10;">
                <v:fill on="f" focussize="0,0"/>
                <v:stroke weight="2.25pt" color="#000000" joinstyle="round"/>
                <v:imagedata o:title=""/>
                <o:lock v:ext="edit" aspectratio="f"/>
              </v:line>
            </w:pict>
          </mc:Fallback>
        </mc:AlternateContent>
      </w:r>
    </w:p>
    <w:p w14:paraId="69EB3EC6">
      <w:pPr>
        <w:rPr>
          <w:rFonts w:ascii="宋体" w:hAnsi="宋体" w:cs="宋体"/>
          <w:color w:val="auto"/>
          <w:highlight w:val="none"/>
        </w:rPr>
      </w:pPr>
    </w:p>
    <w:p w14:paraId="565A7694">
      <w:pPr>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采购人：广西医科大学第二附属医院</w:t>
      </w:r>
    </w:p>
    <w:p w14:paraId="5032FE96">
      <w:pPr>
        <w:spacing w:line="360" w:lineRule="auto"/>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采购代理机构：广西中信恒泰工程顾问有限公司</w:t>
      </w:r>
    </w:p>
    <w:p w14:paraId="008F238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lang w:val="en-US" w:eastAsia="zh-CN"/>
        </w:rPr>
        <w:t>12</w:t>
      </w:r>
      <w:r>
        <w:rPr>
          <w:rFonts w:hint="eastAsia" w:ascii="宋体" w:hAnsi="宋体" w:cs="宋体"/>
          <w:b/>
          <w:color w:val="auto"/>
          <w:sz w:val="32"/>
          <w:szCs w:val="32"/>
          <w:highlight w:val="none"/>
        </w:rPr>
        <w:t>月</w:t>
      </w:r>
    </w:p>
    <w:p w14:paraId="7E2C9575">
      <w:pPr>
        <w:spacing w:line="360" w:lineRule="auto"/>
        <w:jc w:val="center"/>
        <w:rPr>
          <w:rFonts w:ascii="宋体" w:hAnsi="宋体" w:cs="宋体"/>
          <w:b/>
          <w:color w:val="auto"/>
          <w:sz w:val="44"/>
          <w:szCs w:val="44"/>
          <w:highlight w:val="none"/>
        </w:rPr>
      </w:pPr>
      <w:r>
        <w:rPr>
          <w:rFonts w:hint="eastAsia" w:ascii="宋体" w:hAnsi="宋体" w:cs="宋体"/>
          <w:b/>
          <w:color w:val="auto"/>
          <w:sz w:val="32"/>
          <w:szCs w:val="32"/>
          <w:highlight w:val="none"/>
        </w:rPr>
        <w:br w:type="page"/>
      </w:r>
      <w:r>
        <w:rPr>
          <w:rFonts w:hint="eastAsia" w:ascii="宋体" w:hAnsi="宋体" w:cs="宋体"/>
          <w:b/>
          <w:color w:val="auto"/>
          <w:sz w:val="44"/>
          <w:szCs w:val="44"/>
          <w:highlight w:val="none"/>
        </w:rPr>
        <w:t>目录</w:t>
      </w:r>
    </w:p>
    <w:p w14:paraId="22B65A2D">
      <w:pPr>
        <w:spacing w:line="400" w:lineRule="exact"/>
        <w:jc w:val="center"/>
        <w:rPr>
          <w:rFonts w:ascii="宋体" w:hAnsi="宋体" w:cs="宋体"/>
          <w:b/>
          <w:color w:val="auto"/>
          <w:sz w:val="44"/>
          <w:szCs w:val="44"/>
          <w:highlight w:val="none"/>
        </w:rPr>
      </w:pPr>
    </w:p>
    <w:p w14:paraId="256D2F18">
      <w:pPr>
        <w:pStyle w:val="24"/>
        <w:tabs>
          <w:tab w:val="right" w:leader="dot" w:pos="8992"/>
          <w:tab w:val="clear" w:pos="8296"/>
        </w:tabs>
        <w:spacing w:line="360" w:lineRule="auto"/>
        <w:rPr>
          <w:rFonts w:hint="eastAsia" w:ascii="宋体" w:hAnsi="宋体" w:eastAsia="宋体" w:cs="宋体"/>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TOC\o"1-3"\h\z\u</w:instrText>
      </w:r>
      <w:r>
        <w:rPr>
          <w:rFonts w:hint="eastAsia" w:ascii="宋体" w:hAnsi="宋体" w:cs="宋体"/>
          <w:b/>
          <w:color w:val="auto"/>
          <w:sz w:val="24"/>
          <w:highlight w:val="none"/>
        </w:rPr>
        <w:fldChar w:fldCharType="separate"/>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\l _Toc21255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第一章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竞争性磋商公告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_Toc21255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20E11976">
      <w:pPr>
        <w:pStyle w:val="24"/>
        <w:tabs>
          <w:tab w:val="right" w:leader="dot" w:pos="8992"/>
          <w:tab w:val="clear" w:pos="8296"/>
        </w:tabs>
        <w:spacing w:line="360" w:lineRule="auto"/>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\l _Toc20168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第二章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供应商须知</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_Toc20168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5474F64B">
      <w:pPr>
        <w:pStyle w:val="24"/>
        <w:tabs>
          <w:tab w:val="right" w:leader="dot" w:pos="8992"/>
          <w:tab w:val="clear" w:pos="8296"/>
        </w:tabs>
        <w:spacing w:line="360" w:lineRule="auto"/>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\l _Toc17118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第三章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采购需求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_Toc17118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20</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610EB045">
      <w:pPr>
        <w:pStyle w:val="24"/>
        <w:tabs>
          <w:tab w:val="right" w:leader="dot" w:pos="8992"/>
          <w:tab w:val="clear" w:pos="8296"/>
        </w:tabs>
        <w:spacing w:line="360" w:lineRule="auto"/>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\l _Toc31681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第四章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评审程序、评审方法和评审标准</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_Toc31681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1FC88396">
      <w:pPr>
        <w:pStyle w:val="24"/>
        <w:tabs>
          <w:tab w:val="right" w:leader="dot" w:pos="8992"/>
          <w:tab w:val="clear" w:pos="8296"/>
        </w:tabs>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\l _Toc28697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第五章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响应文件格式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_Toc28697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31F9AAAC">
      <w:pPr>
        <w:pStyle w:val="24"/>
        <w:tabs>
          <w:tab w:val="right" w:leader="dot" w:pos="8992"/>
          <w:tab w:val="clear" w:pos="8296"/>
        </w:tabs>
        <w:spacing w:line="360" w:lineRule="auto"/>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\l _Toc6703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第六章 合同文本</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_Toc6703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78</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3A8BE4F7">
      <w:pPr>
        <w:pStyle w:val="23"/>
        <w:tabs>
          <w:tab w:val="right" w:leader="dot" w:pos="8992"/>
        </w:tabs>
      </w:pPr>
    </w:p>
    <w:p w14:paraId="2AE71941">
      <w:pPr>
        <w:pStyle w:val="24"/>
        <w:spacing w:line="360" w:lineRule="auto"/>
        <w:rPr>
          <w:rFonts w:ascii="宋体" w:hAnsi="宋体" w:cs="宋体"/>
          <w:color w:val="auto"/>
          <w:sz w:val="28"/>
          <w:szCs w:val="28"/>
          <w:highlight w:val="none"/>
        </w:rPr>
      </w:pPr>
      <w:r>
        <w:rPr>
          <w:rFonts w:hint="eastAsia" w:ascii="宋体" w:hAnsi="宋体" w:cs="宋体"/>
          <w:color w:val="auto"/>
          <w:sz w:val="24"/>
          <w:highlight w:val="none"/>
        </w:rPr>
        <w:fldChar w:fldCharType="end"/>
      </w:r>
    </w:p>
    <w:p w14:paraId="38CCD68B">
      <w:pPr>
        <w:spacing w:line="400" w:lineRule="exact"/>
        <w:jc w:val="left"/>
        <w:rPr>
          <w:rFonts w:ascii="宋体" w:hAnsi="宋体" w:cs="宋体"/>
          <w:b/>
          <w:color w:val="auto"/>
          <w:sz w:val="32"/>
          <w:szCs w:val="32"/>
          <w:highlight w:val="none"/>
        </w:rPr>
      </w:pPr>
    </w:p>
    <w:p w14:paraId="3C630258">
      <w:pPr>
        <w:spacing w:line="400" w:lineRule="exact"/>
        <w:jc w:val="center"/>
        <w:rPr>
          <w:rFonts w:ascii="宋体" w:hAnsi="宋体" w:cs="宋体"/>
          <w:b/>
          <w:color w:val="auto"/>
          <w:sz w:val="32"/>
          <w:szCs w:val="32"/>
          <w:highlight w:val="none"/>
        </w:rPr>
      </w:pPr>
    </w:p>
    <w:p w14:paraId="267ACDDA">
      <w:pPr>
        <w:spacing w:line="400" w:lineRule="exact"/>
        <w:jc w:val="center"/>
        <w:rPr>
          <w:rFonts w:ascii="宋体" w:hAnsi="宋体" w:cs="宋体"/>
          <w:b/>
          <w:color w:val="auto"/>
          <w:sz w:val="32"/>
          <w:szCs w:val="32"/>
          <w:highlight w:val="none"/>
        </w:rPr>
      </w:pPr>
    </w:p>
    <w:p w14:paraId="3C6225A2">
      <w:pPr>
        <w:spacing w:line="400" w:lineRule="exact"/>
        <w:jc w:val="center"/>
        <w:rPr>
          <w:rFonts w:ascii="宋体" w:hAnsi="宋体" w:cs="宋体"/>
          <w:b/>
          <w:color w:val="auto"/>
          <w:sz w:val="32"/>
          <w:szCs w:val="32"/>
          <w:highlight w:val="none"/>
        </w:rPr>
      </w:pPr>
    </w:p>
    <w:p w14:paraId="27372AB3">
      <w:pPr>
        <w:spacing w:line="400" w:lineRule="exact"/>
        <w:jc w:val="center"/>
        <w:rPr>
          <w:rFonts w:ascii="宋体" w:hAnsi="宋体" w:cs="宋体"/>
          <w:b/>
          <w:color w:val="auto"/>
          <w:sz w:val="32"/>
          <w:szCs w:val="32"/>
          <w:highlight w:val="none"/>
        </w:rPr>
      </w:pPr>
    </w:p>
    <w:p w14:paraId="029A2EA2">
      <w:pPr>
        <w:spacing w:line="400" w:lineRule="exact"/>
        <w:rPr>
          <w:rFonts w:ascii="宋体" w:hAnsi="宋体" w:cs="宋体"/>
          <w:b/>
          <w:color w:val="auto"/>
          <w:sz w:val="32"/>
          <w:szCs w:val="32"/>
          <w:highlight w:val="none"/>
        </w:rPr>
        <w:sectPr>
          <w:headerReference r:id="rId3" w:type="default"/>
          <w:pgSz w:w="11906" w:h="16838"/>
          <w:pgMar w:top="1440" w:right="1440" w:bottom="1440" w:left="1474" w:header="851" w:footer="992" w:gutter="0"/>
          <w:cols w:space="720" w:num="1"/>
          <w:titlePg/>
          <w:docGrid w:type="lines" w:linePitch="312" w:charSpace="0"/>
        </w:sectPr>
      </w:pPr>
    </w:p>
    <w:p w14:paraId="2B046060">
      <w:pPr>
        <w:pStyle w:val="5"/>
        <w:jc w:val="center"/>
        <w:rPr>
          <w:rFonts w:ascii="宋体" w:hAnsi="宋体" w:cs="宋体"/>
          <w:color w:val="auto"/>
          <w:highlight w:val="none"/>
        </w:rPr>
      </w:pPr>
      <w:bookmarkStart w:id="0" w:name="_Toc2843"/>
      <w:bookmarkStart w:id="1" w:name="_Toc21255"/>
      <w:r>
        <w:rPr>
          <w:rFonts w:hint="eastAsia" w:ascii="宋体" w:hAnsi="宋体" w:cs="宋体"/>
          <w:color w:val="auto"/>
          <w:highlight w:val="none"/>
        </w:rPr>
        <w:t>第一章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竞争性磋商公告</w:t>
      </w:r>
      <w:bookmarkEnd w:id="0"/>
      <w:bookmarkEnd w:id="1"/>
    </w:p>
    <w:p w14:paraId="5A5E8609">
      <w:pPr>
        <w:rPr>
          <w:color w:val="auto"/>
          <w:sz w:val="22"/>
          <w:szCs w:val="28"/>
          <w:highlight w:val="none"/>
        </w:rPr>
      </w:pPr>
    </w:p>
    <w:p w14:paraId="77681BAB">
      <w:pPr>
        <w:jc w:val="center"/>
        <w:rPr>
          <w:rFonts w:ascii="宋体" w:hAnsi="宋体" w:cs="宋体"/>
          <w:b/>
          <w:bCs/>
          <w:color w:val="auto"/>
          <w:sz w:val="28"/>
          <w:szCs w:val="28"/>
          <w:highlight w:val="none"/>
        </w:rPr>
      </w:pPr>
      <w:bookmarkStart w:id="2" w:name="OLE_LINK2"/>
      <w:r>
        <w:rPr>
          <w:rFonts w:hint="eastAsia" w:ascii="宋体" w:hAnsi="宋体" w:cs="宋体"/>
          <w:b/>
          <w:bCs/>
          <w:color w:val="auto"/>
          <w:sz w:val="28"/>
          <w:szCs w:val="28"/>
          <w:highlight w:val="none"/>
        </w:rPr>
        <w:t>广西中信恒泰工程顾问有限公司</w:t>
      </w:r>
      <w:r>
        <w:rPr>
          <w:rFonts w:hint="eastAsia" w:ascii="宋体" w:hAnsi="宋体" w:cs="宋体"/>
          <w:b/>
          <w:bCs/>
          <w:color w:val="auto"/>
          <w:sz w:val="28"/>
          <w:szCs w:val="28"/>
          <w:highlight w:val="none"/>
          <w:lang w:val="en-US" w:eastAsia="zh-CN"/>
        </w:rPr>
        <w:t>关于</w:t>
      </w:r>
      <w:r>
        <w:rPr>
          <w:rFonts w:hint="eastAsia" w:ascii="宋体" w:hAnsi="宋体" w:cs="宋体"/>
          <w:b/>
          <w:bCs/>
          <w:color w:val="auto"/>
          <w:sz w:val="28"/>
          <w:szCs w:val="28"/>
          <w:highlight w:val="none"/>
          <w:lang w:eastAsia="zh-CN"/>
        </w:rPr>
        <w:t>人工智能便民医疗服务运营项目</w:t>
      </w:r>
      <w:bookmarkEnd w:id="2"/>
      <w:r>
        <w:rPr>
          <w:rFonts w:hint="eastAsia" w:ascii="宋体" w:hAnsi="宋体" w:cs="宋体"/>
          <w:b/>
          <w:bCs/>
          <w:color w:val="auto"/>
          <w:sz w:val="28"/>
          <w:szCs w:val="28"/>
          <w:highlight w:val="none"/>
          <w:lang w:val="en-US" w:eastAsia="zh-CN"/>
        </w:rPr>
        <w:t>的</w:t>
      </w:r>
      <w:r>
        <w:rPr>
          <w:rFonts w:hint="eastAsia" w:ascii="宋体" w:hAnsi="宋体" w:cs="宋体"/>
          <w:b/>
          <w:bCs/>
          <w:color w:val="auto"/>
          <w:sz w:val="28"/>
          <w:szCs w:val="28"/>
          <w:highlight w:val="none"/>
        </w:rPr>
        <w:t>竞争性磋商公告</w:t>
      </w:r>
    </w:p>
    <w:p w14:paraId="6A855833">
      <w:pPr>
        <w:rPr>
          <w:color w:val="auto"/>
          <w:highlight w:val="none"/>
        </w:rPr>
      </w:pPr>
    </w:p>
    <w:p w14:paraId="4AC039D7">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4BE7D77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b w:val="0"/>
          <w:bCs w:val="0"/>
          <w:color w:val="auto"/>
          <w:sz w:val="21"/>
          <w:szCs w:val="21"/>
          <w:highlight w:val="none"/>
          <w:u w:val="single"/>
          <w:lang w:eastAsia="zh-CN"/>
        </w:rPr>
        <w:t>人工智能便民医疗服务运营项目</w:t>
      </w:r>
      <w:r>
        <w:rPr>
          <w:rFonts w:hint="eastAsia" w:ascii="宋体" w:hAnsi="宋体" w:cs="宋体"/>
          <w:color w:val="auto"/>
          <w:szCs w:val="21"/>
          <w:highlight w:val="none"/>
        </w:rPr>
        <w:t>采购项目的潜在供应商应在“广西政府采购云平台”（</w:t>
      </w:r>
      <w:r>
        <w:rPr>
          <w:color w:val="auto"/>
          <w:highlight w:val="none"/>
        </w:rPr>
        <w:fldChar w:fldCharType="begin"/>
      </w:r>
      <w:r>
        <w:rPr>
          <w:color w:val="auto"/>
          <w:highlight w:val="none"/>
        </w:rPr>
        <w:instrText xml:space="preserve">HYPERLINK"https://www.zcygov.cn/）获取（下载）采购文件，并于2022年%20%20月"</w:instrText>
      </w:r>
      <w:r>
        <w:rPr>
          <w:color w:val="auto"/>
          <w:highlight w:val="none"/>
        </w:rPr>
        <w:fldChar w:fldCharType="separate"/>
      </w:r>
      <w:r>
        <w:rPr>
          <w:rFonts w:hint="eastAsia" w:ascii="宋体" w:hAnsi="宋体" w:cs="宋体"/>
          <w:color w:val="auto"/>
          <w:szCs w:val="21"/>
          <w:highlight w:val="none"/>
        </w:rPr>
        <w:t>https://www.gcy.zfcg.gxzf.gov.cn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获取（下载）采购文件，并于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r>
        <w:rPr>
          <w:rFonts w:hint="eastAsia" w:ascii="宋体" w:hAnsi="宋体" w:cs="宋体"/>
          <w:color w:val="auto"/>
          <w:highlight w:val="none"/>
        </w:rPr>
        <w:t>（北京时间）前递交（上传）响应文件</w:t>
      </w:r>
      <w:r>
        <w:rPr>
          <w:rFonts w:hint="eastAsia" w:ascii="宋体" w:hAnsi="宋体" w:cs="宋体"/>
          <w:color w:val="auto"/>
          <w:szCs w:val="21"/>
          <w:highlight w:val="none"/>
        </w:rPr>
        <w:t>。</w:t>
      </w:r>
    </w:p>
    <w:p w14:paraId="64E478EB">
      <w:pPr>
        <w:spacing w:line="360" w:lineRule="auto"/>
        <w:rPr>
          <w:rFonts w:ascii="宋体" w:hAnsi="宋体" w:cs="宋体"/>
          <w:b/>
          <w:bCs/>
          <w:color w:val="auto"/>
          <w:highlight w:val="none"/>
        </w:rPr>
      </w:pPr>
      <w:bookmarkStart w:id="4" w:name="_Toc44229878"/>
      <w:bookmarkStart w:id="5" w:name="_Toc28359012"/>
      <w:bookmarkStart w:id="6" w:name="_Toc35393798"/>
      <w:bookmarkStart w:id="7" w:name="_Toc35393629"/>
      <w:bookmarkStart w:id="8" w:name="_Toc28359089"/>
      <w:r>
        <w:rPr>
          <w:rFonts w:hint="eastAsia" w:ascii="宋体" w:hAnsi="宋体" w:cs="宋体"/>
          <w:b/>
          <w:bCs/>
          <w:color w:val="auto"/>
          <w:highlight w:val="none"/>
        </w:rPr>
        <w:t>一、项目基本情况</w:t>
      </w:r>
      <w:bookmarkEnd w:id="4"/>
      <w:bookmarkEnd w:id="5"/>
      <w:bookmarkEnd w:id="6"/>
      <w:bookmarkEnd w:id="7"/>
      <w:bookmarkEnd w:id="8"/>
    </w:p>
    <w:p w14:paraId="1BC2640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eastAsia="宋体" w:cs="宋体"/>
          <w:b w:val="0"/>
          <w:bCs w:val="0"/>
          <w:i w:val="0"/>
          <w:iCs w:val="0"/>
          <w:caps w:val="0"/>
          <w:color w:val="auto"/>
          <w:spacing w:val="0"/>
          <w:sz w:val="21"/>
          <w:szCs w:val="21"/>
          <w:highlight w:val="none"/>
          <w:shd w:val="clear"/>
        </w:rPr>
        <w:t>GXZC2025-C3-003559-GXZX</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（采购计划文号：</w:t>
      </w:r>
      <w:r>
        <w:rPr>
          <w:rFonts w:hint="eastAsia" w:ascii="宋体" w:hAnsi="宋体" w:eastAsia="宋体" w:cs="宋体"/>
          <w:i w:val="0"/>
          <w:iCs w:val="0"/>
          <w:caps w:val="0"/>
          <w:color w:val="auto"/>
          <w:spacing w:val="0"/>
          <w:sz w:val="21"/>
          <w:szCs w:val="21"/>
          <w:highlight w:val="none"/>
          <w:u w:val="none"/>
          <w:shd w:val="clear"/>
        </w:rPr>
        <w:fldChar w:fldCharType="begin"/>
      </w:r>
      <w:r>
        <w:rPr>
          <w:rFonts w:hint="eastAsia" w:ascii="宋体" w:hAnsi="宋体" w:eastAsia="宋体" w:cs="宋体"/>
          <w:i w:val="0"/>
          <w:iCs w:val="0"/>
          <w:caps w:val="0"/>
          <w:color w:val="auto"/>
          <w:spacing w:val="0"/>
          <w:sz w:val="21"/>
          <w:szCs w:val="21"/>
          <w:highlight w:val="none"/>
          <w:u w:val="none"/>
          <w:shd w:val="clear"/>
        </w:rPr>
        <w:instrText xml:space="preserve"> HYPERLINK "https://pay.gcy.zfcg.gxzf.gov.cn/purchaseplan_front/" \l "/plan/list/view?id=1000000000025891189&amp;_app_=zcy.procurement" \t "https://www.gcy.zfcg.gxzf.gov.cn/project-center/_procurement_/purchasePlans/_blank" </w:instrText>
      </w:r>
      <w:r>
        <w:rPr>
          <w:rFonts w:hint="eastAsia" w:ascii="宋体" w:hAnsi="宋体" w:eastAsia="宋体" w:cs="宋体"/>
          <w:i w:val="0"/>
          <w:iCs w:val="0"/>
          <w:caps w:val="0"/>
          <w:color w:val="auto"/>
          <w:spacing w:val="0"/>
          <w:sz w:val="21"/>
          <w:szCs w:val="21"/>
          <w:highlight w:val="none"/>
          <w:u w:val="none"/>
          <w:shd w:val="clear"/>
        </w:rPr>
        <w:fldChar w:fldCharType="separate"/>
      </w:r>
      <w:r>
        <w:rPr>
          <w:rFonts w:hint="eastAsia" w:ascii="宋体" w:hAnsi="宋体" w:eastAsia="宋体" w:cs="宋体"/>
          <w:i w:val="0"/>
          <w:iCs w:val="0"/>
          <w:caps w:val="0"/>
          <w:color w:val="auto"/>
          <w:spacing w:val="0"/>
          <w:sz w:val="21"/>
          <w:szCs w:val="21"/>
          <w:highlight w:val="none"/>
          <w:u w:val="none"/>
          <w:shd w:val="clear"/>
        </w:rPr>
        <w:t>广西政采[2025]20077号</w:t>
      </w:r>
      <w:r>
        <w:rPr>
          <w:rFonts w:hint="eastAsia" w:ascii="宋体" w:hAnsi="宋体" w:eastAsia="宋体" w:cs="宋体"/>
          <w:i w:val="0"/>
          <w:iCs w:val="0"/>
          <w:caps w:val="0"/>
          <w:color w:val="auto"/>
          <w:spacing w:val="0"/>
          <w:sz w:val="21"/>
          <w:szCs w:val="21"/>
          <w:highlight w:val="none"/>
          <w:u w:val="none"/>
          <w:shd w:val="clear"/>
        </w:rPr>
        <w:fldChar w:fldCharType="end"/>
      </w:r>
      <w:r>
        <w:rPr>
          <w:rFonts w:hint="eastAsia" w:ascii="宋体" w:hAnsi="宋体" w:cs="宋体"/>
          <w:color w:val="auto"/>
          <w:szCs w:val="21"/>
          <w:highlight w:val="none"/>
          <w:lang w:eastAsia="zh-CN"/>
        </w:rPr>
        <w:t>）</w:t>
      </w:r>
    </w:p>
    <w:p w14:paraId="3DAB361D">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rPr>
        <w:t>2.项目名称：</w:t>
      </w:r>
      <w:r>
        <w:rPr>
          <w:rFonts w:hint="eastAsia" w:ascii="宋体" w:hAnsi="宋体" w:cs="宋体"/>
          <w:b w:val="0"/>
          <w:bCs w:val="0"/>
          <w:color w:val="auto"/>
          <w:sz w:val="21"/>
          <w:szCs w:val="21"/>
          <w:highlight w:val="none"/>
          <w:lang w:eastAsia="zh-CN"/>
        </w:rPr>
        <w:t>人工智能便民医疗服务运营项目</w:t>
      </w:r>
    </w:p>
    <w:p w14:paraId="3B345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24E56C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4.预算金额：人民币</w:t>
      </w:r>
      <w:r>
        <w:rPr>
          <w:rFonts w:hint="eastAsia" w:ascii="宋体" w:hAnsi="宋体" w:cs="宋体"/>
          <w:color w:val="auto"/>
          <w:szCs w:val="21"/>
          <w:highlight w:val="none"/>
          <w:lang w:val="en-US" w:eastAsia="zh-CN"/>
        </w:rPr>
        <w:t>贰佰壹拾万元</w:t>
      </w:r>
      <w:r>
        <w:rPr>
          <w:rFonts w:hint="eastAsia" w:ascii="宋体" w:hAnsi="宋体" w:cs="宋体"/>
          <w:color w:val="auto"/>
          <w:szCs w:val="21"/>
          <w:highlight w:val="none"/>
          <w:lang w:eastAsia="zh-CN"/>
        </w:rPr>
        <w:t>整(¥</w:t>
      </w:r>
      <w:r>
        <w:rPr>
          <w:rFonts w:hint="eastAsia" w:ascii="宋体" w:hAnsi="宋体" w:cs="宋体"/>
          <w:color w:val="auto"/>
          <w:szCs w:val="21"/>
          <w:highlight w:val="none"/>
          <w:lang w:val="en-US" w:eastAsia="zh-CN"/>
        </w:rPr>
        <w:t>210</w:t>
      </w:r>
      <w:r>
        <w:rPr>
          <w:rFonts w:hint="eastAsia" w:ascii="宋体" w:hAnsi="宋体" w:cs="宋体"/>
          <w:color w:val="auto"/>
          <w:szCs w:val="21"/>
          <w:highlight w:val="none"/>
          <w:lang w:eastAsia="zh-CN"/>
        </w:rPr>
        <w:t>0000.00）</w:t>
      </w:r>
    </w:p>
    <w:p w14:paraId="7B9275F8">
      <w:pPr>
        <w:spacing w:line="360" w:lineRule="auto"/>
        <w:ind w:firstLine="420" w:firstLineChars="200"/>
        <w:rPr>
          <w:color w:val="auto"/>
          <w:highlight w:val="none"/>
        </w:rPr>
      </w:pPr>
      <w:r>
        <w:rPr>
          <w:rFonts w:hint="eastAsia" w:ascii="宋体" w:hAnsi="宋体" w:cs="宋体"/>
          <w:color w:val="auto"/>
          <w:szCs w:val="21"/>
          <w:highlight w:val="none"/>
        </w:rPr>
        <w:t>5.最高限价：人民币</w:t>
      </w:r>
      <w:r>
        <w:rPr>
          <w:rFonts w:hint="eastAsia" w:ascii="宋体" w:hAnsi="宋体" w:cs="宋体"/>
          <w:color w:val="auto"/>
          <w:szCs w:val="21"/>
          <w:highlight w:val="none"/>
          <w:lang w:val="en-US" w:eastAsia="zh-CN"/>
        </w:rPr>
        <w:t>贰佰壹拾万元</w:t>
      </w:r>
      <w:r>
        <w:rPr>
          <w:rFonts w:hint="eastAsia" w:ascii="宋体" w:hAnsi="宋体" w:cs="宋体"/>
          <w:color w:val="auto"/>
          <w:szCs w:val="21"/>
          <w:highlight w:val="none"/>
          <w:lang w:eastAsia="zh-CN"/>
        </w:rPr>
        <w:t>整(¥</w:t>
      </w:r>
      <w:r>
        <w:rPr>
          <w:rFonts w:hint="eastAsia" w:ascii="宋体" w:hAnsi="宋体" w:cs="宋体"/>
          <w:color w:val="auto"/>
          <w:szCs w:val="21"/>
          <w:highlight w:val="none"/>
          <w:lang w:val="en-US" w:eastAsia="zh-CN"/>
        </w:rPr>
        <w:t>210</w:t>
      </w:r>
      <w:r>
        <w:rPr>
          <w:rFonts w:hint="eastAsia" w:ascii="宋体" w:hAnsi="宋体" w:cs="宋体"/>
          <w:color w:val="auto"/>
          <w:szCs w:val="21"/>
          <w:highlight w:val="none"/>
          <w:lang w:eastAsia="zh-CN"/>
        </w:rPr>
        <w:t>0000.00）</w:t>
      </w:r>
    </w:p>
    <w:p w14:paraId="2E6B21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.采购需求：</w:t>
      </w:r>
    </w:p>
    <w:tbl>
      <w:tblPr>
        <w:tblStyle w:val="29"/>
        <w:tblW w:w="8498" w:type="dxa"/>
        <w:tblInd w:w="44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2864"/>
        <w:gridCol w:w="1366"/>
        <w:gridCol w:w="3500"/>
      </w:tblGrid>
      <w:tr w14:paraId="051B6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8" w:type="dxa"/>
            <w:tcBorders>
              <w:top w:val="single" w:color="auto" w:sz="4" w:space="0"/>
              <w:left w:val="single" w:color="auto" w:sz="4" w:space="0"/>
              <w:bottom w:val="single" w:color="auto" w:sz="4" w:space="0"/>
              <w:right w:val="single" w:color="auto" w:sz="4" w:space="0"/>
            </w:tcBorders>
            <w:noWrap w:val="0"/>
            <w:vAlign w:val="center"/>
          </w:tcPr>
          <w:p w14:paraId="62D7C76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864" w:type="dxa"/>
            <w:tcBorders>
              <w:top w:val="single" w:color="auto" w:sz="4" w:space="0"/>
              <w:left w:val="single" w:color="auto" w:sz="4" w:space="0"/>
              <w:bottom w:val="single" w:color="auto" w:sz="4" w:space="0"/>
              <w:right w:val="single" w:color="auto" w:sz="4" w:space="0"/>
            </w:tcBorders>
            <w:noWrap w:val="0"/>
            <w:vAlign w:val="center"/>
          </w:tcPr>
          <w:p w14:paraId="71ADE91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D55EB4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206387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服务要求</w:t>
            </w:r>
          </w:p>
        </w:tc>
      </w:tr>
      <w:tr w14:paraId="2859C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68" w:type="dxa"/>
            <w:tcBorders>
              <w:top w:val="single" w:color="auto" w:sz="4" w:space="0"/>
              <w:left w:val="single" w:color="auto" w:sz="4" w:space="0"/>
              <w:bottom w:val="single" w:color="auto" w:sz="4" w:space="0"/>
              <w:right w:val="single" w:color="auto" w:sz="4" w:space="0"/>
            </w:tcBorders>
            <w:noWrap w:val="0"/>
            <w:vAlign w:val="center"/>
          </w:tcPr>
          <w:p w14:paraId="77CA218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864" w:type="dxa"/>
            <w:tcBorders>
              <w:top w:val="single" w:color="auto" w:sz="4" w:space="0"/>
              <w:left w:val="single" w:color="auto" w:sz="4" w:space="0"/>
              <w:bottom w:val="single" w:color="auto" w:sz="4" w:space="0"/>
              <w:right w:val="single" w:color="auto" w:sz="4" w:space="0"/>
            </w:tcBorders>
            <w:noWrap w:val="0"/>
            <w:vAlign w:val="center"/>
          </w:tcPr>
          <w:p w14:paraId="5031647B">
            <w:pPr>
              <w:pStyle w:val="25"/>
              <w:widowControl/>
              <w:spacing w:beforeAutospacing="1" w:afterAutospacing="1" w:line="360" w:lineRule="auto"/>
              <w:jc w:val="center"/>
              <w:rPr>
                <w:rFonts w:hint="eastAsia" w:ascii="宋体" w:hAnsi="宋体" w:eastAsia="宋体"/>
                <w:color w:val="auto"/>
                <w:szCs w:val="21"/>
                <w:highlight w:val="none"/>
                <w:lang w:eastAsia="zh-CN"/>
              </w:rPr>
            </w:pPr>
            <w:r>
              <w:rPr>
                <w:rFonts w:hint="eastAsia" w:ascii="宋体" w:hAnsi="宋体" w:cs="宋体"/>
                <w:b w:val="0"/>
                <w:bCs w:val="0"/>
                <w:color w:val="auto"/>
                <w:sz w:val="21"/>
                <w:szCs w:val="21"/>
                <w:highlight w:val="none"/>
                <w:u w:val="none"/>
                <w:lang w:eastAsia="zh-CN"/>
              </w:rPr>
              <w:t>人工智能便民医疗服务运营项目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99C210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FD0FC2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详见采购文件第三章“</w:t>
            </w:r>
            <w:r>
              <w:rPr>
                <w:rFonts w:ascii="宋体" w:hAnsi="宋体"/>
                <w:color w:val="auto"/>
                <w:szCs w:val="21"/>
                <w:highlight w:val="none"/>
              </w:rPr>
              <w:t>采购需求</w:t>
            </w:r>
            <w:r>
              <w:rPr>
                <w:rFonts w:hint="eastAsia" w:ascii="宋体" w:hAnsi="宋体"/>
                <w:color w:val="auto"/>
                <w:szCs w:val="21"/>
                <w:highlight w:val="none"/>
              </w:rPr>
              <w:t>”</w:t>
            </w:r>
          </w:p>
        </w:tc>
      </w:tr>
    </w:tbl>
    <w:p w14:paraId="605E8871">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交付</w:t>
      </w:r>
      <w:r>
        <w:rPr>
          <w:rFonts w:hint="eastAsia" w:ascii="宋体" w:hAnsi="宋体" w:eastAsia="宋体" w:cs="宋体"/>
          <w:color w:val="auto"/>
          <w:sz w:val="21"/>
          <w:szCs w:val="21"/>
          <w:highlight w:val="none"/>
          <w:lang w:val="en-US" w:eastAsia="zh-CN"/>
        </w:rPr>
        <w:t>期限：合同签订后12个月内完成本项目所有系统的上线及验收工作</w:t>
      </w: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w:t>
      </w:r>
    </w:p>
    <w:p w14:paraId="4EFCF6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.本项目不接受联合体磋商。</w:t>
      </w:r>
    </w:p>
    <w:p w14:paraId="2B38A91A">
      <w:pPr>
        <w:spacing w:line="360" w:lineRule="auto"/>
        <w:rPr>
          <w:rFonts w:ascii="宋体" w:hAnsi="宋体" w:cs="宋体"/>
          <w:b/>
          <w:bCs/>
          <w:color w:val="auto"/>
          <w:highlight w:val="none"/>
        </w:rPr>
      </w:pPr>
      <w:bookmarkStart w:id="9" w:name="_Toc44229879"/>
      <w:bookmarkStart w:id="10" w:name="_Toc28359090"/>
      <w:bookmarkStart w:id="11" w:name="_Toc35393630"/>
      <w:bookmarkStart w:id="12" w:name="_Toc28359013"/>
      <w:bookmarkStart w:id="13" w:name="_Toc35393799"/>
      <w:r>
        <w:rPr>
          <w:rFonts w:hint="eastAsia" w:ascii="宋体" w:hAnsi="宋体" w:cs="宋体"/>
          <w:b/>
          <w:bCs/>
          <w:color w:val="auto"/>
          <w:highlight w:val="none"/>
        </w:rPr>
        <w:t>二、供应商的资格条件：</w:t>
      </w:r>
      <w:bookmarkEnd w:id="9"/>
      <w:bookmarkEnd w:id="10"/>
      <w:bookmarkEnd w:id="11"/>
      <w:bookmarkEnd w:id="12"/>
      <w:bookmarkEnd w:id="13"/>
    </w:p>
    <w:p w14:paraId="54A15E67">
      <w:pPr>
        <w:spacing w:line="360" w:lineRule="auto"/>
        <w:ind w:firstLine="420" w:firstLineChars="200"/>
        <w:rPr>
          <w:rFonts w:ascii="宋体" w:hAnsi="宋体" w:cs="宋体"/>
          <w:color w:val="auto"/>
          <w:szCs w:val="21"/>
          <w:highlight w:val="none"/>
        </w:rPr>
      </w:pPr>
      <w:bookmarkStart w:id="14" w:name="PO_3000001867_PM005"/>
      <w:bookmarkStart w:id="15" w:name="_Toc28359014"/>
      <w:bookmarkStart w:id="16" w:name="_Toc28359091"/>
      <w:bookmarkStart w:id="17" w:name="_Toc35393631"/>
      <w:bookmarkStart w:id="18" w:name="_Toc44229880"/>
      <w:bookmarkStart w:id="19" w:name="_Toc35393800"/>
      <w:r>
        <w:rPr>
          <w:rFonts w:hint="eastAsia" w:ascii="宋体" w:hAnsi="宋体" w:cs="宋体"/>
          <w:color w:val="auto"/>
          <w:szCs w:val="21"/>
          <w:highlight w:val="none"/>
        </w:rPr>
        <w:t>1.符合《中华人民共和国政府采购法》第二十二条的规定。</w:t>
      </w:r>
    </w:p>
    <w:p w14:paraId="16653C8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bookmarkEnd w:id="14"/>
      <w:r>
        <w:rPr>
          <w:rFonts w:hint="eastAsia" w:ascii="宋体" w:hAnsi="宋体" w:cs="宋体"/>
          <w:color w:val="auto"/>
          <w:szCs w:val="21"/>
          <w:highlight w:val="none"/>
        </w:rPr>
        <w:t>.</w:t>
      </w:r>
      <w:r>
        <w:rPr>
          <w:rFonts w:hint="eastAsia" w:ascii="宋体" w:hAnsi="宋体" w:cs="宋体"/>
          <w:color w:val="auto"/>
          <w:szCs w:val="21"/>
          <w:highlight w:val="none"/>
          <w:lang w:bidi="ar"/>
        </w:rPr>
        <w:t>落实政府采购政策需满足的资格要求：</w:t>
      </w:r>
      <w:r>
        <w:rPr>
          <w:rFonts w:hint="eastAsia" w:ascii="宋体" w:hAnsi="宋体" w:cs="宋体"/>
          <w:color w:val="auto"/>
          <w:szCs w:val="21"/>
          <w:highlight w:val="none"/>
          <w:lang w:val="en-US" w:eastAsia="zh-CN"/>
        </w:rPr>
        <w:t>无</w:t>
      </w:r>
    </w:p>
    <w:p w14:paraId="6EF92B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rPr>
        <w:t>.</w:t>
      </w:r>
      <w:r>
        <w:rPr>
          <w:rFonts w:hint="eastAsia" w:ascii="宋体" w:hAnsi="宋体" w:cs="宋体"/>
          <w:color w:val="auto"/>
          <w:szCs w:val="21"/>
          <w:highlight w:val="none"/>
          <w:lang w:bidi="ar"/>
        </w:rPr>
        <w:t>本项目的特定资格要求：</w:t>
      </w:r>
      <w:r>
        <w:rPr>
          <w:rFonts w:hint="eastAsia" w:ascii="宋体" w:hAnsi="宋体" w:cs="宋体"/>
          <w:color w:val="auto"/>
          <w:szCs w:val="21"/>
          <w:highlight w:val="none"/>
          <w:u w:val="single"/>
          <w:lang w:bidi="ar"/>
        </w:rPr>
        <w:t>无</w:t>
      </w:r>
      <w:r>
        <w:rPr>
          <w:rFonts w:hint="eastAsia" w:ascii="宋体" w:hAnsi="宋体" w:cs="宋体"/>
          <w:color w:val="auto"/>
          <w:szCs w:val="21"/>
          <w:highlight w:val="none"/>
        </w:rPr>
        <w:t>。</w:t>
      </w:r>
    </w:p>
    <w:p w14:paraId="1C841774">
      <w:pPr>
        <w:spacing w:line="360" w:lineRule="auto"/>
        <w:rPr>
          <w:rFonts w:ascii="宋体" w:hAnsi="宋体" w:cs="宋体"/>
          <w:b/>
          <w:bCs/>
          <w:color w:val="auto"/>
          <w:highlight w:val="none"/>
        </w:rPr>
      </w:pPr>
      <w:r>
        <w:rPr>
          <w:rFonts w:hint="eastAsia" w:ascii="宋体" w:hAnsi="宋体" w:cs="宋体"/>
          <w:b/>
          <w:bCs/>
          <w:color w:val="auto"/>
          <w:highlight w:val="none"/>
        </w:rPr>
        <w:t>三、获取竞争性磋商文件</w:t>
      </w:r>
      <w:bookmarkEnd w:id="15"/>
      <w:bookmarkEnd w:id="16"/>
      <w:bookmarkEnd w:id="17"/>
      <w:bookmarkEnd w:id="18"/>
      <w:bookmarkEnd w:id="19"/>
    </w:p>
    <w:p w14:paraId="6CC17E52">
      <w:pPr>
        <w:spacing w:line="360" w:lineRule="auto"/>
        <w:ind w:firstLine="540"/>
        <w:rPr>
          <w:rFonts w:ascii="宋体" w:hAnsi="宋体" w:cs="宋体"/>
          <w:color w:val="auto"/>
          <w:kern w:val="0"/>
          <w:highlight w:val="none"/>
          <w:u w:val="none"/>
        </w:rPr>
      </w:pPr>
      <w:bookmarkStart w:id="20" w:name="_Toc28359092"/>
      <w:bookmarkStart w:id="21" w:name="_Toc35393632"/>
      <w:bookmarkStart w:id="22" w:name="_Toc44229881"/>
      <w:bookmarkStart w:id="23" w:name="_Toc28359015"/>
      <w:bookmarkStart w:id="24" w:name="_Toc35393801"/>
      <w:r>
        <w:rPr>
          <w:rFonts w:hint="eastAsia" w:ascii="宋体" w:hAnsi="宋体" w:cs="宋体"/>
          <w:color w:val="auto"/>
          <w:kern w:val="0"/>
          <w:highlight w:val="none"/>
          <w:u w:val="none"/>
        </w:rPr>
        <w:t>时间：</w:t>
      </w:r>
      <w:r>
        <w:rPr>
          <w:rFonts w:hint="eastAsia" w:ascii="宋体" w:hAnsi="宋体" w:cs="宋体"/>
          <w:color w:val="auto"/>
          <w:kern w:val="0"/>
          <w:szCs w:val="21"/>
          <w:highlight w:val="none"/>
          <w:u w:val="none"/>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12</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04</w:t>
      </w:r>
      <w:r>
        <w:rPr>
          <w:rFonts w:hint="eastAsia" w:ascii="宋体" w:hAnsi="宋体" w:cs="宋体"/>
          <w:color w:val="auto"/>
          <w:kern w:val="0"/>
          <w:szCs w:val="21"/>
          <w:highlight w:val="none"/>
          <w:u w:val="none"/>
        </w:rPr>
        <w:t>日至202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12</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11</w:t>
      </w:r>
      <w:r>
        <w:rPr>
          <w:rFonts w:hint="eastAsia" w:ascii="宋体" w:hAnsi="宋体" w:cs="宋体"/>
          <w:color w:val="auto"/>
          <w:kern w:val="0"/>
          <w:szCs w:val="21"/>
          <w:highlight w:val="none"/>
          <w:u w:val="none"/>
        </w:rPr>
        <w:t>日</w:t>
      </w:r>
      <w:r>
        <w:rPr>
          <w:rFonts w:hint="eastAsia" w:ascii="宋体" w:hAnsi="宋体" w:cs="宋体"/>
          <w:color w:val="auto"/>
          <w:kern w:val="0"/>
          <w:highlight w:val="none"/>
          <w:u w:val="none"/>
        </w:rPr>
        <w:t>，每天上午00:00至11:59，下午12:00至23:59（北京时间，法定节假日除外）。</w:t>
      </w:r>
    </w:p>
    <w:p w14:paraId="2533B3CC">
      <w:pPr>
        <w:spacing w:line="360" w:lineRule="auto"/>
        <w:ind w:firstLine="540"/>
        <w:rPr>
          <w:rFonts w:ascii="宋体" w:hAnsi="宋体" w:cs="宋体"/>
          <w:color w:val="auto"/>
          <w:kern w:val="0"/>
          <w:highlight w:val="none"/>
          <w:u w:val="none"/>
        </w:rPr>
      </w:pPr>
      <w:r>
        <w:rPr>
          <w:rFonts w:hint="eastAsia" w:ascii="宋体" w:hAnsi="宋体" w:cs="宋体"/>
          <w:color w:val="auto"/>
          <w:kern w:val="0"/>
          <w:highlight w:val="none"/>
          <w:u w:val="none"/>
        </w:rPr>
        <w:t>获取方式：网上下载。本项目不发放纸质采购文件，潜在供应商可自行在“广西政府采购云平台”（https://www.gcy.zfcg.gxzf.gov.cn</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下载采购文件（操作路径：登录广西政府采购云平台</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项目采购</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获取采购文件</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找到本项目</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点击“申请获取采购文件”，按系统操作获取磋商文件。电子响应文件制作需要基于广西政府采购云平台获取的采购文件编制，通过其他方式获取采购文件的，将有可能导致供应商无法在广西政府采购云平台编制及上传响应文件。</w:t>
      </w:r>
    </w:p>
    <w:p w14:paraId="5540ED6B">
      <w:pPr>
        <w:spacing w:line="360" w:lineRule="auto"/>
        <w:ind w:firstLine="540"/>
        <w:rPr>
          <w:rFonts w:ascii="宋体" w:hAnsi="宋体" w:cs="宋体"/>
          <w:color w:val="auto"/>
          <w:highlight w:val="none"/>
          <w:u w:val="none"/>
        </w:rPr>
      </w:pPr>
      <w:r>
        <w:rPr>
          <w:rFonts w:hint="eastAsia" w:ascii="宋体" w:hAnsi="宋体" w:cs="宋体"/>
          <w:color w:val="auto"/>
          <w:kern w:val="0"/>
          <w:highlight w:val="none"/>
          <w:u w:val="none"/>
        </w:rPr>
        <w:t>售价：0.00元</w:t>
      </w:r>
      <w:r>
        <w:rPr>
          <w:rFonts w:hint="eastAsia" w:ascii="宋体" w:hAnsi="宋体" w:cs="宋体"/>
          <w:color w:val="auto"/>
          <w:highlight w:val="none"/>
          <w:u w:val="none"/>
        </w:rPr>
        <w:t>。</w:t>
      </w:r>
    </w:p>
    <w:p w14:paraId="674B7617">
      <w:pPr>
        <w:spacing w:line="360" w:lineRule="auto"/>
        <w:rPr>
          <w:rFonts w:ascii="宋体" w:hAnsi="宋体" w:cs="宋体"/>
          <w:b/>
          <w:bCs/>
          <w:color w:val="auto"/>
          <w:highlight w:val="none"/>
          <w:u w:val="none"/>
        </w:rPr>
      </w:pPr>
      <w:r>
        <w:rPr>
          <w:rFonts w:hint="eastAsia" w:ascii="宋体" w:hAnsi="宋体" w:cs="宋体"/>
          <w:b/>
          <w:bCs/>
          <w:color w:val="auto"/>
          <w:highlight w:val="none"/>
          <w:u w:val="none"/>
        </w:rPr>
        <w:t>四、响应文件提交</w:t>
      </w:r>
      <w:bookmarkEnd w:id="20"/>
      <w:bookmarkEnd w:id="21"/>
      <w:bookmarkEnd w:id="22"/>
      <w:bookmarkEnd w:id="23"/>
      <w:bookmarkEnd w:id="24"/>
    </w:p>
    <w:p w14:paraId="1EEF7466">
      <w:pPr>
        <w:spacing w:line="360" w:lineRule="auto"/>
        <w:ind w:firstLine="420" w:firstLineChars="200"/>
        <w:rPr>
          <w:rFonts w:ascii="宋体" w:hAnsi="宋体" w:cs="宋体"/>
          <w:color w:val="auto"/>
          <w:szCs w:val="21"/>
          <w:highlight w:val="none"/>
          <w:u w:val="none"/>
        </w:rPr>
      </w:pPr>
      <w:r>
        <w:rPr>
          <w:rFonts w:hint="eastAsia" w:ascii="宋体" w:hAnsi="宋体" w:cs="宋体"/>
          <w:bCs/>
          <w:color w:val="auto"/>
          <w:szCs w:val="21"/>
          <w:highlight w:val="none"/>
          <w:u w:val="none"/>
        </w:rPr>
        <w:t>1</w:t>
      </w:r>
      <w:r>
        <w:rPr>
          <w:rFonts w:hint="eastAsia" w:ascii="宋体" w:hAnsi="宋体" w:cs="宋体"/>
          <w:color w:val="auto"/>
          <w:szCs w:val="21"/>
          <w:highlight w:val="none"/>
          <w:u w:val="none"/>
        </w:rPr>
        <w:t>.</w:t>
      </w:r>
      <w:r>
        <w:rPr>
          <w:rFonts w:hint="eastAsia" w:ascii="宋体" w:hAnsi="宋体" w:cs="宋体"/>
          <w:bCs/>
          <w:color w:val="auto"/>
          <w:szCs w:val="21"/>
          <w:highlight w:val="none"/>
          <w:u w:val="none"/>
        </w:rPr>
        <w:t>截止时间：</w:t>
      </w:r>
      <w:r>
        <w:rPr>
          <w:rFonts w:hint="eastAsia" w:ascii="宋体" w:hAnsi="宋体" w:cs="宋体"/>
          <w:color w:val="auto"/>
          <w:kern w:val="0"/>
          <w:szCs w:val="21"/>
          <w:highlight w:val="none"/>
          <w:u w:val="none"/>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12</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16</w:t>
      </w:r>
      <w:r>
        <w:rPr>
          <w:rFonts w:hint="eastAsia" w:ascii="宋体" w:hAnsi="宋体" w:cs="宋体"/>
          <w:color w:val="auto"/>
          <w:kern w:val="0"/>
          <w:szCs w:val="21"/>
          <w:highlight w:val="none"/>
          <w:u w:val="none"/>
        </w:rPr>
        <w:t>日</w:t>
      </w:r>
      <w:r>
        <w:rPr>
          <w:rFonts w:hint="eastAsia" w:ascii="宋体" w:hAnsi="宋体" w:cs="宋体"/>
          <w:color w:val="auto"/>
          <w:szCs w:val="21"/>
          <w:highlight w:val="none"/>
          <w:u w:val="none"/>
          <w:lang w:val="en-US" w:eastAsia="zh-CN"/>
        </w:rPr>
        <w:t>09</w:t>
      </w:r>
      <w:r>
        <w:rPr>
          <w:rFonts w:hint="eastAsia" w:ascii="宋体" w:hAnsi="宋体" w:cs="宋体"/>
          <w:color w:val="auto"/>
          <w:szCs w:val="21"/>
          <w:highlight w:val="none"/>
          <w:u w:val="none"/>
        </w:rPr>
        <w:t>时</w:t>
      </w:r>
      <w:r>
        <w:rPr>
          <w:rFonts w:hint="eastAsia" w:ascii="宋体" w:hAnsi="宋体" w:cs="宋体"/>
          <w:color w:val="auto"/>
          <w:szCs w:val="21"/>
          <w:highlight w:val="none"/>
          <w:u w:val="none"/>
          <w:lang w:val="en-US" w:eastAsia="zh-CN"/>
        </w:rPr>
        <w:t>30</w:t>
      </w:r>
      <w:r>
        <w:rPr>
          <w:rFonts w:hint="eastAsia" w:ascii="宋体" w:hAnsi="宋体" w:cs="宋体"/>
          <w:color w:val="auto"/>
          <w:szCs w:val="21"/>
          <w:highlight w:val="none"/>
          <w:u w:val="none"/>
        </w:rPr>
        <w:t>分</w:t>
      </w:r>
      <w:r>
        <w:rPr>
          <w:rFonts w:hint="eastAsia" w:ascii="宋体" w:hAnsi="宋体" w:cs="宋体"/>
          <w:bCs/>
          <w:color w:val="auto"/>
          <w:szCs w:val="21"/>
          <w:highlight w:val="none"/>
          <w:u w:val="none"/>
        </w:rPr>
        <w:t>（北京时间）</w:t>
      </w:r>
    </w:p>
    <w:p w14:paraId="475E4C22">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2.地点：“广西政府采购云平台”（https://www.gcy.zfcg.gxzf.gov.cn</w:t>
      </w:r>
      <w:r>
        <w:rPr>
          <w:rFonts w:hint="eastAsia" w:ascii="宋体" w:hAnsi="宋体" w:cs="宋体"/>
          <w:color w:val="auto"/>
          <w:szCs w:val="21"/>
          <w:highlight w:val="none"/>
          <w:u w:val="none"/>
          <w:lang w:eastAsia="zh-CN"/>
        </w:rPr>
        <w:t>）</w:t>
      </w:r>
    </w:p>
    <w:p w14:paraId="55063089">
      <w:pPr>
        <w:spacing w:line="360" w:lineRule="auto"/>
        <w:rPr>
          <w:rFonts w:ascii="宋体" w:hAnsi="宋体" w:cs="宋体"/>
          <w:b/>
          <w:bCs/>
          <w:color w:val="auto"/>
          <w:highlight w:val="none"/>
          <w:u w:val="none"/>
        </w:rPr>
      </w:pPr>
      <w:bookmarkStart w:id="25" w:name="_Toc44229882"/>
      <w:bookmarkStart w:id="26" w:name="_Toc28359093"/>
      <w:bookmarkStart w:id="27" w:name="_Toc35393802"/>
      <w:bookmarkStart w:id="28" w:name="_Toc35393633"/>
      <w:bookmarkStart w:id="29" w:name="_Toc28359016"/>
      <w:r>
        <w:rPr>
          <w:rFonts w:hint="eastAsia" w:ascii="宋体" w:hAnsi="宋体" w:cs="宋体"/>
          <w:b/>
          <w:bCs/>
          <w:color w:val="auto"/>
          <w:highlight w:val="none"/>
          <w:u w:val="none"/>
        </w:rPr>
        <w:t>五、开启</w:t>
      </w:r>
      <w:bookmarkEnd w:id="25"/>
      <w:bookmarkEnd w:id="26"/>
      <w:bookmarkEnd w:id="27"/>
      <w:bookmarkEnd w:id="28"/>
      <w:bookmarkEnd w:id="29"/>
    </w:p>
    <w:p w14:paraId="0D8E9EF4">
      <w:pPr>
        <w:spacing w:line="360" w:lineRule="auto"/>
        <w:ind w:firstLine="420" w:firstLineChars="200"/>
        <w:rPr>
          <w:rFonts w:hint="eastAsia" w:ascii="宋体" w:hAnsi="宋体" w:cs="宋体"/>
          <w:bCs/>
          <w:color w:val="auto"/>
          <w:szCs w:val="21"/>
          <w:highlight w:val="none"/>
          <w:u w:val="none"/>
        </w:rPr>
      </w:pPr>
      <w:r>
        <w:rPr>
          <w:rFonts w:hint="eastAsia" w:ascii="宋体" w:hAnsi="宋体" w:cs="宋体"/>
          <w:color w:val="auto"/>
          <w:szCs w:val="21"/>
          <w:highlight w:val="none"/>
          <w:u w:val="none"/>
        </w:rPr>
        <w:t>1.</w:t>
      </w:r>
      <w:bookmarkStart w:id="30" w:name="_Toc35393634"/>
      <w:bookmarkStart w:id="31" w:name="_Toc44229883"/>
      <w:bookmarkStart w:id="32" w:name="_Toc28359017"/>
      <w:bookmarkStart w:id="33" w:name="_Toc28359094"/>
      <w:bookmarkStart w:id="34" w:name="_Toc35393803"/>
      <w:r>
        <w:rPr>
          <w:rFonts w:hint="eastAsia" w:ascii="宋体" w:hAnsi="宋体" w:cs="宋体"/>
          <w:color w:val="auto"/>
          <w:szCs w:val="21"/>
          <w:highlight w:val="none"/>
          <w:u w:val="none"/>
        </w:rPr>
        <w:t>时间：</w:t>
      </w:r>
      <w:r>
        <w:rPr>
          <w:rFonts w:hint="eastAsia" w:ascii="宋体" w:hAnsi="宋体" w:cs="宋体"/>
          <w:color w:val="auto"/>
          <w:kern w:val="0"/>
          <w:szCs w:val="21"/>
          <w:highlight w:val="none"/>
          <w:u w:val="none"/>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12</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16</w:t>
      </w:r>
      <w:r>
        <w:rPr>
          <w:rFonts w:hint="eastAsia" w:ascii="宋体" w:hAnsi="宋体" w:cs="宋体"/>
          <w:color w:val="auto"/>
          <w:kern w:val="0"/>
          <w:szCs w:val="21"/>
          <w:highlight w:val="none"/>
          <w:u w:val="none"/>
        </w:rPr>
        <w:t>日</w:t>
      </w:r>
      <w:r>
        <w:rPr>
          <w:rFonts w:hint="eastAsia" w:ascii="宋体" w:hAnsi="宋体" w:cs="宋体"/>
          <w:color w:val="auto"/>
          <w:szCs w:val="21"/>
          <w:highlight w:val="none"/>
          <w:u w:val="none"/>
          <w:lang w:val="en-US" w:eastAsia="zh-CN"/>
        </w:rPr>
        <w:t>09</w:t>
      </w:r>
      <w:r>
        <w:rPr>
          <w:rFonts w:hint="eastAsia" w:ascii="宋体" w:hAnsi="宋体" w:cs="宋体"/>
          <w:color w:val="auto"/>
          <w:szCs w:val="21"/>
          <w:highlight w:val="none"/>
          <w:u w:val="none"/>
        </w:rPr>
        <w:t>时</w:t>
      </w:r>
      <w:r>
        <w:rPr>
          <w:rFonts w:hint="eastAsia" w:ascii="宋体" w:hAnsi="宋体" w:cs="宋体"/>
          <w:color w:val="auto"/>
          <w:szCs w:val="21"/>
          <w:highlight w:val="none"/>
          <w:u w:val="none"/>
          <w:lang w:val="en-US" w:eastAsia="zh-CN"/>
        </w:rPr>
        <w:t>30</w:t>
      </w:r>
      <w:r>
        <w:rPr>
          <w:rFonts w:hint="eastAsia" w:ascii="宋体" w:hAnsi="宋体" w:cs="宋体"/>
          <w:color w:val="auto"/>
          <w:szCs w:val="21"/>
          <w:highlight w:val="none"/>
          <w:u w:val="none"/>
        </w:rPr>
        <w:t>分</w:t>
      </w:r>
      <w:r>
        <w:rPr>
          <w:rFonts w:hint="eastAsia" w:ascii="宋体" w:hAnsi="宋体" w:cs="宋体"/>
          <w:bCs/>
          <w:color w:val="auto"/>
          <w:szCs w:val="21"/>
          <w:highlight w:val="none"/>
          <w:u w:val="none"/>
        </w:rPr>
        <w:t>（北京时间）</w:t>
      </w:r>
    </w:p>
    <w:p w14:paraId="4DCE3FEE">
      <w:pPr>
        <w:spacing w:line="360" w:lineRule="auto"/>
        <w:ind w:firstLine="420" w:firstLineChars="200"/>
        <w:rPr>
          <w:rFonts w:ascii="宋体" w:hAnsi="宋体" w:cs="宋体"/>
          <w:bCs/>
          <w:color w:val="auto"/>
          <w:szCs w:val="21"/>
          <w:highlight w:val="none"/>
          <w:u w:val="none"/>
        </w:rPr>
      </w:pPr>
      <w:r>
        <w:rPr>
          <w:rFonts w:hint="eastAsia" w:ascii="宋体" w:hAnsi="宋体" w:cs="宋体"/>
          <w:color w:val="auto"/>
          <w:szCs w:val="21"/>
          <w:highlight w:val="none"/>
          <w:u w:val="none"/>
        </w:rPr>
        <w:t>2.地点：“广西政府采购云平台”开标大厅</w:t>
      </w:r>
    </w:p>
    <w:p w14:paraId="05FEB280">
      <w:pPr>
        <w:spacing w:line="360" w:lineRule="auto"/>
        <w:rPr>
          <w:rFonts w:ascii="宋体" w:hAnsi="宋体" w:cs="宋体"/>
          <w:b/>
          <w:bCs/>
          <w:color w:val="auto"/>
          <w:highlight w:val="none"/>
          <w:u w:val="none"/>
        </w:rPr>
      </w:pPr>
      <w:r>
        <w:rPr>
          <w:rFonts w:hint="eastAsia" w:ascii="宋体" w:hAnsi="宋体" w:cs="宋体"/>
          <w:b/>
          <w:bCs/>
          <w:color w:val="auto"/>
          <w:highlight w:val="none"/>
          <w:u w:val="none"/>
        </w:rPr>
        <w:t>六、公告期限</w:t>
      </w:r>
      <w:bookmarkEnd w:id="30"/>
      <w:bookmarkEnd w:id="31"/>
      <w:bookmarkEnd w:id="32"/>
      <w:bookmarkEnd w:id="33"/>
      <w:bookmarkEnd w:id="34"/>
    </w:p>
    <w:p w14:paraId="235972BB">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自本公告发布之日起5个工作日</w:t>
      </w:r>
    </w:p>
    <w:p w14:paraId="654B4108">
      <w:pPr>
        <w:spacing w:line="360" w:lineRule="auto"/>
        <w:rPr>
          <w:rFonts w:ascii="宋体" w:hAnsi="宋体" w:cs="宋体"/>
          <w:b/>
          <w:bCs/>
          <w:color w:val="auto"/>
          <w:highlight w:val="none"/>
          <w:u w:val="none"/>
        </w:rPr>
      </w:pPr>
      <w:bookmarkStart w:id="35" w:name="_Toc35393635"/>
      <w:bookmarkStart w:id="36" w:name="_Toc35393804"/>
      <w:bookmarkStart w:id="37" w:name="_Toc44229884"/>
      <w:r>
        <w:rPr>
          <w:rFonts w:hint="eastAsia" w:ascii="宋体" w:hAnsi="宋体" w:cs="宋体"/>
          <w:b/>
          <w:bCs/>
          <w:color w:val="auto"/>
          <w:highlight w:val="none"/>
          <w:u w:val="none"/>
        </w:rPr>
        <w:t>七、其他补充事宜</w:t>
      </w:r>
      <w:bookmarkEnd w:id="35"/>
      <w:bookmarkEnd w:id="36"/>
      <w:bookmarkEnd w:id="37"/>
    </w:p>
    <w:p w14:paraId="6B194A30">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1.磋商保证金：</w:t>
      </w:r>
    </w:p>
    <w:p w14:paraId="10E03B89">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磋商保证金人民币</w:t>
      </w:r>
      <w:r>
        <w:rPr>
          <w:rFonts w:hint="eastAsia" w:ascii="宋体" w:hAnsi="宋体" w:cs="宋体"/>
          <w:color w:val="auto"/>
          <w:kern w:val="0"/>
          <w:szCs w:val="21"/>
          <w:highlight w:val="none"/>
          <w:u w:val="none"/>
          <w:lang w:val="en-US" w:eastAsia="zh-CN"/>
        </w:rPr>
        <w:t>21</w:t>
      </w:r>
      <w:r>
        <w:rPr>
          <w:rFonts w:hint="eastAsia" w:ascii="宋体" w:hAnsi="宋体" w:cs="宋体"/>
          <w:color w:val="auto"/>
          <w:kern w:val="0"/>
          <w:szCs w:val="21"/>
          <w:highlight w:val="none"/>
          <w:u w:val="none"/>
        </w:rPr>
        <w:t>000.00元。</w:t>
      </w:r>
    </w:p>
    <w:p w14:paraId="3D3476C0">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磋商保证金的交纳方式：银行转账、支票、汇票、本票或者金融、担保机构出具的保函，禁止采用现钞方式。采用银行转账方式的，在响应截止时间前交至采购代理机构指定账户并且到账（开户银行：建行南宁市金湖广场支行，开户名称：广西中信恒泰工程顾问有限公司，银行账号：45001604266052502851，开户行行号：105611042538）；采用支票、汇票、本票或者保函等方式的，在响应截止时间前，供应商必须递交单独密封的支票、汇票、本票或者保函原件。否则视为无效磋商保证金。</w:t>
      </w:r>
    </w:p>
    <w:p w14:paraId="123BA31A">
      <w:pPr>
        <w:numPr>
          <w:ilvl w:val="0"/>
          <w:numId w:val="1"/>
        </w:numPr>
        <w:spacing w:line="360" w:lineRule="auto"/>
        <w:ind w:firstLine="420" w:firstLineChars="200"/>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采购意向公开链接：</w:t>
      </w:r>
    </w:p>
    <w:p w14:paraId="560AC23F">
      <w:pPr>
        <w:numPr>
          <w:ilvl w:val="0"/>
          <w:numId w:val="0"/>
        </w:numPr>
        <w:spacing w:line="360" w:lineRule="auto"/>
        <w:ind w:firstLine="630" w:firstLineChars="300"/>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fldChar w:fldCharType="begin"/>
      </w:r>
      <w:r>
        <w:rPr>
          <w:rFonts w:hint="eastAsia" w:ascii="宋体" w:hAnsi="宋体" w:cs="宋体"/>
          <w:color w:val="auto"/>
          <w:kern w:val="0"/>
          <w:szCs w:val="21"/>
          <w:highlight w:val="none"/>
          <w:u w:val="none"/>
        </w:rPr>
        <w:instrText xml:space="preserve">HYPERLINK"https://zfcg.gxzf.gov.cn/site/detail?categoryCode=ZcyAnnouncement&amp;parentId=66485&amp;articleId=mJFyQH2Y6Il/XhlMzZLAXA=="</w:instrText>
      </w:r>
      <w:r>
        <w:rPr>
          <w:rFonts w:hint="eastAsia" w:ascii="宋体" w:hAnsi="宋体" w:cs="宋体"/>
          <w:color w:val="auto"/>
          <w:kern w:val="0"/>
          <w:szCs w:val="21"/>
          <w:highlight w:val="none"/>
          <w:u w:val="none"/>
        </w:rPr>
        <w:fldChar w:fldCharType="separate"/>
      </w:r>
      <w:r>
        <w:rPr>
          <w:rStyle w:val="34"/>
          <w:rFonts w:hint="eastAsia" w:ascii="宋体" w:hAnsi="宋体" w:cs="宋体"/>
          <w:color w:val="auto"/>
          <w:kern w:val="0"/>
          <w:szCs w:val="21"/>
          <w:highlight w:val="none"/>
          <w:u w:val="none"/>
        </w:rPr>
        <w:t>https://zfcg.gxzf.gov.cn/site/detail?categoryCode=ZcyAnnouncement&amp;parentId=66485&amp;articleId=mJFyQH2Y6Il/XhlMzZLAXA==</w:t>
      </w:r>
      <w:r>
        <w:rPr>
          <w:rFonts w:hint="eastAsia" w:ascii="宋体" w:hAnsi="宋体" w:cs="宋体"/>
          <w:color w:val="auto"/>
          <w:kern w:val="0"/>
          <w:szCs w:val="21"/>
          <w:highlight w:val="none"/>
          <w:u w:val="none"/>
        </w:rPr>
        <w:fldChar w:fldCharType="end"/>
      </w:r>
    </w:p>
    <w:p w14:paraId="014857EA">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3.网上查询地址</w:t>
      </w:r>
      <w:r>
        <w:rPr>
          <w:rFonts w:hint="eastAsia" w:ascii="宋体" w:hAnsi="宋体" w:cs="宋体"/>
          <w:color w:val="auto"/>
          <w:kern w:val="0"/>
          <w:szCs w:val="21"/>
          <w:highlight w:val="none"/>
          <w:u w:val="none"/>
          <w:lang w:eastAsia="zh-CN"/>
        </w:rPr>
        <w:t>：</w:t>
      </w:r>
      <w:bookmarkStart w:id="38" w:name="_Hlk37429674"/>
      <w:r>
        <w:rPr>
          <w:rFonts w:hint="eastAsia" w:ascii="宋体" w:hAnsi="宋体" w:cs="宋体"/>
          <w:color w:val="auto"/>
          <w:kern w:val="0"/>
          <w:szCs w:val="21"/>
          <w:highlight w:val="none"/>
          <w:u w:val="none"/>
        </w:rPr>
        <w:t>http://www.ccgp.gov.cn(中国政府采购网</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http://zfcg.gxzf.gov.cn(广西政府采购网</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http://www.gxzxht.com（广西中信恒泰工程顾问有限公司网）。</w:t>
      </w:r>
    </w:p>
    <w:p w14:paraId="47E21060">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4</w:t>
      </w:r>
      <w:r>
        <w:rPr>
          <w:rFonts w:hint="eastAsia" w:ascii="宋体" w:hAnsi="宋体" w:cs="宋体"/>
          <w:color w:val="auto"/>
          <w:szCs w:val="21"/>
          <w:highlight w:val="none"/>
          <w:u w:val="none"/>
        </w:rPr>
        <w:t>.</w:t>
      </w:r>
      <w:r>
        <w:rPr>
          <w:rFonts w:hint="eastAsia" w:ascii="宋体" w:hAnsi="宋体" w:cs="宋体"/>
          <w:color w:val="auto"/>
          <w:kern w:val="0"/>
          <w:szCs w:val="21"/>
          <w:highlight w:val="none"/>
          <w:u w:val="none"/>
        </w:rPr>
        <w:t>本项目需要落实的政府采购政策</w:t>
      </w:r>
    </w:p>
    <w:p w14:paraId="5A3C2F71">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（1）政府采购促进中小企业发展。</w:t>
      </w:r>
    </w:p>
    <w:p w14:paraId="4AD179D2">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（2）政府采购支持采用本国产品的政策。</w:t>
      </w:r>
    </w:p>
    <w:p w14:paraId="45534EF1">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（3）强制采购节能产品；优先采购节能产品、环境标志产品。</w:t>
      </w:r>
    </w:p>
    <w:p w14:paraId="25A36824">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（4）政府采购促进残疾人就业政策。</w:t>
      </w:r>
    </w:p>
    <w:p w14:paraId="755DFD2F">
      <w:pPr>
        <w:spacing w:line="360" w:lineRule="auto"/>
        <w:ind w:firstLine="420" w:firstLineChars="200"/>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（5）政府采购支持监狱企业发展。</w:t>
      </w:r>
      <w:bookmarkEnd w:id="38"/>
    </w:p>
    <w:p w14:paraId="08C8ED76">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0E4596">
      <w:pPr>
        <w:spacing w:line="360" w:lineRule="auto"/>
        <w:ind w:firstLine="420" w:firstLineChars="200"/>
        <w:rPr>
          <w:rFonts w:hint="eastAsia" w:ascii="宋体" w:hAnsi="宋体" w:cs="宋体"/>
          <w:color w:val="auto"/>
          <w:kern w:val="0"/>
          <w:szCs w:val="21"/>
          <w:highlight w:val="none"/>
          <w:u w:val="none"/>
        </w:rPr>
      </w:pP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.对在“信用中国”网站(www.creditchina.gov.cn</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、中国政府采购网(www.ccgp.gov.cn</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被列入失信被执行人、重大税收违法失信主体、政府采购严重违法失信行为记录名单及其他不符合《中华人民共和国政府采购法》第二十二条规定条件的供应商，不得参与政府采购活动。</w:t>
      </w:r>
    </w:p>
    <w:p w14:paraId="5D8C4503">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lang w:val="en-US" w:eastAsia="zh-CN"/>
        </w:rPr>
        <w:t>7</w:t>
      </w:r>
      <w:r>
        <w:rPr>
          <w:rFonts w:hint="eastAsia" w:ascii="宋体" w:hAnsi="宋体" w:cs="宋体"/>
          <w:color w:val="auto"/>
          <w:szCs w:val="21"/>
          <w:highlight w:val="none"/>
          <w:u w:val="none"/>
        </w:rPr>
        <w:t>.</w:t>
      </w:r>
      <w:r>
        <w:rPr>
          <w:rFonts w:hint="eastAsia" w:ascii="宋体" w:hAnsi="宋体" w:cs="宋体"/>
          <w:color w:val="auto"/>
          <w:kern w:val="0"/>
          <w:szCs w:val="21"/>
          <w:highlight w:val="none"/>
          <w:u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2A7B6E6F">
      <w:pPr>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lang w:val="en-US" w:eastAsia="zh-CN"/>
        </w:rPr>
        <w:t>8</w:t>
      </w:r>
      <w:r>
        <w:rPr>
          <w:rFonts w:hint="eastAsia" w:ascii="宋体" w:hAnsi="宋体" w:cs="宋体"/>
          <w:color w:val="auto"/>
          <w:szCs w:val="21"/>
          <w:highlight w:val="none"/>
          <w:u w:val="none"/>
        </w:rPr>
        <w:t>.</w:t>
      </w:r>
      <w:r>
        <w:rPr>
          <w:rFonts w:hint="eastAsia" w:ascii="宋体" w:hAnsi="宋体" w:cs="宋体"/>
          <w:color w:val="auto"/>
          <w:kern w:val="0"/>
          <w:szCs w:val="21"/>
          <w:highlight w:val="none"/>
          <w:u w:val="none"/>
        </w:rPr>
        <w:t>磋商注意事项：（1）响应文件提交方式：本项目为全流程电子化项目，通过广西政府采购云平台（https://www.gcy.zfcg.gxzf.gov.cn</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实行在线电子响应，供应商应先安装广西政府采购云平台新版客户端（新版客户端下载路径：广西政府采购网（访问地址http://zfcg.gxzf.gov.cn</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kern w:val="0"/>
          <w:szCs w:val="21"/>
          <w:highlight w:val="none"/>
          <w:u w:val="none"/>
        </w:rPr>
        <w:t>（2）供应商应及时熟悉掌握电子标系统操作指南；及时完成CA申领和绑定（见广西壮族自治区政府采购网—办事服务—下载专区</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广西政府采购云平台CA证书办理操作指南）。</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kern w:val="0"/>
          <w:szCs w:val="21"/>
          <w:highlight w:val="none"/>
          <w:u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kern w:val="0"/>
          <w:szCs w:val="21"/>
          <w:highlight w:val="none"/>
          <w:u w:val="none"/>
        </w:rPr>
        <w:t>（4）为确保网上操作合法、有效和安全，请供应商确保在电子竞标过程中能够对相关数据电文进行加密和使用电子签章，妥善保管CA数字证书并使用有效的CA数字证书参与整个采购活动。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lang w:val="en-US" w:eastAsia="zh-CN"/>
        </w:rPr>
        <w:t xml:space="preserve">   9</w:t>
      </w:r>
      <w:r>
        <w:rPr>
          <w:rFonts w:hint="eastAsia" w:ascii="宋体" w:hAnsi="宋体" w:cs="宋体"/>
          <w:color w:val="auto"/>
          <w:kern w:val="0"/>
          <w:szCs w:val="21"/>
          <w:highlight w:val="none"/>
          <w:u w:val="none"/>
        </w:rPr>
        <w:t>.CA证书在线解密：首次响应文件开启时，需要供应商携带制作响应文件时用来加密的有效数字证书（CA认证）登录“广西政府采购云平台”电子开标大厅现场按规定时间对加密的响应文件进行解密，否则后果自负。</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lang w:val="en-US" w:eastAsia="zh-CN"/>
        </w:rPr>
        <w:t xml:space="preserve">   10</w:t>
      </w:r>
      <w:r>
        <w:rPr>
          <w:rFonts w:hint="eastAsia" w:ascii="宋体" w:hAnsi="宋体" w:cs="宋体"/>
          <w:color w:val="auto"/>
          <w:kern w:val="0"/>
          <w:szCs w:val="21"/>
          <w:highlight w:val="none"/>
          <w:u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kern w:val="0"/>
          <w:szCs w:val="21"/>
          <w:highlight w:val="none"/>
          <w:u w:val="none"/>
        </w:rPr>
        <w:br w:type="textWrapping"/>
      </w:r>
      <w:r>
        <w:rPr>
          <w:rFonts w:hint="eastAsia" w:ascii="宋体" w:hAnsi="宋体" w:cs="宋体"/>
          <w:color w:val="auto"/>
          <w:kern w:val="0"/>
          <w:szCs w:val="21"/>
          <w:highlight w:val="none"/>
          <w:u w:val="none"/>
          <w:lang w:val="en-US" w:eastAsia="zh-CN"/>
        </w:rPr>
        <w:t xml:space="preserve">   11</w:t>
      </w:r>
      <w:r>
        <w:rPr>
          <w:rFonts w:hint="eastAsia" w:ascii="宋体" w:hAnsi="宋体" w:cs="宋体"/>
          <w:color w:val="auto"/>
          <w:kern w:val="0"/>
          <w:szCs w:val="21"/>
          <w:highlight w:val="none"/>
          <w:u w:val="none"/>
        </w:rPr>
        <w:t>.若对项目采购电子交易系统操作有疑问，可登录“广西政府采购云平台”（https://www.gcy.zfcg.gxzf.gov.cn</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，点击右侧咨询小采，获取采小蜜智能服务管家帮助，或拨打广西政府采购云平台服务热线95763获取热线服务帮助。</w:t>
      </w:r>
    </w:p>
    <w:p w14:paraId="2E3EEE59">
      <w:pPr>
        <w:spacing w:line="360" w:lineRule="auto"/>
        <w:rPr>
          <w:rFonts w:ascii="宋体" w:hAnsi="宋体" w:cs="宋体"/>
          <w:b/>
          <w:bCs/>
          <w:color w:val="auto"/>
          <w:highlight w:val="none"/>
          <w:u w:val="none"/>
        </w:rPr>
      </w:pPr>
      <w:bookmarkStart w:id="39" w:name="_Toc44229885"/>
      <w:bookmarkStart w:id="40" w:name="_Toc35393636"/>
      <w:bookmarkStart w:id="41" w:name="_Toc28359018"/>
      <w:bookmarkStart w:id="42" w:name="_Toc35393805"/>
      <w:bookmarkStart w:id="43" w:name="_Toc28359095"/>
      <w:r>
        <w:rPr>
          <w:rFonts w:hint="eastAsia" w:ascii="宋体" w:hAnsi="宋体" w:cs="宋体"/>
          <w:b/>
          <w:bCs/>
          <w:color w:val="auto"/>
          <w:highlight w:val="none"/>
          <w:u w:val="none"/>
        </w:rPr>
        <w:t>八、凡对本次采购提出询问，请按以下方式联系。</w:t>
      </w:r>
      <w:bookmarkEnd w:id="39"/>
      <w:bookmarkEnd w:id="40"/>
      <w:bookmarkEnd w:id="41"/>
      <w:bookmarkEnd w:id="42"/>
      <w:bookmarkEnd w:id="43"/>
    </w:p>
    <w:p w14:paraId="148043EA">
      <w:pPr>
        <w:spacing w:line="360" w:lineRule="auto"/>
        <w:jc w:val="left"/>
        <w:rPr>
          <w:rFonts w:ascii="宋体" w:hAnsi="宋体" w:cs="宋体"/>
          <w:color w:val="auto"/>
          <w:szCs w:val="21"/>
          <w:highlight w:val="none"/>
          <w:u w:val="none"/>
        </w:rPr>
      </w:pPr>
      <w:r>
        <w:rPr>
          <w:rFonts w:hint="eastAsia" w:ascii="宋体" w:hAnsi="宋体" w:cs="宋体"/>
          <w:color w:val="auto"/>
          <w:highlight w:val="none"/>
          <w:u w:val="none"/>
        </w:rPr>
        <w:t>1.</w:t>
      </w:r>
      <w:r>
        <w:rPr>
          <w:rFonts w:hint="eastAsia" w:ascii="宋体" w:hAnsi="宋体" w:cs="宋体"/>
          <w:color w:val="auto"/>
          <w:szCs w:val="21"/>
          <w:highlight w:val="none"/>
          <w:u w:val="none"/>
        </w:rPr>
        <w:t>采购人信息</w:t>
      </w:r>
    </w:p>
    <w:p w14:paraId="36215124">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名称：</w:t>
      </w:r>
      <w:r>
        <w:rPr>
          <w:rFonts w:hint="eastAsia" w:ascii="宋体" w:hAnsi="宋体" w:eastAsia="宋体" w:cs="宋体"/>
          <w:color w:val="auto"/>
          <w:szCs w:val="21"/>
          <w:highlight w:val="none"/>
          <w:u w:val="none"/>
        </w:rPr>
        <w:t>广西医科大学第二附属医院</w:t>
      </w:r>
    </w:p>
    <w:p w14:paraId="7F9E9F65">
      <w:pPr>
        <w:spacing w:line="360" w:lineRule="auto"/>
        <w:ind w:firstLine="420" w:firstLineChars="200"/>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地址：</w:t>
      </w:r>
      <w:r>
        <w:rPr>
          <w:rFonts w:hint="eastAsia" w:ascii="宋体" w:hAnsi="宋体" w:eastAsia="宋体" w:cs="宋体"/>
          <w:color w:val="auto"/>
          <w:sz w:val="21"/>
          <w:szCs w:val="21"/>
          <w:highlight w:val="none"/>
          <w:u w:val="none"/>
          <w:lang w:val="en-US" w:eastAsia="zh-CN"/>
        </w:rPr>
        <w:t>广西南宁市大学东路166号</w:t>
      </w:r>
    </w:p>
    <w:p w14:paraId="5E44C03F">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val="en-US" w:eastAsia="zh-CN"/>
        </w:rPr>
        <w:t>项目</w:t>
      </w:r>
      <w:r>
        <w:rPr>
          <w:rFonts w:hint="eastAsia" w:ascii="宋体" w:hAnsi="宋体" w:eastAsia="宋体" w:cs="宋体"/>
          <w:color w:val="auto"/>
          <w:szCs w:val="21"/>
          <w:highlight w:val="none"/>
          <w:u w:val="none"/>
        </w:rPr>
        <w:t>联系人</w:t>
      </w:r>
      <w:r>
        <w:rPr>
          <w:rFonts w:hint="eastAsia" w:ascii="宋体" w:hAnsi="宋体" w:cs="宋体"/>
          <w:color w:val="auto"/>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蒲老师</w:t>
      </w:r>
    </w:p>
    <w:p w14:paraId="4690F52A">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项目</w:t>
      </w:r>
      <w:r>
        <w:rPr>
          <w:rFonts w:hint="eastAsia" w:ascii="宋体" w:hAnsi="宋体" w:eastAsia="宋体" w:cs="宋体"/>
          <w:color w:val="auto"/>
          <w:szCs w:val="21"/>
          <w:highlight w:val="none"/>
          <w:u w:val="none"/>
        </w:rPr>
        <w:t>联系</w:t>
      </w:r>
      <w:r>
        <w:rPr>
          <w:rFonts w:hint="eastAsia" w:ascii="宋体" w:hAnsi="宋体" w:cs="宋体"/>
          <w:color w:val="auto"/>
          <w:szCs w:val="21"/>
          <w:highlight w:val="none"/>
          <w:u w:val="none"/>
          <w:lang w:val="en-US" w:eastAsia="zh-CN"/>
        </w:rPr>
        <w:t>方式</w:t>
      </w:r>
      <w:r>
        <w:rPr>
          <w:rFonts w:hint="eastAsia" w:ascii="宋体" w:hAnsi="宋体" w:eastAsia="宋体" w:cs="宋体"/>
          <w:color w:val="auto"/>
          <w:szCs w:val="21"/>
          <w:highlight w:val="none"/>
          <w:u w:val="none"/>
        </w:rPr>
        <w:t>：</w:t>
      </w:r>
      <w:r>
        <w:rPr>
          <w:rFonts w:hint="eastAsia" w:ascii="宋体" w:hAnsi="宋体" w:eastAsia="宋体" w:cs="宋体"/>
          <w:i w:val="0"/>
          <w:iCs w:val="0"/>
          <w:caps w:val="0"/>
          <w:color w:val="auto"/>
          <w:spacing w:val="0"/>
          <w:sz w:val="21"/>
          <w:szCs w:val="21"/>
          <w:highlight w:val="none"/>
          <w:u w:val="none"/>
        </w:rPr>
        <w:t>0771-3373768</w:t>
      </w:r>
      <w:bookmarkStart w:id="44" w:name="_Toc28359086"/>
      <w:bookmarkStart w:id="45" w:name="_Toc28359009"/>
    </w:p>
    <w:p w14:paraId="7D099FE5">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2.采购代理机构信息</w:t>
      </w:r>
      <w:bookmarkEnd w:id="44"/>
      <w:bookmarkEnd w:id="45"/>
    </w:p>
    <w:p w14:paraId="64C7391A">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名称：广西中信恒泰工程顾问有限公司</w:t>
      </w:r>
    </w:p>
    <w:p w14:paraId="3605034F">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地址：广西南宁市青秀区云景路69号南宁轨道大厦B楼</w:t>
      </w:r>
      <w:r>
        <w:rPr>
          <w:rFonts w:hint="eastAsia" w:ascii="宋体" w:hAnsi="宋体" w:cs="宋体"/>
          <w:color w:val="auto"/>
          <w:szCs w:val="21"/>
          <w:highlight w:val="none"/>
          <w:u w:val="none"/>
          <w:lang w:val="en-US" w:eastAsia="zh-CN"/>
        </w:rPr>
        <w:t>8</w:t>
      </w:r>
      <w:r>
        <w:rPr>
          <w:rFonts w:hint="eastAsia" w:ascii="宋体" w:hAnsi="宋体" w:cs="宋体"/>
          <w:color w:val="auto"/>
          <w:szCs w:val="21"/>
          <w:highlight w:val="none"/>
          <w:u w:val="none"/>
        </w:rPr>
        <w:t>层</w:t>
      </w:r>
    </w:p>
    <w:p w14:paraId="4DB04AFD">
      <w:pPr>
        <w:spacing w:line="360" w:lineRule="auto"/>
        <w:ind w:firstLine="420" w:firstLineChars="200"/>
        <w:rPr>
          <w:rFonts w:hint="eastAsia" w:ascii="宋体" w:hAnsi="宋体" w:cs="宋体"/>
          <w:color w:val="auto"/>
          <w:sz w:val="21"/>
          <w:szCs w:val="21"/>
          <w:highlight w:val="none"/>
          <w:u w:val="none"/>
          <w:lang w:val="en-US" w:eastAsia="zh-CN"/>
        </w:rPr>
      </w:pPr>
      <w:r>
        <w:rPr>
          <w:rFonts w:hint="eastAsia" w:ascii="宋体" w:hAnsi="宋体" w:cs="宋体"/>
          <w:color w:val="auto"/>
          <w:szCs w:val="21"/>
          <w:highlight w:val="none"/>
          <w:u w:val="none"/>
          <w:lang w:val="en-US" w:eastAsia="zh-CN"/>
        </w:rPr>
        <w:t>项目</w:t>
      </w:r>
      <w:r>
        <w:rPr>
          <w:rFonts w:hint="eastAsia" w:ascii="宋体" w:hAnsi="宋体" w:eastAsia="宋体" w:cs="宋体"/>
          <w:color w:val="auto"/>
          <w:szCs w:val="21"/>
          <w:highlight w:val="none"/>
          <w:u w:val="none"/>
        </w:rPr>
        <w:t>联系人</w:t>
      </w:r>
      <w:r>
        <w:rPr>
          <w:rFonts w:hint="eastAsia" w:ascii="宋体" w:hAnsi="宋体" w:cs="宋体"/>
          <w:color w:val="auto"/>
          <w:szCs w:val="21"/>
          <w:highlight w:val="none"/>
          <w:u w:val="none"/>
          <w:lang w:eastAsia="zh-CN"/>
        </w:rPr>
        <w:t>：</w:t>
      </w:r>
      <w:r>
        <w:rPr>
          <w:rFonts w:hint="eastAsia" w:ascii="宋体" w:hAnsi="宋体" w:cs="宋体"/>
          <w:color w:val="auto"/>
          <w:sz w:val="21"/>
          <w:szCs w:val="21"/>
          <w:highlight w:val="none"/>
          <w:u w:val="none"/>
          <w:lang w:val="en-US" w:eastAsia="zh-CN"/>
        </w:rPr>
        <w:t>叶振华、陈力力、杨月娇</w:t>
      </w:r>
    </w:p>
    <w:p w14:paraId="6E07ACAA">
      <w:pPr>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u w:val="none"/>
          <w:lang w:val="en-US" w:eastAsia="zh-CN"/>
        </w:rPr>
        <w:t>项目</w:t>
      </w:r>
      <w:r>
        <w:rPr>
          <w:rFonts w:hint="eastAsia" w:ascii="宋体" w:hAnsi="宋体" w:eastAsia="宋体" w:cs="宋体"/>
          <w:color w:val="auto"/>
          <w:szCs w:val="21"/>
          <w:highlight w:val="none"/>
          <w:u w:val="none"/>
        </w:rPr>
        <w:t>联系</w:t>
      </w:r>
      <w:r>
        <w:rPr>
          <w:rFonts w:hint="eastAsia" w:ascii="宋体" w:hAnsi="宋体" w:cs="宋体"/>
          <w:color w:val="auto"/>
          <w:szCs w:val="21"/>
          <w:highlight w:val="none"/>
          <w:u w:val="none"/>
          <w:lang w:val="en-US" w:eastAsia="zh-CN"/>
        </w:rPr>
        <w:t>方式</w:t>
      </w:r>
      <w:r>
        <w:rPr>
          <w:rFonts w:hint="eastAsia" w:ascii="宋体" w:hAnsi="宋体" w:cs="宋体"/>
          <w:color w:val="auto"/>
          <w:sz w:val="21"/>
          <w:szCs w:val="21"/>
          <w:highlight w:val="none"/>
          <w:u w:val="none"/>
        </w:rPr>
        <w:t>：0771-</w:t>
      </w:r>
      <w:r>
        <w:rPr>
          <w:rFonts w:hint="eastAsia" w:ascii="宋体" w:hAnsi="宋体" w:cs="宋体"/>
          <w:color w:val="auto"/>
          <w:sz w:val="21"/>
          <w:szCs w:val="21"/>
          <w:highlight w:val="none"/>
          <w:u w:val="none"/>
          <w:lang w:val="en-US" w:eastAsia="zh-CN"/>
        </w:rPr>
        <w:t>4131685</w:t>
      </w:r>
    </w:p>
    <w:bookmarkEnd w:id="3"/>
    <w:p w14:paraId="1FF1EE7D">
      <w:pPr>
        <w:wordWrap w:val="0"/>
        <w:spacing w:line="360" w:lineRule="auto"/>
        <w:jc w:val="right"/>
        <w:rPr>
          <w:rFonts w:ascii="宋体" w:hAnsi="宋体" w:cs="宋体"/>
          <w:color w:val="auto"/>
          <w:szCs w:val="21"/>
          <w:highlight w:val="none"/>
          <w:u w:val="none"/>
        </w:rPr>
      </w:pPr>
      <w:r>
        <w:rPr>
          <w:rFonts w:hint="eastAsia" w:ascii="宋体" w:hAnsi="宋体" w:cs="宋体"/>
          <w:color w:val="auto"/>
          <w:szCs w:val="21"/>
          <w:highlight w:val="none"/>
          <w:u w:val="none"/>
        </w:rPr>
        <w:t>广西中信恒泰工程顾问有限公司</w:t>
      </w:r>
    </w:p>
    <w:p w14:paraId="3E370FC9">
      <w:pPr>
        <w:wordWrap w:val="0"/>
        <w:spacing w:line="360" w:lineRule="auto"/>
        <w:jc w:val="right"/>
        <w:rPr>
          <w:rFonts w:ascii="宋体" w:hAnsi="宋体" w:cs="宋体"/>
          <w:color w:val="auto"/>
          <w:kern w:val="0"/>
          <w:szCs w:val="21"/>
          <w:highlight w:val="none"/>
        </w:rPr>
      </w:pPr>
      <w:r>
        <w:rPr>
          <w:rFonts w:hint="eastAsia" w:ascii="宋体" w:hAnsi="宋体" w:cs="宋体"/>
          <w:color w:val="auto"/>
          <w:kern w:val="0"/>
          <w:szCs w:val="21"/>
          <w:highlight w:val="none"/>
          <w:u w:val="none"/>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12</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04</w:t>
      </w:r>
      <w:r>
        <w:rPr>
          <w:rFonts w:hint="eastAsia" w:ascii="宋体" w:hAnsi="宋体" w:cs="宋体"/>
          <w:color w:val="auto"/>
          <w:szCs w:val="21"/>
          <w:highlight w:val="none"/>
          <w:u w:val="none"/>
        </w:rPr>
        <w:t>日</w:t>
      </w:r>
    </w:p>
    <w:p w14:paraId="70B223B8">
      <w:pPr>
        <w:rPr>
          <w:color w:val="auto"/>
          <w:highlight w:val="none"/>
        </w:rPr>
      </w:pPr>
    </w:p>
    <w:p w14:paraId="4DF15556">
      <w:pPr>
        <w:pStyle w:val="2"/>
        <w:rPr>
          <w:color w:val="auto"/>
          <w:highlight w:val="none"/>
        </w:rPr>
      </w:pPr>
    </w:p>
    <w:p w14:paraId="46291245">
      <w:pPr>
        <w:pStyle w:val="3"/>
        <w:rPr>
          <w:color w:val="auto"/>
          <w:highlight w:val="none"/>
        </w:rPr>
      </w:pPr>
    </w:p>
    <w:p w14:paraId="2E055635">
      <w:pPr>
        <w:pStyle w:val="3"/>
        <w:rPr>
          <w:color w:val="auto"/>
          <w:highlight w:val="none"/>
        </w:rPr>
      </w:pPr>
    </w:p>
    <w:p w14:paraId="15ADA216">
      <w:pPr>
        <w:pStyle w:val="5"/>
        <w:jc w:val="center"/>
        <w:rPr>
          <w:rFonts w:ascii="宋体" w:hAnsi="宋体" w:cs="宋体"/>
          <w:color w:val="auto"/>
          <w:highlight w:val="none"/>
        </w:rPr>
      </w:pPr>
      <w:bookmarkStart w:id="46" w:name="_Toc12415"/>
      <w:bookmarkStart w:id="47" w:name="_Toc20168"/>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供应商须知</w:t>
      </w:r>
      <w:bookmarkEnd w:id="46"/>
      <w:bookmarkEnd w:id="47"/>
    </w:p>
    <w:p w14:paraId="0B0F77EE">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5259337D">
      <w:pPr>
        <w:spacing w:line="400" w:lineRule="exact"/>
        <w:jc w:val="center"/>
        <w:rPr>
          <w:rFonts w:ascii="宋体" w:hAnsi="宋体" w:cs="宋体"/>
          <w:b/>
          <w:color w:val="auto"/>
          <w:sz w:val="32"/>
          <w:szCs w:val="32"/>
          <w:highlight w:val="none"/>
        </w:r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042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3D583C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11372F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55030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5564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6CC6287">
            <w:pPr>
              <w:spacing w:line="360" w:lineRule="auto"/>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2507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9914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341D4957">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详见竞争性磋商公告</w:t>
            </w:r>
          </w:p>
        </w:tc>
      </w:tr>
      <w:tr w14:paraId="0C66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B687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68EA7EEB">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如接受联合体竞标，联合体竞标要求如下：无</w:t>
            </w:r>
          </w:p>
        </w:tc>
      </w:tr>
      <w:tr w14:paraId="5C070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3102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64C43177">
            <w:pPr>
              <w:pStyle w:val="14"/>
              <w:spacing w:line="360" w:lineRule="auto"/>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不允许分包</w:t>
            </w:r>
          </w:p>
          <w:p w14:paraId="543DE421">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0F00FA94">
            <w:pPr>
              <w:pStyle w:val="14"/>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5C60D3B4">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w:t>
            </w:r>
          </w:p>
        </w:tc>
      </w:tr>
      <w:tr w14:paraId="10FE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A7BE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065E787D">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3BA0954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auto"/>
                <w:szCs w:val="21"/>
                <w:highlight w:val="none"/>
              </w:rPr>
              <w:t>（必须提供，否则响应文件按无效响应处理）</w:t>
            </w:r>
          </w:p>
          <w:p w14:paraId="581B141E">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2.供应商依法缴纳税收的相关材料[近半年内任意连续</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bCs/>
                <w:color w:val="auto"/>
                <w:szCs w:val="21"/>
                <w:highlight w:val="none"/>
              </w:rPr>
              <w:t>（必须提供，否则响应文件按无效响应处理）</w:t>
            </w:r>
          </w:p>
          <w:p w14:paraId="34FF043B">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3.供应商依法缴纳社会保障资金的相关材料[近半年内任意连续</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w:t>
            </w:r>
            <w:r>
              <w:rPr>
                <w:rFonts w:hint="eastAsia" w:ascii="宋体" w:hAnsi="宋体" w:cs="宋体"/>
                <w:color w:val="auto"/>
                <w:szCs w:val="21"/>
                <w:highlight w:val="none"/>
                <w:lang w:eastAsia="zh-CN"/>
              </w:rPr>
              <w:t>起</w:t>
            </w:r>
            <w:r>
              <w:rPr>
                <w:rFonts w:hint="eastAsia" w:ascii="宋体" w:hAnsi="宋体" w:cs="宋体"/>
                <w:color w:val="auto"/>
                <w:szCs w:val="21"/>
                <w:highlight w:val="none"/>
              </w:rPr>
              <w:t>依法缴纳社会保障资金的相应证明文件]；</w:t>
            </w:r>
            <w:r>
              <w:rPr>
                <w:rFonts w:hint="eastAsia" w:ascii="宋体" w:hAnsi="宋体" w:cs="宋体"/>
                <w:b/>
                <w:bCs/>
                <w:color w:val="auto"/>
                <w:szCs w:val="21"/>
                <w:highlight w:val="none"/>
              </w:rPr>
              <w:t>（必须提供，否则响应文件按无效响应处理）</w:t>
            </w:r>
          </w:p>
          <w:p w14:paraId="01ABF16E">
            <w:pPr>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2024年</w:t>
            </w:r>
            <w:r>
              <w:rPr>
                <w:rFonts w:hint="eastAsia" w:ascii="宋体" w:hAnsi="宋体" w:cs="宋体"/>
                <w:color w:val="auto"/>
                <w:szCs w:val="21"/>
                <w:highlight w:val="none"/>
              </w:rPr>
              <w:t>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val="0"/>
                <w:color w:val="auto"/>
                <w:szCs w:val="21"/>
                <w:highlight w:val="none"/>
              </w:rPr>
              <w:t>）</w:t>
            </w:r>
          </w:p>
          <w:p w14:paraId="4C56626E">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bCs/>
                <w:color w:val="auto"/>
                <w:szCs w:val="21"/>
                <w:highlight w:val="none"/>
              </w:rPr>
              <w:t>（必须提供，否则响应文件按无效响应处理）</w:t>
            </w:r>
          </w:p>
          <w:p w14:paraId="79C3116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w:t>
            </w:r>
            <w:r>
              <w:rPr>
                <w:rFonts w:hint="eastAsia" w:ascii="宋体" w:hAnsi="宋体" w:cs="宋体"/>
                <w:b/>
                <w:bCs w:val="0"/>
                <w:color w:val="auto"/>
                <w:szCs w:val="21"/>
                <w:highlight w:val="none"/>
              </w:rPr>
              <w:t>理）</w:t>
            </w:r>
          </w:p>
          <w:p w14:paraId="664644A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bCs/>
                <w:color w:val="auto"/>
                <w:szCs w:val="21"/>
                <w:highlight w:val="none"/>
              </w:rPr>
              <w:t>（联</w:t>
            </w:r>
            <w:r>
              <w:rPr>
                <w:rFonts w:hint="eastAsia" w:ascii="宋体" w:hAnsi="宋体" w:cs="宋体"/>
                <w:b/>
                <w:color w:val="auto"/>
                <w:szCs w:val="21"/>
                <w:highlight w:val="none"/>
              </w:rPr>
              <w:t>合体竞标时必须提供，否则响应文件按无效响应处理</w:t>
            </w:r>
            <w:r>
              <w:rPr>
                <w:rFonts w:hint="eastAsia" w:ascii="宋体" w:hAnsi="宋体" w:cs="宋体"/>
                <w:color w:val="auto"/>
                <w:szCs w:val="21"/>
                <w:highlight w:val="none"/>
              </w:rPr>
              <w:t>）</w:t>
            </w:r>
          </w:p>
          <w:p w14:paraId="092DF1F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14A5912A">
            <w:pPr>
              <w:snapToGrid w:val="0"/>
              <w:spacing w:line="360" w:lineRule="auto"/>
              <w:jc w:val="left"/>
              <w:rPr>
                <w:rFonts w:ascii="宋体" w:hAnsi="宋体" w:cs="宋体"/>
                <w:b/>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06CC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3" w:hRule="atLeast"/>
          <w:jc w:val="center"/>
        </w:trPr>
        <w:tc>
          <w:tcPr>
            <w:tcW w:w="992" w:type="dxa"/>
            <w:vMerge w:val="restart"/>
            <w:vAlign w:val="center"/>
          </w:tcPr>
          <w:p w14:paraId="4C4BF4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3BDD9112">
            <w:pPr>
              <w:snapToGrid/>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325AE53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A34D35">
            <w:pPr>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999EC03">
            <w:pPr>
              <w:spacing w:line="360" w:lineRule="auto"/>
              <w:jc w:val="left"/>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9279F2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F9CD96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7DED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8B996BA">
            <w:pPr>
              <w:spacing w:line="360" w:lineRule="auto"/>
              <w:jc w:val="left"/>
              <w:rPr>
                <w:rFonts w:ascii="宋体" w:hAnsi="宋体" w:cs="宋体"/>
                <w:color w:val="auto"/>
                <w:sz w:val="21"/>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kern w:val="2"/>
                <w:sz w:val="21"/>
                <w:szCs w:val="21"/>
                <w:highlight w:val="none"/>
              </w:rPr>
              <w:t>1.以上标明“必须提供”的材料</w:t>
            </w:r>
            <w:r>
              <w:rPr>
                <w:rFonts w:hint="eastAsia" w:ascii="宋体" w:hAnsi="宋体" w:cs="宋体"/>
                <w:b/>
                <w:color w:val="auto"/>
                <w:kern w:val="2"/>
                <w:sz w:val="21"/>
                <w:szCs w:val="21"/>
                <w:highlight w:val="none"/>
              </w:rPr>
              <w:t>属于复印件的扫描件的，必须加盖供应商电子公章，否则响应文件按无效响应处理。</w:t>
            </w:r>
          </w:p>
        </w:tc>
      </w:tr>
      <w:tr w14:paraId="472C7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233B17B">
            <w:pPr>
              <w:spacing w:line="360" w:lineRule="auto"/>
              <w:jc w:val="center"/>
              <w:rPr>
                <w:rFonts w:ascii="宋体" w:hAnsi="宋体" w:cs="宋体"/>
                <w:color w:val="auto"/>
                <w:szCs w:val="21"/>
                <w:highlight w:val="none"/>
              </w:rPr>
            </w:pPr>
          </w:p>
        </w:tc>
        <w:tc>
          <w:tcPr>
            <w:tcW w:w="7912" w:type="dxa"/>
            <w:vAlign w:val="center"/>
          </w:tcPr>
          <w:p w14:paraId="0A012C71">
            <w:pPr>
              <w:snapToGrid/>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6F73F02D">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489C013">
            <w:pPr>
              <w:spacing w:line="360" w:lineRule="auto"/>
              <w:rPr>
                <w:rFonts w:ascii="宋体" w:hAnsi="宋体" w:cs="宋体"/>
                <w:color w:val="auto"/>
                <w:szCs w:val="21"/>
                <w:highlight w:val="none"/>
              </w:rPr>
            </w:pPr>
            <w:r>
              <w:rPr>
                <w:rFonts w:hint="eastAsia" w:ascii="宋体" w:hAnsi="宋体" w:cs="宋体"/>
                <w:color w:val="auto"/>
                <w:szCs w:val="21"/>
                <w:highlight w:val="none"/>
              </w:rPr>
              <w:t>2.服务方案；（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153145">
            <w:pPr>
              <w:spacing w:line="360" w:lineRule="auto"/>
              <w:rPr>
                <w:rFonts w:ascii="宋体" w:hAnsi="宋体" w:cs="宋体"/>
                <w:color w:val="auto"/>
                <w:szCs w:val="21"/>
                <w:highlight w:val="none"/>
              </w:rPr>
            </w:pPr>
            <w:r>
              <w:rPr>
                <w:rFonts w:hint="eastAsia" w:ascii="宋体" w:hAnsi="宋体" w:cs="宋体"/>
                <w:color w:val="auto"/>
                <w:szCs w:val="21"/>
                <w:highlight w:val="none"/>
              </w:rPr>
              <w:t>3.项目实施人员一览表；（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F40497">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5BE315AB">
            <w:pPr>
              <w:spacing w:line="360" w:lineRule="auto"/>
              <w:rPr>
                <w:rFonts w:ascii="宋体" w:hAnsi="宋体" w:cs="宋体"/>
                <w:b/>
                <w:bCs/>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20253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1D3B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7912" w:type="dxa"/>
            <w:vAlign w:val="center"/>
          </w:tcPr>
          <w:p w14:paraId="0AC68B3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4D46BF7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A395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15A281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3.中小企业声明函或者残疾人福利性单位声明函或者供应商属于监狱企业的证明材料。</w:t>
            </w:r>
          </w:p>
          <w:p w14:paraId="129BBB0E">
            <w:pPr>
              <w:pStyle w:val="21"/>
              <w:spacing w:line="360" w:lineRule="auto"/>
              <w:rPr>
                <w:rFonts w:ascii="宋体" w:hAnsi="宋体" w:cs="宋体"/>
                <w:color w:val="auto"/>
                <w:sz w:val="21"/>
                <w:szCs w:val="21"/>
                <w:highlight w:val="none"/>
              </w:rPr>
            </w:pPr>
            <w:r>
              <w:rPr>
                <w:rFonts w:hint="eastAsia" w:ascii="宋体" w:hAnsi="宋体" w:cs="宋体"/>
                <w:b/>
                <w:color w:val="auto"/>
                <w:sz w:val="21"/>
                <w:szCs w:val="21"/>
                <w:highlight w:val="none"/>
              </w:rPr>
              <w:t>注：1.以上标明“必须提供”的材料属于复印件的扫描件的，必须加盖供应商电子公章，否则响应文件按无效响应处理。</w:t>
            </w:r>
          </w:p>
        </w:tc>
      </w:tr>
      <w:tr w14:paraId="6FDC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501F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17D5D55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7F6606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7524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154F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1E35C8B">
            <w:pPr>
              <w:widowControl/>
              <w:numPr>
                <w:ilvl w:val="0"/>
                <w:numId w:val="0"/>
              </w:numPr>
              <w:shd w:val="clear" w:color="auto" w:fill="FFFFFF"/>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报价必须包含满足本次</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全部采购需求所应提供的服务，以及伴随的货物和工程（如有）的价格</w:t>
            </w:r>
            <w:r>
              <w:rPr>
                <w:rFonts w:hint="eastAsia" w:ascii="宋体" w:hAnsi="宋体" w:eastAsia="宋体" w:cs="宋体"/>
                <w:color w:val="auto"/>
                <w:sz w:val="21"/>
                <w:szCs w:val="21"/>
                <w:highlight w:val="none"/>
                <w:lang w:eastAsia="zh-CN"/>
              </w:rPr>
              <w:t>：（1）服务的价格包含提供本次</w:t>
            </w:r>
            <w:r>
              <w:rPr>
                <w:rFonts w:hint="eastAsia" w:ascii="宋体" w:hAnsi="宋体" w:eastAsia="宋体" w:cs="宋体"/>
                <w:color w:val="auto"/>
                <w:sz w:val="21"/>
                <w:szCs w:val="21"/>
                <w:highlight w:val="none"/>
                <w:lang w:val="en-US" w:eastAsia="zh-CN"/>
              </w:rPr>
              <w:t>服务内容的价格、测试、技术支持等以及</w:t>
            </w:r>
            <w:r>
              <w:rPr>
                <w:rFonts w:hint="eastAsia" w:ascii="宋体" w:hAnsi="宋体" w:eastAsia="宋体" w:cs="宋体"/>
                <w:color w:val="auto"/>
                <w:sz w:val="21"/>
                <w:szCs w:val="21"/>
                <w:highlight w:val="none"/>
                <w:lang w:eastAsia="zh-CN"/>
              </w:rPr>
              <w:t>服务范围的人员的工资、交通差旅、餐饮住宿，福利、利润、培训、运营服务、售后服务、更新升级等费用；</w:t>
            </w:r>
          </w:p>
          <w:p w14:paraId="2491A7E2">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必要的保险费用和各项税金</w:t>
            </w:r>
            <w:r>
              <w:rPr>
                <w:rFonts w:hint="eastAsia" w:ascii="宋体" w:hAnsi="宋体" w:eastAsia="宋体" w:cs="宋体"/>
                <w:color w:val="auto"/>
                <w:kern w:val="2"/>
                <w:sz w:val="21"/>
                <w:szCs w:val="21"/>
                <w:highlight w:val="none"/>
                <w:lang w:val="en-US" w:eastAsia="zh-CN" w:bidi="ar"/>
              </w:rPr>
              <w:t>。</w:t>
            </w:r>
          </w:p>
          <w:p w14:paraId="63D7AAC2">
            <w:pPr>
              <w:widowControl/>
              <w:numPr>
                <w:ilvl w:val="0"/>
                <w:numId w:val="0"/>
              </w:numPr>
              <w:shd w:val="clear" w:color="auto" w:fill="FFFFFF"/>
              <w:snapToGrid/>
              <w:spacing w:line="360" w:lineRule="auto"/>
              <w:jc w:val="left"/>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项目需要的接口费用</w:t>
            </w:r>
            <w:r>
              <w:rPr>
                <w:rFonts w:hint="eastAsia" w:ascii="宋体" w:hAnsi="宋体" w:cs="宋体"/>
                <w:color w:val="auto"/>
                <w:kern w:val="2"/>
                <w:sz w:val="21"/>
                <w:szCs w:val="21"/>
                <w:highlight w:val="none"/>
                <w:lang w:val="en-US" w:eastAsia="zh-CN" w:bidi="ar"/>
              </w:rPr>
              <w:t>。</w:t>
            </w:r>
          </w:p>
          <w:p w14:paraId="26044B2A">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竞标报价包含验收费用</w:t>
            </w:r>
          </w:p>
          <w:p w14:paraId="10AF1A15">
            <w:pPr>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□竞标报价不包含验收费用</w:t>
            </w:r>
          </w:p>
        </w:tc>
      </w:tr>
      <w:tr w14:paraId="78C4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240B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4215E027">
            <w:pPr>
              <w:pStyle w:val="12"/>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2F644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D297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33785BC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6532034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6AE5779A">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相关要求：</w:t>
            </w:r>
            <w:r>
              <w:rPr>
                <w:rFonts w:hint="eastAsia" w:ascii="宋体" w:hAnsi="宋体" w:cs="宋体"/>
                <w:color w:val="auto"/>
                <w:kern w:val="0"/>
                <w:highlight w:val="none"/>
              </w:rPr>
              <w:t>详见</w:t>
            </w:r>
            <w:r>
              <w:rPr>
                <w:rFonts w:hint="eastAsia" w:ascii="宋体" w:hAnsi="宋体" w:cs="宋体"/>
                <w:color w:val="auto"/>
                <w:highlight w:val="none"/>
              </w:rPr>
              <w:t>竞争性磋商公告</w:t>
            </w:r>
            <w:r>
              <w:rPr>
                <w:rFonts w:hint="eastAsia" w:ascii="宋体" w:hAnsi="宋体" w:cs="宋体"/>
                <w:color w:val="auto"/>
                <w:szCs w:val="21"/>
                <w:highlight w:val="none"/>
              </w:rPr>
              <w:t>。</w:t>
            </w:r>
          </w:p>
          <w:p w14:paraId="4EE3ACC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p w14:paraId="306CC64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1.响应文件提交截止时间后提交的，或者未足额交纳的，或者保函额度不足的，视为无效磋商保证金。</w:t>
            </w:r>
          </w:p>
          <w:p w14:paraId="7D7BABB8">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6369F8D6">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0F2BF95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36D19E76">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5.竞标保证金采用金融、担保机构出具的保函为有条件保函的，视为无效磋商保证金。</w:t>
            </w:r>
          </w:p>
        </w:tc>
      </w:tr>
      <w:tr w14:paraId="2AD76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D245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D2BB73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352569A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585D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DD1E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32F69DD">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43DC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91371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6D4D091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517B275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评审中允许负偏离的条款数为</w:t>
            </w:r>
            <w:r>
              <w:rPr>
                <w:rFonts w:hint="eastAsia" w:ascii="宋体" w:hAnsi="宋体" w:cs="宋体"/>
                <w:color w:val="auto"/>
                <w:szCs w:val="21"/>
                <w:highlight w:val="none"/>
                <w:u w:val="single"/>
                <w:lang w:val="en-US" w:eastAsia="zh-CN"/>
              </w:rPr>
              <w:t>不限</w:t>
            </w:r>
            <w:r>
              <w:rPr>
                <w:rFonts w:hint="eastAsia" w:ascii="宋体" w:hAnsi="宋体" w:cs="宋体"/>
                <w:color w:val="auto"/>
                <w:szCs w:val="21"/>
                <w:highlight w:val="none"/>
              </w:rPr>
              <w:t>项。</w:t>
            </w:r>
          </w:p>
        </w:tc>
      </w:tr>
      <w:tr w14:paraId="0EFF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E8E78F7">
            <w:pPr>
              <w:spacing w:line="360" w:lineRule="auto"/>
              <w:jc w:val="center"/>
              <w:rPr>
                <w:rFonts w:ascii="宋体" w:hAnsi="宋体" w:cs="宋体"/>
                <w:color w:val="auto"/>
                <w:szCs w:val="21"/>
                <w:highlight w:val="none"/>
              </w:rPr>
            </w:pPr>
          </w:p>
        </w:tc>
        <w:tc>
          <w:tcPr>
            <w:tcW w:w="7912" w:type="dxa"/>
            <w:vAlign w:val="center"/>
          </w:tcPr>
          <w:p w14:paraId="040290B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磋商的顺序：</w:t>
            </w:r>
          </w:p>
          <w:p w14:paraId="4FCEBE0B">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6E4F2587">
            <w:pPr>
              <w:snapToGrid w:val="0"/>
              <w:spacing w:line="360" w:lineRule="auto"/>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随机排序。</w:t>
            </w:r>
          </w:p>
          <w:p w14:paraId="11380E91">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磋商。</w:t>
            </w:r>
          </w:p>
        </w:tc>
      </w:tr>
      <w:tr w14:paraId="7F9A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20C2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4239A957">
            <w:pPr>
              <w:pStyle w:val="18"/>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本项目收取履约保证金，具体规定如下：</w:t>
            </w:r>
          </w:p>
          <w:p w14:paraId="4108023B">
            <w:pPr>
              <w:pStyle w:val="18"/>
              <w:snapToGrid w:val="0"/>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1.本项目签订合同前，成交供应商按成交金额的3%向采购人支付履约保证金（中小企业缴纳数额为成交金额的2%）。</w:t>
            </w:r>
          </w:p>
          <w:p w14:paraId="3C0E1C59">
            <w:pPr>
              <w:pStyle w:val="18"/>
              <w:snapToGrid w:val="0"/>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2.履约保证金递交方式：转账或电汇形式或政府采购规定允许的其他方式。</w:t>
            </w:r>
          </w:p>
          <w:p w14:paraId="3DDF82B1">
            <w:pPr>
              <w:pStyle w:val="18"/>
              <w:snapToGrid w:val="0"/>
              <w:spacing w:line="360" w:lineRule="auto"/>
              <w:rPr>
                <w:rFonts w:hint="eastAsia"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3.履约保证金退付方式、时间及条件：</w:t>
            </w:r>
            <w:r>
              <w:rPr>
                <w:rFonts w:hint="eastAsia" w:hAnsi="宋体" w:cs="宋体"/>
                <w:color w:val="auto"/>
                <w:kern w:val="2"/>
                <w:sz w:val="21"/>
                <w:szCs w:val="21"/>
                <w:highlight w:val="none"/>
              </w:rPr>
              <w:t>待验收合格满一年后无质量问题及违约问题，由成交供应商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成交供应商追索。</w:t>
            </w:r>
          </w:p>
          <w:p w14:paraId="54A0324F">
            <w:pPr>
              <w:pStyle w:val="18"/>
              <w:snapToGrid w:val="0"/>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4.采购人收取履约保证金账户：</w:t>
            </w:r>
          </w:p>
          <w:p w14:paraId="41127D6D">
            <w:pPr>
              <w:pStyle w:val="18"/>
              <w:snapToGrid w:val="0"/>
              <w:spacing w:line="360" w:lineRule="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开户名称：广西医科大学第二附属医院</w:t>
            </w:r>
          </w:p>
          <w:p w14:paraId="5785644C">
            <w:pPr>
              <w:pStyle w:val="18"/>
              <w:snapToGrid w:val="0"/>
              <w:spacing w:line="360" w:lineRule="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开户银行：中国建设银行南宁医科大支行</w:t>
            </w:r>
          </w:p>
          <w:p w14:paraId="46A02794">
            <w:pPr>
              <w:pStyle w:val="18"/>
              <w:spacing w:line="360" w:lineRule="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rPr>
              <w:t>银行账号：45050160456009666888</w:t>
            </w:r>
          </w:p>
        </w:tc>
      </w:tr>
      <w:tr w14:paraId="0031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599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5B8F961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5F15BDC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CA3CC0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5737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DBA3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072E7142">
            <w:pPr>
              <w:snapToGrid w:val="0"/>
              <w:spacing w:line="360" w:lineRule="auto"/>
              <w:rPr>
                <w:rFonts w:ascii="宋体" w:hAnsi="宋体" w:cs="宋体"/>
                <w:color w:val="auto"/>
                <w:szCs w:val="21"/>
                <w:highlight w:val="none"/>
                <w:u w:val="none"/>
              </w:rPr>
            </w:pPr>
            <w:r>
              <w:rPr>
                <w:rFonts w:hint="eastAsia" w:ascii="宋体" w:hAnsi="宋体" w:cs="宋体"/>
                <w:color w:val="auto"/>
                <w:szCs w:val="21"/>
                <w:highlight w:val="none"/>
                <w:u w:val="none"/>
              </w:rPr>
              <w:t>接收质疑函方式：以书面形式。</w:t>
            </w:r>
          </w:p>
          <w:p w14:paraId="0F50F71E">
            <w:pPr>
              <w:pStyle w:val="18"/>
              <w:snapToGrid w:val="0"/>
              <w:spacing w:line="360" w:lineRule="auto"/>
              <w:rPr>
                <w:rFonts w:hAnsi="宋体" w:cs="宋体"/>
                <w:color w:val="auto"/>
                <w:kern w:val="2"/>
                <w:sz w:val="21"/>
                <w:highlight w:val="none"/>
                <w:u w:val="none"/>
              </w:rPr>
            </w:pPr>
            <w:r>
              <w:rPr>
                <w:rFonts w:hint="eastAsia" w:hAnsi="宋体" w:cs="宋体"/>
                <w:color w:val="auto"/>
                <w:kern w:val="2"/>
                <w:sz w:val="21"/>
                <w:highlight w:val="none"/>
                <w:u w:val="none"/>
              </w:rPr>
              <w:t>质疑联系部门及联系方式：广西中信恒泰工程顾问有限公司，联系电话：0771-</w:t>
            </w:r>
            <w:r>
              <w:rPr>
                <w:rFonts w:hint="eastAsia" w:hAnsi="宋体" w:cs="宋体"/>
                <w:color w:val="auto"/>
                <w:kern w:val="2"/>
                <w:sz w:val="21"/>
                <w:highlight w:val="none"/>
                <w:u w:val="none"/>
                <w:lang w:val="en-US" w:eastAsia="zh-CN"/>
              </w:rPr>
              <w:t>4131685</w:t>
            </w:r>
            <w:r>
              <w:rPr>
                <w:rFonts w:hint="eastAsia" w:hAnsi="宋体" w:cs="宋体"/>
                <w:color w:val="auto"/>
                <w:kern w:val="2"/>
                <w:sz w:val="21"/>
                <w:highlight w:val="none"/>
                <w:u w:val="none"/>
              </w:rPr>
              <w:t>，通讯地址：南宁市青秀区云景路69号南宁轨道大厦B座15楼</w:t>
            </w:r>
            <w:r>
              <w:rPr>
                <w:rFonts w:hint="eastAsia" w:hAnsi="宋体" w:cs="宋体"/>
                <w:color w:val="auto"/>
                <w:kern w:val="2"/>
                <w:sz w:val="21"/>
                <w:highlight w:val="none"/>
                <w:u w:val="none"/>
                <w:lang w:eastAsia="zh-CN"/>
              </w:rPr>
              <w:t>。</w:t>
            </w:r>
          </w:p>
          <w:p w14:paraId="1A229F13">
            <w:pPr>
              <w:autoSpaceDE w:val="0"/>
              <w:autoSpaceDN w:val="0"/>
              <w:snapToGrid w:val="0"/>
              <w:spacing w:line="360" w:lineRule="auto"/>
              <w:textAlignment w:val="bottom"/>
              <w:rPr>
                <w:rFonts w:ascii="宋体" w:hAnsi="宋体" w:cs="宋体"/>
                <w:color w:val="auto"/>
                <w:szCs w:val="21"/>
                <w:highlight w:val="none"/>
                <w:u w:val="none"/>
              </w:rPr>
            </w:pPr>
            <w:r>
              <w:rPr>
                <w:rFonts w:hint="eastAsia" w:ascii="宋体" w:hAnsi="宋体" w:cs="宋体"/>
                <w:color w:val="auto"/>
                <w:highlight w:val="none"/>
                <w:u w:val="none"/>
              </w:rPr>
              <w:t>业务时间：上午</w:t>
            </w:r>
            <w:r>
              <w:rPr>
                <w:rFonts w:hint="eastAsia" w:ascii="宋体" w:hAnsi="宋体" w:cs="宋体"/>
                <w:color w:val="auto"/>
                <w:highlight w:val="none"/>
                <w:u w:val="none"/>
                <w:lang w:val="en-US" w:eastAsia="zh-CN"/>
              </w:rPr>
              <w:t>08</w:t>
            </w:r>
            <w:r>
              <w:rPr>
                <w:rFonts w:hint="eastAsia" w:ascii="宋体" w:hAnsi="宋体" w:cs="宋体"/>
                <w:color w:val="auto"/>
                <w:highlight w:val="none"/>
                <w:u w:val="none"/>
              </w:rPr>
              <w:t>时</w:t>
            </w:r>
            <w:r>
              <w:rPr>
                <w:rFonts w:hint="eastAsia" w:ascii="宋体" w:hAnsi="宋体" w:cs="宋体"/>
                <w:color w:val="auto"/>
                <w:highlight w:val="none"/>
                <w:u w:val="none"/>
                <w:lang w:val="en-US" w:eastAsia="zh-CN"/>
              </w:rPr>
              <w:t>30</w:t>
            </w:r>
            <w:r>
              <w:rPr>
                <w:rFonts w:hint="eastAsia" w:ascii="宋体" w:hAnsi="宋体" w:cs="宋体"/>
                <w:color w:val="auto"/>
                <w:highlight w:val="none"/>
                <w:u w:val="none"/>
              </w:rPr>
              <w:t>分到12时00分，</w:t>
            </w:r>
            <w:r>
              <w:rPr>
                <w:rFonts w:hint="eastAsia" w:ascii="宋体" w:hAnsi="宋体" w:cs="宋体"/>
                <w:color w:val="auto"/>
                <w:highlight w:val="none"/>
                <w:u w:val="none"/>
                <w:lang w:eastAsia="zh-CN"/>
              </w:rPr>
              <w:t>下午2</w:t>
            </w:r>
            <w:r>
              <w:rPr>
                <w:rFonts w:hint="eastAsia" w:ascii="宋体" w:hAnsi="宋体" w:cs="宋体"/>
                <w:color w:val="auto"/>
                <w:highlight w:val="none"/>
                <w:u w:val="none"/>
                <w:lang w:val="en-US" w:eastAsia="zh-CN"/>
              </w:rPr>
              <w:t>时30</w:t>
            </w:r>
            <w:r>
              <w:rPr>
                <w:rFonts w:hint="eastAsia" w:ascii="宋体" w:hAnsi="宋体" w:cs="宋体"/>
                <w:color w:val="auto"/>
                <w:highlight w:val="none"/>
                <w:u w:val="none"/>
              </w:rPr>
              <w:t>分到</w:t>
            </w:r>
            <w:r>
              <w:rPr>
                <w:rFonts w:hint="eastAsia" w:ascii="宋体" w:hAnsi="宋体" w:cs="宋体"/>
                <w:color w:val="auto"/>
                <w:highlight w:val="none"/>
                <w:u w:val="none"/>
                <w:lang w:val="en-US" w:eastAsia="zh-CN"/>
              </w:rPr>
              <w:t>5</w:t>
            </w:r>
            <w:r>
              <w:rPr>
                <w:rFonts w:hint="eastAsia" w:ascii="宋体" w:hAnsi="宋体" w:cs="宋体"/>
                <w:color w:val="auto"/>
                <w:highlight w:val="none"/>
                <w:u w:val="none"/>
              </w:rPr>
              <w:t>时30分，业务时间以外、双休日和法定节假日不办理业务。</w:t>
            </w:r>
          </w:p>
        </w:tc>
      </w:tr>
      <w:tr w14:paraId="7073D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4389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24CE04C5">
            <w:pPr>
              <w:pStyle w:val="18"/>
              <w:snapToGrid w:val="0"/>
              <w:spacing w:line="360" w:lineRule="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1.采购代理费支付方式：</w:t>
            </w:r>
          </w:p>
          <w:p w14:paraId="13A2531B">
            <w:pPr>
              <w:pStyle w:val="18"/>
              <w:snapToGrid w:val="0"/>
              <w:spacing w:line="360" w:lineRule="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本项目代理服务费由</w:t>
            </w:r>
            <w:r>
              <w:rPr>
                <w:rFonts w:hint="eastAsia" w:hAnsi="宋体" w:cs="宋体"/>
                <w:color w:val="auto"/>
                <w:sz w:val="21"/>
                <w:szCs w:val="21"/>
                <w:highlight w:val="none"/>
                <w:u w:val="none"/>
              </w:rPr>
              <w:t>成交供应商</w:t>
            </w:r>
            <w:r>
              <w:rPr>
                <w:rFonts w:hint="eastAsia" w:ascii="宋体" w:hAnsi="宋体" w:cs="宋体"/>
                <w:color w:val="auto"/>
                <w:sz w:val="21"/>
                <w:szCs w:val="21"/>
                <w:highlight w:val="none"/>
                <w:u w:val="none"/>
              </w:rPr>
              <w:t>在领取成交通知书前，一次性向采购代理机构支付。</w:t>
            </w:r>
          </w:p>
          <w:p w14:paraId="0FC767CD">
            <w:pPr>
              <w:pStyle w:val="18"/>
              <w:snapToGrid w:val="0"/>
              <w:spacing w:line="360" w:lineRule="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2.采购代理费收取标准：</w:t>
            </w:r>
            <w:r>
              <w:rPr>
                <w:rFonts w:hint="eastAsia" w:hAnsi="宋体" w:cs="宋体"/>
                <w:color w:val="auto"/>
                <w:sz w:val="21"/>
                <w:highlight w:val="none"/>
                <w:u w:val="none"/>
              </w:rPr>
              <w:t>参照国家发展计划委员会《招标代理服务费管理暂行办法》(计价格〔2002〕1980号)、《</w:t>
            </w:r>
            <w:r>
              <w:rPr>
                <w:rFonts w:hint="eastAsia" w:hAnsi="宋体" w:cs="宋体"/>
                <w:color w:val="auto"/>
                <w:sz w:val="21"/>
                <w:highlight w:val="none"/>
                <w:u w:val="none"/>
                <w:lang w:eastAsia="zh-CN"/>
              </w:rPr>
              <w:t>国家发展改革委</w:t>
            </w:r>
            <w:r>
              <w:rPr>
                <w:rFonts w:hint="eastAsia" w:hAnsi="宋体" w:cs="宋体"/>
                <w:color w:val="auto"/>
                <w:sz w:val="21"/>
                <w:highlight w:val="none"/>
                <w:u w:val="none"/>
              </w:rPr>
              <w:t>关于降低部分建设项目收费标准规范收费行为等有关问题的通知》发改价格〔2011〕534号</w:t>
            </w:r>
            <w:r>
              <w:rPr>
                <w:rFonts w:hint="eastAsia" w:hAnsi="宋体" w:cs="宋体"/>
                <w:color w:val="auto"/>
                <w:sz w:val="21"/>
                <w:highlight w:val="none"/>
                <w:u w:val="none"/>
                <w:lang w:eastAsia="zh-CN"/>
              </w:rPr>
              <w:t>）</w:t>
            </w:r>
            <w:r>
              <w:rPr>
                <w:rFonts w:hint="eastAsia" w:hAnsi="宋体" w:cs="宋体"/>
                <w:color w:val="auto"/>
                <w:sz w:val="21"/>
                <w:highlight w:val="none"/>
                <w:u w:val="none"/>
              </w:rPr>
              <w:t>（服务类）收费标准下浮10%收取向项目的成交供应商收取。</w:t>
            </w:r>
          </w:p>
          <w:p w14:paraId="3C0C0547">
            <w:pPr>
              <w:pStyle w:val="18"/>
              <w:snapToGrid w:val="0"/>
              <w:spacing w:line="360" w:lineRule="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3.账户名称：广西中信恒泰工程顾问有限公司</w:t>
            </w:r>
          </w:p>
          <w:p w14:paraId="723B7EAF">
            <w:pPr>
              <w:pStyle w:val="18"/>
              <w:snapToGrid w:val="0"/>
              <w:spacing w:line="360" w:lineRule="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开户银行：建行南宁市金湖广场支行</w:t>
            </w:r>
          </w:p>
          <w:p w14:paraId="669887E6">
            <w:pPr>
              <w:pStyle w:val="18"/>
              <w:snapToGrid w:val="0"/>
              <w:spacing w:line="360" w:lineRule="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银行账号：45001604266052502851</w:t>
            </w:r>
          </w:p>
          <w:p w14:paraId="2D894ACA">
            <w:pPr>
              <w:pStyle w:val="18"/>
              <w:snapToGrid w:val="0"/>
              <w:spacing w:line="360" w:lineRule="auto"/>
              <w:rPr>
                <w:rFonts w:hAnsi="宋体" w:cs="宋体"/>
                <w:color w:val="auto"/>
                <w:sz w:val="21"/>
                <w:highlight w:val="none"/>
                <w:u w:val="none"/>
              </w:rPr>
            </w:pPr>
            <w:r>
              <w:rPr>
                <w:rFonts w:hint="eastAsia" w:ascii="宋体" w:hAnsi="宋体" w:cs="宋体"/>
                <w:color w:val="auto"/>
                <w:sz w:val="21"/>
                <w:szCs w:val="21"/>
                <w:highlight w:val="none"/>
                <w:u w:val="none"/>
              </w:rPr>
              <w:t>开户行行号：105611042538</w:t>
            </w:r>
          </w:p>
        </w:tc>
      </w:tr>
      <w:tr w14:paraId="46FD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A8F6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354FF8CE">
            <w:pPr>
              <w:pStyle w:val="18"/>
              <w:snapToGrid w:val="0"/>
              <w:spacing w:line="360" w:lineRule="auto"/>
              <w:rPr>
                <w:rFonts w:hAnsi="宋体" w:cs="宋体"/>
                <w:color w:val="auto"/>
                <w:kern w:val="2"/>
                <w:sz w:val="21"/>
                <w:highlight w:val="none"/>
                <w:u w:val="none"/>
              </w:rPr>
            </w:pPr>
            <w:r>
              <w:rPr>
                <w:rFonts w:hint="eastAsia" w:hAnsi="宋体" w:cs="宋体"/>
                <w:color w:val="auto"/>
                <w:sz w:val="21"/>
                <w:highlight w:val="none"/>
                <w:u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050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9EFF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49196F1D">
            <w:pPr>
              <w:pStyle w:val="18"/>
              <w:snapToGrid w:val="0"/>
              <w:spacing w:line="360" w:lineRule="auto"/>
              <w:rPr>
                <w:rFonts w:hAnsi="宋体" w:cs="宋体"/>
                <w:color w:val="auto"/>
                <w:sz w:val="21"/>
                <w:highlight w:val="none"/>
                <w:u w:val="none"/>
              </w:rPr>
            </w:pPr>
            <w:r>
              <w:rPr>
                <w:rFonts w:hint="eastAsia" w:hAnsi="宋体" w:cs="宋体"/>
                <w:color w:val="auto"/>
                <w:sz w:val="21"/>
                <w:highlight w:val="none"/>
                <w:u w:val="none"/>
              </w:rPr>
              <w:t>1.本磋商文件中描述供应商的“公章”是指供应商通过指定电子化政府采购平台办理数字证书（CA认证）获得的以法定主体行为名称制作的电子印章。</w:t>
            </w:r>
          </w:p>
          <w:p w14:paraId="659D6E82">
            <w:pPr>
              <w:pStyle w:val="18"/>
              <w:snapToGrid w:val="0"/>
              <w:spacing w:line="360" w:lineRule="auto"/>
              <w:rPr>
                <w:rFonts w:hAnsi="宋体" w:cs="宋体"/>
                <w:color w:val="auto"/>
                <w:sz w:val="21"/>
                <w:highlight w:val="none"/>
                <w:u w:val="none"/>
              </w:rPr>
            </w:pPr>
            <w:r>
              <w:rPr>
                <w:rFonts w:hint="eastAsia" w:hAnsi="宋体" w:cs="宋体"/>
                <w:color w:val="auto"/>
                <w:sz w:val="21"/>
                <w:highlight w:val="none"/>
                <w:u w:val="none"/>
              </w:rPr>
              <w:t>2.本磋商文件中描述供应商的“签字”是指供应商通过指定电子化政府采购平台办理数字证书（CA认证）获得的以供应商法定代表人或者委托代理人姓名制作的电子印章或手写签字。</w:t>
            </w:r>
          </w:p>
          <w:p w14:paraId="59BEF770">
            <w:pPr>
              <w:pStyle w:val="18"/>
              <w:snapToGrid w:val="0"/>
              <w:spacing w:line="360" w:lineRule="auto"/>
              <w:rPr>
                <w:rFonts w:hAnsi="宋体" w:cs="宋体"/>
                <w:color w:val="auto"/>
                <w:sz w:val="21"/>
                <w:highlight w:val="none"/>
                <w:u w:val="none"/>
              </w:rPr>
            </w:pPr>
            <w:r>
              <w:rPr>
                <w:rFonts w:hint="eastAsia" w:hAnsi="宋体" w:cs="宋体"/>
                <w:color w:val="auto"/>
                <w:sz w:val="21"/>
                <w:highlight w:val="none"/>
                <w:u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ED5DAAE">
            <w:pPr>
              <w:pStyle w:val="18"/>
              <w:snapToGrid w:val="0"/>
              <w:spacing w:line="360" w:lineRule="auto"/>
              <w:rPr>
                <w:rFonts w:hAnsi="宋体" w:cs="宋体"/>
                <w:color w:val="auto"/>
                <w:sz w:val="21"/>
                <w:highlight w:val="none"/>
                <w:u w:val="none"/>
              </w:rPr>
            </w:pPr>
            <w:r>
              <w:rPr>
                <w:rFonts w:hint="eastAsia" w:hAnsi="宋体" w:cs="宋体"/>
                <w:color w:val="auto"/>
                <w:sz w:val="21"/>
                <w:highlight w:val="none"/>
                <w:u w:val="none"/>
              </w:rPr>
              <w:t>4.自然人竞标的，磋商文件规定盖公章处由自然人摁手指指印。</w:t>
            </w:r>
          </w:p>
          <w:p w14:paraId="3826D479">
            <w:pPr>
              <w:pStyle w:val="18"/>
              <w:snapToGrid w:val="0"/>
              <w:spacing w:line="360" w:lineRule="auto"/>
              <w:rPr>
                <w:rFonts w:hAnsi="宋体" w:cs="宋体"/>
                <w:color w:val="auto"/>
                <w:sz w:val="21"/>
                <w:highlight w:val="none"/>
                <w:u w:val="none"/>
              </w:rPr>
            </w:pPr>
            <w:r>
              <w:rPr>
                <w:rFonts w:hint="eastAsia" w:hAnsi="宋体" w:cs="宋体"/>
                <w:color w:val="auto"/>
                <w:sz w:val="21"/>
                <w:highlight w:val="none"/>
                <w:u w:val="none"/>
              </w:rPr>
              <w:t>5.本磋商文件所称的“以上”“以下”“以内”“届满”，包括本数；所称的“不满”“超过”“以外”，不包括本数。</w:t>
            </w:r>
          </w:p>
        </w:tc>
      </w:tr>
    </w:tbl>
    <w:p w14:paraId="04DA0D3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53B39759">
      <w:pPr>
        <w:spacing w:line="400" w:lineRule="exact"/>
        <w:jc w:val="center"/>
        <w:rPr>
          <w:rFonts w:ascii="宋体" w:hAnsi="宋体" w:cs="宋体"/>
          <w:b/>
          <w:color w:val="auto"/>
          <w:sz w:val="32"/>
          <w:szCs w:val="32"/>
          <w:highlight w:val="none"/>
        </w:rPr>
      </w:pPr>
    </w:p>
    <w:p w14:paraId="7248E10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592D9D3A">
      <w:pPr>
        <w:spacing w:line="400" w:lineRule="exact"/>
        <w:rPr>
          <w:rFonts w:ascii="宋体" w:hAnsi="宋体" w:cs="宋体"/>
          <w:color w:val="auto"/>
          <w:szCs w:val="21"/>
          <w:highlight w:val="none"/>
        </w:rPr>
      </w:pPr>
    </w:p>
    <w:p w14:paraId="228421A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223E3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7C315A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4F30A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eastAsia="宋体" w:cs="宋体"/>
          <w:color w:val="auto"/>
          <w:szCs w:val="21"/>
          <w:highlight w:val="none"/>
        </w:rPr>
        <w:t>广西医科大学第二附属医院</w:t>
      </w:r>
      <w:r>
        <w:rPr>
          <w:rFonts w:hint="eastAsia" w:ascii="宋体" w:hAnsi="宋体" w:cs="宋体"/>
          <w:color w:val="auto"/>
          <w:szCs w:val="21"/>
          <w:highlight w:val="none"/>
        </w:rPr>
        <w:t>。</w:t>
      </w:r>
    </w:p>
    <w:p w14:paraId="46C4121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2.2“采购代理机构”是指广西中信恒泰工程顾问有限公司。</w:t>
      </w:r>
    </w:p>
    <w:p w14:paraId="7CD739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5020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2.4“服务”是指除货物和工程以外的其他采购对象。</w:t>
      </w:r>
    </w:p>
    <w:p w14:paraId="662916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A68DB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047E5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2.7“实质性要求”是指采购需求中带“▲”的条款或者不能负偏离的条款或者已经指明不满足按响应文件作无效处理的条款。</w:t>
      </w:r>
    </w:p>
    <w:p w14:paraId="4B4DD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1410B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75C532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20035C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69B24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5B58B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2.13“评审价”是指供应商提交的最后报价并经修正（如有）和政策功能价格扣除（如有）后的价格。</w:t>
      </w:r>
    </w:p>
    <w:p w14:paraId="02FBB6C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69C6C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14FD8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0A4629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3CC25D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46C695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80A8B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48830E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021AE0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3AEA92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47C31205">
      <w:pPr>
        <w:spacing w:line="360" w:lineRule="auto"/>
        <w:ind w:firstLine="482" w:firstLineChars="200"/>
        <w:rPr>
          <w:rFonts w:ascii="宋体" w:hAnsi="宋体" w:cs="宋体"/>
          <w:b/>
          <w:bCs/>
          <w:color w:val="auto"/>
          <w:sz w:val="24"/>
          <w:highlight w:val="none"/>
        </w:rPr>
      </w:pPr>
      <w:bookmarkStart w:id="48" w:name="_Toc254970673"/>
      <w:bookmarkStart w:id="49" w:name="_Toc254970532"/>
      <w:r>
        <w:rPr>
          <w:rFonts w:hint="eastAsia" w:ascii="宋体" w:hAnsi="宋体" w:cs="宋体"/>
          <w:b/>
          <w:bCs/>
          <w:color w:val="auto"/>
          <w:sz w:val="24"/>
          <w:highlight w:val="none"/>
        </w:rPr>
        <w:t>7.特别说明</w:t>
      </w:r>
      <w:bookmarkEnd w:id="48"/>
      <w:bookmarkEnd w:id="49"/>
    </w:p>
    <w:p w14:paraId="4781D2A2">
      <w:pPr>
        <w:spacing w:line="360" w:lineRule="auto"/>
        <w:ind w:firstLine="420" w:firstLineChars="200"/>
        <w:rPr>
          <w:rFonts w:ascii="宋体" w:hAnsi="宋体" w:cs="宋体"/>
          <w:color w:val="auto"/>
          <w:szCs w:val="21"/>
          <w:highlight w:val="none"/>
        </w:rPr>
      </w:pPr>
      <w:bookmarkStart w:id="50" w:name="_8.1提供相同品牌产品且通过资格审查、符合性审查的不同投标人参加同一合"/>
      <w:bookmarkEnd w:id="50"/>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5D7277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F8859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76633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7.4在项目采购活动中，采购人员及相关人员与供应商有下列利害关系之一的，应当回避：</w:t>
      </w:r>
    </w:p>
    <w:p w14:paraId="0774B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3FB8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24BA3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B4914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0670E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（5）与供应商有其他可能影响项目采购活动公平、公正进行的关系。</w:t>
      </w:r>
    </w:p>
    <w:p w14:paraId="553E9D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BEC1A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D286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49F08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40E6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3F504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9300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A209BEE">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65C467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E4C93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6DA4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C4A02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5A6A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（4）属于同一集团、协会、商会等组织成员的供应商按照该组织要求协同参加项目采购活动；</w:t>
      </w:r>
    </w:p>
    <w:p w14:paraId="2A299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（5）供应商之间事先约定一致抬高或者压低报价，或者在项目采购活动中事先约定轮流以高价位或者低价位成交，或者事先约定由某一特定供应商成交，然后再参加竞标；</w:t>
      </w:r>
    </w:p>
    <w:p w14:paraId="22DDD8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（6）供应商之间商定部分供应商放弃参加项目采购活动或者放弃成交；</w:t>
      </w:r>
    </w:p>
    <w:p w14:paraId="58F47A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DDFEC75">
      <w:pPr>
        <w:spacing w:line="360" w:lineRule="auto"/>
        <w:ind w:firstLine="420" w:firstLineChars="200"/>
        <w:rPr>
          <w:rFonts w:ascii="宋体" w:hAnsi="宋体" w:cs="宋体"/>
          <w:color w:val="auto"/>
          <w:szCs w:val="21"/>
          <w:highlight w:val="none"/>
        </w:rPr>
      </w:pPr>
    </w:p>
    <w:p w14:paraId="0F7923B3">
      <w:pPr>
        <w:spacing w:line="360" w:lineRule="auto"/>
        <w:jc w:val="center"/>
        <w:rPr>
          <w:rFonts w:ascii="宋体" w:hAnsi="宋体" w:cs="宋体"/>
          <w:b/>
          <w:bCs/>
          <w:color w:val="auto"/>
          <w:sz w:val="32"/>
          <w:szCs w:val="32"/>
          <w:highlight w:val="none"/>
        </w:rPr>
      </w:pPr>
      <w:bookmarkStart w:id="51" w:name="_Toc254970675"/>
      <w:bookmarkStart w:id="52" w:name="_Toc254970534"/>
      <w:r>
        <w:rPr>
          <w:rFonts w:hint="eastAsia" w:ascii="宋体" w:hAnsi="宋体" w:cs="宋体"/>
          <w:b/>
          <w:bCs/>
          <w:color w:val="auto"/>
          <w:sz w:val="32"/>
          <w:szCs w:val="32"/>
          <w:highlight w:val="none"/>
        </w:rPr>
        <w:t>二、磋商文件</w:t>
      </w:r>
      <w:bookmarkEnd w:id="51"/>
      <w:bookmarkEnd w:id="52"/>
    </w:p>
    <w:p w14:paraId="6D1CE907">
      <w:pPr>
        <w:spacing w:line="360" w:lineRule="auto"/>
        <w:jc w:val="center"/>
        <w:rPr>
          <w:rFonts w:ascii="宋体" w:hAnsi="宋体" w:cs="宋体"/>
          <w:color w:val="auto"/>
          <w:szCs w:val="21"/>
          <w:highlight w:val="none"/>
        </w:rPr>
      </w:pPr>
    </w:p>
    <w:p w14:paraId="66163A1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74F24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5F53CBF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（2）供应商须知；</w:t>
      </w:r>
    </w:p>
    <w:p w14:paraId="2BC4D7D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1815748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6CF3F82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6757688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5D4758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171C49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2DC0E8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62EED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222BC54E">
      <w:pPr>
        <w:spacing w:line="360" w:lineRule="auto"/>
        <w:rPr>
          <w:rFonts w:ascii="宋体" w:hAnsi="宋体" w:cs="宋体"/>
          <w:color w:val="auto"/>
          <w:szCs w:val="21"/>
          <w:highlight w:val="none"/>
        </w:rPr>
      </w:pPr>
    </w:p>
    <w:p w14:paraId="3AD92480">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354C9CC5">
      <w:pPr>
        <w:spacing w:line="360" w:lineRule="auto"/>
        <w:rPr>
          <w:rFonts w:ascii="宋体" w:hAnsi="宋体" w:cs="宋体"/>
          <w:color w:val="auto"/>
          <w:szCs w:val="21"/>
          <w:highlight w:val="none"/>
        </w:rPr>
      </w:pPr>
    </w:p>
    <w:p w14:paraId="31BEA74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E2F03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603B8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D31BB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12.1响应文件由资格证明文件、商务技术文件、报价文件三部分组成。</w:t>
      </w:r>
    </w:p>
    <w:p w14:paraId="5A23A54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EF7B953">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C0A13F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160B7C7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54BFFAD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7173E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00A1D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DFDF6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126C8C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4BEEF63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30B5B8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070CEBA2">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4AB62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7F63F4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ADE6B8A">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3E9BB8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141E2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34E2F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3"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3"/>
    <w:p w14:paraId="657CF1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7C1A0C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2CD0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287862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39CE3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7892B8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C61217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7A72853A">
      <w:pPr>
        <w:pStyle w:val="11"/>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个工作日内退还，退还方式如下：</w:t>
      </w:r>
      <w:r>
        <w:rPr>
          <w:rFonts w:hint="eastAsia" w:ascii="宋体" w:hAnsi="宋体" w:cs="宋体"/>
          <w:color w:val="auto"/>
          <w:szCs w:val="21"/>
          <w:highlight w:val="none"/>
        </w:rPr>
        <w:t>以转账方式退回到供应商银行账户。</w:t>
      </w:r>
    </w:p>
    <w:p w14:paraId="69FD6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17.2.2成交供应商的磋商保证金自签订合同之日起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个工作日内退还，退还方式同未成交供应商的磋商保证金的退还方式。</w:t>
      </w:r>
    </w:p>
    <w:p w14:paraId="5FB07E1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供应商有下列情形之一的，磋商保证金将不予退还：</w:t>
      </w:r>
    </w:p>
    <w:p w14:paraId="78B3102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8B8625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6E0F62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7C86506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6569A9B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31353B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DAFC8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18.1供应商应按本磋商文件规定的格式和顺序编制、装订响应文件并标注页码，响应文件内容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47BB65AF">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18.2</w:t>
      </w:r>
      <w:r>
        <w:rPr>
          <w:rFonts w:hint="eastAsia" w:ascii="宋体" w:hAnsi="宋体" w:cs="宋体"/>
          <w:color w:val="auto"/>
          <w:highlight w:val="none"/>
        </w:rPr>
        <w:t>响应文件应按资格证明文件、报价文件分别编制，商务技术文件合并编制，本项目只接收电子版响应文件，要求见本章“12.2响应文件电子版要求”。</w:t>
      </w:r>
    </w:p>
    <w:p w14:paraId="56C088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18.</w:t>
      </w:r>
      <w:bookmarkStart w:id="54" w:name="_Hlk65832699"/>
      <w:r>
        <w:rPr>
          <w:rFonts w:hint="eastAsia" w:ascii="宋体" w:hAnsi="宋体" w:cs="宋体"/>
          <w:color w:val="auto"/>
          <w:highlight w:val="none"/>
        </w:rPr>
        <w:t>3响应文件须由供应商在</w:t>
      </w:r>
      <w:bookmarkEnd w:id="54"/>
      <w:r>
        <w:rPr>
          <w:rFonts w:hint="eastAsia" w:ascii="宋体" w:hAnsi="宋体" w:cs="宋体"/>
          <w:color w:val="auto"/>
          <w:kern w:val="0"/>
          <w:highlight w:val="none"/>
        </w:rPr>
        <w:t>“</w:t>
      </w:r>
      <w:r>
        <w:rPr>
          <w:rFonts w:hint="eastAsia" w:ascii="宋体" w:hAnsi="宋体" w:cs="宋体"/>
          <w:color w:val="auto"/>
          <w:highlight w:val="none"/>
        </w:rPr>
        <w:t>第五章响应文件格式</w:t>
      </w:r>
      <w:r>
        <w:rPr>
          <w:rFonts w:hint="eastAsia" w:ascii="宋体" w:hAnsi="宋体" w:cs="宋体"/>
          <w:color w:val="auto"/>
          <w:kern w:val="0"/>
          <w:highlight w:val="none"/>
        </w:rPr>
        <w:t>”</w:t>
      </w:r>
      <w:r>
        <w:rPr>
          <w:rFonts w:hint="eastAsia" w:ascii="宋体" w:hAnsi="宋体" w:cs="宋体"/>
          <w:color w:val="auto"/>
          <w:highlight w:val="none"/>
        </w:rPr>
        <w:t>规定位置进行签署、盖章，否则其响应文件按无效响应处理。骑缝盖公章不视为在规定位置盖章。</w:t>
      </w:r>
    </w:p>
    <w:p w14:paraId="775FF0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14:paraId="1D411E13">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18.5响应文件应避免涂改、行间插字或者删除，否则其响应文件按无效响应处理</w:t>
      </w:r>
      <w:r>
        <w:rPr>
          <w:rFonts w:hint="eastAsia" w:ascii="宋体" w:hAnsi="宋体" w:cs="宋体"/>
          <w:color w:val="auto"/>
          <w:szCs w:val="21"/>
          <w:highlight w:val="none"/>
        </w:rPr>
        <w:t>。</w:t>
      </w:r>
    </w:p>
    <w:p w14:paraId="241D4A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ADD28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491D4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19.2使用“广西政府采购云平台电子交易客户端”需要提前申领CA数字证书，申领流程见该项目采购公告附件。</w:t>
      </w:r>
    </w:p>
    <w:p w14:paraId="53B461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651FF1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06D68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50326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20.2在响应文件提交截止时间以后，不能补充、修改响应文件。</w:t>
      </w:r>
    </w:p>
    <w:p w14:paraId="154E2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20.3在提交“最后报价”后，供应商不能退出磋商。</w:t>
      </w:r>
    </w:p>
    <w:p w14:paraId="0FD44B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3DFC6D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20.5采购机构不可视情况延长提交响应文件的截止时间。</w:t>
      </w:r>
    </w:p>
    <w:p w14:paraId="066B1B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cs="宋体"/>
          <w:color w:val="auto"/>
          <w:szCs w:val="21"/>
          <w:highlight w:val="none"/>
        </w:rPr>
        <w:t>“供应商须知前附表”。</w:t>
      </w:r>
    </w:p>
    <w:p w14:paraId="69CF12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7EFA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7608EB6">
      <w:pPr>
        <w:spacing w:line="360" w:lineRule="auto"/>
        <w:ind w:firstLine="482" w:firstLineChars="200"/>
        <w:rPr>
          <w:rFonts w:ascii="宋体" w:hAnsi="宋体" w:cs="宋体"/>
          <w:b/>
          <w:bCs/>
          <w:color w:val="auto"/>
          <w:sz w:val="24"/>
          <w:highlight w:val="none"/>
        </w:rPr>
      </w:pPr>
      <w:bookmarkStart w:id="55" w:name="_Hlk45702405"/>
      <w:r>
        <w:rPr>
          <w:rFonts w:hint="eastAsia" w:ascii="宋体" w:hAnsi="宋体" w:cs="宋体"/>
          <w:b/>
          <w:bCs/>
          <w:color w:val="auto"/>
          <w:sz w:val="24"/>
          <w:highlight w:val="none"/>
        </w:rPr>
        <w:t>22.首次响应文件的退回</w:t>
      </w:r>
    </w:p>
    <w:p w14:paraId="5E18B391">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详见“竞争性磋商公告”</w:t>
      </w:r>
      <w:r>
        <w:rPr>
          <w:rFonts w:hint="eastAsia" w:ascii="宋体" w:hAnsi="宋体" w:cs="宋体"/>
          <w:color w:val="auto"/>
          <w:szCs w:val="21"/>
          <w:highlight w:val="none"/>
        </w:rPr>
        <w:t>。</w:t>
      </w:r>
    </w:p>
    <w:p w14:paraId="67AD5E9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79ACE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的规定不予退还其磋商保证金。</w:t>
      </w:r>
    </w:p>
    <w:bookmarkEnd w:id="55"/>
    <w:p w14:paraId="7736054B">
      <w:pPr>
        <w:spacing w:line="360" w:lineRule="auto"/>
        <w:rPr>
          <w:rFonts w:ascii="宋体" w:hAnsi="宋体" w:cs="宋体"/>
          <w:color w:val="auto"/>
          <w:szCs w:val="21"/>
          <w:highlight w:val="none"/>
        </w:rPr>
      </w:pPr>
    </w:p>
    <w:p w14:paraId="75ECD88A">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792DF11B">
      <w:pPr>
        <w:spacing w:line="360" w:lineRule="auto"/>
        <w:ind w:left="420" w:firstLine="420"/>
        <w:rPr>
          <w:rFonts w:ascii="宋体" w:hAnsi="宋体" w:cs="宋体"/>
          <w:color w:val="auto"/>
          <w:szCs w:val="21"/>
          <w:highlight w:val="none"/>
        </w:rPr>
      </w:pPr>
    </w:p>
    <w:p w14:paraId="11EC5C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323B1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0E2F7E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24.2评审专家从</w:t>
      </w:r>
      <w:r>
        <w:rPr>
          <w:rFonts w:hint="eastAsia" w:ascii="宋体" w:hAnsi="宋体" w:cs="宋体"/>
          <w:color w:val="auto"/>
          <w:szCs w:val="21"/>
          <w:highlight w:val="none"/>
          <w:lang w:val="en-US" w:eastAsia="zh-CN"/>
        </w:rPr>
        <w:t>政采云平台</w:t>
      </w:r>
      <w:r>
        <w:rPr>
          <w:rFonts w:hint="eastAsia" w:ascii="宋体" w:hAnsi="宋体" w:cs="宋体"/>
          <w:color w:val="auto"/>
          <w:szCs w:val="21"/>
          <w:highlight w:val="none"/>
        </w:rPr>
        <w:t>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D5920F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FC702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1AD6AC3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2684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73D0D5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26.2磋商小组按照“第四章评审程序、评审方法和评审标准”规定的方法、评审因素、标准和程序对响应文件进行评审。</w:t>
      </w:r>
    </w:p>
    <w:p w14:paraId="33BC98C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CDC0C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CA767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1BBBD5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FC5D911">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71FAD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D3EF22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签订合同，采购人可以按照评审报告推荐的成交候选人名单排序，确定下一候选人为成交供应商，也可以重新开展采购活动。</w:t>
      </w:r>
    </w:p>
    <w:p w14:paraId="3099A51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0864077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51B39A2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53A6F3E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29.1成交供应商在收到成交通知书后，应当在签订合同时向采购人出示相关证明材料，具体内容详见“供应商须知前附表”，经采购人核验合格后方可签订合同。</w:t>
      </w:r>
    </w:p>
    <w:p w14:paraId="72CE31A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29.2签订合同时间：按成交通知书规定的时间与采购人签订采购合同。</w:t>
      </w:r>
    </w:p>
    <w:p w14:paraId="78A27E4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项目采购活动。拒绝签订采购合同的成交供应商不得参加对该合同项重新开展的采购活动。</w:t>
      </w:r>
    </w:p>
    <w:p w14:paraId="507A3A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30.采购合同公告：</w:t>
      </w: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9B74A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7BD7EE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31.1供应商对项目采购活动事项有疑问的，可以向采购人、采购代理机构提出询问，采购人或者采购代理机构应当在3个工作日内对供应商依法提出的询问作出答复。</w:t>
      </w:r>
    </w:p>
    <w:p w14:paraId="24C411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cs="宋体"/>
          <w:color w:val="auto"/>
          <w:szCs w:val="21"/>
          <w:highlight w:val="none"/>
        </w:rPr>
        <w:t>知前附表”</w:t>
      </w:r>
      <w:r>
        <w:rPr>
          <w:rFonts w:hint="eastAsia" w:ascii="宋体" w:hAnsi="宋体" w:cs="宋体"/>
          <w:color w:val="auto"/>
          <w:highlight w:val="none"/>
        </w:rPr>
        <w:t>。具体质疑起算时间如下：</w:t>
      </w:r>
    </w:p>
    <w:p w14:paraId="78C354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8138E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1B28F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06363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69BDBD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17873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D38E0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A284D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3ECFD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85969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0A7D7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16D79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FC52F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C9A24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85BC2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8A4B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质疑答复导致成交结果改变的，采购人或者采购代理机构应当将有关情况书面报告采购人监督管理部门。</w:t>
      </w:r>
    </w:p>
    <w:p w14:paraId="0CF9EDC7">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31.6投诉的权利。质疑供应商对采购人、采购代理机构的答复不满意，或者采购人、采购代理机构未在规定时间内作出答复的，可以在答复期满后15个工作日内向采购人监督管理部门提起投诉。</w:t>
      </w:r>
    </w:p>
    <w:p w14:paraId="576B88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5A93D5D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3A8496D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484176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33.1本磋商文件解释规则详见“供应商须知前附表”。</w:t>
      </w:r>
    </w:p>
    <w:p w14:paraId="5FDC0D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33.2其他事项详见“供应商须知前附表”。</w:t>
      </w:r>
    </w:p>
    <w:p w14:paraId="2D8E7FC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1B725C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在货物采购项目中，货物由中小企业制造，即货物由中小企业生产且使用该中小企业商号或者注册商标，不对其中涉及的工程承建商和货物的承接商作出要求；</w:t>
      </w:r>
    </w:p>
    <w:p w14:paraId="67953D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567C0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78D829BC">
      <w:pPr>
        <w:pStyle w:val="21"/>
        <w:rPr>
          <w:rFonts w:ascii="宋体" w:hAnsi="宋体" w:cs="宋体"/>
          <w:color w:val="auto"/>
          <w:highlight w:val="none"/>
        </w:rPr>
      </w:pPr>
    </w:p>
    <w:p w14:paraId="255C4328">
      <w:pPr>
        <w:spacing w:line="360" w:lineRule="auto"/>
        <w:rPr>
          <w:rFonts w:ascii="宋体" w:hAnsi="宋体" w:cs="宋体"/>
          <w:color w:val="auto"/>
          <w:highlight w:val="none"/>
        </w:rPr>
      </w:pPr>
    </w:p>
    <w:p w14:paraId="2E3EFF9C">
      <w:pPr>
        <w:pStyle w:val="5"/>
        <w:jc w:val="center"/>
        <w:rPr>
          <w:rFonts w:ascii="宋体" w:hAnsi="宋体" w:cs="宋体"/>
          <w:color w:val="auto"/>
          <w:highlight w:val="none"/>
        </w:rPr>
      </w:pPr>
      <w:r>
        <w:rPr>
          <w:rFonts w:hint="eastAsia" w:ascii="宋体" w:hAnsi="宋体" w:cs="宋体"/>
          <w:color w:val="auto"/>
          <w:highlight w:val="none"/>
        </w:rPr>
        <w:br w:type="page"/>
      </w:r>
      <w:bookmarkStart w:id="56" w:name="_Toc17118"/>
      <w:bookmarkStart w:id="57" w:name="_Toc4409"/>
      <w:r>
        <w:rPr>
          <w:rFonts w:hint="eastAsia" w:ascii="宋体" w:hAnsi="宋体" w:cs="宋体"/>
          <w:color w:val="auto"/>
          <w:highlight w:val="none"/>
        </w:rPr>
        <w:t>第三章采购需求</w:t>
      </w:r>
      <w:bookmarkEnd w:id="56"/>
      <w:bookmarkEnd w:id="57"/>
    </w:p>
    <w:p w14:paraId="78F29F87">
      <w:pPr>
        <w:rPr>
          <w:rFonts w:ascii="宋体" w:hAnsi="宋体" w:cs="宋体"/>
          <w:color w:val="auto"/>
          <w:highlight w:val="none"/>
        </w:rPr>
      </w:pPr>
    </w:p>
    <w:p w14:paraId="073DC26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9399FD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11E59F2F">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488D8782">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015152F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供应商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，否则响应文件作无效处理。</w:t>
      </w:r>
    </w:p>
    <w:p w14:paraId="44B89DE6">
      <w:pPr>
        <w:numPr>
          <w:ilvl w:val="0"/>
          <w:numId w:val="0"/>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2.“实质性要求”是指采购需求中带“▲”的条款或者不能负偏离的条款或者已经指明不满足按响应文件作无效处理的条款。采购需求中带“</w:t>
      </w:r>
      <w:r>
        <w:rPr>
          <w:rFonts w:hint="eastAsia"/>
          <w:color w:val="auto"/>
          <w:szCs w:val="21"/>
          <w:highlight w:val="none"/>
        </w:rPr>
        <w:t>●</w:t>
      </w:r>
      <w:r>
        <w:rPr>
          <w:rFonts w:hint="eastAsia" w:ascii="宋体" w:hAnsi="宋体" w:cs="宋体"/>
          <w:color w:val="auto"/>
          <w:szCs w:val="21"/>
          <w:highlight w:val="none"/>
        </w:rPr>
        <w:t>”号为</w:t>
      </w:r>
      <w:r>
        <w:rPr>
          <w:rFonts w:hint="eastAsia" w:ascii="宋体" w:hAnsi="宋体" w:cs="宋体"/>
          <w:color w:val="auto"/>
          <w:highlight w:val="none"/>
          <w:lang w:val="en-US" w:eastAsia="zh-CN"/>
        </w:rPr>
        <w:t>重要技术指标项</w:t>
      </w:r>
      <w:r>
        <w:rPr>
          <w:rFonts w:hint="eastAsia" w:ascii="宋体" w:hAnsi="宋体" w:cs="宋体"/>
          <w:color w:val="auto"/>
          <w:szCs w:val="21"/>
          <w:highlight w:val="none"/>
        </w:rPr>
        <w:t>，不满足仅作扣分处理</w:t>
      </w:r>
      <w:r>
        <w:rPr>
          <w:rFonts w:hint="eastAsia" w:ascii="宋体" w:hAnsi="宋体" w:cs="宋体"/>
          <w:color w:val="auto"/>
          <w:szCs w:val="21"/>
          <w:highlight w:val="none"/>
          <w:lang w:eastAsia="zh-CN"/>
        </w:rPr>
        <w:t>。</w:t>
      </w:r>
    </w:p>
    <w:p w14:paraId="44ED3C0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5979031">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供应商应根据自身实际情况如实响应竞争性磋商文件，不得仅将竞争性磋商文件内容简单复制粘贴作为竞标响应，还应当提供相关证明材料，否则将作无效响应处理（定制采购项目不适用本条款）。对于重要技术条款或技术参数应当在响应文件中提供技术支持资料，技术支持资料以竞争性磋商文件中规定的形式为准，否则将视为无效技术支持资料。</w:t>
      </w:r>
    </w:p>
    <w:p w14:paraId="0213241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5.供应商必须自行为其竞标产品侵犯他人的知识产权或者专利成果的行为承担相应法律责任。</w:t>
      </w:r>
    </w:p>
    <w:p w14:paraId="357E9A9A">
      <w:pPr>
        <w:tabs>
          <w:tab w:val="left" w:pos="180"/>
          <w:tab w:val="left" w:pos="1620"/>
        </w:tabs>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.本项目为服务类采购，无核心产品。</w:t>
      </w:r>
    </w:p>
    <w:p w14:paraId="2D592F2E">
      <w:pPr>
        <w:tabs>
          <w:tab w:val="left" w:pos="180"/>
          <w:tab w:val="left" w:pos="1620"/>
        </w:tabs>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7.</w:t>
      </w:r>
      <w:r>
        <w:rPr>
          <w:rFonts w:hint="eastAsia" w:ascii="宋体" w:hAnsi="宋体" w:eastAsia="宋体" w:cs="宋体"/>
          <w:color w:val="auto"/>
          <w:kern w:val="2"/>
          <w:sz w:val="21"/>
          <w:szCs w:val="21"/>
          <w:highlight w:val="none"/>
          <w:lang w:bidi="ar"/>
        </w:rPr>
        <w:t>所属行业</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sz w:val="21"/>
          <w:szCs w:val="21"/>
          <w:highlight w:val="none"/>
        </w:rPr>
        <w:t>其他未列明行业</w:t>
      </w:r>
      <w:r>
        <w:rPr>
          <w:rFonts w:hint="eastAsia" w:ascii="宋体" w:hAnsi="宋体" w:cs="宋体"/>
          <w:b w:val="0"/>
          <w:bCs w:val="0"/>
          <w:color w:val="auto"/>
          <w:szCs w:val="21"/>
          <w:highlight w:val="none"/>
        </w:rPr>
        <w:br w:type="page"/>
      </w:r>
    </w:p>
    <w:tbl>
      <w:tblPr>
        <w:tblStyle w:val="29"/>
        <w:tblW w:w="5000" w:type="pct"/>
        <w:jc w:val="center"/>
        <w:tblLayout w:type="fixed"/>
        <w:tblCellMar>
          <w:top w:w="0" w:type="dxa"/>
          <w:left w:w="108" w:type="dxa"/>
          <w:bottom w:w="0" w:type="dxa"/>
          <w:right w:w="108" w:type="dxa"/>
        </w:tblCellMar>
      </w:tblPr>
      <w:tblGrid>
        <w:gridCol w:w="1101"/>
        <w:gridCol w:w="490"/>
        <w:gridCol w:w="284"/>
        <w:gridCol w:w="797"/>
        <w:gridCol w:w="6423"/>
      </w:tblGrid>
      <w:tr w14:paraId="6A2B63E4">
        <w:tblPrEx>
          <w:tblCellMar>
            <w:top w:w="0" w:type="dxa"/>
            <w:left w:w="108" w:type="dxa"/>
            <w:bottom w:w="0" w:type="dxa"/>
            <w:right w:w="108" w:type="dxa"/>
          </w:tblCellMar>
        </w:tblPrEx>
        <w:trPr>
          <w:trHeight w:val="40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2F1DE236">
            <w:pPr>
              <w:widowControl/>
              <w:spacing w:line="400" w:lineRule="exact"/>
              <w:jc w:val="left"/>
              <w:textAlignment w:val="center"/>
              <w:rPr>
                <w:rFonts w:ascii="宋体" w:hAnsi="宋体" w:cs="宋体"/>
                <w:b/>
                <w:color w:val="auto"/>
                <w:kern w:val="0"/>
                <w:sz w:val="21"/>
                <w:szCs w:val="21"/>
                <w:highlight w:val="none"/>
                <w:lang w:bidi="ar"/>
              </w:rPr>
            </w:pPr>
            <w:bookmarkStart w:id="58" w:name="_Hlk49244316"/>
            <w:bookmarkStart w:id="59" w:name="_Hlk44408151"/>
            <w:r>
              <w:rPr>
                <w:rFonts w:hint="eastAsia" w:ascii="宋体" w:hAnsi="宋体"/>
                <w:b/>
                <w:color w:val="auto"/>
                <w:sz w:val="21"/>
                <w:szCs w:val="21"/>
                <w:highlight w:val="none"/>
              </w:rPr>
              <w:t>一、</w:t>
            </w:r>
            <w:r>
              <w:rPr>
                <w:rFonts w:hint="eastAsia" w:ascii="宋体" w:hAnsi="宋体"/>
                <w:b/>
                <w:color w:val="auto"/>
                <w:sz w:val="21"/>
                <w:szCs w:val="21"/>
                <w:highlight w:val="none"/>
                <w:lang w:val="en-US" w:eastAsia="zh-CN"/>
              </w:rPr>
              <w:t>服务需求</w:t>
            </w:r>
          </w:p>
        </w:tc>
      </w:tr>
      <w:tr w14:paraId="58F19E2E">
        <w:tblPrEx>
          <w:tblCellMar>
            <w:top w:w="0" w:type="dxa"/>
            <w:left w:w="108" w:type="dxa"/>
            <w:bottom w:w="0" w:type="dxa"/>
            <w:right w:w="108" w:type="dxa"/>
          </w:tblCellMar>
        </w:tblPrEx>
        <w:trPr>
          <w:trHeight w:val="609" w:hRule="atLeast"/>
          <w:jc w:val="center"/>
        </w:trPr>
        <w:tc>
          <w:tcPr>
            <w:tcW w:w="605" w:type="pct"/>
            <w:tcBorders>
              <w:top w:val="single" w:color="000000" w:sz="4" w:space="0"/>
              <w:left w:val="single" w:color="000000" w:sz="4" w:space="0"/>
              <w:bottom w:val="single" w:color="000000" w:sz="4" w:space="0"/>
              <w:right w:val="single" w:color="000000" w:sz="4" w:space="0"/>
            </w:tcBorders>
            <w:noWrap w:val="0"/>
            <w:vAlign w:val="center"/>
          </w:tcPr>
          <w:p w14:paraId="465E0D69">
            <w:pPr>
              <w:widowControl/>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标的名称</w:t>
            </w:r>
          </w:p>
        </w:tc>
        <w:tc>
          <w:tcPr>
            <w:tcW w:w="425" w:type="pct"/>
            <w:gridSpan w:val="2"/>
            <w:tcBorders>
              <w:top w:val="single" w:color="000000" w:sz="4" w:space="0"/>
              <w:left w:val="single" w:color="000000" w:sz="4" w:space="0"/>
              <w:bottom w:val="single" w:color="000000" w:sz="4" w:space="0"/>
              <w:right w:val="single" w:color="000000" w:sz="4" w:space="0"/>
            </w:tcBorders>
            <w:noWrap w:val="0"/>
            <w:vAlign w:val="center"/>
          </w:tcPr>
          <w:p w14:paraId="47A6DFC8">
            <w:pPr>
              <w:widowControl/>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数量</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324E420">
            <w:pPr>
              <w:widowControl/>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单位</w:t>
            </w:r>
          </w:p>
        </w:tc>
        <w:tc>
          <w:tcPr>
            <w:tcW w:w="3531" w:type="pct"/>
            <w:tcBorders>
              <w:top w:val="single" w:color="000000" w:sz="4" w:space="0"/>
              <w:left w:val="single" w:color="000000" w:sz="4" w:space="0"/>
              <w:bottom w:val="single" w:color="000000" w:sz="4" w:space="0"/>
              <w:right w:val="single" w:color="000000" w:sz="4" w:space="0"/>
            </w:tcBorders>
            <w:noWrap w:val="0"/>
            <w:vAlign w:val="center"/>
          </w:tcPr>
          <w:p w14:paraId="2667DA33">
            <w:pPr>
              <w:widowControl/>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内容及要求</w:t>
            </w:r>
          </w:p>
        </w:tc>
      </w:tr>
      <w:tr w14:paraId="61D92615">
        <w:tblPrEx>
          <w:tblCellMar>
            <w:top w:w="0" w:type="dxa"/>
            <w:left w:w="108" w:type="dxa"/>
            <w:bottom w:w="0" w:type="dxa"/>
            <w:right w:w="108" w:type="dxa"/>
          </w:tblCellMar>
        </w:tblPrEx>
        <w:trPr>
          <w:trHeight w:val="2218" w:hRule="atLeast"/>
          <w:jc w:val="center"/>
        </w:trPr>
        <w:tc>
          <w:tcPr>
            <w:tcW w:w="605" w:type="pct"/>
            <w:tcBorders>
              <w:top w:val="single" w:color="000000" w:sz="4" w:space="0"/>
              <w:left w:val="single" w:color="000000" w:sz="4" w:space="0"/>
              <w:bottom w:val="single" w:color="000000" w:sz="4" w:space="0"/>
              <w:right w:val="single" w:color="000000" w:sz="4" w:space="0"/>
            </w:tcBorders>
            <w:noWrap w:val="0"/>
            <w:vAlign w:val="center"/>
          </w:tcPr>
          <w:p w14:paraId="5F86A58A">
            <w:pPr>
              <w:spacing w:line="40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b w:val="0"/>
                <w:bCs w:val="0"/>
                <w:color w:val="auto"/>
                <w:sz w:val="21"/>
                <w:szCs w:val="21"/>
                <w:highlight w:val="none"/>
                <w:lang w:eastAsia="zh-CN"/>
              </w:rPr>
              <w:t>人工智能便民医疗服务运营项目</w:t>
            </w:r>
          </w:p>
        </w:tc>
        <w:tc>
          <w:tcPr>
            <w:tcW w:w="425" w:type="pct"/>
            <w:gridSpan w:val="2"/>
            <w:tcBorders>
              <w:top w:val="single" w:color="000000" w:sz="4" w:space="0"/>
              <w:left w:val="single" w:color="000000" w:sz="4" w:space="0"/>
              <w:bottom w:val="single" w:color="000000" w:sz="4" w:space="0"/>
              <w:right w:val="single" w:color="000000" w:sz="4" w:space="0"/>
            </w:tcBorders>
            <w:noWrap w:val="0"/>
            <w:vAlign w:val="center"/>
          </w:tcPr>
          <w:p w14:paraId="3840D4C4">
            <w:pPr>
              <w:widowControl/>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0E95EF3">
            <w:pPr>
              <w:widowControl/>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w:t>
            </w:r>
          </w:p>
        </w:tc>
        <w:tc>
          <w:tcPr>
            <w:tcW w:w="3531" w:type="pct"/>
            <w:tcBorders>
              <w:top w:val="single" w:color="000000" w:sz="4" w:space="0"/>
              <w:left w:val="single" w:color="000000" w:sz="4" w:space="0"/>
              <w:bottom w:val="single" w:color="000000" w:sz="4" w:space="0"/>
              <w:right w:val="single" w:color="000000" w:sz="4" w:space="0"/>
            </w:tcBorders>
            <w:noWrap w:val="0"/>
            <w:vAlign w:val="center"/>
          </w:tcPr>
          <w:p w14:paraId="77D9ADD2">
            <w:pPr>
              <w:widowControl/>
              <w:numPr>
                <w:ilvl w:val="0"/>
                <w:numId w:val="0"/>
              </w:numPr>
              <w:spacing w:line="360" w:lineRule="auto"/>
              <w:ind w:firstLine="422" w:firstLineChars="200"/>
              <w:jc w:val="left"/>
              <w:rPr>
                <w:rFonts w:hint="eastAsia" w:ascii="宋体" w:hAnsi="宋体" w:cs="宋体"/>
                <w:b/>
                <w:bCs/>
                <w:color w:val="auto"/>
                <w:spacing w:val="0"/>
                <w:sz w:val="21"/>
                <w:szCs w:val="21"/>
                <w:highlight w:val="none"/>
              </w:rPr>
            </w:pPr>
            <w:r>
              <w:rPr>
                <w:rFonts w:hint="eastAsia" w:ascii="宋体" w:hAnsi="宋体" w:cs="宋体"/>
                <w:b/>
                <w:bCs/>
                <w:color w:val="auto"/>
                <w:spacing w:val="0"/>
                <w:sz w:val="21"/>
                <w:szCs w:val="21"/>
                <w:highlight w:val="none"/>
                <w:lang w:val="en-US" w:eastAsia="zh-CN"/>
              </w:rPr>
              <w:t>一、</w:t>
            </w:r>
            <w:r>
              <w:rPr>
                <w:rFonts w:hint="eastAsia" w:ascii="宋体" w:hAnsi="宋体" w:cs="宋体"/>
                <w:b/>
                <w:bCs/>
                <w:color w:val="auto"/>
                <w:spacing w:val="0"/>
                <w:sz w:val="21"/>
                <w:szCs w:val="21"/>
                <w:highlight w:val="none"/>
              </w:rPr>
              <w:t>项目背景</w:t>
            </w:r>
          </w:p>
          <w:p w14:paraId="5FBE0C4B">
            <w:pPr>
              <w:widowControl/>
              <w:numPr>
                <w:ilvl w:val="0"/>
                <w:numId w:val="0"/>
              </w:numPr>
              <w:spacing w:line="36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随着科技的飞速发展，医疗行业正加速向智能化、数字化转型。智慧医疗服务已成为提升医院竞争力、优化医疗资源配置、改善患者就医体验的关键举措。</w:t>
            </w:r>
            <w:r>
              <w:rPr>
                <w:rFonts w:hint="eastAsia" w:ascii="宋体" w:hAnsi="宋体" w:cs="宋体"/>
                <w:color w:val="auto"/>
                <w:sz w:val="21"/>
                <w:szCs w:val="21"/>
                <w:highlight w:val="none"/>
                <w:lang w:val="en-US" w:eastAsia="zh-CN" w:bidi="ar"/>
              </w:rPr>
              <w:t>根据</w:t>
            </w:r>
            <w:r>
              <w:rPr>
                <w:rFonts w:hint="eastAsia" w:ascii="宋体" w:hAnsi="宋体" w:cs="宋体"/>
                <w:color w:val="auto"/>
                <w:sz w:val="21"/>
                <w:szCs w:val="21"/>
                <w:highlight w:val="none"/>
                <w:lang w:bidi="ar"/>
              </w:rPr>
              <w:t>2025年</w:t>
            </w:r>
            <w:r>
              <w:rPr>
                <w:rFonts w:hint="eastAsia" w:ascii="宋体" w:hAnsi="宋体" w:cs="宋体"/>
                <w:color w:val="auto"/>
                <w:sz w:val="21"/>
                <w:szCs w:val="21"/>
                <w:highlight w:val="none"/>
                <w:lang w:eastAsia="zh-CN" w:bidi="ar"/>
              </w:rPr>
              <w:t>广西壮族自治区</w:t>
            </w:r>
            <w:r>
              <w:rPr>
                <w:rFonts w:hint="eastAsia" w:ascii="宋体" w:hAnsi="宋体" w:cs="宋体"/>
                <w:color w:val="auto"/>
                <w:sz w:val="21"/>
                <w:szCs w:val="21"/>
                <w:highlight w:val="none"/>
                <w:lang w:bidi="ar"/>
              </w:rPr>
              <w:t>人民政府在加快人工智能高质量发展和大力推动人工智能经济发展的决定精神。广西医科大学附属第二医院作为</w:t>
            </w:r>
            <w:r>
              <w:rPr>
                <w:rFonts w:hint="eastAsia" w:ascii="宋体" w:hAnsi="宋体" w:cs="宋体"/>
                <w:color w:val="auto"/>
                <w:sz w:val="21"/>
                <w:szCs w:val="21"/>
                <w:highlight w:val="none"/>
                <w:lang w:eastAsia="zh-CN" w:bidi="ar"/>
              </w:rPr>
              <w:t>广西壮族自治区</w:t>
            </w:r>
            <w:r>
              <w:rPr>
                <w:rFonts w:hint="eastAsia" w:ascii="宋体" w:hAnsi="宋体" w:cs="宋体"/>
                <w:color w:val="auto"/>
                <w:sz w:val="21"/>
                <w:szCs w:val="21"/>
                <w:highlight w:val="none"/>
                <w:lang w:bidi="ar"/>
              </w:rPr>
              <w:t>重要的医疗机构，有必要紧跟时代潮流，引入先进的人工智能智慧服务</w:t>
            </w:r>
            <w:r>
              <w:rPr>
                <w:rFonts w:hint="eastAsia" w:ascii="宋体" w:hAnsi="宋体" w:cs="宋体"/>
                <w:color w:val="auto"/>
                <w:sz w:val="21"/>
                <w:szCs w:val="21"/>
                <w:highlight w:val="none"/>
                <w:lang w:eastAsia="zh-Hans" w:bidi="ar"/>
              </w:rPr>
              <w:t>和</w:t>
            </w:r>
            <w:r>
              <w:rPr>
                <w:rFonts w:hint="eastAsia" w:ascii="宋体" w:hAnsi="宋体" w:cs="宋体"/>
                <w:color w:val="auto"/>
                <w:sz w:val="21"/>
                <w:szCs w:val="21"/>
                <w:highlight w:val="none"/>
                <w:lang w:bidi="ar"/>
              </w:rPr>
              <w:t>互联网运营能力，开展上门护理、上门检验、营养特医食品供应保障等多项便民服务，以进一步提升医疗服务水平和运营效益。</w:t>
            </w:r>
          </w:p>
          <w:p w14:paraId="14E1B87E">
            <w:pPr>
              <w:widowControl/>
              <w:numPr>
                <w:ilvl w:val="0"/>
                <w:numId w:val="0"/>
              </w:numPr>
              <w:spacing w:line="360" w:lineRule="auto"/>
              <w:ind w:firstLine="422" w:firstLineChars="200"/>
              <w:jc w:val="left"/>
              <w:rPr>
                <w:rFonts w:hint="default" w:ascii="宋体" w:hAnsi="宋体" w:cs="宋体"/>
                <w:color w:val="auto"/>
                <w:sz w:val="21"/>
                <w:szCs w:val="21"/>
                <w:highlight w:val="none"/>
                <w:lang w:val="en-US" w:eastAsia="zh-CN" w:bidi="ar"/>
              </w:rPr>
            </w:pPr>
            <w:r>
              <w:rPr>
                <w:rFonts w:hint="eastAsia" w:ascii="宋体" w:hAnsi="宋体" w:cs="宋体"/>
                <w:b/>
                <w:bCs/>
                <w:color w:val="auto"/>
                <w:sz w:val="21"/>
                <w:szCs w:val="21"/>
                <w:highlight w:val="none"/>
                <w:lang w:val="en-US" w:eastAsia="zh-CN" w:bidi="ar"/>
              </w:rPr>
              <w:t>二、</w:t>
            </w:r>
            <w:r>
              <w:rPr>
                <w:rFonts w:hint="eastAsia" w:ascii="宋体" w:hAnsi="宋体" w:eastAsia="宋体" w:cs="宋体"/>
                <w:b/>
                <w:bCs/>
                <w:color w:val="auto"/>
                <w:spacing w:val="0"/>
                <w:sz w:val="21"/>
                <w:szCs w:val="21"/>
                <w:highlight w:val="none"/>
                <w:lang w:eastAsia="zh-Hans"/>
              </w:rPr>
              <w:t>技术</w:t>
            </w:r>
            <w:r>
              <w:rPr>
                <w:rFonts w:hint="eastAsia" w:ascii="宋体" w:hAnsi="宋体" w:cs="宋体"/>
                <w:b/>
                <w:bCs/>
                <w:color w:val="auto"/>
                <w:spacing w:val="0"/>
                <w:sz w:val="21"/>
                <w:szCs w:val="21"/>
                <w:highlight w:val="none"/>
                <w:lang w:val="en-US" w:eastAsia="zh-CN"/>
              </w:rPr>
              <w:t>服务</w:t>
            </w:r>
            <w:r>
              <w:rPr>
                <w:rFonts w:hint="eastAsia" w:ascii="宋体" w:hAnsi="宋体" w:eastAsia="宋体" w:cs="宋体"/>
                <w:b/>
                <w:bCs/>
                <w:color w:val="auto"/>
                <w:spacing w:val="0"/>
                <w:sz w:val="21"/>
                <w:szCs w:val="21"/>
                <w:highlight w:val="none"/>
                <w:lang w:eastAsia="zh-Hans"/>
              </w:rPr>
              <w:t>要求</w:t>
            </w:r>
          </w:p>
          <w:p w14:paraId="258027AF">
            <w:pPr>
              <w:widowControl/>
              <w:numPr>
                <w:ilvl w:val="0"/>
                <w:numId w:val="0"/>
              </w:numPr>
              <w:spacing w:line="360" w:lineRule="auto"/>
              <w:ind w:firstLine="422" w:firstLineChars="200"/>
              <w:jc w:val="left"/>
              <w:rPr>
                <w:rFonts w:hint="eastAsia" w:asciiTheme="minorEastAsia" w:hAnsiTheme="minorEastAsia" w:eastAsiaTheme="minorEastAsia" w:cstheme="minorEastAsia"/>
                <w:b/>
                <w:bCs/>
                <w:i w:val="0"/>
                <w:iCs w:val="0"/>
                <w:caps w:val="0"/>
                <w:color w:val="auto"/>
                <w:spacing w:val="0"/>
                <w:szCs w:val="21"/>
                <w:highlight w:val="none"/>
                <w:u w:val="none"/>
                <w:lang w:val="en-US" w:eastAsia="zh-CN"/>
              </w:rPr>
            </w:pPr>
            <w:r>
              <w:rPr>
                <w:rFonts w:hint="eastAsia" w:asciiTheme="minorEastAsia" w:hAnsiTheme="minorEastAsia" w:eastAsiaTheme="minorEastAsia" w:cstheme="minorEastAsia"/>
                <w:b/>
                <w:bCs/>
                <w:i w:val="0"/>
                <w:iCs w:val="0"/>
                <w:caps w:val="0"/>
                <w:color w:val="auto"/>
                <w:spacing w:val="0"/>
                <w:szCs w:val="21"/>
                <w:highlight w:val="none"/>
                <w:u w:val="none"/>
                <w:lang w:val="en-US" w:eastAsia="zh-CN"/>
              </w:rPr>
              <w:t>（一）总体要求：</w:t>
            </w:r>
          </w:p>
          <w:p w14:paraId="2F16690A">
            <w:pPr>
              <w:numPr>
                <w:ilvl w:val="0"/>
                <w:numId w:val="0"/>
              </w:numPr>
              <w:spacing w:line="360" w:lineRule="auto"/>
              <w:ind w:firstLine="420" w:firstLineChars="200"/>
              <w:rPr>
                <w:rFonts w:hint="eastAsia" w:ascii="宋体" w:hAnsi="宋体" w:cs="宋体"/>
                <w:i w:val="0"/>
                <w:iCs w:val="0"/>
                <w:caps w:val="0"/>
                <w:color w:val="auto"/>
                <w:spacing w:val="0"/>
                <w:szCs w:val="21"/>
                <w:highlight w:val="none"/>
                <w:u w:val="none"/>
                <w:lang w:val="en-US" w:eastAsia="zh-CN"/>
              </w:rPr>
            </w:pPr>
            <w:r>
              <w:rPr>
                <w:rFonts w:hint="eastAsia" w:ascii="宋体" w:hAnsi="宋体" w:cs="宋体"/>
                <w:color w:val="auto"/>
                <w:szCs w:val="21"/>
                <w:highlight w:val="none"/>
              </w:rPr>
              <w:t>▲</w:t>
            </w:r>
            <w:r>
              <w:rPr>
                <w:rFonts w:hint="eastAsia" w:ascii="宋体" w:hAnsi="宋体" w:cs="宋体"/>
                <w:i w:val="0"/>
                <w:iCs w:val="0"/>
                <w:caps w:val="0"/>
                <w:color w:val="auto"/>
                <w:spacing w:val="0"/>
                <w:szCs w:val="21"/>
                <w:highlight w:val="none"/>
                <w:u w:val="none"/>
                <w:lang w:val="en-US" w:eastAsia="zh-CN"/>
              </w:rPr>
              <w:t>派项目组进行驻场，且能长期有效地负责本项目的实施和维护工作。</w:t>
            </w:r>
          </w:p>
          <w:p w14:paraId="007F6974">
            <w:pPr>
              <w:numPr>
                <w:ilvl w:val="0"/>
                <w:numId w:val="0"/>
              </w:numPr>
              <w:spacing w:line="360" w:lineRule="auto"/>
              <w:ind w:firstLine="420" w:firstLineChars="200"/>
              <w:rPr>
                <w:rFonts w:hint="eastAsia" w:ascii="宋体" w:hAnsi="宋体" w:cs="宋体"/>
                <w:i w:val="0"/>
                <w:iCs w:val="0"/>
                <w:caps w:val="0"/>
                <w:color w:val="auto"/>
                <w:spacing w:val="0"/>
                <w:szCs w:val="21"/>
                <w:highlight w:val="none"/>
                <w:u w:val="none"/>
                <w:lang w:val="en-US" w:eastAsia="zh-CN"/>
              </w:rPr>
            </w:pPr>
            <w:r>
              <w:rPr>
                <w:rFonts w:hint="eastAsia" w:ascii="宋体" w:hAnsi="宋体" w:cs="宋体"/>
                <w:color w:val="auto"/>
                <w:szCs w:val="21"/>
                <w:highlight w:val="none"/>
              </w:rPr>
              <w:t>▲</w:t>
            </w:r>
            <w:r>
              <w:rPr>
                <w:rFonts w:hint="eastAsia" w:ascii="宋体" w:hAnsi="宋体" w:cs="宋体"/>
                <w:color w:val="auto"/>
                <w:sz w:val="21"/>
                <w:szCs w:val="21"/>
                <w:highlight w:val="none"/>
                <w:u w:val="none"/>
                <w:lang w:val="en-US" w:eastAsia="zh-CN"/>
              </w:rPr>
              <w:t>供应商</w:t>
            </w:r>
            <w:r>
              <w:rPr>
                <w:rFonts w:hint="eastAsia" w:ascii="宋体" w:hAnsi="宋体" w:cs="宋体"/>
                <w:i w:val="0"/>
                <w:iCs w:val="0"/>
                <w:caps w:val="0"/>
                <w:color w:val="auto"/>
                <w:spacing w:val="0"/>
                <w:szCs w:val="21"/>
                <w:highlight w:val="none"/>
                <w:u w:val="none"/>
                <w:lang w:val="en-US" w:eastAsia="zh-CN"/>
              </w:rPr>
              <w:t>需为所投产品的原生产厂家，承诺提供原厂运营、交付、售后服务，项目不得分包转包。</w:t>
            </w:r>
          </w:p>
          <w:p w14:paraId="0D8F1F5A">
            <w:pPr>
              <w:numPr>
                <w:ilvl w:val="0"/>
                <w:numId w:val="0"/>
              </w:numPr>
              <w:spacing w:line="360" w:lineRule="auto"/>
              <w:ind w:firstLine="420" w:firstLineChars="200"/>
              <w:rPr>
                <w:rFonts w:hint="eastAsia" w:ascii="宋体" w:hAnsi="宋体" w:eastAsia="宋体" w:cs="宋体"/>
                <w:i w:val="0"/>
                <w:iCs w:val="0"/>
                <w:caps w:val="0"/>
                <w:color w:val="auto"/>
                <w:spacing w:val="0"/>
                <w:szCs w:val="21"/>
                <w:highlight w:val="none"/>
                <w:u w:val="none"/>
                <w:lang w:val="en-US" w:eastAsia="zh-CN"/>
              </w:rPr>
            </w:pPr>
            <w:r>
              <w:rPr>
                <w:rFonts w:hint="default" w:ascii="宋体" w:hAnsi="宋体" w:eastAsia="宋体" w:cs="宋体"/>
                <w:color w:val="auto"/>
                <w:kern w:val="0"/>
                <w:szCs w:val="21"/>
                <w:highlight w:val="none"/>
                <w:lang w:bidi="ar"/>
              </w:rPr>
              <w:t>●</w:t>
            </w:r>
            <w:r>
              <w:rPr>
                <w:rFonts w:hint="eastAsia" w:ascii="宋体" w:hAnsi="宋体" w:cs="宋体"/>
                <w:color w:val="auto"/>
                <w:sz w:val="21"/>
                <w:szCs w:val="21"/>
                <w:highlight w:val="none"/>
                <w:u w:val="none"/>
                <w:lang w:val="en-US" w:eastAsia="zh-CN"/>
              </w:rPr>
              <w:t>供应商</w:t>
            </w:r>
            <w:r>
              <w:rPr>
                <w:rFonts w:hint="eastAsia" w:ascii="宋体" w:hAnsi="宋体" w:cs="宋体"/>
                <w:i w:val="0"/>
                <w:iCs w:val="0"/>
                <w:caps w:val="0"/>
                <w:color w:val="auto"/>
                <w:spacing w:val="0"/>
                <w:szCs w:val="21"/>
                <w:highlight w:val="none"/>
                <w:u w:val="none"/>
                <w:lang w:val="en-US" w:eastAsia="zh-CN"/>
              </w:rPr>
              <w:t>在</w:t>
            </w:r>
            <w:r>
              <w:rPr>
                <w:rFonts w:hint="eastAsia" w:ascii="宋体" w:hAnsi="宋体" w:cs="宋体"/>
                <w:color w:val="auto"/>
                <w:sz w:val="21"/>
                <w:szCs w:val="21"/>
                <w:highlight w:val="none"/>
                <w:lang w:val="en-US" w:eastAsia="zh-CN"/>
              </w:rPr>
              <w:t>具备安全等保经验</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可</w:t>
            </w:r>
            <w:r>
              <w:rPr>
                <w:rFonts w:hint="eastAsia" w:ascii="宋体" w:hAnsi="宋体" w:cs="宋体"/>
                <w:color w:val="auto"/>
                <w:sz w:val="21"/>
                <w:szCs w:val="21"/>
                <w:highlight w:val="none"/>
              </w:rPr>
              <w:t>提供</w:t>
            </w:r>
            <w:r>
              <w:rPr>
                <w:rFonts w:hint="eastAsia" w:ascii="宋体" w:hAnsi="宋体" w:cs="宋体"/>
                <w:color w:val="auto"/>
                <w:sz w:val="21"/>
                <w:szCs w:val="21"/>
                <w:highlight w:val="none"/>
                <w:lang w:val="en-US" w:eastAsia="zh-CN"/>
              </w:rPr>
              <w:t>既往</w:t>
            </w:r>
            <w:r>
              <w:rPr>
                <w:rFonts w:hint="eastAsia" w:ascii="宋体" w:hAnsi="宋体" w:cs="宋体"/>
                <w:color w:val="auto"/>
                <w:sz w:val="21"/>
                <w:szCs w:val="21"/>
                <w:highlight w:val="none"/>
              </w:rPr>
              <w:t>承建项目中信息系统通过安全等级保护三级及以上备案的证明材料的</w:t>
            </w:r>
            <w:r>
              <w:rPr>
                <w:rFonts w:hint="eastAsia" w:ascii="宋体" w:hAnsi="宋体" w:cs="宋体"/>
                <w:color w:val="auto"/>
                <w:sz w:val="21"/>
                <w:szCs w:val="21"/>
                <w:highlight w:val="none"/>
                <w:lang w:eastAsia="zh-CN"/>
              </w:rPr>
              <w:t>。</w:t>
            </w:r>
          </w:p>
          <w:p w14:paraId="6E3BE2F9">
            <w:pPr>
              <w:widowControl/>
              <w:numPr>
                <w:ilvl w:val="0"/>
                <w:numId w:val="0"/>
              </w:numPr>
              <w:spacing w:line="360" w:lineRule="auto"/>
              <w:ind w:firstLine="420" w:firstLineChars="200"/>
              <w:jc w:val="left"/>
              <w:rPr>
                <w:rFonts w:hint="eastAsia" w:ascii="宋体" w:hAnsi="宋体" w:eastAsia="宋体" w:cs="宋体"/>
                <w:b w:val="0"/>
                <w:bCs w:val="0"/>
                <w:color w:val="auto"/>
                <w:szCs w:val="21"/>
                <w:highlight w:val="none"/>
                <w:lang w:eastAsia="zh-CN"/>
              </w:rPr>
            </w:pPr>
            <w:r>
              <w:rPr>
                <w:rFonts w:hint="default" w:ascii="宋体" w:hAnsi="宋体" w:eastAsia="宋体" w:cs="宋体"/>
                <w:color w:val="auto"/>
                <w:kern w:val="0"/>
                <w:szCs w:val="21"/>
                <w:highlight w:val="none"/>
                <w:lang w:bidi="ar"/>
              </w:rPr>
              <w:t>●</w:t>
            </w:r>
            <w:r>
              <w:rPr>
                <w:rFonts w:hint="eastAsia" w:ascii="宋体" w:hAnsi="宋体" w:cs="宋体"/>
                <w:color w:val="auto"/>
                <w:sz w:val="21"/>
                <w:szCs w:val="21"/>
                <w:highlight w:val="none"/>
                <w:u w:val="none"/>
                <w:lang w:val="en-US" w:eastAsia="zh-CN"/>
              </w:rPr>
              <w:t>供应商</w:t>
            </w:r>
            <w:r>
              <w:rPr>
                <w:rFonts w:hint="eastAsia" w:ascii="宋体" w:hAnsi="宋体" w:cs="宋体"/>
                <w:color w:val="auto"/>
                <w:szCs w:val="21"/>
                <w:highlight w:val="none"/>
                <w:lang w:val="en-US" w:eastAsia="zh-CN"/>
              </w:rPr>
              <w:t>所投产品满足信创要求，</w:t>
            </w:r>
            <w:r>
              <w:rPr>
                <w:rFonts w:hint="eastAsia" w:ascii="宋体" w:hAnsi="宋体" w:cs="宋体"/>
                <w:color w:val="auto"/>
                <w:sz w:val="21"/>
                <w:szCs w:val="21"/>
                <w:highlight w:val="none"/>
                <w:lang w:val="en-US" w:eastAsia="zh-CN"/>
              </w:rPr>
              <w:t>可</w:t>
            </w:r>
            <w:r>
              <w:rPr>
                <w:rFonts w:hint="eastAsia" w:ascii="宋体" w:hAnsi="宋体" w:cs="宋体"/>
                <w:color w:val="auto"/>
                <w:sz w:val="21"/>
                <w:szCs w:val="21"/>
                <w:highlight w:val="none"/>
              </w:rPr>
              <w:t>提供适配报告</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份</w:t>
            </w:r>
            <w:r>
              <w:rPr>
                <w:rFonts w:hint="eastAsia" w:ascii="宋体" w:hAnsi="宋体" w:cs="宋体"/>
                <w:color w:val="auto"/>
                <w:sz w:val="21"/>
                <w:szCs w:val="21"/>
                <w:highlight w:val="none"/>
                <w:lang w:val="en-US" w:eastAsia="zh-CN"/>
              </w:rPr>
              <w:t>及以上</w:t>
            </w:r>
            <w:r>
              <w:rPr>
                <w:rFonts w:hint="eastAsia" w:ascii="宋体" w:hAnsi="宋体" w:cs="宋体"/>
                <w:color w:val="auto"/>
                <w:sz w:val="21"/>
                <w:szCs w:val="21"/>
                <w:highlight w:val="none"/>
              </w:rPr>
              <w:t>适配证书</w:t>
            </w:r>
            <w:r>
              <w:rPr>
                <w:rFonts w:hint="eastAsia" w:ascii="宋体" w:hAnsi="宋体" w:cs="宋体"/>
                <w:color w:val="auto"/>
                <w:sz w:val="21"/>
                <w:szCs w:val="21"/>
                <w:highlight w:val="none"/>
                <w:lang w:eastAsia="zh-CN"/>
              </w:rPr>
              <w:t>。</w:t>
            </w:r>
          </w:p>
          <w:p w14:paraId="29D6849E">
            <w:pPr>
              <w:widowControl/>
              <w:numPr>
                <w:ilvl w:val="0"/>
                <w:numId w:val="0"/>
              </w:numPr>
              <w:spacing w:line="360" w:lineRule="auto"/>
              <w:ind w:firstLine="422" w:firstLineChars="200"/>
              <w:jc w:val="left"/>
              <w:rPr>
                <w:rFonts w:hint="eastAsia" w:ascii="宋体" w:hAnsi="宋体" w:cs="宋体"/>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二</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主入口</w:t>
            </w:r>
          </w:p>
          <w:p w14:paraId="0C632811">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1.欢迎语：在患者访问时应主动发送欢迎语引导患者使用，系统应具备自定义欢迎语功能，并且欢迎语信息需根据不同时间段、患者类型等自动调整，贴合患者需求。</w:t>
            </w:r>
          </w:p>
          <w:p w14:paraId="2CE60C18">
            <w:pPr>
              <w:widowControl/>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Hans"/>
              </w:rPr>
              <w:t>.</w:t>
            </w:r>
            <w:r>
              <w:rPr>
                <w:rFonts w:hint="eastAsia" w:ascii="宋体" w:hAnsi="宋体" w:cs="宋体"/>
                <w:color w:val="auto"/>
                <w:szCs w:val="21"/>
                <w:highlight w:val="none"/>
              </w:rPr>
              <w:t>就诊人管理：维护就诊人信息，</w:t>
            </w:r>
            <w:r>
              <w:rPr>
                <w:rFonts w:hint="eastAsia" w:ascii="宋体" w:hAnsi="宋体" w:cs="宋体"/>
                <w:color w:val="auto"/>
                <w:szCs w:val="21"/>
                <w:highlight w:val="none"/>
                <w:lang w:val="en-US" w:eastAsia="zh-CN"/>
              </w:rPr>
              <w:t>支持快捷切换就诊人，与医院官微小程序、HIS保持就诊人信息实时同步。</w:t>
            </w:r>
          </w:p>
          <w:p w14:paraId="6D174281">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Hans"/>
              </w:rPr>
              <w:t>.</w:t>
            </w:r>
            <w:r>
              <w:rPr>
                <w:rFonts w:hint="eastAsia" w:ascii="宋体" w:hAnsi="宋体" w:cs="宋体"/>
                <w:color w:val="auto"/>
                <w:szCs w:val="21"/>
                <w:highlight w:val="none"/>
              </w:rPr>
              <w:t>数字助手：支持通过文字输入、语音转文字的方式与数字助手进行对话，依托大模型底座算法能力识别用户问诊、挂号、开药、检查检验申请、院内服务咨询等不同意图，调用不同智能体完成相应的动作。同时支持自定义指令词/意图对应的动作，实现自定义指令下回复特定文案或推荐特定的内部功能服务。</w:t>
            </w:r>
          </w:p>
          <w:p w14:paraId="2C44F6AF">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Hans"/>
              </w:rPr>
              <w:t>.</w:t>
            </w:r>
            <w:r>
              <w:rPr>
                <w:rFonts w:hint="eastAsia" w:ascii="宋体" w:hAnsi="宋体" w:cs="宋体"/>
                <w:color w:val="auto"/>
                <w:szCs w:val="21"/>
                <w:highlight w:val="none"/>
              </w:rPr>
              <w:t>功能引导：在主入口配置常用的功能入口并挂载医院现有功能链接，实现医院功能入口统一管理。针对首次访问用户，提供引导模式，对基本使用方法进行说明。</w:t>
            </w:r>
          </w:p>
          <w:p w14:paraId="45AA09E8">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Hans"/>
              </w:rPr>
              <w:t>.</w:t>
            </w:r>
            <w:r>
              <w:rPr>
                <w:rFonts w:hint="eastAsia" w:ascii="宋体" w:hAnsi="宋体" w:cs="宋体"/>
                <w:color w:val="auto"/>
                <w:szCs w:val="21"/>
                <w:highlight w:val="none"/>
              </w:rPr>
              <w:t>系统需借助大模型能力准确识别患者表述的意图，转变传统的关键词匹配/正则表达式等方式，更好地解读患者表达的信息，为患者提供准确、贴心的服务。</w:t>
            </w:r>
          </w:p>
          <w:p w14:paraId="4D0FB437">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szCs w:val="21"/>
                <w:highlight w:val="none"/>
              </w:rPr>
              <w:t>6.多样化意图识别：系统需支持借助大模型更好地识别患者的自然语言和口语化描述，根据患者的表述识别患者在就医过程中的多样化意图，如挂号、开检查检验单、就医咨询、检查/体检预约等意图的识别。</w:t>
            </w:r>
          </w:p>
          <w:p w14:paraId="7351778E">
            <w:pPr>
              <w:widowControl/>
              <w:numPr>
                <w:ilvl w:val="-1"/>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精准化服务推送：系统需根据识别的结果为患者推送对应的服务，如识别患者检查检验/购药/体检等开单意图并提供开单功能入口；需支持识别医院信息咨询意图，推荐咨询电话；需支持识别检查/体检预约改约意图，推荐检查预约/体检预约入口。</w:t>
            </w:r>
          </w:p>
          <w:p w14:paraId="335C432E">
            <w:pPr>
              <w:widowControl/>
              <w:numPr>
                <w:ilvl w:val="0"/>
                <w:numId w:val="0"/>
              </w:numPr>
              <w:spacing w:line="360" w:lineRule="auto"/>
              <w:ind w:firstLine="422"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三</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AI预就诊</w:t>
            </w:r>
          </w:p>
          <w:p w14:paraId="2F804569">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1.多轮问诊</w:t>
            </w:r>
          </w:p>
          <w:p w14:paraId="7BB7930F">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（1）文字输入：需支持患者文字自由输入病情症状。</w:t>
            </w:r>
          </w:p>
          <w:p w14:paraId="342C8E6C">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（2）语音输入：需支持患者语音自由输入病情症状。</w:t>
            </w:r>
          </w:p>
          <w:p w14:paraId="1CD6B929">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（3）图片上传：需支持患者上传体征图片和历史病情报告。</w:t>
            </w:r>
          </w:p>
          <w:p w14:paraId="5A1B2DC5">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多轮对话：需支持与患者进行多轮交互问诊，全面了解患者症状、病史等信息，为患者是否需要到院就诊、推荐合适的就诊科室与擅长该领域医生等场景提供决策支持。在对话过程中通过引导式对话流程控制和状态跟踪，根据识别到的需求和问题类型来控制对话的流程和状态，保持对话流畅。</w:t>
            </w:r>
          </w:p>
          <w:p w14:paraId="6587C0D9">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（5）意见反馈：支持用户在使用系统时对输出内容进行反馈，点赞（对此条回复满意）或点踩（对此条回复不满意）。</w:t>
            </w:r>
          </w:p>
          <w:p w14:paraId="72D4B713">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szCs w:val="21"/>
                <w:highlight w:val="none"/>
              </w:rPr>
              <w:t>2.科室医生推荐</w:t>
            </w:r>
          </w:p>
          <w:p w14:paraId="7CFFFE1C">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科室挂号：支持患者输入科室名称，系统推荐相关医生号源。</w:t>
            </w:r>
          </w:p>
          <w:p w14:paraId="41CD7C3B">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医生挂号：支持患者输入医生姓名，系统推荐相关号源。</w:t>
            </w:r>
          </w:p>
          <w:p w14:paraId="7A4954D3">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疾病挂号：支持患者输入疾病名称，系统推荐相关科室和医生。</w:t>
            </w:r>
          </w:p>
          <w:p w14:paraId="2675010F">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症状挂号：支持患者输入症状，系统推荐相关科室和医生。</w:t>
            </w:r>
          </w:p>
          <w:p w14:paraId="084E2C29">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服务挂号：支持患者输入服务类型，系统推荐相关号源。</w:t>
            </w:r>
          </w:p>
          <w:p w14:paraId="3792B066">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szCs w:val="21"/>
                <w:highlight w:val="none"/>
              </w:rPr>
              <w:t>3.患者分流</w:t>
            </w:r>
          </w:p>
          <w:p w14:paraId="30CC8A6B">
            <w:pPr>
              <w:widowControl/>
              <w:numPr>
                <w:ilvl w:val="0"/>
                <w:numId w:val="2"/>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系统应具备智能分流规则，根据患者病情和需求进行分流。</w:t>
            </w:r>
          </w:p>
          <w:p w14:paraId="67839897">
            <w:pPr>
              <w:widowControl/>
              <w:numPr>
                <w:ilvl w:val="0"/>
                <w:numId w:val="2"/>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线上分流：支持患者线上分流，推荐线上就医渠道。</w:t>
            </w:r>
          </w:p>
          <w:p w14:paraId="5E6786DF">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(3)线下分流：支持患者线下分流，推荐线下就医渠道。</w:t>
            </w:r>
          </w:p>
          <w:p w14:paraId="36AE2A2F">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4.无感预约</w:t>
            </w:r>
          </w:p>
          <w:p w14:paraId="38CBD8B9">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（1）预约卡片：患者确认系统推荐的科室/医生，自动生成预约卡片。</w:t>
            </w:r>
          </w:p>
          <w:p w14:paraId="0F0CE0EC">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szCs w:val="21"/>
                <w:highlight w:val="none"/>
              </w:rPr>
              <w:t>（2）全流程服务：系统需提供预约挂号全流程服务，从科室医生推荐到挂号、预约成功全流程支持，无需跳出本系统。</w:t>
            </w:r>
          </w:p>
          <w:p w14:paraId="2A80EC6B">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szCs w:val="21"/>
                <w:highlight w:val="none"/>
              </w:rPr>
              <w:t>5.系统配置</w:t>
            </w:r>
          </w:p>
          <w:p w14:paraId="785CCE2E">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排序配置：支持医生推荐策略配置。</w:t>
            </w:r>
          </w:p>
          <w:p w14:paraId="3593DD78">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功能模块开关：医院可自行灵活开关/配置涉及的部分功能模块。</w:t>
            </w:r>
          </w:p>
          <w:p w14:paraId="370811AC">
            <w:pPr>
              <w:widowControl/>
              <w:numPr>
                <w:ilvl w:val="-1"/>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患者分流配置：支持线上线下分流规则配置。</w:t>
            </w:r>
          </w:p>
          <w:p w14:paraId="0EF0990B">
            <w:pPr>
              <w:widowControl/>
              <w:numPr>
                <w:ilvl w:val="0"/>
                <w:numId w:val="0"/>
              </w:numPr>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大模型底座</w:t>
            </w:r>
          </w:p>
          <w:p w14:paraId="542E1653">
            <w:pPr>
              <w:widowControl/>
              <w:numPr>
                <w:ilvl w:val="-1"/>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依托大模型为系统提供意图识别、智能分诊、病历生成、算法推荐等能力。</w:t>
            </w:r>
          </w:p>
          <w:p w14:paraId="62250CE9">
            <w:pPr>
              <w:widowControl/>
              <w:numPr>
                <w:ilvl w:val="0"/>
                <w:numId w:val="0"/>
              </w:numPr>
              <w:spacing w:line="360" w:lineRule="auto"/>
              <w:ind w:firstLine="422" w:firstLineChars="200"/>
              <w:jc w:val="left"/>
              <w:rPr>
                <w:rFonts w:hint="eastAsia" w:ascii="宋体" w:hAnsi="宋体" w:cs="宋体"/>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五</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病史采集</w:t>
            </w:r>
          </w:p>
          <w:p w14:paraId="64148B87">
            <w:pPr>
              <w:widowControl/>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病情收集：基于大模型问答，收集用户病情，包括主诉、现病史、既往史、过敏史、历史检查检验报告等。</w:t>
            </w:r>
          </w:p>
          <w:p w14:paraId="7ADAD4A6">
            <w:pPr>
              <w:widowControl/>
              <w:numPr>
                <w:ilvl w:val="-1"/>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前病历生成：基于收集的病情内容通过大模型生成结构化门诊电子病历。</w:t>
            </w:r>
          </w:p>
          <w:p w14:paraId="7FB544EA">
            <w:pPr>
              <w:widowControl/>
              <w:numPr>
                <w:ilvl w:val="-1"/>
                <w:numId w:val="0"/>
              </w:numPr>
              <w:spacing w:line="360" w:lineRule="auto"/>
              <w:ind w:firstLine="422" w:firstLineChars="200"/>
              <w:jc w:val="left"/>
              <w:rPr>
                <w:rFonts w:hint="eastAsia" w:ascii="宋体" w:hAnsi="宋体" w:cs="宋体"/>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六</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智能客服</w:t>
            </w:r>
          </w:p>
          <w:p w14:paraId="6088FE9B">
            <w:pPr>
              <w:widowControl/>
              <w:numPr>
                <w:ilvl w:val="-1"/>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信息咨询：基于医院本地知识库和大语言模型搭建医院专属智能客服能力，</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支持用户通过文字对话的方式咨询医院相关挂号规则、缴费方式、检查检验须知、流程咨询等内容。</w:t>
            </w:r>
          </w:p>
          <w:p w14:paraId="1CA8A761">
            <w:pPr>
              <w:widowControl/>
              <w:numPr>
                <w:ilvl w:val="0"/>
                <w:numId w:val="0"/>
              </w:numPr>
              <w:spacing w:line="360" w:lineRule="auto"/>
              <w:ind w:firstLine="426" w:firstLineChars="202"/>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七</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诊后管理</w:t>
            </w:r>
          </w:p>
          <w:p w14:paraId="2B3A23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诊后小结：在就医完成后完成自动生成就医小结，提供报告查阅、健康宣教、费用清单等并及时推送给患者。</w:t>
            </w:r>
          </w:p>
          <w:p w14:paraId="7897B38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用药管理：根据处方自动生成用药计划。根据用药计划，提醒用户每日计划执行及记录避免漏服错服。</w:t>
            </w:r>
          </w:p>
          <w:p w14:paraId="4652E2B6">
            <w:pPr>
              <w:widowControl/>
              <w:numPr>
                <w:ilvl w:val="-1"/>
                <w:numId w:val="0"/>
              </w:num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cs="宋体"/>
                <w:color w:val="auto"/>
                <w:szCs w:val="21"/>
                <w:highlight w:val="none"/>
              </w:rPr>
              <w:t>数字医生追问：由AI数字医生提供7×24小时诊后问题咨询服务。</w:t>
            </w:r>
          </w:p>
          <w:p w14:paraId="2C8FA772">
            <w:pPr>
              <w:widowControl/>
              <w:numPr>
                <w:ilvl w:val="0"/>
                <w:numId w:val="0"/>
              </w:numPr>
              <w:spacing w:line="360" w:lineRule="auto"/>
              <w:ind w:firstLine="426" w:firstLineChars="202"/>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八</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智能检验</w:t>
            </w:r>
          </w:p>
          <w:p w14:paraId="4FD5B03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智能检验卡片:需支持通过智能检验卡片为患者推送上门检验服务</w:t>
            </w:r>
          </w:p>
          <w:p w14:paraId="14B50B60">
            <w:pPr>
              <w:spacing w:line="360" w:lineRule="auto"/>
              <w:ind w:firstLine="420" w:firstLineChars="200"/>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cs="宋体"/>
                <w:color w:val="auto"/>
                <w:szCs w:val="21"/>
                <w:highlight w:val="none"/>
              </w:rPr>
              <w:t>线下就医检验套餐推荐：患者在医院完成检验项目支付后，如有当天来不及做或不符合空腹检测条件的项目，系统判断该项目是否可由护士上门服务，如可上门则推荐预约上门服务</w:t>
            </w:r>
          </w:p>
          <w:p w14:paraId="260B87F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线上就医检验套餐推荐：</w:t>
            </w:r>
          </w:p>
          <w:p w14:paraId="7337771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（1）线上自助开单：患者通过互联网医院线上自助开单并支付检验费用后，系统判断该项目是否可由护士上门服务，如可上门则推荐预约上门服务</w:t>
            </w:r>
          </w:p>
          <w:p w14:paraId="07AC7251">
            <w:pPr>
              <w:spacing w:line="360" w:lineRule="auto"/>
              <w:ind w:firstLine="424" w:firstLineChars="202"/>
              <w:jc w:val="left"/>
              <w:rPr>
                <w:rFonts w:hint="eastAsia" w:ascii="宋体" w:hAnsi="宋体" w:cs="宋体"/>
                <w:color w:val="auto"/>
                <w:szCs w:val="21"/>
                <w:highlight w:val="none"/>
              </w:rPr>
            </w:pPr>
            <w:r>
              <w:rPr>
                <w:rFonts w:hint="eastAsia"/>
                <w:color w:val="auto"/>
                <w:highlight w:val="none"/>
              </w:rPr>
              <w:t>（2）检验上门预约服务：对于慢性疾病需要复检复查的患者、需求明确的专病体检患者，患者可通过主入口，系统推送医院互联网医院进行自助开单服务卡，完成自助开单后，如可上门则推荐预约上门服务和费用支付。互联网医院线上就诊的患者，医生依托医院互联网医院功能为患者开具检验申请单和检验费用支付，系统判断该项目是否可由护士上门服务，如可上门则推荐预约上门服务，进行上门费用支付和上门预约。</w:t>
            </w:r>
          </w:p>
          <w:p w14:paraId="11D80A0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护士上门预约：需支持患者通过检验套餐及项目推荐，完成线上预约。通过小程序进行预约订单填写并完成线上支付</w:t>
            </w:r>
          </w:p>
          <w:p w14:paraId="553D0BC4">
            <w:pPr>
              <w:spacing w:line="360" w:lineRule="auto"/>
              <w:ind w:firstLine="424" w:firstLineChars="202"/>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kern w:val="0"/>
                <w:sz w:val="20"/>
                <w:szCs w:val="20"/>
                <w:highlight w:val="none"/>
                <w:lang w:val="en-US" w:eastAsia="zh-CN"/>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订单跟踪：需支持显示下单预约到查看报告全流程，用户可实时查看检验进展，包括系统派单、护士接单、护士上门采样、样本配送到院、医院实验室检验等。</w:t>
            </w:r>
          </w:p>
          <w:p w14:paraId="149AB9E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报告查看：对送检到实验室的项目，提供检验报告查看回传入口，需支持在线报告查询</w:t>
            </w:r>
          </w:p>
          <w:p w14:paraId="1E216FE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订单列表：需支持患者订单管理，含可预约上门的订单待支付及进入到服务节点的订单列表</w:t>
            </w:r>
          </w:p>
          <w:p w14:paraId="1150D6E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订单详情：需支持患者进行订单详情查看</w:t>
            </w:r>
          </w:p>
          <w:p w14:paraId="1210D2A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报告详情：需支持患者通过订单进行报告详情查看</w:t>
            </w:r>
          </w:p>
          <w:p w14:paraId="1F260F2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套餐管理：可进行预约的检验项目及套餐管理</w:t>
            </w:r>
          </w:p>
          <w:p w14:paraId="4927F05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订单管理：需支持查询订单列表及详情页面，支持后台进行退费管理</w:t>
            </w:r>
          </w:p>
          <w:p w14:paraId="1E99151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检验套餐及项目对接：检验套餐及项目对接，支付状态同步执行护士回显及报告查询</w:t>
            </w:r>
          </w:p>
          <w:p w14:paraId="4E9B3AD7">
            <w:pPr>
              <w:widowControl/>
              <w:numPr>
                <w:ilvl w:val="-1"/>
                <w:numId w:val="0"/>
              </w:num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患者通知：需支持通过短信、</w:t>
            </w:r>
            <w:r>
              <w:rPr>
                <w:rFonts w:hint="eastAsia"/>
                <w:color w:val="auto"/>
                <w:highlight w:val="none"/>
                <w:lang w:val="en-US" w:eastAsia="zh-CN"/>
              </w:rPr>
              <w:t>公众号</w:t>
            </w:r>
            <w:r>
              <w:rPr>
                <w:rFonts w:hint="eastAsia" w:ascii="宋体" w:hAnsi="宋体" w:cs="宋体"/>
                <w:color w:val="auto"/>
                <w:szCs w:val="21"/>
                <w:highlight w:val="none"/>
              </w:rPr>
              <w:t>消息对接，对患者进行通知</w:t>
            </w:r>
            <w:r>
              <w:rPr>
                <w:rFonts w:hint="eastAsia" w:ascii="宋体" w:hAnsi="宋体" w:cs="宋体"/>
                <w:color w:val="auto"/>
                <w:szCs w:val="21"/>
                <w:highlight w:val="none"/>
                <w:lang w:eastAsia="zh-CN"/>
              </w:rPr>
              <w:t>。</w:t>
            </w:r>
          </w:p>
          <w:p w14:paraId="2CAC148E">
            <w:pPr>
              <w:widowControl/>
              <w:numPr>
                <w:ilvl w:val="0"/>
                <w:numId w:val="0"/>
              </w:numPr>
              <w:spacing w:line="360" w:lineRule="auto"/>
              <w:ind w:firstLine="426" w:firstLineChars="202"/>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九</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营养管理</w:t>
            </w:r>
          </w:p>
          <w:p w14:paraId="05E00D1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住院-出院营养计划推送：</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住院医生开立出院营养处方后，通过主入口消息/微信消息推送患者。</w:t>
            </w:r>
          </w:p>
          <w:p w14:paraId="0D4F8BC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门诊-营养计划推送：</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门诊医生开立营养处方后，通过主入口消息/微信消息推送患者。</w:t>
            </w:r>
          </w:p>
          <w:p w14:paraId="7AD61A9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处方线上支付：</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支持患者在线上自费支付特医食处方金额到医院。</w:t>
            </w:r>
          </w:p>
          <w:p w14:paraId="26CD1AB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每日营养提醒：</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主入口消息/微信消息推送每日营养提醒。</w:t>
            </w:r>
          </w:p>
          <w:p w14:paraId="2C381F6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续方提醒：</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主入口消息/微信消息推送续方提醒。</w:t>
            </w:r>
          </w:p>
          <w:p w14:paraId="7A53D124">
            <w:pPr>
              <w:spacing w:line="360" w:lineRule="auto"/>
              <w:ind w:firstLine="424" w:firstLineChars="202"/>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kern w:val="0"/>
                <w:sz w:val="20"/>
                <w:szCs w:val="20"/>
                <w:highlight w:val="none"/>
                <w:lang w:val="en-US" w:eastAsia="zh-CN"/>
              </w:rPr>
              <w:t>6.</w:t>
            </w:r>
            <w:r>
              <w:rPr>
                <w:rFonts w:hint="eastAsia" w:ascii="宋体" w:hAnsi="宋体" w:cs="宋体"/>
                <w:color w:val="auto"/>
                <w:szCs w:val="21"/>
                <w:highlight w:val="none"/>
              </w:rPr>
              <w:t>营养小结推送：</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主入口消息/微信消息推送营养小结，内容包含小结内容、续方建议、复诊建议。</w:t>
            </w:r>
          </w:p>
          <w:p w14:paraId="0580206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营养计划：</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患者查看每日营养计划，记录特医食完成情况。</w:t>
            </w:r>
          </w:p>
          <w:p w14:paraId="16D5F1A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续方支付：</w:t>
            </w:r>
            <w:r>
              <w:rPr>
                <w:rFonts w:hint="eastAsia" w:ascii="宋体" w:hAnsi="宋体" w:cs="宋体"/>
                <w:color w:val="auto"/>
                <w:szCs w:val="21"/>
                <w:highlight w:val="none"/>
                <w:lang w:eastAsia="zh-Hans"/>
              </w:rPr>
              <w:t>需支持从</w:t>
            </w:r>
            <w:r>
              <w:rPr>
                <w:rFonts w:hint="eastAsia" w:ascii="宋体" w:hAnsi="宋体" w:cs="宋体"/>
                <w:color w:val="auto"/>
                <w:szCs w:val="21"/>
                <w:highlight w:val="none"/>
              </w:rPr>
              <w:t>购药提醒、营养小结以及各个页面续方的入口</w:t>
            </w:r>
            <w:r>
              <w:rPr>
                <w:rFonts w:hint="eastAsia" w:ascii="宋体" w:hAnsi="宋体" w:cs="宋体"/>
                <w:color w:val="auto"/>
                <w:szCs w:val="21"/>
                <w:highlight w:val="none"/>
                <w:lang w:eastAsia="zh-Hans"/>
              </w:rPr>
              <w:t>进入</w:t>
            </w:r>
            <w:r>
              <w:rPr>
                <w:rFonts w:hint="eastAsia" w:ascii="宋体" w:hAnsi="宋体" w:cs="宋体"/>
                <w:color w:val="auto"/>
                <w:szCs w:val="21"/>
                <w:highlight w:val="none"/>
              </w:rPr>
              <w:t>完成续方。</w:t>
            </w:r>
          </w:p>
          <w:p w14:paraId="05FF53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每日营养指导：</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根据患者情况生成每日营养指导文案。</w:t>
            </w:r>
          </w:p>
          <w:p w14:paraId="2404543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Hans"/>
              </w:rPr>
              <w:t>健康设备</w:t>
            </w:r>
            <w:r>
              <w:rPr>
                <w:rFonts w:hint="eastAsia" w:ascii="宋体" w:hAnsi="宋体" w:cs="宋体"/>
                <w:color w:val="auto"/>
                <w:szCs w:val="21"/>
                <w:highlight w:val="none"/>
              </w:rPr>
              <w:t>数据集成：支持指定的</w:t>
            </w:r>
            <w:r>
              <w:rPr>
                <w:rFonts w:hint="eastAsia" w:ascii="宋体" w:hAnsi="宋体" w:cs="宋体"/>
                <w:color w:val="auto"/>
                <w:szCs w:val="21"/>
                <w:highlight w:val="none"/>
                <w:lang w:eastAsia="zh-Hans"/>
              </w:rPr>
              <w:t>健康设备</w:t>
            </w:r>
            <w:r>
              <w:rPr>
                <w:rFonts w:hint="eastAsia" w:ascii="宋体" w:hAnsi="宋体" w:cs="宋体"/>
                <w:color w:val="auto"/>
                <w:szCs w:val="21"/>
                <w:highlight w:val="none"/>
              </w:rPr>
              <w:t>数据集成到相应模块</w:t>
            </w:r>
          </w:p>
          <w:p w14:paraId="4E60DA8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体重、身高、BMI记录：支持患者记录体重、身高并自动计算BMI值，查看相应的趋势图及历史记录。</w:t>
            </w:r>
          </w:p>
          <w:p w14:paraId="2FDFF91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握力记录：支持患者记录握力值，查看相应的趋势图及历史记录。</w:t>
            </w:r>
          </w:p>
          <w:p w14:paraId="086A972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膳食管理：支持患者记录每日的膳食。支持拍照记录膳食情况。</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支持AI解读膳食照片，辅助患者录入膳食记录。</w:t>
            </w:r>
          </w:p>
          <w:p w14:paraId="4FB1305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特医食记录：</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查看今日特医食热量和蛋白质目标及完成情况，点击可以跳转到营养计划页面完成记录。</w:t>
            </w:r>
          </w:p>
          <w:p w14:paraId="19C5E7F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菜单-主入口及全部服务：患者主入口及全部服务营养管理菜单。</w:t>
            </w:r>
          </w:p>
          <w:p w14:paraId="3E339E4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就诊医生咨询：在营养管理、营养计划及各类提醒页面，</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支持快速点击进行就诊医生网络门诊。</w:t>
            </w:r>
          </w:p>
          <w:p w14:paraId="4B78F130">
            <w:pPr>
              <w:spacing w:line="360" w:lineRule="auto"/>
              <w:ind w:firstLine="424" w:firstLineChars="202"/>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kern w:val="0"/>
                <w:sz w:val="20"/>
                <w:szCs w:val="20"/>
                <w:highlight w:val="none"/>
                <w:lang w:val="en-US" w:eastAsia="zh-CN"/>
              </w:rPr>
              <w:t>17.</w:t>
            </w:r>
            <w:r>
              <w:rPr>
                <w:rFonts w:hint="eastAsia" w:ascii="宋体" w:hAnsi="宋体" w:cs="宋体"/>
                <w:color w:val="auto"/>
                <w:szCs w:val="21"/>
                <w:highlight w:val="none"/>
              </w:rPr>
              <w:t>临床营养科咨询：在营养管理页面，支持快速点击进行临床营养科网络门诊，获取营养处方。</w:t>
            </w:r>
          </w:p>
          <w:p w14:paraId="63C51B8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智能营养师咨询：</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支持点击进入智能营养师界面，进行智能营养师咨询。</w:t>
            </w:r>
          </w:p>
          <w:p w14:paraId="112B9607">
            <w:pPr>
              <w:spacing w:line="360" w:lineRule="auto"/>
              <w:ind w:firstLine="424" w:firstLineChars="202"/>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19.</w:t>
            </w:r>
            <w:r>
              <w:rPr>
                <w:rFonts w:hint="eastAsia" w:ascii="宋体" w:hAnsi="宋体" w:cs="宋体"/>
                <w:color w:val="auto"/>
                <w:szCs w:val="21"/>
                <w:highlight w:val="none"/>
              </w:rPr>
              <w:t>营养风险评估与提醒：</w:t>
            </w:r>
            <w:r>
              <w:rPr>
                <w:rFonts w:hint="eastAsia" w:ascii="宋体" w:hAnsi="宋体" w:cs="宋体"/>
                <w:color w:val="auto"/>
                <w:szCs w:val="21"/>
                <w:highlight w:val="none"/>
                <w:lang w:eastAsia="zh-Hans"/>
              </w:rPr>
              <w:t>需支持</w:t>
            </w:r>
            <w:r>
              <w:rPr>
                <w:rFonts w:hint="eastAsia" w:ascii="宋体" w:hAnsi="宋体" w:cs="宋体"/>
                <w:color w:val="auto"/>
                <w:szCs w:val="21"/>
                <w:highlight w:val="none"/>
              </w:rPr>
              <w:t>主动提醒患者的营养风险。提醒患者完成相应的评估量表。及时提醒患者咨询营养师。</w:t>
            </w:r>
            <w:r>
              <w:rPr>
                <w:rFonts w:hint="eastAsia" w:ascii="宋体" w:hAnsi="宋体" w:cs="宋体"/>
                <w:color w:val="auto"/>
                <w:szCs w:val="21"/>
                <w:highlight w:val="none"/>
              </w:rPr>
              <w:tab/>
            </w:r>
          </w:p>
          <w:p w14:paraId="28CF4E60">
            <w:pPr>
              <w:spacing w:line="360" w:lineRule="auto"/>
              <w:ind w:firstLine="424" w:firstLineChars="202"/>
              <w:jc w:val="left"/>
              <w:rPr>
                <w:rFonts w:hint="eastAsia" w:ascii="宋体" w:hAnsi="宋体" w:cs="宋体"/>
                <w:color w:val="auto"/>
                <w:szCs w:val="21"/>
                <w:highlight w:val="none"/>
              </w:rPr>
            </w:pPr>
            <w:r>
              <w:rPr>
                <w:rFonts w:hint="default" w:ascii="宋体" w:hAnsi="宋体" w:eastAsia="宋体" w:cs="宋体"/>
                <w:color w:val="auto"/>
                <w:kern w:val="0"/>
                <w:szCs w:val="21"/>
                <w:highlight w:val="none"/>
                <w:lang w:bidi="ar"/>
              </w:rPr>
              <w:t>●</w:t>
            </w:r>
            <w:r>
              <w:rPr>
                <w:rFonts w:hint="eastAsia" w:ascii="宋体" w:hAnsi="宋体" w:cs="宋体"/>
                <w:color w:val="auto"/>
                <w:kern w:val="0"/>
                <w:sz w:val="20"/>
                <w:szCs w:val="20"/>
                <w:highlight w:val="none"/>
                <w:lang w:val="en-US" w:eastAsia="zh-CN"/>
              </w:rPr>
              <w:t>20.</w:t>
            </w:r>
            <w:r>
              <w:rPr>
                <w:rFonts w:hint="eastAsia" w:ascii="宋体" w:hAnsi="宋体" w:cs="宋体"/>
                <w:color w:val="auto"/>
                <w:szCs w:val="21"/>
                <w:highlight w:val="none"/>
              </w:rPr>
              <w:t>患者居家营养管理</w:t>
            </w:r>
            <w:r>
              <w:rPr>
                <w:rFonts w:hint="eastAsia" w:ascii="宋体" w:hAnsi="宋体" w:cs="宋体"/>
                <w:color w:val="auto"/>
                <w:szCs w:val="21"/>
                <w:highlight w:val="none"/>
                <w:lang w:eastAsia="zh-Hans"/>
              </w:rPr>
              <w:t>端</w:t>
            </w:r>
            <w:r>
              <w:rPr>
                <w:rFonts w:hint="eastAsia" w:ascii="宋体" w:hAnsi="宋体" w:cs="宋体"/>
                <w:color w:val="auto"/>
                <w:szCs w:val="21"/>
                <w:highlight w:val="none"/>
              </w:rPr>
              <w:t>：</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支持医生查看患者居家记录身高、体重及握力记录及趋势图。</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支持医生查看患者居家记录的特医食记录。支持医生查看患者居家膳食记录。</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支持医生查看患者居家填写的评估量表的内容。</w:t>
            </w:r>
            <w:r>
              <w:rPr>
                <w:rFonts w:hint="eastAsia" w:ascii="宋体" w:hAnsi="宋体" w:cs="宋体"/>
                <w:color w:val="auto"/>
                <w:szCs w:val="21"/>
                <w:highlight w:val="none"/>
                <w:lang w:eastAsia="zh-Hans"/>
              </w:rPr>
              <w:t>需</w:t>
            </w:r>
            <w:r>
              <w:rPr>
                <w:rFonts w:hint="eastAsia" w:ascii="宋体" w:hAnsi="宋体" w:cs="宋体"/>
                <w:color w:val="auto"/>
                <w:szCs w:val="21"/>
                <w:highlight w:val="none"/>
              </w:rPr>
              <w:t>支持以web形式嵌入院内营养管理系统。</w:t>
            </w:r>
          </w:p>
          <w:p w14:paraId="504373A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特医食字典同步：同步院内特医食字典及相关营养素信息。</w:t>
            </w:r>
          </w:p>
          <w:p w14:paraId="76E439AE">
            <w:pPr>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lang w:eastAsia="zh-Hans"/>
              </w:rPr>
              <w:t>健康商城：</w:t>
            </w:r>
          </w:p>
          <w:tbl>
            <w:tblPr>
              <w:tblStyle w:val="30"/>
              <w:tblW w:w="5652"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74"/>
              <w:gridCol w:w="2978"/>
            </w:tblGrid>
            <w:tr w14:paraId="4EC3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00" w:type="dxa"/>
                  <w:vAlign w:val="center"/>
                </w:tcPr>
                <w:p w14:paraId="789986E7">
                  <w:pPr>
                    <w:widowControl/>
                    <w:spacing w:line="360" w:lineRule="auto"/>
                    <w:ind w:firstLine="424" w:firstLineChars="202"/>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lang w:eastAsia="zh-Hans"/>
                    </w:rPr>
                    <w:t>模块</w:t>
                  </w:r>
                </w:p>
              </w:tc>
              <w:tc>
                <w:tcPr>
                  <w:tcW w:w="1474" w:type="dxa"/>
                  <w:vAlign w:val="center"/>
                </w:tcPr>
                <w:p w14:paraId="0B1C6DD2">
                  <w:pPr>
                    <w:widowControl/>
                    <w:spacing w:line="360" w:lineRule="auto"/>
                    <w:ind w:firstLine="424" w:firstLineChars="202"/>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功能</w:t>
                  </w:r>
                </w:p>
              </w:tc>
              <w:tc>
                <w:tcPr>
                  <w:tcW w:w="2978" w:type="dxa"/>
                  <w:vAlign w:val="center"/>
                </w:tcPr>
                <w:p w14:paraId="42C023B4">
                  <w:pPr>
                    <w:widowControl/>
                    <w:spacing w:line="360" w:lineRule="auto"/>
                    <w:ind w:firstLine="424" w:firstLineChars="202"/>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功能描述</w:t>
                  </w:r>
                </w:p>
              </w:tc>
            </w:tr>
            <w:tr w14:paraId="1B38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00" w:type="dxa"/>
                  <w:vMerge w:val="restart"/>
                  <w:vAlign w:val="center"/>
                </w:tcPr>
                <w:p w14:paraId="3A7C7B6E">
                  <w:pPr>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lang w:eastAsia="zh-Hans"/>
                    </w:rPr>
                    <w:t>平台端运营服务工具</w:t>
                  </w:r>
                </w:p>
              </w:tc>
              <w:tc>
                <w:tcPr>
                  <w:tcW w:w="1474" w:type="dxa"/>
                  <w:vAlign w:val="center"/>
                </w:tcPr>
                <w:p w14:paraId="22C5759F">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基础设置</w:t>
                  </w:r>
                </w:p>
              </w:tc>
              <w:tc>
                <w:tcPr>
                  <w:tcW w:w="2978" w:type="dxa"/>
                  <w:vAlign w:val="center"/>
                </w:tcPr>
                <w:p w14:paraId="5A9806FD">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注册登录、组织权限、审批管理、打印管理、消息管理、任务管理、日志管理等</w:t>
                  </w:r>
                </w:p>
              </w:tc>
            </w:tr>
            <w:tr w14:paraId="7902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vAlign w:val="center"/>
                </w:tcPr>
                <w:p w14:paraId="571B0953">
                  <w:pPr>
                    <w:rPr>
                      <w:rFonts w:hint="eastAsia" w:ascii="宋体" w:hAnsi="宋体" w:cs="宋体"/>
                      <w:color w:val="auto"/>
                      <w:szCs w:val="21"/>
                      <w:highlight w:val="none"/>
                      <w:vertAlign w:val="baseline"/>
                      <w:lang w:eastAsia="zh-Hans"/>
                    </w:rPr>
                  </w:pPr>
                </w:p>
              </w:tc>
              <w:tc>
                <w:tcPr>
                  <w:tcW w:w="1474" w:type="dxa"/>
                  <w:vAlign w:val="center"/>
                </w:tcPr>
                <w:p w14:paraId="34875971">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主数据管理</w:t>
                  </w:r>
                </w:p>
              </w:tc>
              <w:tc>
                <w:tcPr>
                  <w:tcW w:w="2978" w:type="dxa"/>
                  <w:vAlign w:val="center"/>
                </w:tcPr>
                <w:p w14:paraId="7638EAA0">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商品管理、商户管理、合同管理、门店管理等</w:t>
                  </w:r>
                </w:p>
              </w:tc>
            </w:tr>
            <w:tr w14:paraId="7FB9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00" w:type="dxa"/>
                  <w:vMerge w:val="continue"/>
                  <w:vAlign w:val="center"/>
                </w:tcPr>
                <w:p w14:paraId="522019F1">
                  <w:pPr>
                    <w:rPr>
                      <w:rFonts w:hint="eastAsia" w:ascii="宋体" w:hAnsi="宋体" w:cs="宋体"/>
                      <w:color w:val="auto"/>
                      <w:szCs w:val="21"/>
                      <w:highlight w:val="none"/>
                      <w:vertAlign w:val="baseline"/>
                      <w:lang w:eastAsia="zh-Hans"/>
                    </w:rPr>
                  </w:pPr>
                </w:p>
              </w:tc>
              <w:tc>
                <w:tcPr>
                  <w:tcW w:w="1474" w:type="dxa"/>
                  <w:vAlign w:val="center"/>
                </w:tcPr>
                <w:p w14:paraId="7E94548B">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采购管理</w:t>
                  </w:r>
                </w:p>
              </w:tc>
              <w:tc>
                <w:tcPr>
                  <w:tcW w:w="2978" w:type="dxa"/>
                  <w:vAlign w:val="center"/>
                </w:tcPr>
                <w:p w14:paraId="2696EE23">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供货关系管理、门店进退货管理、仓库管理、配送方案管理、供应商采购等</w:t>
                  </w:r>
                </w:p>
              </w:tc>
            </w:tr>
            <w:tr w14:paraId="2C43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vAlign w:val="center"/>
                </w:tcPr>
                <w:p w14:paraId="46DFDF57">
                  <w:pPr>
                    <w:rPr>
                      <w:rFonts w:hint="eastAsia" w:ascii="宋体" w:hAnsi="宋体" w:cs="宋体"/>
                      <w:color w:val="auto"/>
                      <w:szCs w:val="21"/>
                      <w:highlight w:val="none"/>
                      <w:vertAlign w:val="baseline"/>
                      <w:lang w:eastAsia="zh-Hans"/>
                    </w:rPr>
                  </w:pPr>
                </w:p>
              </w:tc>
              <w:tc>
                <w:tcPr>
                  <w:tcW w:w="1474" w:type="dxa"/>
                  <w:vAlign w:val="center"/>
                </w:tcPr>
                <w:p w14:paraId="087FBCED">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销售管理</w:t>
                  </w:r>
                </w:p>
              </w:tc>
              <w:tc>
                <w:tcPr>
                  <w:tcW w:w="2978" w:type="dxa"/>
                  <w:vAlign w:val="center"/>
                </w:tcPr>
                <w:p w14:paraId="5FC6B280">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销售交易查询、销售售后管理、履约管理等</w:t>
                  </w:r>
                </w:p>
              </w:tc>
            </w:tr>
            <w:tr w14:paraId="07D6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vAlign w:val="center"/>
                </w:tcPr>
                <w:p w14:paraId="2BC6CB97">
                  <w:pPr>
                    <w:rPr>
                      <w:rFonts w:hint="eastAsia" w:ascii="宋体" w:hAnsi="宋体" w:cs="宋体"/>
                      <w:color w:val="auto"/>
                      <w:szCs w:val="21"/>
                      <w:highlight w:val="none"/>
                      <w:vertAlign w:val="baseline"/>
                      <w:lang w:eastAsia="zh-Hans"/>
                    </w:rPr>
                  </w:pPr>
                </w:p>
              </w:tc>
              <w:tc>
                <w:tcPr>
                  <w:tcW w:w="1474" w:type="dxa"/>
                  <w:vAlign w:val="center"/>
                </w:tcPr>
                <w:p w14:paraId="1291B483">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仓库管理</w:t>
                  </w:r>
                </w:p>
              </w:tc>
              <w:tc>
                <w:tcPr>
                  <w:tcW w:w="2978" w:type="dxa"/>
                  <w:vAlign w:val="center"/>
                </w:tcPr>
                <w:p w14:paraId="3EDD2B99">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入库管理、出库管理、库存查询、库内管理、库存成本管理等</w:t>
                  </w:r>
                </w:p>
              </w:tc>
            </w:tr>
            <w:tr w14:paraId="5FC2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vAlign w:val="center"/>
                </w:tcPr>
                <w:p w14:paraId="1A999543">
                  <w:pPr>
                    <w:rPr>
                      <w:rFonts w:hint="eastAsia" w:ascii="宋体" w:hAnsi="宋体" w:cs="宋体"/>
                      <w:color w:val="auto"/>
                      <w:szCs w:val="21"/>
                      <w:highlight w:val="none"/>
                      <w:vertAlign w:val="baseline"/>
                      <w:lang w:eastAsia="zh-Hans"/>
                    </w:rPr>
                  </w:pPr>
                </w:p>
              </w:tc>
              <w:tc>
                <w:tcPr>
                  <w:tcW w:w="1474" w:type="dxa"/>
                  <w:vAlign w:val="center"/>
                </w:tcPr>
                <w:p w14:paraId="5A1E858C">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库存管理</w:t>
                  </w:r>
                </w:p>
              </w:tc>
              <w:tc>
                <w:tcPr>
                  <w:tcW w:w="2978" w:type="dxa"/>
                  <w:vAlign w:val="center"/>
                </w:tcPr>
                <w:p w14:paraId="79EC8726">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库存查询、库存成本管理、损益管理、效期管理等</w:t>
                  </w:r>
                </w:p>
              </w:tc>
            </w:tr>
            <w:tr w14:paraId="79FC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vAlign w:val="center"/>
                </w:tcPr>
                <w:p w14:paraId="63A64BEE">
                  <w:pPr>
                    <w:rPr>
                      <w:rFonts w:hint="eastAsia" w:ascii="宋体" w:hAnsi="宋体" w:cs="宋体"/>
                      <w:color w:val="auto"/>
                      <w:szCs w:val="21"/>
                      <w:highlight w:val="none"/>
                      <w:vertAlign w:val="baseline"/>
                      <w:lang w:eastAsia="zh-Hans"/>
                    </w:rPr>
                  </w:pPr>
                </w:p>
              </w:tc>
              <w:tc>
                <w:tcPr>
                  <w:tcW w:w="1474" w:type="dxa"/>
                  <w:vAlign w:val="center"/>
                </w:tcPr>
                <w:p w14:paraId="5731D385">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营销管理</w:t>
                  </w:r>
                </w:p>
              </w:tc>
              <w:tc>
                <w:tcPr>
                  <w:tcW w:w="2978" w:type="dxa"/>
                  <w:vAlign w:val="center"/>
                </w:tcPr>
                <w:p w14:paraId="65FBBDA4">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促销管理、优惠券资源、用户洞察、小程序运营等</w:t>
                  </w:r>
                </w:p>
              </w:tc>
            </w:tr>
            <w:tr w14:paraId="186C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vAlign w:val="center"/>
                </w:tcPr>
                <w:p w14:paraId="556151CD">
                  <w:pPr>
                    <w:rPr>
                      <w:rFonts w:hint="eastAsia" w:ascii="宋体" w:hAnsi="宋体" w:cs="宋体"/>
                      <w:color w:val="auto"/>
                      <w:szCs w:val="21"/>
                      <w:highlight w:val="none"/>
                      <w:vertAlign w:val="baseline"/>
                      <w:lang w:eastAsia="zh-Hans"/>
                    </w:rPr>
                  </w:pPr>
                </w:p>
              </w:tc>
              <w:tc>
                <w:tcPr>
                  <w:tcW w:w="1474" w:type="dxa"/>
                  <w:vAlign w:val="center"/>
                </w:tcPr>
                <w:p w14:paraId="36E2F79B">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客服管理</w:t>
                  </w:r>
                </w:p>
              </w:tc>
              <w:tc>
                <w:tcPr>
                  <w:tcW w:w="2978" w:type="dxa"/>
                  <w:vAlign w:val="center"/>
                </w:tcPr>
                <w:p w14:paraId="14DDB4C9">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客服管理，客服工作台</w:t>
                  </w:r>
                </w:p>
              </w:tc>
            </w:tr>
            <w:tr w14:paraId="1CCC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vAlign w:val="center"/>
                </w:tcPr>
                <w:p w14:paraId="56C34720">
                  <w:pPr>
                    <w:rPr>
                      <w:rFonts w:hint="eastAsia" w:ascii="宋体" w:hAnsi="宋体" w:cs="宋体"/>
                      <w:color w:val="auto"/>
                      <w:szCs w:val="21"/>
                      <w:highlight w:val="none"/>
                      <w:vertAlign w:val="baseline"/>
                      <w:lang w:eastAsia="zh-Hans"/>
                    </w:rPr>
                  </w:pPr>
                </w:p>
              </w:tc>
              <w:tc>
                <w:tcPr>
                  <w:tcW w:w="1474" w:type="dxa"/>
                  <w:vAlign w:val="center"/>
                </w:tcPr>
                <w:p w14:paraId="4CD07220">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财务管理</w:t>
                  </w:r>
                </w:p>
              </w:tc>
              <w:tc>
                <w:tcPr>
                  <w:tcW w:w="2978" w:type="dxa"/>
                  <w:vAlign w:val="center"/>
                </w:tcPr>
                <w:p w14:paraId="0FD7FEBC">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费用管理、结算管理、资金对账、发票管理、财务对账、凭证管理等</w:t>
                  </w:r>
                </w:p>
              </w:tc>
            </w:tr>
            <w:tr w14:paraId="2CDE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vAlign w:val="center"/>
                </w:tcPr>
                <w:p w14:paraId="1F268549">
                  <w:pPr>
                    <w:rPr>
                      <w:rFonts w:hint="eastAsia" w:ascii="宋体" w:hAnsi="宋体" w:cs="宋体"/>
                      <w:color w:val="auto"/>
                      <w:szCs w:val="21"/>
                      <w:highlight w:val="none"/>
                      <w:vertAlign w:val="baseline"/>
                      <w:lang w:eastAsia="zh-Hans"/>
                    </w:rPr>
                  </w:pPr>
                </w:p>
              </w:tc>
              <w:tc>
                <w:tcPr>
                  <w:tcW w:w="1474" w:type="dxa"/>
                  <w:vAlign w:val="center"/>
                </w:tcPr>
                <w:p w14:paraId="53F0345B">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数据中心</w:t>
                  </w:r>
                </w:p>
              </w:tc>
              <w:tc>
                <w:tcPr>
                  <w:tcW w:w="2978" w:type="dxa"/>
                  <w:vAlign w:val="center"/>
                </w:tcPr>
                <w:p w14:paraId="198D167F">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经营概况报表查询</w:t>
                  </w:r>
                </w:p>
              </w:tc>
            </w:tr>
            <w:tr w14:paraId="35FF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restart"/>
                  <w:vAlign w:val="center"/>
                </w:tcPr>
                <w:p w14:paraId="0587664A">
                  <w:pPr>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lang w:eastAsia="zh-Hans"/>
                    </w:rPr>
                    <w:t>医院端部署应用</w:t>
                  </w:r>
                </w:p>
              </w:tc>
              <w:tc>
                <w:tcPr>
                  <w:tcW w:w="1474" w:type="dxa"/>
                  <w:vAlign w:val="center"/>
                </w:tcPr>
                <w:p w14:paraId="4CEB819C">
                  <w:pPr>
                    <w:widowControl/>
                    <w:spacing w:line="240" w:lineRule="auto"/>
                    <w:ind w:firstLine="0" w:firstLineChars="0"/>
                    <w:jc w:val="both"/>
                    <w:textAlignment w:val="auto"/>
                    <w:rPr>
                      <w:rFonts w:hint="eastAsia" w:ascii="宋体" w:hAnsi="宋体" w:cs="宋体"/>
                      <w:color w:val="auto"/>
                      <w:szCs w:val="21"/>
                      <w:highlight w:val="none"/>
                      <w:vertAlign w:val="baseline"/>
                      <w:lang w:eastAsia="zh-Hans"/>
                    </w:rPr>
                  </w:pPr>
                  <w:r>
                    <w:rPr>
                      <w:rFonts w:hint="default" w:ascii="宋体" w:hAnsi="宋体" w:eastAsia="宋体" w:cs="宋体"/>
                      <w:color w:val="auto"/>
                      <w:kern w:val="0"/>
                      <w:szCs w:val="21"/>
                      <w:highlight w:val="none"/>
                      <w:lang w:bidi="ar"/>
                    </w:rPr>
                    <w:t>●</w:t>
                  </w:r>
                  <w:r>
                    <w:rPr>
                      <w:rFonts w:hint="eastAsia" w:ascii="宋体" w:hAnsi="宋体" w:cs="宋体"/>
                      <w:color w:val="auto"/>
                      <w:szCs w:val="21"/>
                      <w:highlight w:val="none"/>
                    </w:rPr>
                    <w:t>一件代发</w:t>
                  </w:r>
                </w:p>
              </w:tc>
              <w:tc>
                <w:tcPr>
                  <w:tcW w:w="2978" w:type="dxa"/>
                  <w:vAlign w:val="center"/>
                </w:tcPr>
                <w:p w14:paraId="0C03E934">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lang w:eastAsia="zh-Hans"/>
                    </w:rPr>
                    <w:t>支持</w:t>
                  </w:r>
                  <w:r>
                    <w:rPr>
                      <w:rFonts w:hint="eastAsia" w:ascii="宋体" w:hAnsi="宋体" w:cs="宋体"/>
                      <w:color w:val="auto"/>
                      <w:szCs w:val="21"/>
                      <w:highlight w:val="none"/>
                    </w:rPr>
                    <w:t>一件代发</w:t>
                  </w:r>
                  <w:r>
                    <w:rPr>
                      <w:rFonts w:hint="eastAsia" w:ascii="宋体" w:hAnsi="宋体" w:cs="宋体"/>
                      <w:color w:val="auto"/>
                      <w:szCs w:val="21"/>
                      <w:highlight w:val="none"/>
                      <w:lang w:eastAsia="zh-Hans"/>
                    </w:rPr>
                    <w:t>平台</w:t>
                  </w:r>
                  <w:r>
                    <w:rPr>
                      <w:rFonts w:hint="eastAsia" w:ascii="宋体" w:hAnsi="宋体" w:cs="宋体"/>
                      <w:color w:val="auto"/>
                      <w:szCs w:val="21"/>
                      <w:highlight w:val="none"/>
                    </w:rPr>
                    <w:t>商品，</w:t>
                  </w:r>
                  <w:r>
                    <w:rPr>
                      <w:rFonts w:hint="eastAsia" w:ascii="宋体" w:hAnsi="宋体" w:cs="宋体"/>
                      <w:color w:val="auto"/>
                      <w:szCs w:val="21"/>
                      <w:highlight w:val="none"/>
                      <w:lang w:eastAsia="zh-Hans"/>
                    </w:rPr>
                    <w:t>完成医院端健康产品销售</w:t>
                  </w:r>
                </w:p>
              </w:tc>
            </w:tr>
            <w:tr w14:paraId="4E5E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tcPr>
                <w:p w14:paraId="396BF90D">
                  <w:pPr>
                    <w:rPr>
                      <w:rFonts w:hint="eastAsia" w:ascii="宋体" w:hAnsi="宋体" w:cs="宋体"/>
                      <w:color w:val="auto"/>
                      <w:szCs w:val="21"/>
                      <w:highlight w:val="none"/>
                      <w:vertAlign w:val="baseline"/>
                      <w:lang w:eastAsia="zh-Hans"/>
                    </w:rPr>
                  </w:pPr>
                </w:p>
              </w:tc>
              <w:tc>
                <w:tcPr>
                  <w:tcW w:w="1474" w:type="dxa"/>
                  <w:vAlign w:val="center"/>
                </w:tcPr>
                <w:p w14:paraId="6FD24ACB">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门店首页</w:t>
                  </w:r>
                </w:p>
              </w:tc>
              <w:tc>
                <w:tcPr>
                  <w:tcW w:w="2978" w:type="dxa"/>
                  <w:vAlign w:val="center"/>
                </w:tcPr>
                <w:p w14:paraId="382B8399">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门店首页商品及活动页展示</w:t>
                  </w:r>
                </w:p>
              </w:tc>
            </w:tr>
            <w:tr w14:paraId="472C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tcPr>
                <w:p w14:paraId="06F7490F">
                  <w:pPr>
                    <w:rPr>
                      <w:rFonts w:hint="eastAsia" w:ascii="宋体" w:hAnsi="宋体" w:cs="宋体"/>
                      <w:color w:val="auto"/>
                      <w:szCs w:val="21"/>
                      <w:highlight w:val="none"/>
                      <w:vertAlign w:val="baseline"/>
                      <w:lang w:eastAsia="zh-Hans"/>
                    </w:rPr>
                  </w:pPr>
                </w:p>
              </w:tc>
              <w:tc>
                <w:tcPr>
                  <w:tcW w:w="1474" w:type="dxa"/>
                  <w:vAlign w:val="center"/>
                </w:tcPr>
                <w:p w14:paraId="1611B4AC">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分类页</w:t>
                  </w:r>
                </w:p>
              </w:tc>
              <w:tc>
                <w:tcPr>
                  <w:tcW w:w="2978" w:type="dxa"/>
                  <w:vAlign w:val="center"/>
                </w:tcPr>
                <w:p w14:paraId="053D4F60">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商品分类及对应分类商品展示</w:t>
                  </w:r>
                </w:p>
              </w:tc>
            </w:tr>
            <w:tr w14:paraId="227A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tcPr>
                <w:p w14:paraId="25B90F3B">
                  <w:pPr>
                    <w:rPr>
                      <w:rFonts w:hint="eastAsia" w:ascii="宋体" w:hAnsi="宋体" w:cs="宋体"/>
                      <w:color w:val="auto"/>
                      <w:szCs w:val="21"/>
                      <w:highlight w:val="none"/>
                      <w:vertAlign w:val="baseline"/>
                      <w:lang w:eastAsia="zh-Hans"/>
                    </w:rPr>
                  </w:pPr>
                </w:p>
              </w:tc>
              <w:tc>
                <w:tcPr>
                  <w:tcW w:w="1474" w:type="dxa"/>
                  <w:vAlign w:val="center"/>
                </w:tcPr>
                <w:p w14:paraId="08193B93">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个人中心</w:t>
                  </w:r>
                </w:p>
              </w:tc>
              <w:tc>
                <w:tcPr>
                  <w:tcW w:w="2978" w:type="dxa"/>
                  <w:vAlign w:val="center"/>
                </w:tcPr>
                <w:p w14:paraId="08E75096">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个人信息用户名，优惠券，积分等信息展示</w:t>
                  </w:r>
                </w:p>
              </w:tc>
            </w:tr>
            <w:tr w14:paraId="1F62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tcPr>
                <w:p w14:paraId="6CBA7ADB">
                  <w:pPr>
                    <w:rPr>
                      <w:rFonts w:hint="eastAsia" w:ascii="宋体" w:hAnsi="宋体" w:cs="宋体"/>
                      <w:color w:val="auto"/>
                      <w:szCs w:val="21"/>
                      <w:highlight w:val="none"/>
                      <w:vertAlign w:val="baseline"/>
                      <w:lang w:eastAsia="zh-Hans"/>
                    </w:rPr>
                  </w:pPr>
                </w:p>
              </w:tc>
              <w:tc>
                <w:tcPr>
                  <w:tcW w:w="1474" w:type="dxa"/>
                  <w:vAlign w:val="center"/>
                </w:tcPr>
                <w:p w14:paraId="2C0830C9">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订单详情</w:t>
                  </w:r>
                </w:p>
              </w:tc>
              <w:tc>
                <w:tcPr>
                  <w:tcW w:w="2978" w:type="dxa"/>
                  <w:vAlign w:val="center"/>
                </w:tcPr>
                <w:p w14:paraId="59706171">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购买商品清单及应付金额</w:t>
                  </w:r>
                </w:p>
              </w:tc>
            </w:tr>
            <w:tr w14:paraId="635B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Merge w:val="continue"/>
                </w:tcPr>
                <w:p w14:paraId="1720E868">
                  <w:pPr>
                    <w:rPr>
                      <w:rFonts w:hint="eastAsia" w:ascii="宋体" w:hAnsi="宋体" w:cs="宋体"/>
                      <w:color w:val="auto"/>
                      <w:szCs w:val="21"/>
                      <w:highlight w:val="none"/>
                      <w:vertAlign w:val="baseline"/>
                      <w:lang w:eastAsia="zh-Hans"/>
                    </w:rPr>
                  </w:pPr>
                </w:p>
              </w:tc>
              <w:tc>
                <w:tcPr>
                  <w:tcW w:w="1474" w:type="dxa"/>
                  <w:vAlign w:val="center"/>
                </w:tcPr>
                <w:p w14:paraId="31F150F3">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基础数据</w:t>
                  </w:r>
                </w:p>
              </w:tc>
              <w:tc>
                <w:tcPr>
                  <w:tcW w:w="2978" w:type="dxa"/>
                  <w:vAlign w:val="center"/>
                </w:tcPr>
                <w:p w14:paraId="29694278">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后台分类，商品信息，售卖价格，图片管理</w:t>
                  </w:r>
                </w:p>
              </w:tc>
            </w:tr>
            <w:tr w14:paraId="4B41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tcPr>
                <w:p w14:paraId="12F143BC">
                  <w:pPr>
                    <w:rPr>
                      <w:rFonts w:hint="eastAsia" w:ascii="宋体" w:hAnsi="宋体" w:cs="宋体"/>
                      <w:color w:val="auto"/>
                      <w:szCs w:val="21"/>
                      <w:highlight w:val="none"/>
                      <w:vertAlign w:val="baseline"/>
                      <w:lang w:eastAsia="zh-Hans"/>
                    </w:rPr>
                  </w:pPr>
                </w:p>
              </w:tc>
              <w:tc>
                <w:tcPr>
                  <w:tcW w:w="1474" w:type="dxa"/>
                  <w:vAlign w:val="center"/>
                </w:tcPr>
                <w:p w14:paraId="6075A15A">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营销工具</w:t>
                  </w:r>
                </w:p>
              </w:tc>
              <w:tc>
                <w:tcPr>
                  <w:tcW w:w="2978" w:type="dxa"/>
                  <w:vAlign w:val="center"/>
                </w:tcPr>
                <w:p w14:paraId="636EB3B4">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优惠券，会员价，商品单品促销设置</w:t>
                  </w:r>
                </w:p>
              </w:tc>
            </w:tr>
            <w:tr w14:paraId="302D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0" w:type="dxa"/>
                  <w:vMerge w:val="continue"/>
                </w:tcPr>
                <w:p w14:paraId="56B81EBB">
                  <w:pPr>
                    <w:rPr>
                      <w:rFonts w:hint="eastAsia" w:ascii="宋体" w:hAnsi="宋体" w:cs="宋体"/>
                      <w:color w:val="auto"/>
                      <w:szCs w:val="21"/>
                      <w:highlight w:val="none"/>
                      <w:vertAlign w:val="baseline"/>
                      <w:lang w:eastAsia="zh-Hans"/>
                    </w:rPr>
                  </w:pPr>
                </w:p>
              </w:tc>
              <w:tc>
                <w:tcPr>
                  <w:tcW w:w="1474" w:type="dxa"/>
                  <w:vAlign w:val="center"/>
                </w:tcPr>
                <w:p w14:paraId="0B4D6955">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用户管理</w:t>
                  </w:r>
                </w:p>
              </w:tc>
              <w:tc>
                <w:tcPr>
                  <w:tcW w:w="2978" w:type="dxa"/>
                  <w:vAlign w:val="center"/>
                </w:tcPr>
                <w:p w14:paraId="006E943B">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会员权益设定</w:t>
                  </w:r>
                </w:p>
              </w:tc>
            </w:tr>
            <w:tr w14:paraId="6D52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00" w:type="dxa"/>
                  <w:vMerge w:val="continue"/>
                </w:tcPr>
                <w:p w14:paraId="4E875241">
                  <w:pPr>
                    <w:rPr>
                      <w:rFonts w:hint="eastAsia" w:ascii="宋体" w:hAnsi="宋体" w:cs="宋体"/>
                      <w:color w:val="auto"/>
                      <w:szCs w:val="21"/>
                      <w:highlight w:val="none"/>
                      <w:vertAlign w:val="baseline"/>
                      <w:lang w:eastAsia="zh-Hans"/>
                    </w:rPr>
                  </w:pPr>
                </w:p>
              </w:tc>
              <w:tc>
                <w:tcPr>
                  <w:tcW w:w="1474" w:type="dxa"/>
                  <w:vAlign w:val="center"/>
                </w:tcPr>
                <w:p w14:paraId="74BCECBF">
                  <w:pPr>
                    <w:widowControl/>
                    <w:spacing w:line="240" w:lineRule="auto"/>
                    <w:ind w:firstLine="0" w:firstLineChars="0"/>
                    <w:jc w:val="center"/>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售后管理</w:t>
                  </w:r>
                </w:p>
              </w:tc>
              <w:tc>
                <w:tcPr>
                  <w:tcW w:w="2978" w:type="dxa"/>
                  <w:vAlign w:val="center"/>
                </w:tcPr>
                <w:p w14:paraId="366DD99F">
                  <w:pPr>
                    <w:widowControl/>
                    <w:spacing w:line="240" w:lineRule="auto"/>
                    <w:ind w:firstLine="0" w:firstLineChars="0"/>
                    <w:jc w:val="left"/>
                    <w:textAlignment w:val="auto"/>
                    <w:rPr>
                      <w:rFonts w:hint="eastAsia" w:ascii="宋体" w:hAnsi="宋体" w:cs="宋体"/>
                      <w:color w:val="auto"/>
                      <w:szCs w:val="21"/>
                      <w:highlight w:val="none"/>
                      <w:vertAlign w:val="baseline"/>
                      <w:lang w:eastAsia="zh-Hans"/>
                    </w:rPr>
                  </w:pPr>
                  <w:r>
                    <w:rPr>
                      <w:rFonts w:hint="eastAsia" w:ascii="宋体" w:hAnsi="宋体" w:cs="宋体"/>
                      <w:color w:val="auto"/>
                      <w:szCs w:val="21"/>
                      <w:highlight w:val="none"/>
                    </w:rPr>
                    <w:t>售后问题处理设置</w:t>
                  </w:r>
                </w:p>
              </w:tc>
            </w:tr>
          </w:tbl>
          <w:p w14:paraId="53AA6098">
            <w:pPr>
              <w:widowControl/>
              <w:numPr>
                <w:ilvl w:val="-1"/>
                <w:numId w:val="0"/>
              </w:numPr>
              <w:spacing w:line="360" w:lineRule="auto"/>
              <w:ind w:firstLine="0" w:firstLineChars="0"/>
              <w:jc w:val="left"/>
              <w:rPr>
                <w:rFonts w:hint="eastAsia" w:ascii="宋体" w:hAnsi="宋体" w:cs="宋体"/>
                <w:color w:val="auto"/>
                <w:szCs w:val="21"/>
                <w:highlight w:val="none"/>
                <w:lang w:val="en-US" w:eastAsia="zh-CN"/>
              </w:rPr>
            </w:pPr>
          </w:p>
        </w:tc>
      </w:tr>
      <w:tr w14:paraId="3D670BAB">
        <w:tblPrEx>
          <w:tblCellMar>
            <w:top w:w="0" w:type="dxa"/>
            <w:left w:w="108" w:type="dxa"/>
            <w:bottom w:w="0" w:type="dxa"/>
            <w:right w:w="108" w:type="dxa"/>
          </w:tblCellMar>
        </w:tblPrEx>
        <w:trPr>
          <w:trHeight w:val="6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6F7B3BF">
            <w:pPr>
              <w:spacing w:line="400" w:lineRule="exact"/>
              <w:rPr>
                <w:rFonts w:hint="default" w:ascii="宋体" w:hAnsi="宋体" w:eastAsia="宋体" w:cs="宋体"/>
                <w:b/>
                <w:color w:val="auto"/>
                <w:kern w:val="0"/>
                <w:sz w:val="21"/>
                <w:szCs w:val="21"/>
                <w:highlight w:val="none"/>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w:t>
            </w:r>
            <w:r>
              <w:rPr>
                <w:rFonts w:hint="eastAsia" w:ascii="宋体" w:hAnsi="宋体" w:eastAsia="宋体" w:cs="宋体"/>
                <w:b/>
                <w:color w:val="auto"/>
                <w:kern w:val="0"/>
                <w:sz w:val="21"/>
                <w:szCs w:val="21"/>
                <w:highlight w:val="none"/>
                <w:lang w:bidi="ar"/>
              </w:rPr>
              <w:t>二、商务</w:t>
            </w:r>
            <w:r>
              <w:rPr>
                <w:rFonts w:hint="eastAsia" w:ascii="宋体" w:hAnsi="宋体" w:eastAsia="宋体" w:cs="宋体"/>
                <w:b/>
                <w:color w:val="auto"/>
                <w:kern w:val="0"/>
                <w:sz w:val="21"/>
                <w:szCs w:val="21"/>
                <w:highlight w:val="none"/>
                <w:lang w:val="en-US" w:eastAsia="zh-CN" w:bidi="ar"/>
              </w:rPr>
              <w:t>条款</w:t>
            </w:r>
          </w:p>
        </w:tc>
      </w:tr>
      <w:tr w14:paraId="10D7CFAC">
        <w:tblPrEx>
          <w:tblCellMar>
            <w:top w:w="0" w:type="dxa"/>
            <w:left w:w="108" w:type="dxa"/>
            <w:bottom w:w="0" w:type="dxa"/>
            <w:right w:w="108" w:type="dxa"/>
          </w:tblCellMar>
        </w:tblPrEx>
        <w:trPr>
          <w:trHeight w:val="717"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3E632">
            <w:pPr>
              <w:widowControl/>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en-US" w:bidi="ar"/>
              </w:rPr>
            </w:pPr>
            <w:r>
              <w:rPr>
                <w:rFonts w:hint="eastAsia" w:ascii="宋体" w:hAnsi="宋体" w:cs="宋体"/>
                <w:color w:val="auto"/>
                <w:kern w:val="2"/>
                <w:sz w:val="21"/>
                <w:szCs w:val="21"/>
                <w:highlight w:val="none"/>
                <w:lang w:bidi="ar"/>
              </w:rPr>
              <w:t>合同签订期</w:t>
            </w:r>
          </w:p>
        </w:tc>
        <w:tc>
          <w:tcPr>
            <w:tcW w:w="412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2360C">
            <w:pPr>
              <w:widowControl/>
              <w:numPr>
                <w:ilvl w:val="0"/>
                <w:numId w:val="0"/>
              </w:numPr>
              <w:shd w:val="clear" w:color="auto" w:fill="FFFFFF"/>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bidi="ar"/>
              </w:rPr>
              <w:t>自成交通知书发出之日起25日内签订采购合同。</w:t>
            </w:r>
          </w:p>
        </w:tc>
      </w:tr>
      <w:tr w14:paraId="2ADF6164">
        <w:tblPrEx>
          <w:tblCellMar>
            <w:top w:w="0" w:type="dxa"/>
            <w:left w:w="108" w:type="dxa"/>
            <w:bottom w:w="0" w:type="dxa"/>
            <w:right w:w="108" w:type="dxa"/>
          </w:tblCellMar>
        </w:tblPrEx>
        <w:trPr>
          <w:trHeight w:val="717"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632E3C2">
            <w:pPr>
              <w:keepNext w:val="0"/>
              <w:keepLines w:val="0"/>
              <w:widowControl/>
              <w:suppressLineNumbers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color w:val="auto"/>
                <w:highlight w:val="none"/>
                <w:lang w:val="en-US" w:eastAsia="zh-CN"/>
              </w:rPr>
              <w:t>交付时间</w:t>
            </w:r>
            <w:r>
              <w:rPr>
                <w:rFonts w:hint="eastAsia" w:ascii="宋体" w:hAnsi="宋体" w:eastAsia="宋体" w:cs="宋体"/>
                <w:i w:val="0"/>
                <w:iCs w:val="0"/>
                <w:color w:val="auto"/>
                <w:sz w:val="21"/>
                <w:szCs w:val="21"/>
                <w:highlight w:val="none"/>
                <w:u w:val="none"/>
                <w:lang w:val="en-US" w:eastAsia="zh-CN"/>
              </w:rPr>
              <w:t>及地点</w:t>
            </w: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162E7DCA">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pP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1</w:t>
            </w:r>
            <w:r>
              <w:rPr>
                <w:rFonts w:hint="eastAsia" w:ascii="宋体" w:hAnsi="宋体" w:cs="宋体"/>
                <w:i w:val="0"/>
                <w:iCs w:val="0"/>
                <w:color w:val="auto"/>
                <w:spacing w:val="0"/>
                <w:w w:val="100"/>
                <w:kern w:val="2"/>
                <w:position w:val="0"/>
                <w:sz w:val="21"/>
                <w:szCs w:val="21"/>
                <w:highlight w:val="none"/>
                <w:u w:val="none"/>
                <w:shd w:val="clear"/>
                <w:lang w:val="en-US" w:eastAsia="zh-CN" w:bidi="ar"/>
              </w:rPr>
              <w:t>.</w:t>
            </w:r>
            <w:r>
              <w:rPr>
                <w:rFonts w:hint="eastAsia"/>
                <w:color w:val="auto"/>
                <w:highlight w:val="none"/>
                <w:lang w:val="en-US" w:eastAsia="zh-CN"/>
              </w:rPr>
              <w:t>交付时间</w:t>
            </w: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w:t>
            </w:r>
            <w:r>
              <w:rPr>
                <w:rFonts w:hint="eastAsia" w:ascii="宋体" w:hAnsi="宋体" w:eastAsia="宋体" w:cs="宋体"/>
                <w:color w:val="auto"/>
                <w:kern w:val="2"/>
                <w:sz w:val="21"/>
                <w:szCs w:val="21"/>
                <w:highlight w:val="none"/>
                <w:u w:val="none"/>
                <w:shd w:val="clear"/>
                <w:lang w:val="en-US" w:eastAsia="zh-CN" w:bidi="ar"/>
              </w:rPr>
              <w:t>合同签订后12个月内完成本项目所有系统的上线及验收工作</w:t>
            </w: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w:t>
            </w:r>
          </w:p>
          <w:p w14:paraId="78E10D05">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pP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2</w:t>
            </w:r>
            <w:r>
              <w:rPr>
                <w:rFonts w:hint="eastAsia" w:ascii="宋体" w:hAnsi="宋体" w:cs="宋体"/>
                <w:i w:val="0"/>
                <w:iCs w:val="0"/>
                <w:color w:val="auto"/>
                <w:spacing w:val="0"/>
                <w:w w:val="100"/>
                <w:kern w:val="2"/>
                <w:position w:val="0"/>
                <w:sz w:val="21"/>
                <w:szCs w:val="21"/>
                <w:highlight w:val="none"/>
                <w:u w:val="none"/>
                <w:shd w:val="clear"/>
                <w:lang w:val="en-US" w:eastAsia="zh-CN" w:bidi="ar"/>
              </w:rPr>
              <w:t>.</w:t>
            </w: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服务地点：广西南宁市内采购人指定地点。</w:t>
            </w:r>
          </w:p>
        </w:tc>
      </w:tr>
      <w:tr w14:paraId="153F9AE5">
        <w:tblPrEx>
          <w:tblCellMar>
            <w:top w:w="0" w:type="dxa"/>
            <w:left w:w="108" w:type="dxa"/>
            <w:bottom w:w="0" w:type="dxa"/>
            <w:right w:w="108" w:type="dxa"/>
          </w:tblCellMar>
        </w:tblPrEx>
        <w:trPr>
          <w:trHeight w:val="717"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D023772">
            <w:pPr>
              <w:keepNext w:val="0"/>
              <w:keepLines w:val="0"/>
              <w:widowControl/>
              <w:suppressLineNumbers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i w:val="0"/>
                <w:iCs w:val="0"/>
                <w:color w:val="auto"/>
                <w:kern w:val="2"/>
                <w:sz w:val="21"/>
                <w:szCs w:val="21"/>
                <w:highlight w:val="none"/>
                <w:u w:val="none"/>
                <w:shd w:val="clear"/>
                <w:lang w:val="en-US" w:eastAsia="zh-CN" w:bidi="ar"/>
              </w:rPr>
            </w:pPr>
            <w:r>
              <w:rPr>
                <w:rFonts w:hint="eastAsia" w:ascii="宋体" w:hAnsi="宋体" w:eastAsia="宋体" w:cs="宋体"/>
                <w:color w:val="auto"/>
                <w:kern w:val="2"/>
                <w:sz w:val="21"/>
                <w:szCs w:val="21"/>
                <w:highlight w:val="none"/>
                <w:u w:val="none"/>
                <w:shd w:val="clear"/>
                <w:lang w:val="en-US" w:eastAsia="zh-CN" w:bidi="ar"/>
              </w:rPr>
              <w:t>质保期限</w:t>
            </w: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6D3FB6BB">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pPr>
            <w:r>
              <w:rPr>
                <w:rFonts w:hint="eastAsia" w:ascii="宋体" w:hAnsi="宋体" w:eastAsia="宋体" w:cs="宋体"/>
                <w:color w:val="auto"/>
                <w:kern w:val="2"/>
                <w:sz w:val="21"/>
                <w:szCs w:val="21"/>
                <w:highlight w:val="none"/>
                <w:u w:val="none"/>
                <w:shd w:val="clear"/>
                <w:lang w:val="en-US" w:eastAsia="zh-CN" w:bidi="ar"/>
              </w:rPr>
              <w:t>需提供1年的免费质保期，时间从项目验收合格并签署相关文件之日起计算。</w:t>
            </w:r>
          </w:p>
        </w:tc>
      </w:tr>
      <w:tr w14:paraId="005E7B4C">
        <w:tblPrEx>
          <w:tblCellMar>
            <w:top w:w="0" w:type="dxa"/>
            <w:left w:w="108" w:type="dxa"/>
            <w:bottom w:w="0" w:type="dxa"/>
            <w:right w:w="108" w:type="dxa"/>
          </w:tblCellMar>
        </w:tblPrEx>
        <w:trPr>
          <w:trHeight w:val="4057"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252C54B">
            <w:pPr>
              <w:keepNext w:val="0"/>
              <w:keepLines w:val="0"/>
              <w:widowControl/>
              <w:suppressLineNumbers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eastAsia="en-US" w:bidi="ar"/>
              </w:rPr>
            </w:pPr>
            <w:r>
              <w:rPr>
                <w:rFonts w:hint="eastAsia" w:ascii="宋体" w:hAnsi="宋体" w:eastAsia="宋体" w:cs="宋体"/>
                <w:color w:val="auto"/>
                <w:sz w:val="21"/>
                <w:szCs w:val="21"/>
                <w:highlight w:val="none"/>
                <w:lang w:val="en-US" w:eastAsia="zh-CN"/>
              </w:rPr>
              <w:t>售后服务要求</w:t>
            </w: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312B7175">
            <w:pPr>
              <w:widowControl/>
              <w:numPr>
                <w:ilvl w:val="0"/>
                <w:numId w:val="0"/>
              </w:numPr>
              <w:shd w:val="clear" w:color="auto" w:fill="FFFFFF"/>
              <w:spacing w:line="360" w:lineRule="auto"/>
              <w:ind w:firstLine="0" w:firstLineChars="0"/>
              <w:jc w:val="left"/>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1</w:t>
            </w:r>
            <w:r>
              <w:rPr>
                <w:rFonts w:hint="eastAsia" w:ascii="宋体" w:hAnsi="宋体" w:cs="宋体"/>
                <w:color w:val="auto"/>
                <w:szCs w:val="21"/>
                <w:highlight w:val="none"/>
                <w:u w:val="none"/>
                <w:lang w:eastAsia="zh-CN" w:bidi="ar"/>
              </w:rPr>
              <w:t>.</w:t>
            </w:r>
            <w:r>
              <w:rPr>
                <w:rFonts w:hint="eastAsia" w:ascii="宋体" w:hAnsi="宋体" w:eastAsia="宋体" w:cs="宋体"/>
                <w:color w:val="auto"/>
                <w:szCs w:val="21"/>
                <w:highlight w:val="none"/>
                <w:u w:val="none"/>
                <w:lang w:bidi="ar"/>
              </w:rPr>
              <w:t>服务</w:t>
            </w:r>
            <w:r>
              <w:rPr>
                <w:rFonts w:hint="eastAsia" w:ascii="宋体" w:hAnsi="宋体" w:eastAsia="宋体" w:cs="宋体"/>
                <w:color w:val="auto"/>
                <w:szCs w:val="21"/>
                <w:highlight w:val="none"/>
                <w:u w:val="none"/>
                <w:lang w:val="en-US" w:eastAsia="zh-CN" w:bidi="ar"/>
              </w:rPr>
              <w:t>成果</w:t>
            </w:r>
            <w:r>
              <w:rPr>
                <w:rFonts w:hint="eastAsia" w:ascii="宋体" w:hAnsi="宋体" w:eastAsia="宋体" w:cs="宋体"/>
                <w:color w:val="auto"/>
                <w:szCs w:val="21"/>
                <w:highlight w:val="none"/>
                <w:u w:val="none"/>
                <w:lang w:bidi="ar"/>
              </w:rPr>
              <w:t>质量保证期：质量保证期1 年（自</w:t>
            </w:r>
            <w:r>
              <w:rPr>
                <w:rFonts w:hint="eastAsia" w:ascii="宋体" w:hAnsi="宋体" w:cs="宋体"/>
                <w:color w:val="auto"/>
                <w:szCs w:val="21"/>
                <w:highlight w:val="none"/>
                <w:u w:val="none"/>
                <w:lang w:val="en-US" w:eastAsia="zh-CN" w:bidi="ar"/>
              </w:rPr>
              <w:t>项目</w:t>
            </w:r>
            <w:r>
              <w:rPr>
                <w:rFonts w:hint="eastAsia" w:ascii="宋体" w:hAnsi="宋体" w:eastAsia="宋体" w:cs="宋体"/>
                <w:color w:val="auto"/>
                <w:szCs w:val="21"/>
                <w:highlight w:val="none"/>
                <w:u w:val="none"/>
                <w:lang w:bidi="ar"/>
              </w:rPr>
              <w:t>最终验收合格之日起计）。</w:t>
            </w:r>
            <w:r>
              <w:rPr>
                <w:rFonts w:hint="eastAsia" w:ascii="宋体" w:hAnsi="宋体" w:cs="宋体"/>
                <w:color w:val="auto"/>
                <w:szCs w:val="21"/>
                <w:highlight w:val="none"/>
                <w:u w:val="none"/>
                <w:lang w:eastAsia="zh-CN" w:bidi="ar"/>
              </w:rPr>
              <w:t>供应商</w:t>
            </w:r>
            <w:r>
              <w:rPr>
                <w:rFonts w:hint="eastAsia" w:ascii="宋体" w:hAnsi="宋体" w:eastAsia="宋体" w:cs="宋体"/>
                <w:color w:val="auto"/>
                <w:szCs w:val="21"/>
                <w:highlight w:val="none"/>
                <w:u w:val="none"/>
                <w:lang w:bidi="ar"/>
              </w:rPr>
              <w:t>提供服务质量保证承诺，在质保期内，如</w:t>
            </w:r>
            <w:r>
              <w:rPr>
                <w:rFonts w:hint="eastAsia" w:ascii="宋体" w:hAnsi="宋体" w:cs="宋体"/>
                <w:color w:val="auto"/>
                <w:szCs w:val="21"/>
                <w:highlight w:val="none"/>
                <w:u w:val="none"/>
                <w:lang w:eastAsia="zh-CN" w:bidi="ar"/>
              </w:rPr>
              <w:t>成交供应商</w:t>
            </w:r>
            <w:r>
              <w:rPr>
                <w:rFonts w:hint="eastAsia" w:ascii="宋体" w:hAnsi="宋体" w:eastAsia="宋体" w:cs="宋体"/>
                <w:color w:val="auto"/>
                <w:szCs w:val="21"/>
                <w:highlight w:val="none"/>
                <w:u w:val="none"/>
                <w:lang w:bidi="ar"/>
              </w:rPr>
              <w:t>原因导致系统设计存在缺陷无法运行或效率低下，对系统进行结构性调整至满足采购人使用要求；</w:t>
            </w:r>
            <w:r>
              <w:rPr>
                <w:rFonts w:hint="eastAsia" w:ascii="宋体" w:hAnsi="宋体" w:cs="宋体"/>
                <w:color w:val="auto"/>
                <w:szCs w:val="21"/>
                <w:highlight w:val="none"/>
                <w:u w:val="none"/>
                <w:lang w:eastAsia="zh-CN" w:bidi="ar"/>
              </w:rPr>
              <w:t>成交供应商</w:t>
            </w:r>
            <w:r>
              <w:rPr>
                <w:rFonts w:hint="eastAsia" w:ascii="宋体" w:hAnsi="宋体" w:eastAsia="宋体" w:cs="宋体"/>
                <w:color w:val="auto"/>
                <w:szCs w:val="21"/>
                <w:highlight w:val="none"/>
                <w:u w:val="none"/>
                <w:lang w:bidi="ar"/>
              </w:rPr>
              <w:t>应提供完整有效的成果及数据，对所开发的软件如出现漏洞（专业术语BUG），实行终身免费修改维护。</w:t>
            </w:r>
          </w:p>
          <w:p w14:paraId="7DA4E47A">
            <w:pPr>
              <w:widowControl/>
              <w:numPr>
                <w:ilvl w:val="0"/>
                <w:numId w:val="0"/>
              </w:numPr>
              <w:shd w:val="clear" w:color="auto" w:fill="FFFFFF"/>
              <w:spacing w:line="360" w:lineRule="auto"/>
              <w:ind w:firstLine="0" w:firstLineChars="0"/>
              <w:jc w:val="left"/>
              <w:outlineLvl w:val="9"/>
              <w:rPr>
                <w:rFonts w:hint="eastAsia" w:ascii="宋体" w:hAnsi="宋体" w:eastAsia="宋体" w:cs="宋体"/>
                <w:color w:val="auto"/>
                <w:szCs w:val="21"/>
                <w:highlight w:val="none"/>
                <w:u w:val="none"/>
                <w:lang w:eastAsia="zh-CN" w:bidi="ar"/>
              </w:rPr>
            </w:pPr>
            <w:r>
              <w:rPr>
                <w:rFonts w:hint="eastAsia" w:ascii="宋体" w:hAnsi="宋体" w:eastAsia="宋体" w:cs="宋体"/>
                <w:color w:val="auto"/>
                <w:szCs w:val="21"/>
                <w:highlight w:val="none"/>
                <w:u w:val="none"/>
                <w:lang w:bidi="ar"/>
              </w:rPr>
              <w:t>2</w:t>
            </w:r>
            <w:r>
              <w:rPr>
                <w:rFonts w:hint="eastAsia" w:ascii="宋体" w:hAnsi="宋体" w:cs="宋体"/>
                <w:color w:val="auto"/>
                <w:szCs w:val="21"/>
                <w:highlight w:val="none"/>
                <w:u w:val="none"/>
                <w:lang w:eastAsia="zh-CN" w:bidi="ar"/>
              </w:rPr>
              <w:t>.</w:t>
            </w:r>
            <w:r>
              <w:rPr>
                <w:rFonts w:hint="eastAsia" w:ascii="宋体" w:hAnsi="宋体" w:eastAsia="宋体" w:cs="宋体"/>
                <w:color w:val="auto"/>
                <w:szCs w:val="21"/>
                <w:highlight w:val="none"/>
                <w:u w:val="none"/>
                <w:lang w:val="en-US" w:eastAsia="zh-CN" w:bidi="ar"/>
              </w:rPr>
              <w:t>处理问题</w:t>
            </w:r>
            <w:r>
              <w:rPr>
                <w:rFonts w:hint="eastAsia" w:ascii="宋体" w:hAnsi="宋体" w:eastAsia="宋体" w:cs="宋体"/>
                <w:color w:val="auto"/>
                <w:szCs w:val="21"/>
                <w:highlight w:val="none"/>
                <w:u w:val="none"/>
                <w:lang w:bidi="ar"/>
              </w:rPr>
              <w:t>响应时间：平台系统出现故障后驻地技术人员马上响应，在必要情况下其它技术维护力量 2 小时内响应，一般故障4小时内排除，重大故障 3小时内排除，24小时内提供现场支持服务，7*24小时远程、线上、电话支持服务，提出解决方案，排除故障，直至系统恢复正常运行</w:t>
            </w:r>
            <w:r>
              <w:rPr>
                <w:rFonts w:hint="eastAsia" w:ascii="宋体" w:hAnsi="宋体" w:eastAsia="宋体" w:cs="宋体"/>
                <w:color w:val="auto"/>
                <w:szCs w:val="21"/>
                <w:highlight w:val="none"/>
                <w:u w:val="none"/>
                <w:lang w:eastAsia="zh-CN" w:bidi="ar"/>
              </w:rPr>
              <w:t>。</w:t>
            </w:r>
          </w:p>
          <w:p w14:paraId="3168CE2D">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textAlignment w:val="auto"/>
              <w:rPr>
                <w:rFonts w:hint="default" w:ascii="宋体" w:hAnsi="宋体" w:eastAsia="宋体" w:cs="宋体"/>
                <w:color w:val="auto"/>
                <w:szCs w:val="21"/>
                <w:highlight w:val="none"/>
                <w:u w:val="none"/>
                <w:lang w:val="en-US" w:eastAsia="zh-CN" w:bidi="ar"/>
              </w:rPr>
            </w:pPr>
            <w:r>
              <w:rPr>
                <w:rFonts w:hint="eastAsia" w:ascii="宋体" w:hAnsi="宋体" w:cs="宋体"/>
                <w:color w:val="auto"/>
                <w:szCs w:val="21"/>
                <w:highlight w:val="none"/>
                <w:u w:val="none"/>
                <w:lang w:val="en-US" w:eastAsia="zh-CN" w:bidi="ar"/>
              </w:rPr>
              <w:t>3.</w:t>
            </w:r>
            <w:r>
              <w:rPr>
                <w:rFonts w:hint="eastAsia" w:ascii="宋体" w:hAnsi="宋体" w:eastAsia="宋体" w:cs="宋体"/>
                <w:color w:val="auto"/>
                <w:szCs w:val="21"/>
                <w:highlight w:val="none"/>
                <w:u w:val="none"/>
                <w:lang w:val="en-US" w:eastAsia="zh-CN" w:bidi="ar"/>
              </w:rPr>
              <w:t>售后服务技术人员要求：有专职人员负责售后服务，服务积极热情，能妥善处理各种售后问题。</w:t>
            </w:r>
          </w:p>
        </w:tc>
      </w:tr>
      <w:tr w14:paraId="57697538">
        <w:tblPrEx>
          <w:tblCellMar>
            <w:top w:w="0" w:type="dxa"/>
            <w:left w:w="108" w:type="dxa"/>
            <w:bottom w:w="0" w:type="dxa"/>
            <w:right w:w="108" w:type="dxa"/>
          </w:tblCellMar>
        </w:tblPrEx>
        <w:trPr>
          <w:trHeight w:val="6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0F57DC7">
            <w:pPr>
              <w:widowControl/>
              <w:shd w:val="clear" w:color="auto" w:fill="FFFFFF"/>
              <w:spacing w:line="330" w:lineRule="atLeast"/>
              <w:jc w:val="center"/>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交付</w:t>
            </w:r>
            <w:r>
              <w:rPr>
                <w:rFonts w:hint="eastAsia" w:ascii="宋体" w:hAnsi="宋体" w:eastAsia="宋体" w:cs="宋体"/>
                <w:color w:val="auto"/>
                <w:szCs w:val="21"/>
                <w:highlight w:val="none"/>
                <w:lang w:val="en-US" w:eastAsia="zh-CN"/>
              </w:rPr>
              <w:t>要求</w:t>
            </w:r>
          </w:p>
          <w:p w14:paraId="64B03771">
            <w:pPr>
              <w:widowControl/>
              <w:spacing w:line="360" w:lineRule="auto"/>
              <w:ind w:firstLine="0" w:firstLineChars="0"/>
              <w:jc w:val="center"/>
              <w:textAlignment w:val="auto"/>
              <w:rPr>
                <w:rFonts w:hint="eastAsia" w:ascii="宋体" w:hAnsi="宋体" w:cs="宋体"/>
                <w:color w:val="auto"/>
                <w:kern w:val="2"/>
                <w:sz w:val="21"/>
                <w:szCs w:val="21"/>
                <w:highlight w:val="none"/>
                <w:lang w:bidi="ar"/>
              </w:rPr>
            </w:pP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73924B81">
            <w:pPr>
              <w:widowControl/>
              <w:numPr>
                <w:ilvl w:val="0"/>
                <w:numId w:val="0"/>
              </w:numPr>
              <w:shd w:val="clear" w:color="auto" w:fill="FFFFFF"/>
              <w:spacing w:line="360" w:lineRule="auto"/>
              <w:jc w:val="left"/>
              <w:outlineLvl w:val="9"/>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1</w:t>
            </w:r>
            <w:r>
              <w:rPr>
                <w:rFonts w:hint="eastAsia" w:ascii="宋体" w:hAnsi="宋体" w:cs="宋体"/>
                <w:color w:val="auto"/>
                <w:szCs w:val="21"/>
                <w:highlight w:val="none"/>
                <w:u w:val="none"/>
                <w:lang w:val="en-US" w:eastAsia="zh-CN" w:bidi="ar"/>
              </w:rPr>
              <w:t>.成交供应商</w:t>
            </w:r>
            <w:r>
              <w:rPr>
                <w:rFonts w:hint="eastAsia" w:ascii="宋体" w:hAnsi="宋体" w:eastAsia="宋体" w:cs="宋体"/>
                <w:color w:val="auto"/>
                <w:szCs w:val="21"/>
                <w:highlight w:val="none"/>
                <w:u w:val="none"/>
                <w:lang w:val="en-US" w:eastAsia="zh-CN" w:bidi="ar"/>
              </w:rPr>
              <w:t>须提供质量保证承诺，在</w:t>
            </w:r>
            <w:r>
              <w:rPr>
                <w:rFonts w:hint="eastAsia" w:ascii="宋体" w:hAnsi="宋体" w:cs="宋体"/>
                <w:color w:val="auto"/>
                <w:szCs w:val="21"/>
                <w:highlight w:val="none"/>
                <w:u w:val="none"/>
                <w:lang w:val="en-US" w:eastAsia="zh-CN" w:bidi="ar"/>
              </w:rPr>
              <w:t>交付期限</w:t>
            </w:r>
            <w:r>
              <w:rPr>
                <w:rFonts w:hint="eastAsia" w:ascii="宋体" w:hAnsi="宋体" w:eastAsia="宋体" w:cs="宋体"/>
                <w:color w:val="auto"/>
                <w:szCs w:val="21"/>
                <w:highlight w:val="none"/>
                <w:u w:val="none"/>
                <w:lang w:val="en-US" w:eastAsia="zh-CN" w:bidi="ar"/>
              </w:rPr>
              <w:t>内，当行业标准、技术规范发生改变时，须修改相关内容，此费用已包含在投标报价中。</w:t>
            </w:r>
          </w:p>
          <w:p w14:paraId="39B3C05A">
            <w:pPr>
              <w:widowControl/>
              <w:numPr>
                <w:ilvl w:val="0"/>
                <w:numId w:val="0"/>
              </w:numPr>
              <w:shd w:val="clear" w:color="auto" w:fill="FFFFFF"/>
              <w:spacing w:line="360" w:lineRule="auto"/>
              <w:jc w:val="left"/>
              <w:outlineLvl w:val="9"/>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2</w:t>
            </w:r>
            <w:r>
              <w:rPr>
                <w:rFonts w:hint="eastAsia" w:ascii="宋体" w:hAnsi="宋体" w:cs="宋体"/>
                <w:color w:val="auto"/>
                <w:szCs w:val="21"/>
                <w:highlight w:val="none"/>
                <w:u w:val="none"/>
                <w:lang w:val="en-US" w:eastAsia="zh-CN" w:bidi="ar"/>
              </w:rPr>
              <w:t>.交付期限</w:t>
            </w:r>
            <w:r>
              <w:rPr>
                <w:rFonts w:hint="eastAsia" w:ascii="宋体" w:hAnsi="宋体" w:eastAsia="宋体" w:cs="宋体"/>
                <w:color w:val="auto"/>
                <w:szCs w:val="21"/>
                <w:highlight w:val="none"/>
                <w:u w:val="none"/>
                <w:lang w:val="en-US" w:eastAsia="zh-CN" w:bidi="ar"/>
              </w:rPr>
              <w:t>期内，</w:t>
            </w:r>
            <w:r>
              <w:rPr>
                <w:rFonts w:hint="eastAsia" w:ascii="宋体" w:hAnsi="宋体" w:cs="宋体"/>
                <w:color w:val="auto"/>
                <w:szCs w:val="21"/>
                <w:highlight w:val="none"/>
                <w:u w:val="none"/>
                <w:lang w:val="en-US" w:eastAsia="zh-CN" w:bidi="ar"/>
              </w:rPr>
              <w:t>成交供应商</w:t>
            </w:r>
            <w:r>
              <w:rPr>
                <w:rFonts w:hint="eastAsia" w:ascii="宋体" w:hAnsi="宋体" w:eastAsia="宋体" w:cs="宋体"/>
                <w:color w:val="auto"/>
                <w:szCs w:val="21"/>
                <w:highlight w:val="none"/>
                <w:u w:val="none"/>
                <w:lang w:val="en-US" w:eastAsia="zh-CN" w:bidi="ar"/>
              </w:rPr>
              <w:t>进行软件修改、完善和升级开发。如系统设计存在缺陷，导致无法运行或效率低下，对系统进行结构性调整开发至满足使用要求。此费用已包含在投标报价中。</w:t>
            </w:r>
          </w:p>
          <w:p w14:paraId="186B20CC">
            <w:pPr>
              <w:pStyle w:val="14"/>
              <w:spacing w:line="360" w:lineRule="auto"/>
              <w:rPr>
                <w:rFonts w:hint="eastAsia" w:ascii="宋体" w:hAnsi="宋体" w:eastAsia="宋体" w:cs="宋体"/>
                <w:color w:val="auto"/>
                <w:szCs w:val="21"/>
                <w:highlight w:val="none"/>
                <w:u w:val="none"/>
                <w:lang w:val="en-US" w:eastAsia="zh-CN" w:bidi="ar"/>
              </w:rPr>
            </w:pPr>
            <w:r>
              <w:rPr>
                <w:rFonts w:hint="eastAsia" w:ascii="宋体" w:hAnsi="宋体" w:cs="宋体"/>
                <w:color w:val="auto"/>
                <w:szCs w:val="21"/>
                <w:highlight w:val="none"/>
                <w:u w:val="none"/>
                <w:lang w:val="en-US" w:eastAsia="zh-CN" w:bidi="ar"/>
              </w:rPr>
              <w:t>3.成交供应商须提供驻采购人要求的驻场服务，提供5工作日x8小时(每周)，提供技术服务及支撑运营服务,如有紧急任务和特殊工作须根据工作安排及时派人做好系统运维和安全服务工作,驻点服务人员必须严格按照采购人日常工作考勤制度进行考勤，并将相关情况通报医院。同时，软件开发与实施过程所需一切工具(含开发工具)、仪表等设备或工具均由成交供应商自行负责。</w:t>
            </w:r>
          </w:p>
          <w:p w14:paraId="73BCACB5">
            <w:pPr>
              <w:widowControl/>
              <w:numPr>
                <w:ilvl w:val="0"/>
                <w:numId w:val="0"/>
              </w:numPr>
              <w:shd w:val="clear" w:color="auto" w:fill="FFFFFF"/>
              <w:spacing w:line="360" w:lineRule="auto"/>
              <w:jc w:val="left"/>
              <w:outlineLvl w:val="9"/>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4</w:t>
            </w:r>
            <w:r>
              <w:rPr>
                <w:rFonts w:hint="eastAsia" w:ascii="宋体" w:hAnsi="宋体" w:cs="宋体"/>
                <w:color w:val="auto"/>
                <w:szCs w:val="21"/>
                <w:highlight w:val="none"/>
                <w:u w:val="none"/>
                <w:lang w:val="en-US" w:eastAsia="zh-CN" w:bidi="ar"/>
              </w:rPr>
              <w:t>.</w:t>
            </w:r>
            <w:r>
              <w:rPr>
                <w:rFonts w:hint="eastAsia" w:ascii="宋体" w:hAnsi="宋体" w:eastAsia="宋体" w:cs="宋体"/>
                <w:color w:val="auto"/>
                <w:szCs w:val="21"/>
                <w:highlight w:val="none"/>
                <w:u w:val="none"/>
                <w:lang w:val="en-US" w:eastAsia="zh-CN" w:bidi="ar"/>
              </w:rPr>
              <w:t>项目</w:t>
            </w:r>
            <w:r>
              <w:rPr>
                <w:rFonts w:hint="eastAsia" w:ascii="宋体" w:hAnsi="宋体" w:cs="宋体"/>
                <w:color w:val="auto"/>
                <w:szCs w:val="21"/>
                <w:highlight w:val="none"/>
                <w:u w:val="none"/>
                <w:lang w:val="en-US" w:eastAsia="zh-CN" w:bidi="ar"/>
              </w:rPr>
              <w:t>交付期限</w:t>
            </w:r>
            <w:r>
              <w:rPr>
                <w:rFonts w:hint="eastAsia" w:ascii="宋体" w:hAnsi="宋体" w:eastAsia="宋体" w:cs="宋体"/>
                <w:color w:val="auto"/>
                <w:szCs w:val="21"/>
                <w:highlight w:val="none"/>
                <w:u w:val="none"/>
                <w:lang w:val="en-US" w:eastAsia="zh-CN" w:bidi="ar"/>
              </w:rPr>
              <w:t>内，采购人有权对驻场人员的工作情况进行监督、考核（含出勤、满意度等指标）。或有不按时出勤影响工作、达不到工作质量要求的，采购人有权要求</w:t>
            </w:r>
            <w:r>
              <w:rPr>
                <w:rFonts w:hint="eastAsia" w:ascii="宋体" w:hAnsi="宋体" w:cs="宋体"/>
                <w:color w:val="auto"/>
                <w:szCs w:val="21"/>
                <w:highlight w:val="none"/>
                <w:u w:val="none"/>
                <w:lang w:val="en-US" w:eastAsia="zh-CN" w:bidi="ar"/>
              </w:rPr>
              <w:t>成交供应商</w:t>
            </w:r>
            <w:r>
              <w:rPr>
                <w:rFonts w:hint="eastAsia" w:ascii="宋体" w:hAnsi="宋体" w:eastAsia="宋体" w:cs="宋体"/>
                <w:color w:val="auto"/>
                <w:szCs w:val="21"/>
                <w:highlight w:val="none"/>
                <w:u w:val="none"/>
                <w:lang w:val="en-US" w:eastAsia="zh-CN" w:bidi="ar"/>
              </w:rPr>
              <w:t>进行整改或更换驻场人员。</w:t>
            </w:r>
          </w:p>
          <w:p w14:paraId="5F5A1CE2">
            <w:pPr>
              <w:widowControl/>
              <w:numPr>
                <w:ilvl w:val="0"/>
                <w:numId w:val="0"/>
              </w:numPr>
              <w:shd w:val="clear" w:color="auto" w:fill="FFFFFF"/>
              <w:spacing w:line="360" w:lineRule="auto"/>
              <w:ind w:firstLine="0" w:firstLineChars="0"/>
              <w:jc w:val="left"/>
              <w:textAlignment w:val="auto"/>
              <w:rPr>
                <w:rFonts w:hint="eastAsia" w:ascii="宋体" w:hAnsi="宋体" w:cs="宋体"/>
                <w:color w:val="auto"/>
                <w:kern w:val="2"/>
                <w:sz w:val="21"/>
                <w:szCs w:val="21"/>
                <w:highlight w:val="none"/>
                <w:u w:val="none"/>
                <w:lang w:bidi="ar"/>
              </w:rPr>
            </w:pPr>
            <w:r>
              <w:rPr>
                <w:rFonts w:hint="eastAsia" w:ascii="宋体" w:hAnsi="宋体" w:eastAsia="宋体" w:cs="宋体"/>
                <w:color w:val="auto"/>
                <w:szCs w:val="21"/>
                <w:highlight w:val="none"/>
                <w:u w:val="none"/>
                <w:lang w:val="en-US" w:eastAsia="zh-CN" w:bidi="ar"/>
              </w:rPr>
              <w:t>5</w:t>
            </w:r>
            <w:r>
              <w:rPr>
                <w:rFonts w:hint="eastAsia" w:ascii="宋体" w:hAnsi="宋体" w:cs="宋体"/>
                <w:color w:val="auto"/>
                <w:szCs w:val="21"/>
                <w:highlight w:val="none"/>
                <w:u w:val="none"/>
                <w:lang w:val="en-US" w:eastAsia="zh-CN" w:bidi="ar"/>
              </w:rPr>
              <w:t>.</w:t>
            </w:r>
            <w:r>
              <w:rPr>
                <w:rFonts w:hint="eastAsia" w:ascii="宋体" w:hAnsi="宋体" w:eastAsia="宋体" w:cs="宋体"/>
                <w:color w:val="auto"/>
                <w:szCs w:val="21"/>
                <w:highlight w:val="none"/>
                <w:u w:val="none"/>
                <w:lang w:val="en-US" w:eastAsia="zh-CN" w:bidi="ar"/>
              </w:rPr>
              <w:t>项目</w:t>
            </w:r>
            <w:r>
              <w:rPr>
                <w:rFonts w:hint="eastAsia" w:ascii="宋体" w:hAnsi="宋体" w:cs="宋体"/>
                <w:color w:val="auto"/>
                <w:szCs w:val="21"/>
                <w:highlight w:val="none"/>
                <w:u w:val="none"/>
                <w:lang w:val="en-US" w:eastAsia="zh-CN" w:bidi="ar"/>
              </w:rPr>
              <w:t>交付期限</w:t>
            </w:r>
            <w:r>
              <w:rPr>
                <w:rFonts w:hint="eastAsia" w:ascii="宋体" w:hAnsi="宋体" w:eastAsia="宋体" w:cs="宋体"/>
                <w:color w:val="auto"/>
                <w:szCs w:val="21"/>
                <w:highlight w:val="none"/>
                <w:u w:val="none"/>
                <w:lang w:val="en-US" w:eastAsia="zh-CN" w:bidi="ar"/>
              </w:rPr>
              <w:t>内，</w:t>
            </w:r>
            <w:r>
              <w:rPr>
                <w:rFonts w:hint="eastAsia" w:ascii="宋体" w:hAnsi="宋体" w:cs="宋体"/>
                <w:color w:val="auto"/>
                <w:szCs w:val="21"/>
                <w:highlight w:val="none"/>
                <w:u w:val="none"/>
                <w:lang w:val="en-US" w:eastAsia="zh-CN" w:bidi="ar"/>
              </w:rPr>
              <w:t>成交供应商</w:t>
            </w:r>
            <w:r>
              <w:rPr>
                <w:rFonts w:hint="eastAsia" w:ascii="宋体" w:hAnsi="宋体" w:eastAsia="宋体" w:cs="宋体"/>
                <w:color w:val="auto"/>
                <w:szCs w:val="21"/>
                <w:highlight w:val="none"/>
                <w:u w:val="none"/>
                <w:lang w:val="en-US" w:eastAsia="zh-CN" w:bidi="ar"/>
              </w:rPr>
              <w:t>提供7天×24小时（每周）运营服务线上客户服务。</w:t>
            </w:r>
          </w:p>
        </w:tc>
      </w:tr>
      <w:tr w14:paraId="546AA11A">
        <w:tblPrEx>
          <w:tblCellMar>
            <w:top w:w="0" w:type="dxa"/>
            <w:left w:w="108" w:type="dxa"/>
            <w:bottom w:w="0" w:type="dxa"/>
            <w:right w:w="108" w:type="dxa"/>
          </w:tblCellMar>
        </w:tblPrEx>
        <w:trPr>
          <w:trHeight w:val="6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8E100">
            <w:pPr>
              <w:keepNext w:val="0"/>
              <w:keepLines w:val="0"/>
              <w:widowControl/>
              <w:suppressLineNumbers w:val="0"/>
              <w:spacing w:before="0" w:beforeAutospacing="0" w:after="0" w:afterAutospacing="0" w:line="360" w:lineRule="auto"/>
              <w:ind w:left="0" w:leftChars="0" w:right="0" w:rightChars="0" w:firstLine="424" w:firstLineChars="202"/>
              <w:jc w:val="center"/>
              <w:textAlignment w:val="auto"/>
              <w:rPr>
                <w:rFonts w:hint="eastAsia" w:ascii="宋体" w:hAnsi="宋体" w:eastAsia="宋体" w:cs="宋体"/>
                <w:color w:val="auto"/>
                <w:spacing w:val="0"/>
                <w:w w:val="100"/>
                <w:kern w:val="2"/>
                <w:position w:val="0"/>
                <w:sz w:val="21"/>
                <w:szCs w:val="21"/>
                <w:highlight w:val="none"/>
                <w:shd w:val="clear"/>
                <w:lang w:val="en-US" w:eastAsia="zh-CN" w:bidi="ar"/>
              </w:rPr>
            </w:pPr>
            <w:r>
              <w:rPr>
                <w:rFonts w:hint="eastAsia" w:ascii="宋体" w:hAnsi="宋体" w:eastAsia="宋体" w:cs="宋体"/>
                <w:color w:val="auto"/>
                <w:spacing w:val="0"/>
                <w:w w:val="100"/>
                <w:kern w:val="2"/>
                <w:position w:val="0"/>
                <w:sz w:val="21"/>
                <w:szCs w:val="21"/>
                <w:highlight w:val="none"/>
                <w:shd w:val="clear"/>
                <w:lang w:val="en-US" w:eastAsia="zh-CN" w:bidi="ar"/>
              </w:rPr>
              <w:t>报价要求</w:t>
            </w:r>
          </w:p>
        </w:tc>
        <w:tc>
          <w:tcPr>
            <w:tcW w:w="412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B9BD">
            <w:pPr>
              <w:widowControl/>
              <w:numPr>
                <w:ilvl w:val="0"/>
                <w:numId w:val="0"/>
              </w:numPr>
              <w:shd w:val="clear" w:color="auto" w:fill="FFFFFF"/>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1.磋商</w:t>
            </w:r>
            <w:r>
              <w:rPr>
                <w:rFonts w:hint="eastAsia" w:ascii="宋体" w:hAnsi="宋体" w:eastAsia="宋体" w:cs="宋体"/>
                <w:color w:val="auto"/>
                <w:sz w:val="21"/>
                <w:szCs w:val="21"/>
                <w:highlight w:val="none"/>
              </w:rPr>
              <w:t>报价必须包含满足本次</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全部采购需求所应提供的服务，以及伴随的货物和工程（如有）的价格</w:t>
            </w:r>
            <w:r>
              <w:rPr>
                <w:rFonts w:hint="eastAsia" w:ascii="宋体" w:hAnsi="宋体" w:eastAsia="宋体" w:cs="宋体"/>
                <w:color w:val="auto"/>
                <w:sz w:val="21"/>
                <w:szCs w:val="21"/>
                <w:highlight w:val="none"/>
                <w:lang w:eastAsia="zh-CN"/>
              </w:rPr>
              <w:t>：（1）服务的价格包含提供本次</w:t>
            </w:r>
            <w:r>
              <w:rPr>
                <w:rFonts w:hint="eastAsia" w:ascii="宋体" w:hAnsi="宋体" w:eastAsia="宋体" w:cs="宋体"/>
                <w:color w:val="auto"/>
                <w:sz w:val="21"/>
                <w:szCs w:val="21"/>
                <w:highlight w:val="none"/>
                <w:lang w:val="en-US" w:eastAsia="zh-CN"/>
              </w:rPr>
              <w:t>服务内容的价格、测试、技术支持等以及</w:t>
            </w:r>
            <w:r>
              <w:rPr>
                <w:rFonts w:hint="eastAsia" w:ascii="宋体" w:hAnsi="宋体" w:eastAsia="宋体" w:cs="宋体"/>
                <w:color w:val="auto"/>
                <w:sz w:val="21"/>
                <w:szCs w:val="21"/>
                <w:highlight w:val="none"/>
                <w:lang w:eastAsia="zh-CN"/>
              </w:rPr>
              <w:t>服务范围的人员的工资、交通差旅、餐饮住宿，福利、利润、培训、运营服务、</w:t>
            </w:r>
            <w:r>
              <w:rPr>
                <w:rFonts w:hint="eastAsia" w:ascii="宋体" w:hAnsi="宋体" w:cs="宋体"/>
                <w:color w:val="auto"/>
                <w:sz w:val="21"/>
                <w:szCs w:val="21"/>
                <w:highlight w:val="none"/>
                <w:lang w:val="en-US" w:eastAsia="zh-CN"/>
              </w:rPr>
              <w:t>安装调试、保险、检测、验收、</w:t>
            </w:r>
            <w:r>
              <w:rPr>
                <w:rFonts w:hint="eastAsia" w:ascii="宋体" w:hAnsi="宋体" w:eastAsia="宋体" w:cs="宋体"/>
                <w:color w:val="auto"/>
                <w:sz w:val="21"/>
                <w:szCs w:val="21"/>
                <w:highlight w:val="none"/>
                <w:lang w:eastAsia="zh-CN"/>
              </w:rPr>
              <w:t>售后服务、更新升级等费用；</w:t>
            </w:r>
          </w:p>
          <w:p w14:paraId="66CCA0F6">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必要的保险费用和各项税金</w:t>
            </w:r>
            <w:r>
              <w:rPr>
                <w:rFonts w:hint="eastAsia" w:ascii="宋体" w:hAnsi="宋体" w:eastAsia="宋体" w:cs="宋体"/>
                <w:color w:val="auto"/>
                <w:kern w:val="2"/>
                <w:sz w:val="21"/>
                <w:szCs w:val="21"/>
                <w:highlight w:val="none"/>
                <w:lang w:val="en-US" w:eastAsia="zh-CN" w:bidi="ar"/>
              </w:rPr>
              <w:t>。</w:t>
            </w:r>
          </w:p>
          <w:p w14:paraId="3B0AC54D">
            <w:pPr>
              <w:keepNext w:val="0"/>
              <w:keepLines w:val="0"/>
              <w:widowControl/>
              <w:numPr>
                <w:ilvl w:val="0"/>
                <w:numId w:val="0"/>
              </w:numPr>
              <w:suppressLineNumbers w:val="0"/>
              <w:shd w:val="clear" w:color="auto" w:fill="FFFFFF"/>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项目需要的接口费用</w:t>
            </w:r>
            <w:r>
              <w:rPr>
                <w:rFonts w:hint="eastAsia" w:ascii="宋体" w:hAnsi="宋体" w:cs="宋体"/>
                <w:color w:val="auto"/>
                <w:kern w:val="2"/>
                <w:sz w:val="21"/>
                <w:szCs w:val="21"/>
                <w:highlight w:val="none"/>
                <w:lang w:val="en-US" w:eastAsia="zh-CN" w:bidi="ar"/>
              </w:rPr>
              <w:t>。</w:t>
            </w:r>
          </w:p>
        </w:tc>
      </w:tr>
      <w:tr w14:paraId="22702A02">
        <w:tblPrEx>
          <w:tblCellMar>
            <w:top w:w="0" w:type="dxa"/>
            <w:left w:w="108" w:type="dxa"/>
            <w:bottom w:w="0" w:type="dxa"/>
            <w:right w:w="108" w:type="dxa"/>
          </w:tblCellMar>
        </w:tblPrEx>
        <w:trPr>
          <w:trHeight w:val="1845"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806C138">
            <w:pPr>
              <w:widowControl/>
              <w:spacing w:line="360" w:lineRule="auto"/>
              <w:ind w:firstLine="424" w:firstLineChars="202"/>
              <w:jc w:val="center"/>
              <w:textAlignment w:val="auto"/>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付款方式</w:t>
            </w: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749E7680">
            <w:pPr>
              <w:widowControl/>
              <w:numPr>
                <w:ilvl w:val="0"/>
                <w:numId w:val="0"/>
              </w:numPr>
              <w:shd w:val="clear" w:color="auto" w:fill="FFFFFF"/>
              <w:spacing w:line="360" w:lineRule="auto"/>
              <w:rPr>
                <w:rFonts w:hint="eastAsia" w:ascii="宋体" w:hAnsi="宋体" w:cs="宋体"/>
                <w:color w:val="auto"/>
                <w:sz w:val="21"/>
                <w:szCs w:val="21"/>
                <w:highlight w:val="none"/>
              </w:rPr>
            </w:pPr>
            <w:r>
              <w:rPr>
                <w:rFonts w:hint="eastAsia" w:ascii="宋体" w:hAnsi="宋体" w:cs="宋体"/>
                <w:color w:val="auto"/>
                <w:szCs w:val="21"/>
                <w:highlight w:val="none"/>
                <w:lang w:val="en-US" w:eastAsia="zh-CN" w:bidi="ar"/>
              </w:rPr>
              <w:t>本项目合同签订生效后，成交供应商向采购人提供合同金额20%的正规发票及请款函材料（格式自拟），采购人审核材料无误后10个工作日内向成交供应商支付合同金额的 20% ；成交供应商的服务成果经验收合格后，成交供应商向采购人提交付款所需的所有材料，采购人对付款材料审核无误后的 10 个工作日内支付全部剩余合同款。</w:t>
            </w:r>
          </w:p>
        </w:tc>
      </w:tr>
      <w:tr w14:paraId="729527C5">
        <w:tblPrEx>
          <w:tblCellMar>
            <w:top w:w="0" w:type="dxa"/>
            <w:left w:w="108" w:type="dxa"/>
            <w:bottom w:w="0" w:type="dxa"/>
            <w:right w:w="108" w:type="dxa"/>
          </w:tblCellMar>
        </w:tblPrEx>
        <w:trPr>
          <w:trHeight w:val="6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869C6F3">
            <w:pPr>
              <w:keepNext w:val="0"/>
              <w:keepLines w:val="0"/>
              <w:widowControl/>
              <w:suppressLineNumbers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highlight w:val="none"/>
              </w:rPr>
              <w:t>验收标准、验收方法及方案</w:t>
            </w: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6E85969A">
            <w:pPr>
              <w:widowControl/>
              <w:numPr>
                <w:ilvl w:val="0"/>
                <w:numId w:val="0"/>
              </w:numPr>
              <w:shd w:val="clear" w:color="auto" w:fill="FFFFFF"/>
              <w:spacing w:line="360" w:lineRule="auto"/>
              <w:ind w:firstLine="0" w:firstLineChars="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依据</w:t>
            </w:r>
            <w:r>
              <w:rPr>
                <w:rFonts w:hint="eastAsia" w:ascii="宋体" w:hAnsi="宋体" w:cs="宋体"/>
                <w:color w:val="auto"/>
                <w:szCs w:val="21"/>
                <w:highlight w:val="none"/>
                <w:lang w:eastAsia="zh-CN" w:bidi="ar"/>
              </w:rPr>
              <w:t>采购文件</w:t>
            </w:r>
            <w:r>
              <w:rPr>
                <w:rFonts w:hint="eastAsia" w:ascii="宋体" w:hAnsi="宋体" w:eastAsia="宋体" w:cs="宋体"/>
                <w:color w:val="auto"/>
                <w:szCs w:val="21"/>
                <w:highlight w:val="none"/>
                <w:lang w:bidi="ar"/>
              </w:rPr>
              <w:t>及</w:t>
            </w:r>
            <w:r>
              <w:rPr>
                <w:rFonts w:hint="eastAsia" w:ascii="宋体" w:hAnsi="宋体" w:cs="宋体"/>
                <w:color w:val="auto"/>
                <w:szCs w:val="21"/>
                <w:highlight w:val="none"/>
                <w:lang w:eastAsia="zh-CN" w:bidi="ar"/>
              </w:rPr>
              <w:t>供应商</w:t>
            </w:r>
            <w:r>
              <w:rPr>
                <w:rFonts w:hint="eastAsia" w:ascii="宋体" w:hAnsi="宋体" w:eastAsia="宋体" w:cs="宋体"/>
                <w:color w:val="auto"/>
                <w:szCs w:val="21"/>
                <w:highlight w:val="none"/>
                <w:lang w:bidi="ar"/>
              </w:rPr>
              <w:t>的</w:t>
            </w:r>
            <w:r>
              <w:rPr>
                <w:rFonts w:hint="eastAsia" w:ascii="宋体" w:hAnsi="宋体" w:cs="宋体"/>
                <w:color w:val="auto"/>
                <w:szCs w:val="21"/>
                <w:highlight w:val="none"/>
                <w:lang w:eastAsia="zh-CN" w:bidi="ar"/>
              </w:rPr>
              <w:t>响应文件</w:t>
            </w:r>
            <w:r>
              <w:rPr>
                <w:rFonts w:hint="eastAsia" w:ascii="宋体" w:hAnsi="宋体" w:eastAsia="宋体" w:cs="宋体"/>
                <w:color w:val="auto"/>
                <w:szCs w:val="21"/>
                <w:highlight w:val="none"/>
                <w:lang w:bidi="ar"/>
              </w:rPr>
              <w:t>承诺对服务项目进行验收。</w:t>
            </w:r>
          </w:p>
          <w:p w14:paraId="780F1073">
            <w:pPr>
              <w:widowControl/>
              <w:numPr>
                <w:ilvl w:val="0"/>
                <w:numId w:val="0"/>
              </w:numPr>
              <w:shd w:val="clear" w:color="auto" w:fill="FFFFFF"/>
              <w:spacing w:line="360" w:lineRule="auto"/>
              <w:ind w:firstLine="0" w:firstLineChars="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服务技术</w:t>
            </w:r>
            <w:r>
              <w:rPr>
                <w:rFonts w:hint="eastAsia" w:ascii="宋体" w:hAnsi="宋体" w:eastAsia="宋体" w:cs="宋体"/>
                <w:color w:val="auto"/>
                <w:szCs w:val="21"/>
                <w:highlight w:val="none"/>
                <w:lang w:val="en-US" w:eastAsia="zh-CN" w:bidi="ar"/>
              </w:rPr>
              <w:t>内容</w:t>
            </w:r>
            <w:r>
              <w:rPr>
                <w:rFonts w:hint="eastAsia" w:ascii="宋体" w:hAnsi="宋体" w:eastAsia="宋体" w:cs="宋体"/>
                <w:color w:val="auto"/>
                <w:szCs w:val="21"/>
                <w:highlight w:val="none"/>
                <w:lang w:bidi="ar"/>
              </w:rPr>
              <w:t>与</w:t>
            </w:r>
            <w:r>
              <w:rPr>
                <w:rFonts w:hint="eastAsia" w:ascii="宋体" w:hAnsi="宋体" w:cs="宋体"/>
                <w:color w:val="auto"/>
                <w:szCs w:val="21"/>
                <w:highlight w:val="none"/>
                <w:lang w:eastAsia="zh-CN" w:bidi="ar"/>
              </w:rPr>
              <w:t>采购文件</w:t>
            </w:r>
            <w:r>
              <w:rPr>
                <w:rFonts w:hint="eastAsia" w:ascii="宋体" w:hAnsi="宋体" w:eastAsia="宋体" w:cs="宋体"/>
                <w:color w:val="auto"/>
                <w:szCs w:val="21"/>
                <w:highlight w:val="none"/>
                <w:lang w:bidi="ar"/>
              </w:rPr>
              <w:t>及</w:t>
            </w:r>
            <w:r>
              <w:rPr>
                <w:rFonts w:hint="eastAsia" w:ascii="宋体" w:hAnsi="宋体" w:cs="宋体"/>
                <w:color w:val="auto"/>
                <w:szCs w:val="21"/>
                <w:highlight w:val="none"/>
                <w:lang w:eastAsia="zh-CN" w:bidi="ar"/>
              </w:rPr>
              <w:t>供应商</w:t>
            </w:r>
            <w:r>
              <w:rPr>
                <w:rFonts w:hint="eastAsia" w:ascii="宋体" w:hAnsi="宋体" w:eastAsia="宋体" w:cs="宋体"/>
                <w:color w:val="auto"/>
                <w:szCs w:val="21"/>
                <w:highlight w:val="none"/>
                <w:lang w:bidi="ar"/>
              </w:rPr>
              <w:t>的</w:t>
            </w:r>
            <w:r>
              <w:rPr>
                <w:rFonts w:hint="eastAsia" w:ascii="宋体" w:hAnsi="宋体" w:cs="宋体"/>
                <w:color w:val="auto"/>
                <w:szCs w:val="21"/>
                <w:highlight w:val="none"/>
                <w:lang w:eastAsia="zh-CN" w:bidi="ar"/>
              </w:rPr>
              <w:t>响应文件</w:t>
            </w:r>
            <w:r>
              <w:rPr>
                <w:rFonts w:hint="eastAsia" w:ascii="宋体" w:hAnsi="宋体" w:eastAsia="宋体" w:cs="宋体"/>
                <w:color w:val="auto"/>
                <w:szCs w:val="21"/>
                <w:highlight w:val="none"/>
                <w:lang w:bidi="ar"/>
              </w:rPr>
              <w:t>承诺</w:t>
            </w:r>
            <w:r>
              <w:rPr>
                <w:rFonts w:hint="eastAsia" w:ascii="宋体" w:hAnsi="宋体" w:eastAsia="宋体" w:cs="宋体"/>
                <w:color w:val="auto"/>
                <w:szCs w:val="21"/>
                <w:highlight w:val="none"/>
                <w:lang w:val="en-US" w:eastAsia="zh-CN" w:bidi="ar"/>
              </w:rPr>
              <w:t>一致</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服务质量</w:t>
            </w:r>
            <w:r>
              <w:rPr>
                <w:rFonts w:hint="eastAsia" w:ascii="宋体" w:hAnsi="宋体" w:eastAsia="宋体" w:cs="宋体"/>
                <w:color w:val="auto"/>
                <w:szCs w:val="21"/>
                <w:highlight w:val="none"/>
                <w:lang w:bidi="ar"/>
              </w:rPr>
              <w:t xml:space="preserve">或指标达到规定的标准。 </w:t>
            </w:r>
          </w:p>
          <w:p w14:paraId="47B435E2">
            <w:pPr>
              <w:widowControl/>
              <w:numPr>
                <w:ilvl w:val="0"/>
                <w:numId w:val="0"/>
              </w:numPr>
              <w:shd w:val="clear" w:color="auto" w:fill="FFFFFF"/>
              <w:spacing w:line="360" w:lineRule="auto"/>
              <w:ind w:firstLine="0" w:firstLineChars="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3</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验收时采购人、</w:t>
            </w:r>
            <w:r>
              <w:rPr>
                <w:rFonts w:hint="eastAsia" w:ascii="宋体" w:hAnsi="宋体" w:cs="宋体"/>
                <w:color w:val="auto"/>
                <w:szCs w:val="21"/>
                <w:highlight w:val="none"/>
                <w:lang w:eastAsia="zh-CN" w:bidi="ar"/>
              </w:rPr>
              <w:t>成交供应商</w:t>
            </w:r>
            <w:r>
              <w:rPr>
                <w:rFonts w:hint="eastAsia" w:ascii="宋体" w:hAnsi="宋体" w:eastAsia="宋体" w:cs="宋体"/>
                <w:color w:val="auto"/>
                <w:szCs w:val="21"/>
                <w:highlight w:val="none"/>
                <w:lang w:bidi="ar"/>
              </w:rPr>
              <w:t>等项目相关方都必须在现场（必要时邀请第三方权威机构进行验收），由采购人对照</w:t>
            </w:r>
            <w:r>
              <w:rPr>
                <w:rFonts w:hint="eastAsia" w:ascii="宋体" w:hAnsi="宋体" w:cs="宋体"/>
                <w:color w:val="auto"/>
                <w:szCs w:val="21"/>
                <w:highlight w:val="none"/>
                <w:lang w:val="en-US" w:eastAsia="zh-CN" w:bidi="ar"/>
              </w:rPr>
              <w:t>采购文件</w:t>
            </w:r>
            <w:r>
              <w:rPr>
                <w:rFonts w:hint="eastAsia" w:ascii="宋体" w:hAnsi="宋体" w:eastAsia="宋体" w:cs="宋体"/>
                <w:color w:val="auto"/>
                <w:szCs w:val="21"/>
                <w:highlight w:val="none"/>
                <w:lang w:bidi="ar"/>
              </w:rPr>
              <w:t>的</w:t>
            </w:r>
            <w:r>
              <w:rPr>
                <w:rFonts w:hint="eastAsia" w:ascii="宋体" w:hAnsi="宋体" w:eastAsia="宋体" w:cs="宋体"/>
                <w:color w:val="auto"/>
                <w:szCs w:val="21"/>
                <w:highlight w:val="none"/>
                <w:lang w:val="en-US" w:eastAsia="zh-CN" w:bidi="ar"/>
              </w:rPr>
              <w:t>质量</w:t>
            </w:r>
            <w:r>
              <w:rPr>
                <w:rFonts w:hint="eastAsia" w:ascii="宋体" w:hAnsi="宋体" w:eastAsia="宋体" w:cs="宋体"/>
                <w:color w:val="auto"/>
                <w:szCs w:val="21"/>
                <w:highlight w:val="none"/>
                <w:lang w:bidi="ar"/>
              </w:rPr>
              <w:t>目标及服务指标全面核对检验，验收完毕后，作出验收结果报告；如不符合</w:t>
            </w:r>
            <w:r>
              <w:rPr>
                <w:rFonts w:hint="eastAsia" w:ascii="宋体" w:hAnsi="宋体" w:cs="宋体"/>
                <w:color w:val="auto"/>
                <w:szCs w:val="21"/>
                <w:highlight w:val="none"/>
                <w:lang w:val="en-US" w:eastAsia="zh-CN" w:bidi="ar"/>
              </w:rPr>
              <w:t>采购文件</w:t>
            </w:r>
            <w:r>
              <w:rPr>
                <w:rFonts w:hint="eastAsia" w:ascii="宋体" w:hAnsi="宋体" w:eastAsia="宋体" w:cs="宋体"/>
                <w:color w:val="auto"/>
                <w:szCs w:val="21"/>
                <w:highlight w:val="none"/>
                <w:lang w:bidi="ar"/>
              </w:rPr>
              <w:t>的服务需求及要求以及提供虚假承诺的，按相关规定做不接受服务处理及违约处理，</w:t>
            </w:r>
            <w:r>
              <w:rPr>
                <w:rFonts w:hint="eastAsia" w:ascii="宋体" w:hAnsi="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承担所有责任和费用，采购人保留进一步追究责任的权利。</w:t>
            </w:r>
          </w:p>
          <w:p w14:paraId="6992B3FB">
            <w:pPr>
              <w:widowControl/>
              <w:numPr>
                <w:ilvl w:val="0"/>
                <w:numId w:val="0"/>
              </w:numPr>
              <w:shd w:val="clear" w:color="auto" w:fill="FFFFFF"/>
              <w:spacing w:line="360" w:lineRule="auto"/>
              <w:ind w:firstLine="0" w:firstLineChars="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4</w:t>
            </w:r>
            <w:r>
              <w:rPr>
                <w:rFonts w:hint="eastAsia" w:ascii="宋体" w:hAnsi="宋体" w:cs="宋体"/>
                <w:color w:val="auto"/>
                <w:szCs w:val="21"/>
                <w:highlight w:val="none"/>
                <w:lang w:val="en-US" w:eastAsia="zh-CN" w:bidi="ar"/>
              </w:rPr>
              <w:t>.成交供应商</w:t>
            </w:r>
            <w:r>
              <w:rPr>
                <w:rFonts w:hint="eastAsia" w:ascii="宋体" w:hAnsi="宋体" w:eastAsia="宋体" w:cs="宋体"/>
                <w:color w:val="auto"/>
                <w:szCs w:val="21"/>
                <w:highlight w:val="none"/>
                <w:lang w:bidi="ar"/>
              </w:rPr>
              <w:t>提供的服务未达到</w:t>
            </w:r>
            <w:r>
              <w:rPr>
                <w:rFonts w:hint="eastAsia" w:ascii="宋体" w:hAnsi="宋体" w:cs="宋体"/>
                <w:color w:val="auto"/>
                <w:szCs w:val="21"/>
                <w:highlight w:val="none"/>
                <w:lang w:val="en-US" w:eastAsia="zh-CN" w:bidi="ar"/>
              </w:rPr>
              <w:t>采购文件</w:t>
            </w:r>
            <w:r>
              <w:rPr>
                <w:rFonts w:hint="eastAsia" w:ascii="宋体" w:hAnsi="宋体" w:eastAsia="宋体" w:cs="宋体"/>
                <w:color w:val="auto"/>
                <w:szCs w:val="21"/>
                <w:highlight w:val="none"/>
                <w:lang w:bidi="ar"/>
              </w:rPr>
              <w:t>规定要求，且对采购人造成损失的，由</w:t>
            </w:r>
            <w:r>
              <w:rPr>
                <w:rFonts w:hint="eastAsia" w:ascii="宋体" w:hAnsi="宋体" w:cs="宋体"/>
                <w:color w:val="auto"/>
                <w:szCs w:val="21"/>
                <w:highlight w:val="none"/>
                <w:lang w:val="en-US" w:eastAsia="zh-CN" w:bidi="ar"/>
              </w:rPr>
              <w:t>成交供应商</w:t>
            </w:r>
            <w:r>
              <w:rPr>
                <w:rFonts w:hint="eastAsia" w:ascii="宋体" w:hAnsi="宋体" w:eastAsia="宋体" w:cs="宋体"/>
                <w:color w:val="auto"/>
                <w:szCs w:val="21"/>
                <w:highlight w:val="none"/>
                <w:lang w:bidi="ar"/>
              </w:rPr>
              <w:t>承担一切责任，并赔偿所造成的损失。</w:t>
            </w:r>
          </w:p>
          <w:p w14:paraId="0292C4D8">
            <w:pPr>
              <w:widowControl/>
              <w:numPr>
                <w:ilvl w:val="0"/>
                <w:numId w:val="0"/>
              </w:numPr>
              <w:shd w:val="clear" w:color="auto" w:fill="FFFFFF"/>
              <w:spacing w:line="360" w:lineRule="auto"/>
              <w:ind w:firstLine="0" w:firstLineChars="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5</w:t>
            </w:r>
            <w:r>
              <w:rPr>
                <w:rFonts w:hint="eastAsia" w:ascii="宋体" w:hAnsi="宋体" w:cs="宋体"/>
                <w:color w:val="auto"/>
                <w:szCs w:val="21"/>
                <w:highlight w:val="none"/>
                <w:lang w:val="en-US" w:eastAsia="zh-CN" w:bidi="ar"/>
              </w:rPr>
              <w:t>.</w:t>
            </w:r>
            <w:r>
              <w:rPr>
                <w:rFonts w:hint="eastAsia" w:ascii="宋体" w:hAnsi="宋体" w:eastAsia="宋体" w:cs="宋体"/>
                <w:color w:val="auto"/>
                <w:szCs w:val="21"/>
                <w:highlight w:val="none"/>
                <w:lang w:val="en-US" w:eastAsia="zh-CN" w:bidi="ar"/>
              </w:rPr>
              <w:t>本项目采购标的需执行国家相关标准、行业标准、地方标准或其他强制性标准、规范等要求。</w:t>
            </w:r>
          </w:p>
          <w:p w14:paraId="4310DF4E">
            <w:pPr>
              <w:keepNext w:val="0"/>
              <w:keepLines w:val="0"/>
              <w:widowControl/>
              <w:numPr>
                <w:ilvl w:val="0"/>
                <w:numId w:val="0"/>
              </w:numPr>
              <w:suppressLineNumbers w:val="0"/>
              <w:shd w:val="clear" w:color="auto" w:fill="FFFFFF"/>
              <w:topLinePunct w:val="0"/>
              <w:snapToGrid/>
              <w:spacing w:before="0" w:beforeAutospacing="0" w:after="0" w:afterAutospacing="0" w:line="360" w:lineRule="auto"/>
              <w:ind w:left="0" w:leftChars="0" w:right="0" w:rightChars="0" w:firstLine="0" w:firstLineChars="0"/>
              <w:jc w:val="left"/>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Cs w:val="21"/>
                <w:highlight w:val="none"/>
                <w:lang w:val="en-US" w:eastAsia="zh-CN" w:bidi="ar"/>
              </w:rPr>
              <w:t>6</w:t>
            </w:r>
            <w:r>
              <w:rPr>
                <w:rFonts w:hint="eastAsia" w:ascii="宋体" w:hAnsi="宋体" w:cs="宋体"/>
                <w:color w:val="auto"/>
                <w:szCs w:val="21"/>
                <w:highlight w:val="none"/>
                <w:lang w:val="en-US" w:eastAsia="zh-CN" w:bidi="ar"/>
              </w:rPr>
              <w:t>.</w:t>
            </w:r>
            <w:r>
              <w:rPr>
                <w:rFonts w:hint="eastAsia" w:ascii="宋体" w:hAnsi="宋体" w:eastAsia="宋体" w:cs="宋体"/>
                <w:color w:val="auto"/>
                <w:szCs w:val="21"/>
                <w:highlight w:val="none"/>
                <w:lang w:bidi="ar"/>
              </w:rPr>
              <w:t>其他验收要求按《关于印发广西壮族自治区政府采购项目履约验收管理办法的通知》[桂财采〔2015〕22号]以及《财政部关于进一步加强政府采购需求和履约验收管理的指导意见》[财库〔2016〕205号]规定执行。</w:t>
            </w:r>
          </w:p>
        </w:tc>
      </w:tr>
      <w:tr w14:paraId="053DCB4E">
        <w:tblPrEx>
          <w:tblCellMar>
            <w:top w:w="0" w:type="dxa"/>
            <w:left w:w="108" w:type="dxa"/>
            <w:bottom w:w="0" w:type="dxa"/>
            <w:right w:w="108" w:type="dxa"/>
          </w:tblCellMar>
        </w:tblPrEx>
        <w:trPr>
          <w:trHeight w:val="6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77B0945">
            <w:pPr>
              <w:keepNext w:val="0"/>
              <w:keepLines w:val="0"/>
              <w:widowControl/>
              <w:suppressLineNumbers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知识产权</w:t>
            </w: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43B45104">
            <w:pPr>
              <w:keepNext w:val="0"/>
              <w:keepLines w:val="0"/>
              <w:widowControl/>
              <w:numPr>
                <w:ilvl w:val="0"/>
                <w:numId w:val="0"/>
              </w:numPr>
              <w:suppressLineNumbers w:val="0"/>
              <w:shd w:val="clear" w:color="auto" w:fill="FFFFFF"/>
              <w:topLinePunct w:val="0"/>
              <w:snapToGrid/>
              <w:spacing w:before="0" w:beforeAutospacing="0" w:after="0" w:afterAutospacing="0" w:line="360" w:lineRule="auto"/>
              <w:ind w:left="0" w:leftChars="0" w:right="0" w:rightChars="0" w:firstLine="0" w:firstLineChars="0"/>
              <w:jc w:val="left"/>
              <w:rPr>
                <w:rFonts w:hint="eastAsia" w:ascii="宋体" w:hAnsi="宋体" w:eastAsia="宋体" w:cs="宋体"/>
                <w:iCs w:val="0"/>
                <w:color w:val="auto"/>
                <w:spacing w:val="0"/>
                <w:w w:val="100"/>
                <w:kern w:val="2"/>
                <w:position w:val="0"/>
                <w:sz w:val="21"/>
                <w:szCs w:val="21"/>
                <w:highlight w:val="none"/>
                <w:shd w:val="clear"/>
                <w:lang w:val="en-US" w:eastAsia="zh-CN" w:bidi="ar"/>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应承担由此而引起的一切法律责任和费用。供应商在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中提供承诺或证明材料。</w:t>
            </w:r>
          </w:p>
        </w:tc>
      </w:tr>
      <w:tr w14:paraId="26B50445">
        <w:tblPrEx>
          <w:tblCellMar>
            <w:top w:w="0" w:type="dxa"/>
            <w:left w:w="108" w:type="dxa"/>
            <w:bottom w:w="0" w:type="dxa"/>
            <w:right w:w="108" w:type="dxa"/>
          </w:tblCellMar>
        </w:tblPrEx>
        <w:trPr>
          <w:trHeight w:val="6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90FCE43">
            <w:pPr>
              <w:widowControl/>
              <w:shd w:val="clear" w:color="auto" w:fill="FFFFFF"/>
              <w:spacing w:line="33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其他要求</w:t>
            </w:r>
          </w:p>
          <w:p w14:paraId="63D75DDD">
            <w:pPr>
              <w:keepNext w:val="0"/>
              <w:keepLines w:val="0"/>
              <w:widowControl/>
              <w:suppressLineNumbers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Cs w:val="21"/>
                <w:highlight w:val="none"/>
              </w:rPr>
            </w:pPr>
          </w:p>
        </w:tc>
        <w:tc>
          <w:tcPr>
            <w:tcW w:w="4125" w:type="pct"/>
            <w:gridSpan w:val="3"/>
            <w:tcBorders>
              <w:top w:val="single" w:color="000000" w:sz="4" w:space="0"/>
              <w:left w:val="single" w:color="000000" w:sz="4" w:space="0"/>
              <w:bottom w:val="single" w:color="000000" w:sz="4" w:space="0"/>
              <w:right w:val="single" w:color="000000" w:sz="4" w:space="0"/>
            </w:tcBorders>
            <w:noWrap w:val="0"/>
            <w:vAlign w:val="center"/>
          </w:tcPr>
          <w:p w14:paraId="57DA962C">
            <w:pPr>
              <w:widowControl/>
              <w:numPr>
                <w:ilvl w:val="0"/>
                <w:numId w:val="0"/>
              </w:numPr>
              <w:shd w:val="clear" w:color="auto" w:fill="FFFFFF"/>
              <w:spacing w:line="360" w:lineRule="auto"/>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服务实施项目工作期间如出现人员人身、财产安全事故、损失等由</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全部负责，采购人不负任何责任。</w:t>
            </w:r>
          </w:p>
          <w:p w14:paraId="1A05040B">
            <w:pPr>
              <w:keepNext w:val="0"/>
              <w:keepLines w:val="0"/>
              <w:widowControl/>
              <w:numPr>
                <w:ilvl w:val="0"/>
                <w:numId w:val="0"/>
              </w:numPr>
              <w:suppressLineNumbers w:val="0"/>
              <w:shd w:val="clear" w:color="auto" w:fill="FFFFFF"/>
              <w:topLinePunct w:val="0"/>
              <w:snapToGrid/>
              <w:spacing w:before="0" w:beforeAutospacing="0" w:after="0" w:afterAutospacing="0" w:line="360" w:lineRule="auto"/>
              <w:ind w:left="0" w:leftChars="0" w:right="0" w:rightChars="0" w:firstLine="0" w:firstLineChars="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不得泄露平台中所有相关信息（包括但不限于医务人员、访客、病人等信息），</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中必须提供承诺函</w:t>
            </w:r>
            <w:r>
              <w:rPr>
                <w:rFonts w:hint="eastAsia" w:ascii="宋体" w:hAnsi="宋体" w:eastAsia="宋体" w:cs="宋体"/>
                <w:color w:val="auto"/>
                <w:sz w:val="21"/>
                <w:szCs w:val="21"/>
                <w:highlight w:val="none"/>
              </w:rPr>
              <w:t>。因信息泄露造成影响的由</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承担全部责任。</w:t>
            </w:r>
          </w:p>
        </w:tc>
      </w:tr>
      <w:bookmarkEnd w:id="58"/>
      <w:bookmarkEnd w:id="59"/>
    </w:tbl>
    <w:p w14:paraId="3B3A414E">
      <w:pPr>
        <w:bidi w:val="0"/>
        <w:rPr>
          <w:rFonts w:hint="eastAsia" w:ascii="宋体" w:hAnsi="宋体" w:eastAsia="宋体" w:cs="宋体"/>
          <w:color w:val="auto"/>
          <w:szCs w:val="21"/>
          <w:highlight w:val="none"/>
        </w:rPr>
      </w:pPr>
      <w:r>
        <w:rPr>
          <w:rFonts w:hint="eastAsia" w:ascii="Times New Roman" w:hAnsi="Times New Roman" w:eastAsia="宋体" w:cs="Times New Roman"/>
          <w:color w:val="auto"/>
          <w:sz w:val="21"/>
          <w:szCs w:val="21"/>
          <w:highlight w:val="none"/>
        </w:rPr>
        <w:br w:type="page"/>
      </w:r>
    </w:p>
    <w:p w14:paraId="7B83F04C">
      <w:pPr>
        <w:spacing w:line="240" w:lineRule="auto"/>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附件</w:t>
      </w:r>
      <w:r>
        <w:rPr>
          <w:rFonts w:hint="eastAsia" w:ascii="宋体" w:hAnsi="宋体" w:cs="宋体"/>
          <w:color w:val="auto"/>
          <w:kern w:val="0"/>
          <w:sz w:val="30"/>
          <w:szCs w:val="30"/>
          <w:highlight w:val="none"/>
          <w:lang w:val="en-US" w:eastAsia="zh-CN"/>
        </w:rPr>
        <w:t>1</w:t>
      </w:r>
      <w:r>
        <w:rPr>
          <w:rFonts w:hint="eastAsia" w:ascii="宋体" w:hAnsi="宋体" w:eastAsia="宋体" w:cs="宋体"/>
          <w:color w:val="auto"/>
          <w:kern w:val="0"/>
          <w:sz w:val="30"/>
          <w:szCs w:val="30"/>
          <w:highlight w:val="none"/>
        </w:rPr>
        <w:t>：</w:t>
      </w:r>
    </w:p>
    <w:p w14:paraId="719D6A9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节能产品政府采购品目清单</w:t>
      </w:r>
    </w:p>
    <w:tbl>
      <w:tblPr>
        <w:tblStyle w:val="29"/>
        <w:tblW w:w="9220" w:type="dxa"/>
        <w:tblInd w:w="93" w:type="dxa"/>
        <w:tblLayout w:type="fixed"/>
        <w:tblCellMar>
          <w:top w:w="0" w:type="dxa"/>
          <w:left w:w="108" w:type="dxa"/>
          <w:bottom w:w="0" w:type="dxa"/>
          <w:right w:w="108" w:type="dxa"/>
        </w:tblCellMar>
      </w:tblPr>
      <w:tblGrid>
        <w:gridCol w:w="733"/>
        <w:gridCol w:w="1024"/>
        <w:gridCol w:w="1516"/>
        <w:gridCol w:w="1612"/>
        <w:gridCol w:w="4335"/>
      </w:tblGrid>
      <w:tr w14:paraId="71C9F2E0">
        <w:tblPrEx>
          <w:tblCellMar>
            <w:top w:w="0" w:type="dxa"/>
            <w:left w:w="108" w:type="dxa"/>
            <w:bottom w:w="0" w:type="dxa"/>
            <w:right w:w="108" w:type="dxa"/>
          </w:tblCellMar>
        </w:tblPrEx>
        <w:trPr>
          <w:trHeight w:val="555" w:hRule="atLeast"/>
        </w:trPr>
        <w:tc>
          <w:tcPr>
            <w:tcW w:w="733" w:type="dxa"/>
            <w:tcBorders>
              <w:top w:val="single" w:color="000000" w:sz="8" w:space="0"/>
              <w:left w:val="single" w:color="000000" w:sz="8" w:space="0"/>
              <w:bottom w:val="single" w:color="000000" w:sz="8" w:space="0"/>
              <w:right w:val="single" w:color="000000" w:sz="8" w:space="0"/>
            </w:tcBorders>
          </w:tcPr>
          <w:p w14:paraId="132AD1CB">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152" w:type="dxa"/>
            <w:gridSpan w:val="3"/>
            <w:tcBorders>
              <w:top w:val="single" w:color="000000" w:sz="8" w:space="0"/>
              <w:left w:val="nil"/>
              <w:bottom w:val="single" w:color="000000" w:sz="8" w:space="0"/>
              <w:right w:val="single" w:color="000000" w:sz="8" w:space="0"/>
            </w:tcBorders>
            <w:vAlign w:val="center"/>
          </w:tcPr>
          <w:p w14:paraId="61F47FC4">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tcBorders>
              <w:top w:val="single" w:color="000000" w:sz="8" w:space="0"/>
              <w:left w:val="nil"/>
              <w:bottom w:val="single" w:color="000000" w:sz="8" w:space="0"/>
              <w:right w:val="single" w:color="000000" w:sz="8" w:space="0"/>
            </w:tcBorders>
            <w:vAlign w:val="center"/>
          </w:tcPr>
          <w:p w14:paraId="7FEA87FB">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14:paraId="23F052AC">
        <w:tblPrEx>
          <w:tblCellMar>
            <w:top w:w="0" w:type="dxa"/>
            <w:left w:w="108" w:type="dxa"/>
            <w:bottom w:w="0" w:type="dxa"/>
            <w:right w:w="108" w:type="dxa"/>
          </w:tblCellMar>
        </w:tblPrEx>
        <w:trPr>
          <w:trHeight w:val="495" w:hRule="atLeast"/>
        </w:trPr>
        <w:tc>
          <w:tcPr>
            <w:tcW w:w="733" w:type="dxa"/>
            <w:vMerge w:val="restart"/>
            <w:tcBorders>
              <w:top w:val="nil"/>
              <w:left w:val="single" w:color="000000" w:sz="8" w:space="0"/>
              <w:bottom w:val="single" w:color="000000" w:sz="8" w:space="0"/>
              <w:right w:val="single" w:color="000000" w:sz="8" w:space="0"/>
            </w:tcBorders>
            <w:vAlign w:val="center"/>
          </w:tcPr>
          <w:p w14:paraId="0BB8946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24" w:type="dxa"/>
            <w:vMerge w:val="restart"/>
            <w:tcBorders>
              <w:top w:val="nil"/>
              <w:left w:val="single" w:color="000000" w:sz="8" w:space="0"/>
              <w:bottom w:val="single" w:color="000000" w:sz="8" w:space="0"/>
              <w:right w:val="single" w:color="000000" w:sz="8" w:space="0"/>
            </w:tcBorders>
            <w:vAlign w:val="center"/>
          </w:tcPr>
          <w:p w14:paraId="033998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vAlign w:val="center"/>
          </w:tcPr>
          <w:p w14:paraId="7802CF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vAlign w:val="center"/>
          </w:tcPr>
          <w:p w14:paraId="632522B5">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1C5D15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EBEAFED">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71EB9516">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29C29AB0">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763436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vAlign w:val="center"/>
          </w:tcPr>
          <w:p w14:paraId="23BAB661">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5824A5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ED9F66E">
        <w:tblPrEx>
          <w:tblCellMar>
            <w:top w:w="0" w:type="dxa"/>
            <w:left w:w="108" w:type="dxa"/>
            <w:bottom w:w="0" w:type="dxa"/>
            <w:right w:w="108" w:type="dxa"/>
          </w:tblCellMar>
        </w:tblPrEx>
        <w:trPr>
          <w:trHeight w:val="735" w:hRule="atLeast"/>
        </w:trPr>
        <w:tc>
          <w:tcPr>
            <w:tcW w:w="733" w:type="dxa"/>
            <w:vMerge w:val="continue"/>
            <w:tcBorders>
              <w:top w:val="nil"/>
              <w:left w:val="single" w:color="000000" w:sz="8" w:space="0"/>
              <w:bottom w:val="single" w:color="000000" w:sz="8" w:space="0"/>
              <w:right w:val="single" w:color="000000" w:sz="8" w:space="0"/>
            </w:tcBorders>
            <w:vAlign w:val="center"/>
          </w:tcPr>
          <w:p w14:paraId="2A34DB85">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029B9A4F">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3BFC4B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vAlign w:val="center"/>
          </w:tcPr>
          <w:p w14:paraId="00C76C25">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4919D8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AAB4E10">
        <w:tblPrEx>
          <w:tblCellMar>
            <w:top w:w="0" w:type="dxa"/>
            <w:left w:w="108" w:type="dxa"/>
            <w:bottom w:w="0" w:type="dxa"/>
            <w:right w:w="108" w:type="dxa"/>
          </w:tblCellMar>
        </w:tblPrEx>
        <w:trPr>
          <w:trHeight w:val="495" w:hRule="atLeast"/>
        </w:trPr>
        <w:tc>
          <w:tcPr>
            <w:tcW w:w="733" w:type="dxa"/>
            <w:vMerge w:val="restart"/>
            <w:tcBorders>
              <w:top w:val="nil"/>
              <w:left w:val="single" w:color="000000" w:sz="8" w:space="0"/>
              <w:bottom w:val="single" w:color="000000" w:sz="8" w:space="0"/>
              <w:right w:val="single" w:color="000000" w:sz="8" w:space="0"/>
            </w:tcBorders>
            <w:vAlign w:val="center"/>
          </w:tcPr>
          <w:p w14:paraId="1C876D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24" w:type="dxa"/>
            <w:vMerge w:val="restart"/>
            <w:tcBorders>
              <w:top w:val="nil"/>
              <w:left w:val="single" w:color="000000" w:sz="8" w:space="0"/>
              <w:bottom w:val="single" w:color="000000" w:sz="8" w:space="0"/>
              <w:right w:val="single" w:color="000000" w:sz="8" w:space="0"/>
            </w:tcBorders>
            <w:vAlign w:val="center"/>
          </w:tcPr>
          <w:p w14:paraId="09C93B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608BBC2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vAlign w:val="center"/>
          </w:tcPr>
          <w:p w14:paraId="295C59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vAlign w:val="center"/>
          </w:tcPr>
          <w:p w14:paraId="539184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E3FCE1F">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69CDC63B">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03FB6627">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6985DDED">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63C1E1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vAlign w:val="center"/>
          </w:tcPr>
          <w:p w14:paraId="52F824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6AF1B6A">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7C522516">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51BBDF8B">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287CCE69">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3C3471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vAlign w:val="center"/>
          </w:tcPr>
          <w:p w14:paraId="649492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9BBA346">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69FA7B47">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771B2CB">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3C9687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vAlign w:val="center"/>
          </w:tcPr>
          <w:p w14:paraId="365285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vAlign w:val="center"/>
          </w:tcPr>
          <w:p w14:paraId="4098E2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34A8D8AF">
        <w:tblPrEx>
          <w:tblCellMar>
            <w:top w:w="0" w:type="dxa"/>
            <w:left w:w="108" w:type="dxa"/>
            <w:bottom w:w="0" w:type="dxa"/>
            <w:right w:w="108" w:type="dxa"/>
          </w:tblCellMar>
        </w:tblPrEx>
        <w:trPr>
          <w:trHeight w:val="975" w:hRule="atLeast"/>
        </w:trPr>
        <w:tc>
          <w:tcPr>
            <w:tcW w:w="733" w:type="dxa"/>
            <w:vMerge w:val="continue"/>
            <w:tcBorders>
              <w:top w:val="nil"/>
              <w:left w:val="single" w:color="000000" w:sz="8" w:space="0"/>
              <w:bottom w:val="single" w:color="000000" w:sz="8" w:space="0"/>
              <w:right w:val="single" w:color="000000" w:sz="8" w:space="0"/>
            </w:tcBorders>
            <w:vAlign w:val="center"/>
          </w:tcPr>
          <w:p w14:paraId="3FC2F2F4">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65A5749">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F9E61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vAlign w:val="center"/>
          </w:tcPr>
          <w:p w14:paraId="5951A4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vAlign w:val="center"/>
          </w:tcPr>
          <w:p w14:paraId="554FEE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1C34AA8">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3F4DD7E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24" w:type="dxa"/>
            <w:tcBorders>
              <w:top w:val="nil"/>
              <w:left w:val="nil"/>
              <w:bottom w:val="single" w:color="000000" w:sz="8" w:space="0"/>
              <w:right w:val="single" w:color="000000" w:sz="8" w:space="0"/>
            </w:tcBorders>
            <w:vAlign w:val="center"/>
          </w:tcPr>
          <w:p w14:paraId="73694F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vAlign w:val="center"/>
          </w:tcPr>
          <w:p w14:paraId="4DAB3BE9">
            <w:pPr>
              <w:widowControl/>
              <w:jc w:val="center"/>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38A0D20">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01ED6B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4FEA9770">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3DB921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24" w:type="dxa"/>
            <w:tcBorders>
              <w:top w:val="nil"/>
              <w:left w:val="nil"/>
              <w:bottom w:val="single" w:color="000000" w:sz="8" w:space="0"/>
              <w:right w:val="single" w:color="000000" w:sz="8" w:space="0"/>
            </w:tcBorders>
            <w:vAlign w:val="center"/>
          </w:tcPr>
          <w:p w14:paraId="7E16CE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vAlign w:val="center"/>
          </w:tcPr>
          <w:p w14:paraId="66791680">
            <w:pPr>
              <w:widowControl/>
              <w:jc w:val="center"/>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6BBD864D">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5B8875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69DF143">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auto" w:sz="4" w:space="0"/>
              <w:right w:val="single" w:color="000000" w:sz="8" w:space="0"/>
            </w:tcBorders>
            <w:vAlign w:val="center"/>
          </w:tcPr>
          <w:p w14:paraId="13BB03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24" w:type="dxa"/>
            <w:tcBorders>
              <w:top w:val="nil"/>
              <w:left w:val="nil"/>
              <w:bottom w:val="single" w:color="auto" w:sz="4" w:space="0"/>
              <w:right w:val="single" w:color="000000" w:sz="8" w:space="0"/>
            </w:tcBorders>
            <w:vAlign w:val="center"/>
          </w:tcPr>
          <w:p w14:paraId="79220B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auto" w:sz="4" w:space="0"/>
              <w:right w:val="single" w:color="000000" w:sz="8" w:space="0"/>
            </w:tcBorders>
            <w:vAlign w:val="center"/>
          </w:tcPr>
          <w:p w14:paraId="494872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auto" w:sz="4" w:space="0"/>
              <w:right w:val="single" w:color="000000" w:sz="8" w:space="0"/>
            </w:tcBorders>
            <w:vAlign w:val="center"/>
          </w:tcPr>
          <w:p w14:paraId="4FBDBE60">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2143DC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4F89445">
        <w:tblPrEx>
          <w:tblCellMar>
            <w:top w:w="0" w:type="dxa"/>
            <w:left w:w="108" w:type="dxa"/>
            <w:bottom w:w="0" w:type="dxa"/>
            <w:right w:w="108" w:type="dxa"/>
          </w:tblCellMar>
        </w:tblPrEx>
        <w:trPr>
          <w:trHeight w:val="735"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14:paraId="07D336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09770D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single" w:color="auto" w:sz="4" w:space="0"/>
              <w:left w:val="single" w:color="auto" w:sz="4" w:space="0"/>
              <w:bottom w:val="single" w:color="auto" w:sz="4" w:space="0"/>
              <w:right w:val="single" w:color="auto" w:sz="4" w:space="0"/>
            </w:tcBorders>
            <w:vAlign w:val="center"/>
          </w:tcPr>
          <w:p w14:paraId="47060E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single" w:color="auto" w:sz="4" w:space="0"/>
              <w:left w:val="single" w:color="auto" w:sz="4" w:space="0"/>
              <w:bottom w:val="single" w:color="auto" w:sz="4" w:space="0"/>
              <w:right w:val="single" w:color="auto" w:sz="4" w:space="0"/>
            </w:tcBorders>
            <w:vAlign w:val="center"/>
          </w:tcPr>
          <w:p w14:paraId="1AC3F9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op w:val="nil"/>
              <w:left w:val="single" w:color="auto" w:sz="4" w:space="0"/>
              <w:bottom w:val="single" w:color="000000" w:sz="8" w:space="0"/>
              <w:right w:val="single" w:color="000000" w:sz="8" w:space="0"/>
            </w:tcBorders>
            <w:vAlign w:val="center"/>
          </w:tcPr>
          <w:p w14:paraId="2A8C1DD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E133A04">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1AC40A34">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3AD6EAAA">
            <w:pPr>
              <w:widowControl/>
              <w:jc w:val="left"/>
              <w:rPr>
                <w:rFonts w:ascii="宋体" w:hAnsi="宋体" w:cs="宋体"/>
                <w:color w:val="auto"/>
                <w:kern w:val="0"/>
                <w:sz w:val="20"/>
                <w:szCs w:val="20"/>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4A53C61A">
            <w:pPr>
              <w:widowControl/>
              <w:jc w:val="left"/>
              <w:rPr>
                <w:rFonts w:ascii="宋体" w:hAnsi="宋体" w:cs="宋体"/>
                <w:color w:val="auto"/>
                <w:kern w:val="0"/>
                <w:sz w:val="20"/>
                <w:szCs w:val="20"/>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447C8D3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op w:val="nil"/>
              <w:left w:val="single" w:color="auto" w:sz="4" w:space="0"/>
              <w:bottom w:val="single" w:color="000000" w:sz="8" w:space="0"/>
              <w:right w:val="single" w:color="000000" w:sz="8" w:space="0"/>
            </w:tcBorders>
            <w:vAlign w:val="center"/>
          </w:tcPr>
          <w:p w14:paraId="058718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417EA38F">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602ECBBD">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7ECB765F">
            <w:pPr>
              <w:widowControl/>
              <w:jc w:val="left"/>
              <w:rPr>
                <w:rFonts w:ascii="宋体" w:hAnsi="宋体" w:cs="宋体"/>
                <w:color w:val="auto"/>
                <w:kern w:val="0"/>
                <w:sz w:val="20"/>
                <w:szCs w:val="20"/>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7D612E04">
            <w:pPr>
              <w:widowControl/>
              <w:jc w:val="left"/>
              <w:rPr>
                <w:rFonts w:ascii="宋体" w:hAnsi="宋体" w:cs="宋体"/>
                <w:color w:val="auto"/>
                <w:kern w:val="0"/>
                <w:sz w:val="20"/>
                <w:szCs w:val="20"/>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5BCDDBC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op w:val="nil"/>
              <w:left w:val="single" w:color="auto" w:sz="4" w:space="0"/>
              <w:bottom w:val="single" w:color="000000" w:sz="8" w:space="0"/>
              <w:right w:val="single" w:color="000000" w:sz="8" w:space="0"/>
            </w:tcBorders>
            <w:vAlign w:val="center"/>
          </w:tcPr>
          <w:p w14:paraId="426C47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56EEDD0">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EB15923">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3F0526F">
            <w:pPr>
              <w:widowControl/>
              <w:jc w:val="left"/>
              <w:rPr>
                <w:rFonts w:ascii="宋体" w:hAnsi="宋体" w:cs="宋体"/>
                <w:color w:val="auto"/>
                <w:kern w:val="0"/>
                <w:sz w:val="20"/>
                <w:szCs w:val="20"/>
                <w:highlight w:val="none"/>
              </w:rPr>
            </w:pPr>
          </w:p>
        </w:tc>
        <w:tc>
          <w:tcPr>
            <w:tcW w:w="1516" w:type="dxa"/>
            <w:vMerge w:val="restart"/>
            <w:tcBorders>
              <w:top w:val="single" w:color="auto" w:sz="4" w:space="0"/>
              <w:left w:val="single" w:color="auto" w:sz="4" w:space="0"/>
              <w:bottom w:val="single" w:color="auto" w:sz="4" w:space="0"/>
              <w:right w:val="single" w:color="auto" w:sz="4" w:space="0"/>
            </w:tcBorders>
            <w:vAlign w:val="center"/>
          </w:tcPr>
          <w:p w14:paraId="55E6ACA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single" w:color="auto" w:sz="4" w:space="0"/>
              <w:left w:val="single" w:color="auto" w:sz="4" w:space="0"/>
              <w:bottom w:val="single" w:color="auto" w:sz="4" w:space="0"/>
              <w:right w:val="single" w:color="auto" w:sz="4" w:space="0"/>
            </w:tcBorders>
            <w:vAlign w:val="center"/>
          </w:tcPr>
          <w:p w14:paraId="53F656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op w:val="nil"/>
              <w:left w:val="single" w:color="auto" w:sz="4" w:space="0"/>
              <w:bottom w:val="single" w:color="000000" w:sz="8" w:space="0"/>
              <w:right w:val="single" w:color="000000" w:sz="8" w:space="0"/>
            </w:tcBorders>
            <w:vAlign w:val="center"/>
          </w:tcPr>
          <w:p w14:paraId="4BBDFA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D85ADB9">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1239C35C">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EA43A77">
            <w:pPr>
              <w:widowControl/>
              <w:jc w:val="left"/>
              <w:rPr>
                <w:rFonts w:ascii="宋体" w:hAnsi="宋体" w:cs="宋体"/>
                <w:color w:val="auto"/>
                <w:kern w:val="0"/>
                <w:sz w:val="20"/>
                <w:szCs w:val="20"/>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5861A5B5">
            <w:pPr>
              <w:widowControl/>
              <w:jc w:val="left"/>
              <w:rPr>
                <w:rFonts w:ascii="宋体" w:hAnsi="宋体" w:cs="宋体"/>
                <w:color w:val="auto"/>
                <w:kern w:val="0"/>
                <w:sz w:val="20"/>
                <w:szCs w:val="20"/>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7DAD4FC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op w:val="nil"/>
              <w:left w:val="single" w:color="auto" w:sz="4" w:space="0"/>
              <w:bottom w:val="single" w:color="000000" w:sz="8" w:space="0"/>
              <w:right w:val="single" w:color="000000" w:sz="8" w:space="0"/>
            </w:tcBorders>
            <w:vAlign w:val="center"/>
          </w:tcPr>
          <w:p w14:paraId="6E9A359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0FE3298A">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713442AC">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55E2D113">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24F45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single" w:color="auto" w:sz="4" w:space="0"/>
              <w:left w:val="single" w:color="auto" w:sz="4" w:space="0"/>
              <w:bottom w:val="single" w:color="auto" w:sz="4" w:space="0"/>
              <w:right w:val="single" w:color="auto" w:sz="4" w:space="0"/>
            </w:tcBorders>
            <w:vAlign w:val="center"/>
          </w:tcPr>
          <w:p w14:paraId="007F703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op w:val="nil"/>
              <w:left w:val="single" w:color="auto" w:sz="4" w:space="0"/>
              <w:bottom w:val="single" w:color="000000" w:sz="8" w:space="0"/>
              <w:right w:val="single" w:color="000000" w:sz="8" w:space="0"/>
            </w:tcBorders>
            <w:vAlign w:val="center"/>
          </w:tcPr>
          <w:p w14:paraId="0F2247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6617F15">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13B0138E">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0DAE069">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42E8B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single" w:color="auto" w:sz="4" w:space="0"/>
              <w:left w:val="single" w:color="auto" w:sz="4" w:space="0"/>
              <w:bottom w:val="single" w:color="auto" w:sz="4" w:space="0"/>
              <w:right w:val="single" w:color="auto" w:sz="4" w:space="0"/>
            </w:tcBorders>
            <w:vAlign w:val="center"/>
          </w:tcPr>
          <w:p w14:paraId="5442119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op w:val="nil"/>
              <w:left w:val="single" w:color="auto" w:sz="4" w:space="0"/>
              <w:bottom w:val="single" w:color="000000" w:sz="8" w:space="0"/>
              <w:right w:val="single" w:color="000000" w:sz="8" w:space="0"/>
            </w:tcBorders>
            <w:vAlign w:val="center"/>
          </w:tcPr>
          <w:p w14:paraId="7FE4F8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60259F6">
        <w:tblPrEx>
          <w:tblCellMar>
            <w:top w:w="0" w:type="dxa"/>
            <w:left w:w="108" w:type="dxa"/>
            <w:bottom w:w="0" w:type="dxa"/>
            <w:right w:w="108" w:type="dxa"/>
          </w:tblCellMar>
        </w:tblPrEx>
        <w:trPr>
          <w:trHeight w:val="495" w:hRule="atLeast"/>
        </w:trPr>
        <w:tc>
          <w:tcPr>
            <w:tcW w:w="733" w:type="dxa"/>
            <w:tcBorders>
              <w:top w:val="single" w:color="auto" w:sz="4" w:space="0"/>
              <w:left w:val="single" w:color="000000" w:sz="8" w:space="0"/>
              <w:bottom w:val="single" w:color="000000" w:sz="8" w:space="0"/>
              <w:right w:val="single" w:color="000000" w:sz="8" w:space="0"/>
            </w:tcBorders>
            <w:vAlign w:val="center"/>
          </w:tcPr>
          <w:p w14:paraId="182C10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24" w:type="dxa"/>
            <w:tcBorders>
              <w:top w:val="single" w:color="auto" w:sz="4" w:space="0"/>
              <w:left w:val="nil"/>
              <w:bottom w:val="single" w:color="000000" w:sz="8" w:space="0"/>
              <w:right w:val="single" w:color="000000" w:sz="8" w:space="0"/>
            </w:tcBorders>
            <w:vAlign w:val="center"/>
          </w:tcPr>
          <w:p w14:paraId="423A1AE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single" w:color="auto" w:sz="4" w:space="0"/>
              <w:left w:val="nil"/>
              <w:bottom w:val="single" w:color="000000" w:sz="8" w:space="0"/>
              <w:right w:val="single" w:color="000000" w:sz="8" w:space="0"/>
            </w:tcBorders>
            <w:vAlign w:val="center"/>
          </w:tcPr>
          <w:p w14:paraId="72E4D97E">
            <w:pPr>
              <w:widowControl/>
              <w:jc w:val="center"/>
              <w:rPr>
                <w:rFonts w:ascii="宋体" w:hAnsi="宋体" w:cs="宋体"/>
                <w:color w:val="auto"/>
                <w:kern w:val="0"/>
                <w:sz w:val="20"/>
                <w:szCs w:val="20"/>
                <w:highlight w:val="none"/>
              </w:rPr>
            </w:pPr>
          </w:p>
        </w:tc>
        <w:tc>
          <w:tcPr>
            <w:tcW w:w="1612" w:type="dxa"/>
            <w:tcBorders>
              <w:top w:val="single" w:color="auto" w:sz="4" w:space="0"/>
              <w:left w:val="nil"/>
              <w:bottom w:val="single" w:color="000000" w:sz="8" w:space="0"/>
              <w:right w:val="single" w:color="000000" w:sz="8" w:space="0"/>
            </w:tcBorders>
            <w:vAlign w:val="center"/>
          </w:tcPr>
          <w:p w14:paraId="126BC3A7">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320C2F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F170F79">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4B980E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24" w:type="dxa"/>
            <w:tcBorders>
              <w:top w:val="nil"/>
              <w:left w:val="nil"/>
              <w:bottom w:val="single" w:color="000000" w:sz="8" w:space="0"/>
              <w:right w:val="single" w:color="000000" w:sz="8" w:space="0"/>
            </w:tcBorders>
            <w:vAlign w:val="center"/>
          </w:tcPr>
          <w:p w14:paraId="20C2FEC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vAlign w:val="center"/>
          </w:tcPr>
          <w:p w14:paraId="1CFC0C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vAlign w:val="center"/>
          </w:tcPr>
          <w:p w14:paraId="464BAF72">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4062AB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444CB529">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58A515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24" w:type="dxa"/>
            <w:tcBorders>
              <w:top w:val="nil"/>
              <w:left w:val="nil"/>
              <w:bottom w:val="single" w:color="000000" w:sz="8" w:space="0"/>
              <w:right w:val="single" w:color="000000" w:sz="8" w:space="0"/>
            </w:tcBorders>
            <w:vAlign w:val="center"/>
          </w:tcPr>
          <w:p w14:paraId="39D995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vAlign w:val="center"/>
          </w:tcPr>
          <w:p w14:paraId="33F569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vAlign w:val="center"/>
          </w:tcPr>
          <w:p w14:paraId="22590B6C">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793D52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51636992">
        <w:tblPrEx>
          <w:tblCellMar>
            <w:top w:w="0" w:type="dxa"/>
            <w:left w:w="108" w:type="dxa"/>
            <w:bottom w:w="0" w:type="dxa"/>
            <w:right w:w="108" w:type="dxa"/>
          </w:tblCellMar>
        </w:tblPrEx>
        <w:trPr>
          <w:trHeight w:val="495" w:hRule="atLeast"/>
        </w:trPr>
        <w:tc>
          <w:tcPr>
            <w:tcW w:w="733" w:type="dxa"/>
            <w:vMerge w:val="restart"/>
            <w:tcBorders>
              <w:top w:val="nil"/>
              <w:left w:val="single" w:color="000000" w:sz="8" w:space="0"/>
              <w:bottom w:val="single" w:color="000000" w:sz="8" w:space="0"/>
              <w:right w:val="single" w:color="000000" w:sz="8" w:space="0"/>
            </w:tcBorders>
            <w:vAlign w:val="center"/>
          </w:tcPr>
          <w:p w14:paraId="5A95F2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24" w:type="dxa"/>
            <w:vMerge w:val="restart"/>
            <w:tcBorders>
              <w:top w:val="nil"/>
              <w:left w:val="single" w:color="000000" w:sz="8" w:space="0"/>
              <w:bottom w:val="single" w:color="000000" w:sz="8" w:space="0"/>
              <w:right w:val="single" w:color="000000" w:sz="8" w:space="0"/>
            </w:tcBorders>
            <w:vAlign w:val="center"/>
          </w:tcPr>
          <w:p w14:paraId="47BCCC1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vAlign w:val="center"/>
          </w:tcPr>
          <w:p w14:paraId="5FC1F3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vAlign w:val="center"/>
          </w:tcPr>
          <w:p w14:paraId="5716F4BD">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711382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68778E1">
        <w:tblPrEx>
          <w:tblCellMar>
            <w:top w:w="0" w:type="dxa"/>
            <w:left w:w="108" w:type="dxa"/>
            <w:bottom w:w="0" w:type="dxa"/>
            <w:right w:w="108" w:type="dxa"/>
          </w:tblCellMar>
        </w:tblPrEx>
        <w:trPr>
          <w:trHeight w:val="975" w:hRule="atLeast"/>
        </w:trPr>
        <w:tc>
          <w:tcPr>
            <w:tcW w:w="733" w:type="dxa"/>
            <w:vMerge w:val="continue"/>
            <w:tcBorders>
              <w:top w:val="nil"/>
              <w:left w:val="single" w:color="000000" w:sz="8" w:space="0"/>
              <w:bottom w:val="single" w:color="000000" w:sz="8" w:space="0"/>
              <w:right w:val="single" w:color="000000" w:sz="8" w:space="0"/>
            </w:tcBorders>
            <w:vAlign w:val="center"/>
          </w:tcPr>
          <w:p w14:paraId="35B12300">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4835C270">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7A1754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vAlign w:val="center"/>
          </w:tcPr>
          <w:p w14:paraId="541884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vAlign w:val="center"/>
          </w:tcPr>
          <w:p w14:paraId="32948E1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44522B6">
        <w:tblPrEx>
          <w:tblCellMar>
            <w:top w:w="0" w:type="dxa"/>
            <w:left w:w="108" w:type="dxa"/>
            <w:bottom w:w="0" w:type="dxa"/>
            <w:right w:w="108" w:type="dxa"/>
          </w:tblCellMar>
        </w:tblPrEx>
        <w:trPr>
          <w:trHeight w:val="735" w:hRule="atLeast"/>
        </w:trPr>
        <w:tc>
          <w:tcPr>
            <w:tcW w:w="733" w:type="dxa"/>
            <w:vMerge w:val="continue"/>
            <w:tcBorders>
              <w:top w:val="nil"/>
              <w:left w:val="single" w:color="000000" w:sz="8" w:space="0"/>
              <w:bottom w:val="single" w:color="000000" w:sz="8" w:space="0"/>
              <w:right w:val="single" w:color="000000" w:sz="8" w:space="0"/>
            </w:tcBorders>
            <w:vAlign w:val="center"/>
          </w:tcPr>
          <w:p w14:paraId="6D255D7A">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5A903455">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22D77B08">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1D0AC9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多联式空调（热泵）机组（制冷量≤14000W）</w:t>
            </w:r>
          </w:p>
        </w:tc>
        <w:tc>
          <w:tcPr>
            <w:tcW w:w="4335" w:type="dxa"/>
            <w:tcBorders>
              <w:top w:val="nil"/>
              <w:left w:val="nil"/>
              <w:bottom w:val="single" w:color="000000" w:sz="8" w:space="0"/>
              <w:right w:val="single" w:color="000000" w:sz="8" w:space="0"/>
            </w:tcBorders>
            <w:vAlign w:val="center"/>
          </w:tcPr>
          <w:p w14:paraId="3E1717A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809D943">
        <w:tblPrEx>
          <w:tblCellMar>
            <w:top w:w="0" w:type="dxa"/>
            <w:left w:w="108" w:type="dxa"/>
            <w:bottom w:w="0" w:type="dxa"/>
            <w:right w:w="108" w:type="dxa"/>
          </w:tblCellMar>
        </w:tblPrEx>
        <w:trPr>
          <w:trHeight w:val="735" w:hRule="atLeast"/>
        </w:trPr>
        <w:tc>
          <w:tcPr>
            <w:tcW w:w="733" w:type="dxa"/>
            <w:vMerge w:val="continue"/>
            <w:tcBorders>
              <w:top w:val="nil"/>
              <w:left w:val="single" w:color="000000" w:sz="8" w:space="0"/>
              <w:bottom w:val="single" w:color="000000" w:sz="8" w:space="0"/>
              <w:right w:val="single" w:color="000000" w:sz="8" w:space="0"/>
            </w:tcBorders>
            <w:vAlign w:val="center"/>
          </w:tcPr>
          <w:p w14:paraId="00A98731">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6E00377B">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5D4BC4EE">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490D05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vAlign w:val="center"/>
          </w:tcPr>
          <w:p w14:paraId="1B2FA0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3C92B9B">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204693D6">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3FFDCF3">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2DE5C3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vAlign w:val="center"/>
          </w:tcPr>
          <w:p w14:paraId="0A951F69">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67E94F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534F9E6">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438677BA">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20CEA4D2">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07D01D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vAlign w:val="center"/>
          </w:tcPr>
          <w:p w14:paraId="4C6D37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vAlign w:val="center"/>
          </w:tcPr>
          <w:p w14:paraId="5C7714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E85B681">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09B7D2CD">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7763A5F7">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4626CB04">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8152BE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vAlign w:val="center"/>
          </w:tcPr>
          <w:p w14:paraId="54F625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2BA86C6D">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5E9E1B67">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115E73FC">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32AD8E87">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14D6CA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vAlign w:val="center"/>
          </w:tcPr>
          <w:p w14:paraId="11181A4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286AE97">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auto" w:sz="4" w:space="0"/>
              <w:right w:val="single" w:color="000000" w:sz="8" w:space="0"/>
            </w:tcBorders>
            <w:vAlign w:val="center"/>
          </w:tcPr>
          <w:p w14:paraId="6F37BB73">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auto" w:sz="4" w:space="0"/>
              <w:right w:val="single" w:color="000000" w:sz="8" w:space="0"/>
            </w:tcBorders>
            <w:vAlign w:val="center"/>
          </w:tcPr>
          <w:p w14:paraId="5142C131">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auto" w:sz="4" w:space="0"/>
              <w:right w:val="single" w:color="000000" w:sz="8" w:space="0"/>
            </w:tcBorders>
            <w:vAlign w:val="center"/>
          </w:tcPr>
          <w:p w14:paraId="0D52CD99">
            <w:pPr>
              <w:widowControl/>
              <w:jc w:val="left"/>
              <w:rPr>
                <w:rFonts w:ascii="宋体" w:hAnsi="宋体" w:cs="宋体"/>
                <w:color w:val="auto"/>
                <w:kern w:val="0"/>
                <w:sz w:val="20"/>
                <w:szCs w:val="20"/>
                <w:highlight w:val="none"/>
              </w:rPr>
            </w:pPr>
          </w:p>
        </w:tc>
        <w:tc>
          <w:tcPr>
            <w:tcW w:w="1612" w:type="dxa"/>
            <w:tcBorders>
              <w:top w:val="nil"/>
              <w:left w:val="nil"/>
              <w:bottom w:val="single" w:color="auto" w:sz="4" w:space="0"/>
              <w:right w:val="single" w:color="000000" w:sz="8" w:space="0"/>
            </w:tcBorders>
            <w:vAlign w:val="center"/>
          </w:tcPr>
          <w:p w14:paraId="1F4873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op w:val="nil"/>
              <w:left w:val="nil"/>
              <w:bottom w:val="single" w:color="auto" w:sz="4" w:space="0"/>
              <w:right w:val="single" w:color="000000" w:sz="8" w:space="0"/>
            </w:tcBorders>
            <w:vAlign w:val="center"/>
          </w:tcPr>
          <w:p w14:paraId="3ED052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60DF3947">
        <w:tblPrEx>
          <w:tblCellMar>
            <w:top w:w="0" w:type="dxa"/>
            <w:left w:w="108" w:type="dxa"/>
            <w:bottom w:w="0" w:type="dxa"/>
            <w:right w:w="108" w:type="dxa"/>
          </w:tblCellMar>
        </w:tblPrEx>
        <w:trPr>
          <w:trHeight w:val="495"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14:paraId="55C9FA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07A6DC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single" w:color="auto" w:sz="4" w:space="0"/>
              <w:left w:val="single" w:color="auto" w:sz="4" w:space="0"/>
              <w:bottom w:val="single" w:color="auto" w:sz="4" w:space="0"/>
              <w:right w:val="single" w:color="auto" w:sz="4" w:space="0"/>
            </w:tcBorders>
            <w:vAlign w:val="center"/>
          </w:tcPr>
          <w:p w14:paraId="44C837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single" w:color="auto" w:sz="4" w:space="0"/>
              <w:left w:val="single" w:color="auto" w:sz="4" w:space="0"/>
              <w:bottom w:val="single" w:color="auto" w:sz="4" w:space="0"/>
              <w:right w:val="single" w:color="auto" w:sz="4" w:space="0"/>
            </w:tcBorders>
            <w:vAlign w:val="center"/>
          </w:tcPr>
          <w:p w14:paraId="52218FAA">
            <w:pPr>
              <w:widowControl/>
              <w:jc w:val="center"/>
              <w:rPr>
                <w:rFonts w:ascii="宋体" w:hAnsi="宋体" w:cs="宋体"/>
                <w:color w:val="auto"/>
                <w:kern w:val="0"/>
                <w:sz w:val="20"/>
                <w:szCs w:val="20"/>
                <w:highlight w:val="none"/>
              </w:rPr>
            </w:pPr>
          </w:p>
        </w:tc>
        <w:tc>
          <w:tcPr>
            <w:tcW w:w="4335" w:type="dxa"/>
            <w:tcBorders>
              <w:top w:val="single" w:color="auto" w:sz="4" w:space="0"/>
              <w:left w:val="single" w:color="auto" w:sz="4" w:space="0"/>
              <w:bottom w:val="single" w:color="auto" w:sz="4" w:space="0"/>
              <w:right w:val="single" w:color="auto" w:sz="4" w:space="0"/>
            </w:tcBorders>
            <w:vAlign w:val="center"/>
          </w:tcPr>
          <w:p w14:paraId="3B0066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D730422">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6F104B3B">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30EEFA3D">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D77DC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single" w:color="auto" w:sz="4" w:space="0"/>
              <w:left w:val="single" w:color="auto" w:sz="4" w:space="0"/>
              <w:bottom w:val="single" w:color="auto" w:sz="4" w:space="0"/>
              <w:right w:val="single" w:color="auto" w:sz="4" w:space="0"/>
            </w:tcBorders>
            <w:vAlign w:val="center"/>
          </w:tcPr>
          <w:p w14:paraId="5CA4BA1E">
            <w:pPr>
              <w:widowControl/>
              <w:jc w:val="center"/>
              <w:rPr>
                <w:rFonts w:ascii="宋体" w:hAnsi="宋体" w:cs="宋体"/>
                <w:color w:val="auto"/>
                <w:kern w:val="0"/>
                <w:sz w:val="20"/>
                <w:szCs w:val="20"/>
                <w:highlight w:val="none"/>
              </w:rPr>
            </w:pPr>
          </w:p>
        </w:tc>
        <w:tc>
          <w:tcPr>
            <w:tcW w:w="4335" w:type="dxa"/>
            <w:tcBorders>
              <w:top w:val="single" w:color="auto" w:sz="4" w:space="0"/>
              <w:left w:val="single" w:color="auto" w:sz="4" w:space="0"/>
              <w:bottom w:val="single" w:color="auto" w:sz="4" w:space="0"/>
              <w:right w:val="single" w:color="auto" w:sz="4" w:space="0"/>
            </w:tcBorders>
            <w:vAlign w:val="center"/>
          </w:tcPr>
          <w:p w14:paraId="45F34F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7C56B02">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D45E864">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A87A3BF">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BC4DC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single" w:color="auto" w:sz="4" w:space="0"/>
              <w:left w:val="single" w:color="auto" w:sz="4" w:space="0"/>
              <w:bottom w:val="single" w:color="auto" w:sz="4" w:space="0"/>
              <w:right w:val="single" w:color="auto" w:sz="4" w:space="0"/>
            </w:tcBorders>
            <w:vAlign w:val="center"/>
          </w:tcPr>
          <w:p w14:paraId="5341F06F">
            <w:pPr>
              <w:widowControl/>
              <w:jc w:val="center"/>
              <w:rPr>
                <w:rFonts w:ascii="宋体" w:hAnsi="宋体" w:cs="宋体"/>
                <w:color w:val="auto"/>
                <w:kern w:val="0"/>
                <w:sz w:val="20"/>
                <w:szCs w:val="20"/>
                <w:highlight w:val="none"/>
              </w:rPr>
            </w:pPr>
          </w:p>
        </w:tc>
        <w:tc>
          <w:tcPr>
            <w:tcW w:w="4335" w:type="dxa"/>
            <w:tcBorders>
              <w:top w:val="single" w:color="auto" w:sz="4" w:space="0"/>
              <w:left w:val="single" w:color="auto" w:sz="4" w:space="0"/>
              <w:bottom w:val="single" w:color="auto" w:sz="4" w:space="0"/>
              <w:right w:val="single" w:color="auto" w:sz="4" w:space="0"/>
            </w:tcBorders>
            <w:vAlign w:val="center"/>
          </w:tcPr>
          <w:p w14:paraId="517DCE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C2A1D5D">
        <w:tblPrEx>
          <w:tblCellMar>
            <w:top w:w="0" w:type="dxa"/>
            <w:left w:w="108" w:type="dxa"/>
            <w:bottom w:w="0" w:type="dxa"/>
            <w:right w:w="108" w:type="dxa"/>
          </w:tblCellMar>
        </w:tblPrEx>
        <w:trPr>
          <w:trHeight w:val="66"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40C3DDA7">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2F90BCCB">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919399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single" w:color="auto" w:sz="4" w:space="0"/>
              <w:left w:val="single" w:color="auto" w:sz="4" w:space="0"/>
              <w:bottom w:val="single" w:color="auto" w:sz="4" w:space="0"/>
              <w:right w:val="single" w:color="auto" w:sz="4" w:space="0"/>
            </w:tcBorders>
            <w:vAlign w:val="center"/>
          </w:tcPr>
          <w:p w14:paraId="51498D93">
            <w:pPr>
              <w:widowControl/>
              <w:jc w:val="center"/>
              <w:rPr>
                <w:rFonts w:ascii="宋体" w:hAnsi="宋体" w:cs="宋体"/>
                <w:color w:val="auto"/>
                <w:kern w:val="0"/>
                <w:sz w:val="20"/>
                <w:szCs w:val="20"/>
                <w:highlight w:val="none"/>
              </w:rPr>
            </w:pPr>
          </w:p>
        </w:tc>
        <w:tc>
          <w:tcPr>
            <w:tcW w:w="4335" w:type="dxa"/>
            <w:tcBorders>
              <w:top w:val="single" w:color="auto" w:sz="4" w:space="0"/>
              <w:left w:val="single" w:color="auto" w:sz="4" w:space="0"/>
              <w:bottom w:val="single" w:color="auto" w:sz="4" w:space="0"/>
              <w:right w:val="single" w:color="auto" w:sz="4" w:space="0"/>
            </w:tcBorders>
            <w:vAlign w:val="center"/>
          </w:tcPr>
          <w:p w14:paraId="583190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06B6BE8">
        <w:tblPrEx>
          <w:tblCellMar>
            <w:top w:w="0" w:type="dxa"/>
            <w:left w:w="108" w:type="dxa"/>
            <w:bottom w:w="0" w:type="dxa"/>
            <w:right w:w="108" w:type="dxa"/>
          </w:tblCellMar>
        </w:tblPrEx>
        <w:trPr>
          <w:trHeight w:val="735" w:hRule="atLeast"/>
        </w:trPr>
        <w:tc>
          <w:tcPr>
            <w:tcW w:w="733" w:type="dxa"/>
            <w:tcBorders>
              <w:top w:val="single" w:color="auto" w:sz="4" w:space="0"/>
              <w:left w:val="single" w:color="000000" w:sz="8" w:space="0"/>
              <w:bottom w:val="single" w:color="000000" w:sz="8" w:space="0"/>
              <w:right w:val="single" w:color="000000" w:sz="8" w:space="0"/>
            </w:tcBorders>
            <w:vAlign w:val="center"/>
          </w:tcPr>
          <w:p w14:paraId="75A693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24" w:type="dxa"/>
            <w:tcBorders>
              <w:top w:val="single" w:color="auto" w:sz="4" w:space="0"/>
              <w:left w:val="nil"/>
              <w:bottom w:val="single" w:color="000000" w:sz="8" w:space="0"/>
              <w:right w:val="single" w:color="000000" w:sz="8" w:space="0"/>
            </w:tcBorders>
            <w:vAlign w:val="center"/>
          </w:tcPr>
          <w:p w14:paraId="4E8A9A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single" w:color="auto" w:sz="4" w:space="0"/>
              <w:left w:val="nil"/>
              <w:bottom w:val="single" w:color="000000" w:sz="8" w:space="0"/>
              <w:right w:val="single" w:color="000000" w:sz="8" w:space="0"/>
            </w:tcBorders>
            <w:vAlign w:val="center"/>
          </w:tcPr>
          <w:p w14:paraId="4BB63B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single" w:color="auto" w:sz="4" w:space="0"/>
              <w:left w:val="nil"/>
              <w:bottom w:val="single" w:color="000000" w:sz="8" w:space="0"/>
              <w:right w:val="single" w:color="000000" w:sz="8" w:space="0"/>
            </w:tcBorders>
            <w:vAlign w:val="center"/>
          </w:tcPr>
          <w:p w14:paraId="03FFEDB0">
            <w:pPr>
              <w:widowControl/>
              <w:jc w:val="center"/>
              <w:rPr>
                <w:rFonts w:ascii="宋体" w:hAnsi="宋体" w:cs="宋体"/>
                <w:color w:val="auto"/>
                <w:kern w:val="0"/>
                <w:sz w:val="20"/>
                <w:szCs w:val="20"/>
                <w:highlight w:val="none"/>
              </w:rPr>
            </w:pPr>
          </w:p>
        </w:tc>
        <w:tc>
          <w:tcPr>
            <w:tcW w:w="4335" w:type="dxa"/>
            <w:tcBorders>
              <w:top w:val="single" w:color="auto" w:sz="4" w:space="0"/>
              <w:left w:val="nil"/>
              <w:bottom w:val="single" w:color="000000" w:sz="8" w:space="0"/>
              <w:right w:val="single" w:color="000000" w:sz="8" w:space="0"/>
            </w:tcBorders>
            <w:vAlign w:val="center"/>
          </w:tcPr>
          <w:p w14:paraId="07BCB12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C5A18ED">
        <w:tblPrEx>
          <w:tblCellMar>
            <w:top w:w="0" w:type="dxa"/>
            <w:left w:w="108" w:type="dxa"/>
            <w:bottom w:w="0" w:type="dxa"/>
            <w:right w:w="108" w:type="dxa"/>
          </w:tblCellMar>
        </w:tblPrEx>
        <w:trPr>
          <w:trHeight w:val="975" w:hRule="atLeast"/>
        </w:trPr>
        <w:tc>
          <w:tcPr>
            <w:tcW w:w="733" w:type="dxa"/>
            <w:tcBorders>
              <w:top w:val="nil"/>
              <w:left w:val="single" w:color="000000" w:sz="8" w:space="0"/>
              <w:bottom w:val="single" w:color="000000" w:sz="8" w:space="0"/>
              <w:right w:val="single" w:color="000000" w:sz="8" w:space="0"/>
            </w:tcBorders>
            <w:vAlign w:val="center"/>
          </w:tcPr>
          <w:p w14:paraId="01630C1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24" w:type="dxa"/>
            <w:tcBorders>
              <w:top w:val="nil"/>
              <w:left w:val="nil"/>
              <w:bottom w:val="single" w:color="000000" w:sz="8" w:space="0"/>
              <w:right w:val="single" w:color="000000" w:sz="8" w:space="0"/>
            </w:tcBorders>
            <w:vAlign w:val="center"/>
          </w:tcPr>
          <w:p w14:paraId="3D9586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vAlign w:val="center"/>
          </w:tcPr>
          <w:p w14:paraId="3AAB415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vAlign w:val="center"/>
          </w:tcPr>
          <w:p w14:paraId="79D088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op w:val="nil"/>
              <w:left w:val="nil"/>
              <w:bottom w:val="single" w:color="000000" w:sz="8" w:space="0"/>
              <w:right w:val="single" w:color="000000" w:sz="8" w:space="0"/>
            </w:tcBorders>
            <w:vAlign w:val="center"/>
          </w:tcPr>
          <w:p w14:paraId="1D3D98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C011CE8">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08B864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24" w:type="dxa"/>
            <w:tcBorders>
              <w:top w:val="nil"/>
              <w:left w:val="nil"/>
              <w:bottom w:val="single" w:color="000000" w:sz="8" w:space="0"/>
              <w:right w:val="single" w:color="000000" w:sz="8" w:space="0"/>
            </w:tcBorders>
            <w:vAlign w:val="center"/>
          </w:tcPr>
          <w:p w14:paraId="74721F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vAlign w:val="center"/>
          </w:tcPr>
          <w:p w14:paraId="5421B5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vAlign w:val="center"/>
          </w:tcPr>
          <w:p w14:paraId="588E9A8C">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07CADE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034CE3C">
        <w:tblPrEx>
          <w:tblCellMar>
            <w:top w:w="0" w:type="dxa"/>
            <w:left w:w="108" w:type="dxa"/>
            <w:bottom w:w="0" w:type="dxa"/>
            <w:right w:w="108" w:type="dxa"/>
          </w:tblCellMar>
        </w:tblPrEx>
        <w:trPr>
          <w:trHeight w:val="285" w:hRule="atLeast"/>
        </w:trPr>
        <w:tc>
          <w:tcPr>
            <w:tcW w:w="733" w:type="dxa"/>
            <w:vMerge w:val="restart"/>
            <w:tcBorders>
              <w:top w:val="nil"/>
              <w:left w:val="single" w:color="000000" w:sz="8" w:space="0"/>
              <w:bottom w:val="single" w:color="000000" w:sz="8" w:space="0"/>
              <w:right w:val="single" w:color="000000" w:sz="8" w:space="0"/>
            </w:tcBorders>
            <w:vAlign w:val="center"/>
          </w:tcPr>
          <w:p w14:paraId="68B97FB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24" w:type="dxa"/>
            <w:vMerge w:val="restart"/>
            <w:tcBorders>
              <w:top w:val="nil"/>
              <w:left w:val="single" w:color="000000" w:sz="8" w:space="0"/>
              <w:bottom w:val="single" w:color="000000" w:sz="8" w:space="0"/>
              <w:right w:val="single" w:color="000000" w:sz="8" w:space="0"/>
            </w:tcBorders>
            <w:vAlign w:val="center"/>
          </w:tcPr>
          <w:p w14:paraId="7CA8B6A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vAlign w:val="center"/>
          </w:tcPr>
          <w:p w14:paraId="794F210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vAlign w:val="center"/>
          </w:tcPr>
          <w:p w14:paraId="2AD0C422">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470A8D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E6B8E24">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7F5306E1">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42061FFE">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507BAD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vAlign w:val="center"/>
          </w:tcPr>
          <w:p w14:paraId="68BB7103">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2966D2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89DDE4B">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32C8E77C">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05DD41CF">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EEAE7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vAlign w:val="center"/>
          </w:tcPr>
          <w:p w14:paraId="1F702251">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51A608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2213C84F">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355E99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24" w:type="dxa"/>
            <w:tcBorders>
              <w:top w:val="nil"/>
              <w:left w:val="nil"/>
              <w:bottom w:val="single" w:color="000000" w:sz="8" w:space="0"/>
              <w:right w:val="single" w:color="000000" w:sz="8" w:space="0"/>
            </w:tcBorders>
            <w:vAlign w:val="center"/>
          </w:tcPr>
          <w:p w14:paraId="3180EE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vAlign w:val="center"/>
          </w:tcPr>
          <w:p w14:paraId="2E2E04B7">
            <w:pPr>
              <w:widowControl/>
              <w:jc w:val="center"/>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415C201D">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4A07F8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19224662">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5EA396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24" w:type="dxa"/>
            <w:tcBorders>
              <w:top w:val="nil"/>
              <w:left w:val="nil"/>
              <w:bottom w:val="single" w:color="000000" w:sz="8" w:space="0"/>
              <w:right w:val="single" w:color="000000" w:sz="8" w:space="0"/>
            </w:tcBorders>
            <w:vAlign w:val="center"/>
          </w:tcPr>
          <w:p w14:paraId="216264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vAlign w:val="center"/>
          </w:tcPr>
          <w:p w14:paraId="29776858">
            <w:pPr>
              <w:widowControl/>
              <w:jc w:val="center"/>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34EEA7A5">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607A75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1089ED2">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5C374C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24" w:type="dxa"/>
            <w:tcBorders>
              <w:top w:val="nil"/>
              <w:left w:val="nil"/>
              <w:bottom w:val="single" w:color="000000" w:sz="8" w:space="0"/>
              <w:right w:val="single" w:color="000000" w:sz="8" w:space="0"/>
            </w:tcBorders>
            <w:vAlign w:val="center"/>
          </w:tcPr>
          <w:p w14:paraId="73779E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vAlign w:val="center"/>
          </w:tcPr>
          <w:p w14:paraId="2A7CE7D6">
            <w:pPr>
              <w:widowControl/>
              <w:jc w:val="center"/>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359D4CDF">
            <w:pPr>
              <w:widowControl/>
              <w:jc w:val="center"/>
              <w:rPr>
                <w:rFonts w:ascii="宋体" w:hAnsi="宋体" w:cs="宋体"/>
                <w:color w:val="auto"/>
                <w:kern w:val="0"/>
                <w:sz w:val="20"/>
                <w:szCs w:val="20"/>
                <w:highlight w:val="none"/>
              </w:rPr>
            </w:pPr>
          </w:p>
        </w:tc>
        <w:tc>
          <w:tcPr>
            <w:tcW w:w="4335" w:type="dxa"/>
            <w:tcBorders>
              <w:top w:val="nil"/>
              <w:left w:val="nil"/>
              <w:bottom w:val="single" w:color="000000" w:sz="8" w:space="0"/>
              <w:right w:val="single" w:color="000000" w:sz="8" w:space="0"/>
            </w:tcBorders>
            <w:vAlign w:val="center"/>
          </w:tcPr>
          <w:p w14:paraId="1D06926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05A9628">
      <w:pPr>
        <w:spacing w:after="12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0EEDF6AB">
      <w:pPr>
        <w:jc w:val="left"/>
        <w:rPr>
          <w:rFonts w:ascii="宋体" w:hAnsi="宋体" w:cs="宋体"/>
          <w:color w:val="auto"/>
          <w:kern w:val="0"/>
          <w:sz w:val="32"/>
          <w:szCs w:val="32"/>
          <w:highlight w:val="none"/>
        </w:rPr>
      </w:pPr>
      <w:r>
        <w:rPr>
          <w:rFonts w:hint="eastAsia" w:ascii="宋体" w:hAnsi="宋体" w:cs="宋体"/>
          <w:color w:val="auto"/>
          <w:kern w:val="0"/>
          <w:sz w:val="20"/>
          <w:szCs w:val="21"/>
          <w:highlight w:val="none"/>
        </w:rPr>
        <w:t>2.以“★”标注的为政府强制采购产品。</w:t>
      </w:r>
      <w:r>
        <w:rPr>
          <w:rFonts w:hint="eastAsia" w:ascii="宋体" w:hAnsi="宋体" w:cs="宋体"/>
          <w:color w:val="auto"/>
          <w:kern w:val="0"/>
          <w:sz w:val="20"/>
          <w:szCs w:val="21"/>
          <w:highlight w:val="none"/>
        </w:rPr>
        <w:br w:type="page"/>
      </w:r>
      <w:r>
        <w:rPr>
          <w:rFonts w:hint="eastAsia" w:ascii="宋体" w:hAnsi="宋体" w:cs="宋体"/>
          <w:color w:val="auto"/>
          <w:kern w:val="0"/>
          <w:sz w:val="30"/>
          <w:szCs w:val="30"/>
          <w:highlight w:val="none"/>
        </w:rPr>
        <w:t>附件</w:t>
      </w:r>
      <w:r>
        <w:rPr>
          <w:rFonts w:hint="eastAsia" w:ascii="宋体" w:hAnsi="宋体" w:cs="宋体"/>
          <w:color w:val="auto"/>
          <w:kern w:val="0"/>
          <w:sz w:val="30"/>
          <w:szCs w:val="30"/>
          <w:highlight w:val="none"/>
          <w:lang w:val="en-US" w:eastAsia="zh-CN"/>
        </w:rPr>
        <w:t>2</w:t>
      </w:r>
      <w:r>
        <w:rPr>
          <w:rFonts w:hint="eastAsia" w:ascii="宋体" w:hAnsi="宋体" w:cs="宋体"/>
          <w:color w:val="auto"/>
          <w:kern w:val="0"/>
          <w:sz w:val="30"/>
          <w:szCs w:val="30"/>
          <w:highlight w:val="none"/>
        </w:rPr>
        <w:t>：</w:t>
      </w:r>
    </w:p>
    <w:p w14:paraId="1F6C1AD0">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中小微企业划型标准</w:t>
      </w:r>
    </w:p>
    <w:tbl>
      <w:tblPr>
        <w:tblStyle w:val="29"/>
        <w:tblW w:w="9437" w:type="dxa"/>
        <w:tblInd w:w="250" w:type="dxa"/>
        <w:tblLayout w:type="fixed"/>
        <w:tblCellMar>
          <w:top w:w="0" w:type="dxa"/>
          <w:left w:w="108" w:type="dxa"/>
          <w:bottom w:w="0" w:type="dxa"/>
          <w:right w:w="108" w:type="dxa"/>
        </w:tblCellMar>
      </w:tblPr>
      <w:tblGrid>
        <w:gridCol w:w="1973"/>
        <w:gridCol w:w="1972"/>
        <w:gridCol w:w="845"/>
        <w:gridCol w:w="1830"/>
        <w:gridCol w:w="1690"/>
        <w:gridCol w:w="1127"/>
      </w:tblGrid>
      <w:tr w14:paraId="176BDE31">
        <w:tblPrEx>
          <w:tblCellMar>
            <w:top w:w="0" w:type="dxa"/>
            <w:left w:w="108" w:type="dxa"/>
            <w:bottom w:w="0" w:type="dxa"/>
            <w:right w:w="108" w:type="dxa"/>
          </w:tblCellMar>
        </w:tblPrEx>
        <w:trPr>
          <w:trHeight w:val="665" w:hRule="atLeast"/>
        </w:trPr>
        <w:tc>
          <w:tcPr>
            <w:tcW w:w="1973" w:type="dxa"/>
            <w:tcBorders>
              <w:top w:val="single" w:color="auto" w:sz="4" w:space="0"/>
              <w:left w:val="single" w:color="auto" w:sz="4" w:space="0"/>
              <w:bottom w:val="single" w:color="auto" w:sz="4" w:space="0"/>
              <w:right w:val="single" w:color="auto" w:sz="4" w:space="0"/>
            </w:tcBorders>
            <w:vAlign w:val="center"/>
          </w:tcPr>
          <w:p w14:paraId="5D13667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72" w:type="dxa"/>
            <w:tcBorders>
              <w:top w:val="single" w:color="auto" w:sz="4" w:space="0"/>
              <w:left w:val="nil"/>
              <w:bottom w:val="single" w:color="auto" w:sz="4" w:space="0"/>
              <w:right w:val="single" w:color="auto" w:sz="4" w:space="0"/>
            </w:tcBorders>
            <w:vAlign w:val="center"/>
          </w:tcPr>
          <w:p w14:paraId="00153C6E">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45" w:type="dxa"/>
            <w:tcBorders>
              <w:top w:val="single" w:color="auto" w:sz="4" w:space="0"/>
              <w:left w:val="nil"/>
              <w:bottom w:val="single" w:color="auto" w:sz="4" w:space="0"/>
              <w:right w:val="single" w:color="auto" w:sz="4" w:space="0"/>
            </w:tcBorders>
            <w:vAlign w:val="center"/>
          </w:tcPr>
          <w:p w14:paraId="17FC384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30" w:type="dxa"/>
            <w:tcBorders>
              <w:top w:val="single" w:color="auto" w:sz="4" w:space="0"/>
              <w:left w:val="nil"/>
              <w:bottom w:val="single" w:color="auto" w:sz="4" w:space="0"/>
              <w:right w:val="single" w:color="auto" w:sz="4" w:space="0"/>
            </w:tcBorders>
            <w:vAlign w:val="center"/>
          </w:tcPr>
          <w:p w14:paraId="1A06BAB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90" w:type="dxa"/>
            <w:tcBorders>
              <w:top w:val="single" w:color="auto" w:sz="4" w:space="0"/>
              <w:left w:val="nil"/>
              <w:bottom w:val="single" w:color="auto" w:sz="4" w:space="0"/>
              <w:right w:val="single" w:color="auto" w:sz="4" w:space="0"/>
            </w:tcBorders>
            <w:vAlign w:val="center"/>
          </w:tcPr>
          <w:p w14:paraId="42DB1D26">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27" w:type="dxa"/>
            <w:tcBorders>
              <w:top w:val="single" w:color="auto" w:sz="4" w:space="0"/>
              <w:left w:val="nil"/>
              <w:bottom w:val="single" w:color="auto" w:sz="4" w:space="0"/>
              <w:right w:val="single" w:color="auto" w:sz="4" w:space="0"/>
            </w:tcBorders>
            <w:vAlign w:val="center"/>
          </w:tcPr>
          <w:p w14:paraId="22BB905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686B48A">
        <w:tblPrEx>
          <w:tblCellMar>
            <w:top w:w="0" w:type="dxa"/>
            <w:left w:w="108" w:type="dxa"/>
            <w:bottom w:w="0" w:type="dxa"/>
            <w:right w:w="108" w:type="dxa"/>
          </w:tblCellMar>
        </w:tblPrEx>
        <w:trPr>
          <w:trHeight w:val="337" w:hRule="atLeast"/>
        </w:trPr>
        <w:tc>
          <w:tcPr>
            <w:tcW w:w="1973" w:type="dxa"/>
            <w:tcBorders>
              <w:top w:val="nil"/>
              <w:left w:val="single" w:color="auto" w:sz="4" w:space="0"/>
              <w:bottom w:val="single" w:color="auto" w:sz="4" w:space="0"/>
              <w:right w:val="single" w:color="auto" w:sz="4" w:space="0"/>
            </w:tcBorders>
            <w:vAlign w:val="center"/>
          </w:tcPr>
          <w:p w14:paraId="0375011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72" w:type="dxa"/>
            <w:tcBorders>
              <w:top w:val="nil"/>
              <w:left w:val="nil"/>
              <w:bottom w:val="single" w:color="auto" w:sz="4" w:space="0"/>
              <w:right w:val="single" w:color="auto" w:sz="4" w:space="0"/>
            </w:tcBorders>
            <w:vAlign w:val="center"/>
          </w:tcPr>
          <w:p w14:paraId="241FF3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2A6B35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8EE9B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0" w:type="dxa"/>
            <w:tcBorders>
              <w:top w:val="nil"/>
              <w:left w:val="nil"/>
              <w:bottom w:val="single" w:color="auto" w:sz="4" w:space="0"/>
              <w:right w:val="single" w:color="auto" w:sz="4" w:space="0"/>
            </w:tcBorders>
            <w:vAlign w:val="center"/>
          </w:tcPr>
          <w:p w14:paraId="5BFC2D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27" w:type="dxa"/>
            <w:tcBorders>
              <w:top w:val="nil"/>
              <w:left w:val="nil"/>
              <w:bottom w:val="single" w:color="auto" w:sz="4" w:space="0"/>
              <w:right w:val="single" w:color="auto" w:sz="4" w:space="0"/>
            </w:tcBorders>
            <w:vAlign w:val="center"/>
          </w:tcPr>
          <w:p w14:paraId="0FD3F7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94A336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60A698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72" w:type="dxa"/>
            <w:tcBorders>
              <w:top w:val="nil"/>
              <w:left w:val="nil"/>
              <w:bottom w:val="single" w:color="auto" w:sz="4" w:space="0"/>
              <w:right w:val="single" w:color="auto" w:sz="4" w:space="0"/>
            </w:tcBorders>
            <w:vAlign w:val="center"/>
          </w:tcPr>
          <w:p w14:paraId="397286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085768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27C859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47128E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27" w:type="dxa"/>
            <w:tcBorders>
              <w:top w:val="nil"/>
              <w:left w:val="nil"/>
              <w:bottom w:val="single" w:color="auto" w:sz="4" w:space="0"/>
              <w:right w:val="single" w:color="auto" w:sz="4" w:space="0"/>
            </w:tcBorders>
            <w:vAlign w:val="center"/>
          </w:tcPr>
          <w:p w14:paraId="3244CC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D807E97">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1BC5DEAC">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44E6F6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147451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48F0C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90" w:type="dxa"/>
            <w:tcBorders>
              <w:top w:val="nil"/>
              <w:left w:val="nil"/>
              <w:bottom w:val="single" w:color="auto" w:sz="4" w:space="0"/>
              <w:right w:val="single" w:color="auto" w:sz="4" w:space="0"/>
            </w:tcBorders>
            <w:vAlign w:val="center"/>
          </w:tcPr>
          <w:p w14:paraId="2EC56D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27" w:type="dxa"/>
            <w:tcBorders>
              <w:top w:val="nil"/>
              <w:left w:val="nil"/>
              <w:bottom w:val="single" w:color="auto" w:sz="4" w:space="0"/>
              <w:right w:val="single" w:color="auto" w:sz="4" w:space="0"/>
            </w:tcBorders>
            <w:vAlign w:val="center"/>
          </w:tcPr>
          <w:p w14:paraId="74C57D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72CD23D">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5613D4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72" w:type="dxa"/>
            <w:tcBorders>
              <w:top w:val="nil"/>
              <w:left w:val="nil"/>
              <w:bottom w:val="single" w:color="auto" w:sz="4" w:space="0"/>
              <w:right w:val="single" w:color="auto" w:sz="4" w:space="0"/>
            </w:tcBorders>
            <w:vAlign w:val="center"/>
          </w:tcPr>
          <w:p w14:paraId="1A15DB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34E6B9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4ACB09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90" w:type="dxa"/>
            <w:tcBorders>
              <w:top w:val="nil"/>
              <w:left w:val="nil"/>
              <w:bottom w:val="single" w:color="auto" w:sz="4" w:space="0"/>
              <w:right w:val="single" w:color="auto" w:sz="4" w:space="0"/>
            </w:tcBorders>
            <w:vAlign w:val="center"/>
          </w:tcPr>
          <w:p w14:paraId="43F1BE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27" w:type="dxa"/>
            <w:tcBorders>
              <w:top w:val="nil"/>
              <w:left w:val="nil"/>
              <w:bottom w:val="single" w:color="auto" w:sz="4" w:space="0"/>
              <w:right w:val="single" w:color="auto" w:sz="4" w:space="0"/>
            </w:tcBorders>
            <w:vAlign w:val="center"/>
          </w:tcPr>
          <w:p w14:paraId="780982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FA81D66">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70861009">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352EF7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45" w:type="dxa"/>
            <w:tcBorders>
              <w:top w:val="nil"/>
              <w:left w:val="nil"/>
              <w:bottom w:val="single" w:color="auto" w:sz="4" w:space="0"/>
              <w:right w:val="single" w:color="auto" w:sz="4" w:space="0"/>
            </w:tcBorders>
            <w:vAlign w:val="center"/>
          </w:tcPr>
          <w:p w14:paraId="684F92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70B07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90" w:type="dxa"/>
            <w:tcBorders>
              <w:top w:val="nil"/>
              <w:left w:val="nil"/>
              <w:bottom w:val="single" w:color="auto" w:sz="4" w:space="0"/>
              <w:right w:val="single" w:color="auto" w:sz="4" w:space="0"/>
            </w:tcBorders>
            <w:vAlign w:val="center"/>
          </w:tcPr>
          <w:p w14:paraId="717D21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27" w:type="dxa"/>
            <w:tcBorders>
              <w:top w:val="nil"/>
              <w:left w:val="nil"/>
              <w:bottom w:val="single" w:color="auto" w:sz="4" w:space="0"/>
              <w:right w:val="single" w:color="auto" w:sz="4" w:space="0"/>
            </w:tcBorders>
            <w:vAlign w:val="center"/>
          </w:tcPr>
          <w:p w14:paraId="3A0C94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717E2DB">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1D3B5E9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72" w:type="dxa"/>
            <w:tcBorders>
              <w:top w:val="nil"/>
              <w:left w:val="nil"/>
              <w:bottom w:val="single" w:color="auto" w:sz="4" w:space="0"/>
              <w:right w:val="single" w:color="auto" w:sz="4" w:space="0"/>
            </w:tcBorders>
            <w:vAlign w:val="center"/>
          </w:tcPr>
          <w:p w14:paraId="05EF25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320B67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7AD307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90" w:type="dxa"/>
            <w:tcBorders>
              <w:top w:val="nil"/>
              <w:left w:val="nil"/>
              <w:bottom w:val="single" w:color="auto" w:sz="4" w:space="0"/>
              <w:right w:val="single" w:color="auto" w:sz="4" w:space="0"/>
            </w:tcBorders>
            <w:vAlign w:val="center"/>
          </w:tcPr>
          <w:p w14:paraId="6F788F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27" w:type="dxa"/>
            <w:tcBorders>
              <w:top w:val="nil"/>
              <w:left w:val="nil"/>
              <w:bottom w:val="single" w:color="auto" w:sz="4" w:space="0"/>
              <w:right w:val="single" w:color="auto" w:sz="4" w:space="0"/>
            </w:tcBorders>
            <w:vAlign w:val="center"/>
          </w:tcPr>
          <w:p w14:paraId="3A841F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5CA4B7C">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2AEA8E85">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3A8ACA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3A291C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F6E0F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90" w:type="dxa"/>
            <w:tcBorders>
              <w:top w:val="nil"/>
              <w:left w:val="nil"/>
              <w:bottom w:val="single" w:color="auto" w:sz="4" w:space="0"/>
              <w:right w:val="single" w:color="auto" w:sz="4" w:space="0"/>
            </w:tcBorders>
            <w:vAlign w:val="center"/>
          </w:tcPr>
          <w:p w14:paraId="14EF9B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27" w:type="dxa"/>
            <w:tcBorders>
              <w:top w:val="nil"/>
              <w:left w:val="nil"/>
              <w:bottom w:val="single" w:color="auto" w:sz="4" w:space="0"/>
              <w:right w:val="single" w:color="auto" w:sz="4" w:space="0"/>
            </w:tcBorders>
            <w:vAlign w:val="center"/>
          </w:tcPr>
          <w:p w14:paraId="2CACF1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ACB4207">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3CBD471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72" w:type="dxa"/>
            <w:tcBorders>
              <w:top w:val="nil"/>
              <w:left w:val="nil"/>
              <w:bottom w:val="single" w:color="auto" w:sz="4" w:space="0"/>
              <w:right w:val="single" w:color="auto" w:sz="4" w:space="0"/>
            </w:tcBorders>
            <w:vAlign w:val="center"/>
          </w:tcPr>
          <w:p w14:paraId="6BAE35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7F5CBB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77CA7C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90" w:type="dxa"/>
            <w:tcBorders>
              <w:top w:val="nil"/>
              <w:left w:val="nil"/>
              <w:bottom w:val="single" w:color="auto" w:sz="4" w:space="0"/>
              <w:right w:val="single" w:color="auto" w:sz="4" w:space="0"/>
            </w:tcBorders>
            <w:vAlign w:val="center"/>
          </w:tcPr>
          <w:p w14:paraId="289143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27" w:type="dxa"/>
            <w:tcBorders>
              <w:top w:val="nil"/>
              <w:left w:val="nil"/>
              <w:bottom w:val="single" w:color="auto" w:sz="4" w:space="0"/>
              <w:right w:val="single" w:color="auto" w:sz="4" w:space="0"/>
            </w:tcBorders>
            <w:vAlign w:val="center"/>
          </w:tcPr>
          <w:p w14:paraId="6EC41F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9B05F5">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5909A03">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759528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0CFC2D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4396A4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0" w:type="dxa"/>
            <w:tcBorders>
              <w:top w:val="nil"/>
              <w:left w:val="nil"/>
              <w:bottom w:val="single" w:color="auto" w:sz="4" w:space="0"/>
              <w:right w:val="single" w:color="auto" w:sz="4" w:space="0"/>
            </w:tcBorders>
            <w:vAlign w:val="center"/>
          </w:tcPr>
          <w:p w14:paraId="73864B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27" w:type="dxa"/>
            <w:tcBorders>
              <w:top w:val="nil"/>
              <w:left w:val="nil"/>
              <w:bottom w:val="single" w:color="auto" w:sz="4" w:space="0"/>
              <w:right w:val="single" w:color="auto" w:sz="4" w:space="0"/>
            </w:tcBorders>
            <w:vAlign w:val="center"/>
          </w:tcPr>
          <w:p w14:paraId="1683CD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7EAB49A">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36EAF7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72" w:type="dxa"/>
            <w:tcBorders>
              <w:top w:val="nil"/>
              <w:left w:val="nil"/>
              <w:bottom w:val="single" w:color="auto" w:sz="4" w:space="0"/>
              <w:right w:val="single" w:color="auto" w:sz="4" w:space="0"/>
            </w:tcBorders>
            <w:vAlign w:val="center"/>
          </w:tcPr>
          <w:p w14:paraId="04AD07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0C1F0F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71AF3E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5FD855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27" w:type="dxa"/>
            <w:tcBorders>
              <w:top w:val="nil"/>
              <w:left w:val="nil"/>
              <w:bottom w:val="single" w:color="auto" w:sz="4" w:space="0"/>
              <w:right w:val="single" w:color="auto" w:sz="4" w:space="0"/>
            </w:tcBorders>
            <w:vAlign w:val="center"/>
          </w:tcPr>
          <w:p w14:paraId="5EDE5A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BB3187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69687D1E">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344CAB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121FB3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DD0C5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90" w:type="dxa"/>
            <w:tcBorders>
              <w:top w:val="nil"/>
              <w:left w:val="nil"/>
              <w:bottom w:val="single" w:color="auto" w:sz="4" w:space="0"/>
              <w:right w:val="single" w:color="auto" w:sz="4" w:space="0"/>
            </w:tcBorders>
            <w:vAlign w:val="center"/>
          </w:tcPr>
          <w:p w14:paraId="282B35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27" w:type="dxa"/>
            <w:tcBorders>
              <w:top w:val="nil"/>
              <w:left w:val="nil"/>
              <w:bottom w:val="single" w:color="auto" w:sz="4" w:space="0"/>
              <w:right w:val="single" w:color="auto" w:sz="4" w:space="0"/>
            </w:tcBorders>
            <w:vAlign w:val="center"/>
          </w:tcPr>
          <w:p w14:paraId="420CD4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B31B34C">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5FCDE3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72" w:type="dxa"/>
            <w:tcBorders>
              <w:top w:val="nil"/>
              <w:left w:val="nil"/>
              <w:bottom w:val="single" w:color="auto" w:sz="4" w:space="0"/>
              <w:right w:val="single" w:color="auto" w:sz="4" w:space="0"/>
            </w:tcBorders>
            <w:vAlign w:val="center"/>
          </w:tcPr>
          <w:p w14:paraId="209CA2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6D9C5F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404EFE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90" w:type="dxa"/>
            <w:tcBorders>
              <w:top w:val="nil"/>
              <w:left w:val="nil"/>
              <w:bottom w:val="single" w:color="auto" w:sz="4" w:space="0"/>
              <w:right w:val="single" w:color="auto" w:sz="4" w:space="0"/>
            </w:tcBorders>
            <w:vAlign w:val="center"/>
          </w:tcPr>
          <w:p w14:paraId="3C3CFE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27" w:type="dxa"/>
            <w:tcBorders>
              <w:top w:val="nil"/>
              <w:left w:val="nil"/>
              <w:bottom w:val="single" w:color="auto" w:sz="4" w:space="0"/>
              <w:right w:val="single" w:color="auto" w:sz="4" w:space="0"/>
            </w:tcBorders>
            <w:vAlign w:val="center"/>
          </w:tcPr>
          <w:p w14:paraId="4B65B4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754E06C">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728D5438">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0ABA79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27579D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20741A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90" w:type="dxa"/>
            <w:tcBorders>
              <w:top w:val="nil"/>
              <w:left w:val="nil"/>
              <w:bottom w:val="single" w:color="auto" w:sz="4" w:space="0"/>
              <w:right w:val="single" w:color="auto" w:sz="4" w:space="0"/>
            </w:tcBorders>
            <w:vAlign w:val="center"/>
          </w:tcPr>
          <w:p w14:paraId="3A13BB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27" w:type="dxa"/>
            <w:tcBorders>
              <w:top w:val="nil"/>
              <w:left w:val="nil"/>
              <w:bottom w:val="single" w:color="auto" w:sz="4" w:space="0"/>
              <w:right w:val="single" w:color="auto" w:sz="4" w:space="0"/>
            </w:tcBorders>
            <w:vAlign w:val="center"/>
          </w:tcPr>
          <w:p w14:paraId="26F3EB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D5750EE">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F6805F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72" w:type="dxa"/>
            <w:tcBorders>
              <w:top w:val="nil"/>
              <w:left w:val="nil"/>
              <w:bottom w:val="single" w:color="auto" w:sz="4" w:space="0"/>
              <w:right w:val="single" w:color="auto" w:sz="4" w:space="0"/>
            </w:tcBorders>
            <w:vAlign w:val="center"/>
          </w:tcPr>
          <w:p w14:paraId="6AC9E1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00A998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111FAE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06D259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27" w:type="dxa"/>
            <w:tcBorders>
              <w:top w:val="nil"/>
              <w:left w:val="nil"/>
              <w:bottom w:val="single" w:color="auto" w:sz="4" w:space="0"/>
              <w:right w:val="single" w:color="auto" w:sz="4" w:space="0"/>
            </w:tcBorders>
            <w:vAlign w:val="center"/>
          </w:tcPr>
          <w:p w14:paraId="512838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13E4EAF">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28038BD2">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4B72C7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30F8FD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C05F9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90" w:type="dxa"/>
            <w:tcBorders>
              <w:top w:val="nil"/>
              <w:left w:val="nil"/>
              <w:bottom w:val="single" w:color="auto" w:sz="4" w:space="0"/>
              <w:right w:val="single" w:color="auto" w:sz="4" w:space="0"/>
            </w:tcBorders>
            <w:vAlign w:val="center"/>
          </w:tcPr>
          <w:p w14:paraId="14BBBB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27" w:type="dxa"/>
            <w:tcBorders>
              <w:top w:val="nil"/>
              <w:left w:val="nil"/>
              <w:bottom w:val="single" w:color="auto" w:sz="4" w:space="0"/>
              <w:right w:val="single" w:color="auto" w:sz="4" w:space="0"/>
            </w:tcBorders>
            <w:vAlign w:val="center"/>
          </w:tcPr>
          <w:p w14:paraId="3E1286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A08F66">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57BF70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72" w:type="dxa"/>
            <w:tcBorders>
              <w:top w:val="nil"/>
              <w:left w:val="nil"/>
              <w:bottom w:val="single" w:color="auto" w:sz="4" w:space="0"/>
              <w:right w:val="single" w:color="auto" w:sz="4" w:space="0"/>
            </w:tcBorders>
            <w:vAlign w:val="center"/>
          </w:tcPr>
          <w:p w14:paraId="4C2C33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079308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1043F1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4CAB51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151410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6E685F">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259E825D">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56A4BF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2B3178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34DC8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0" w:type="dxa"/>
            <w:tcBorders>
              <w:top w:val="nil"/>
              <w:left w:val="nil"/>
              <w:bottom w:val="single" w:color="auto" w:sz="4" w:space="0"/>
              <w:right w:val="single" w:color="auto" w:sz="4" w:space="0"/>
            </w:tcBorders>
            <w:vAlign w:val="center"/>
          </w:tcPr>
          <w:p w14:paraId="1E75C0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27" w:type="dxa"/>
            <w:tcBorders>
              <w:top w:val="nil"/>
              <w:left w:val="nil"/>
              <w:bottom w:val="single" w:color="auto" w:sz="4" w:space="0"/>
              <w:right w:val="single" w:color="auto" w:sz="4" w:space="0"/>
            </w:tcBorders>
            <w:vAlign w:val="center"/>
          </w:tcPr>
          <w:p w14:paraId="069F5A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861700">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2959D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72" w:type="dxa"/>
            <w:tcBorders>
              <w:top w:val="nil"/>
              <w:left w:val="nil"/>
              <w:bottom w:val="single" w:color="auto" w:sz="4" w:space="0"/>
              <w:right w:val="single" w:color="auto" w:sz="4" w:space="0"/>
            </w:tcBorders>
            <w:vAlign w:val="center"/>
          </w:tcPr>
          <w:p w14:paraId="52930C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699940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731D12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6999F7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3A911C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A0C51C">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37F9B0EE">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6F6EE4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761E5B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D2BA5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0" w:type="dxa"/>
            <w:tcBorders>
              <w:top w:val="nil"/>
              <w:left w:val="nil"/>
              <w:bottom w:val="single" w:color="auto" w:sz="4" w:space="0"/>
              <w:right w:val="single" w:color="auto" w:sz="4" w:space="0"/>
            </w:tcBorders>
            <w:vAlign w:val="center"/>
          </w:tcPr>
          <w:p w14:paraId="33856E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27" w:type="dxa"/>
            <w:tcBorders>
              <w:top w:val="nil"/>
              <w:left w:val="nil"/>
              <w:bottom w:val="single" w:color="auto" w:sz="4" w:space="0"/>
              <w:right w:val="single" w:color="auto" w:sz="4" w:space="0"/>
            </w:tcBorders>
            <w:vAlign w:val="center"/>
          </w:tcPr>
          <w:p w14:paraId="5F4D6B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79296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988772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72" w:type="dxa"/>
            <w:tcBorders>
              <w:top w:val="nil"/>
              <w:left w:val="nil"/>
              <w:bottom w:val="single" w:color="auto" w:sz="4" w:space="0"/>
              <w:right w:val="single" w:color="auto" w:sz="4" w:space="0"/>
            </w:tcBorders>
            <w:vAlign w:val="center"/>
          </w:tcPr>
          <w:p w14:paraId="2DF3E3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5FF835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2B251E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90" w:type="dxa"/>
            <w:tcBorders>
              <w:top w:val="nil"/>
              <w:left w:val="nil"/>
              <w:bottom w:val="single" w:color="auto" w:sz="4" w:space="0"/>
              <w:right w:val="single" w:color="auto" w:sz="4" w:space="0"/>
            </w:tcBorders>
            <w:vAlign w:val="center"/>
          </w:tcPr>
          <w:p w14:paraId="629D8F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228211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B736F6">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7F4EBB73">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4ADC45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285EC0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35052D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90" w:type="dxa"/>
            <w:tcBorders>
              <w:top w:val="nil"/>
              <w:left w:val="nil"/>
              <w:bottom w:val="single" w:color="auto" w:sz="4" w:space="0"/>
              <w:right w:val="single" w:color="auto" w:sz="4" w:space="0"/>
            </w:tcBorders>
            <w:vAlign w:val="center"/>
          </w:tcPr>
          <w:p w14:paraId="4B3D8B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27" w:type="dxa"/>
            <w:tcBorders>
              <w:top w:val="nil"/>
              <w:left w:val="nil"/>
              <w:bottom w:val="single" w:color="auto" w:sz="4" w:space="0"/>
              <w:right w:val="single" w:color="auto" w:sz="4" w:space="0"/>
            </w:tcBorders>
            <w:vAlign w:val="center"/>
          </w:tcPr>
          <w:p w14:paraId="385C82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79960F">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142D1C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72" w:type="dxa"/>
            <w:tcBorders>
              <w:top w:val="nil"/>
              <w:left w:val="nil"/>
              <w:bottom w:val="single" w:color="auto" w:sz="4" w:space="0"/>
              <w:right w:val="single" w:color="auto" w:sz="4" w:space="0"/>
            </w:tcBorders>
            <w:vAlign w:val="center"/>
          </w:tcPr>
          <w:p w14:paraId="13A58C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5F1919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62230E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62D7D4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0F3D0D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240922">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7C4284D">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4C10A9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603354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53D0CC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90" w:type="dxa"/>
            <w:tcBorders>
              <w:top w:val="nil"/>
              <w:left w:val="nil"/>
              <w:bottom w:val="single" w:color="auto" w:sz="4" w:space="0"/>
              <w:right w:val="single" w:color="auto" w:sz="4" w:space="0"/>
            </w:tcBorders>
            <w:vAlign w:val="center"/>
          </w:tcPr>
          <w:p w14:paraId="5F8F33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27" w:type="dxa"/>
            <w:tcBorders>
              <w:top w:val="nil"/>
              <w:left w:val="nil"/>
              <w:bottom w:val="single" w:color="auto" w:sz="4" w:space="0"/>
              <w:right w:val="single" w:color="auto" w:sz="4" w:space="0"/>
            </w:tcBorders>
            <w:vAlign w:val="center"/>
          </w:tcPr>
          <w:p w14:paraId="31E7D1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90152CB">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70F1AC2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72" w:type="dxa"/>
            <w:tcBorders>
              <w:top w:val="nil"/>
              <w:left w:val="nil"/>
              <w:bottom w:val="single" w:color="auto" w:sz="4" w:space="0"/>
              <w:right w:val="single" w:color="auto" w:sz="4" w:space="0"/>
            </w:tcBorders>
            <w:vAlign w:val="center"/>
          </w:tcPr>
          <w:p w14:paraId="0A8D44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786A84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28EC3E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90" w:type="dxa"/>
            <w:tcBorders>
              <w:top w:val="nil"/>
              <w:left w:val="nil"/>
              <w:bottom w:val="single" w:color="auto" w:sz="4" w:space="0"/>
              <w:right w:val="single" w:color="auto" w:sz="4" w:space="0"/>
            </w:tcBorders>
            <w:vAlign w:val="center"/>
          </w:tcPr>
          <w:p w14:paraId="3F6264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27" w:type="dxa"/>
            <w:tcBorders>
              <w:top w:val="nil"/>
              <w:left w:val="nil"/>
              <w:bottom w:val="single" w:color="auto" w:sz="4" w:space="0"/>
              <w:right w:val="single" w:color="auto" w:sz="4" w:space="0"/>
            </w:tcBorders>
            <w:vAlign w:val="center"/>
          </w:tcPr>
          <w:p w14:paraId="49F4CF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B2D722A">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0CC3DFCD">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63C39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45" w:type="dxa"/>
            <w:tcBorders>
              <w:top w:val="nil"/>
              <w:left w:val="nil"/>
              <w:bottom w:val="single" w:color="auto" w:sz="4" w:space="0"/>
              <w:right w:val="single" w:color="auto" w:sz="4" w:space="0"/>
            </w:tcBorders>
            <w:vAlign w:val="center"/>
          </w:tcPr>
          <w:p w14:paraId="72A514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7CB7B9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90" w:type="dxa"/>
            <w:tcBorders>
              <w:top w:val="nil"/>
              <w:left w:val="nil"/>
              <w:bottom w:val="single" w:color="auto" w:sz="4" w:space="0"/>
              <w:right w:val="single" w:color="auto" w:sz="4" w:space="0"/>
            </w:tcBorders>
            <w:vAlign w:val="center"/>
          </w:tcPr>
          <w:p w14:paraId="258762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27" w:type="dxa"/>
            <w:tcBorders>
              <w:top w:val="nil"/>
              <w:left w:val="nil"/>
              <w:bottom w:val="single" w:color="auto" w:sz="4" w:space="0"/>
              <w:right w:val="single" w:color="auto" w:sz="4" w:space="0"/>
            </w:tcBorders>
            <w:vAlign w:val="center"/>
          </w:tcPr>
          <w:p w14:paraId="058C6C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75C99B4">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7C00BD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72" w:type="dxa"/>
            <w:tcBorders>
              <w:top w:val="nil"/>
              <w:left w:val="nil"/>
              <w:bottom w:val="single" w:color="auto" w:sz="4" w:space="0"/>
              <w:right w:val="single" w:color="auto" w:sz="4" w:space="0"/>
            </w:tcBorders>
            <w:vAlign w:val="center"/>
          </w:tcPr>
          <w:p w14:paraId="79CBCF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4DAAAA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0F749A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4EEC5A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27" w:type="dxa"/>
            <w:tcBorders>
              <w:top w:val="nil"/>
              <w:left w:val="nil"/>
              <w:bottom w:val="single" w:color="auto" w:sz="4" w:space="0"/>
              <w:right w:val="single" w:color="auto" w:sz="4" w:space="0"/>
            </w:tcBorders>
            <w:vAlign w:val="center"/>
          </w:tcPr>
          <w:p w14:paraId="3F6D50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C73B8C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64374823">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7835F0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0B2A31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5135A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90" w:type="dxa"/>
            <w:tcBorders>
              <w:top w:val="nil"/>
              <w:left w:val="nil"/>
              <w:bottom w:val="single" w:color="auto" w:sz="4" w:space="0"/>
              <w:right w:val="single" w:color="auto" w:sz="4" w:space="0"/>
            </w:tcBorders>
            <w:vAlign w:val="center"/>
          </w:tcPr>
          <w:p w14:paraId="32D7D9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27" w:type="dxa"/>
            <w:tcBorders>
              <w:top w:val="nil"/>
              <w:left w:val="nil"/>
              <w:bottom w:val="single" w:color="auto" w:sz="4" w:space="0"/>
              <w:right w:val="single" w:color="auto" w:sz="4" w:space="0"/>
            </w:tcBorders>
            <w:vAlign w:val="center"/>
          </w:tcPr>
          <w:p w14:paraId="1883DE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7FD12E9">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28A855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72" w:type="dxa"/>
            <w:tcBorders>
              <w:top w:val="nil"/>
              <w:left w:val="nil"/>
              <w:bottom w:val="single" w:color="auto" w:sz="4" w:space="0"/>
              <w:right w:val="single" w:color="auto" w:sz="4" w:space="0"/>
            </w:tcBorders>
            <w:vAlign w:val="center"/>
          </w:tcPr>
          <w:p w14:paraId="0511E3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3E9B70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0F7F23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68078C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46C13A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7FE3B2">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5BF63D6">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575F49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45" w:type="dxa"/>
            <w:tcBorders>
              <w:top w:val="nil"/>
              <w:left w:val="nil"/>
              <w:bottom w:val="single" w:color="auto" w:sz="4" w:space="0"/>
              <w:right w:val="single" w:color="auto" w:sz="4" w:space="0"/>
            </w:tcBorders>
            <w:vAlign w:val="center"/>
          </w:tcPr>
          <w:p w14:paraId="4B48AD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76FAB5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90" w:type="dxa"/>
            <w:tcBorders>
              <w:top w:val="nil"/>
              <w:left w:val="nil"/>
              <w:bottom w:val="single" w:color="auto" w:sz="4" w:space="0"/>
              <w:right w:val="single" w:color="auto" w:sz="4" w:space="0"/>
            </w:tcBorders>
            <w:vAlign w:val="center"/>
          </w:tcPr>
          <w:p w14:paraId="621255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27" w:type="dxa"/>
            <w:tcBorders>
              <w:top w:val="nil"/>
              <w:left w:val="nil"/>
              <w:bottom w:val="single" w:color="auto" w:sz="4" w:space="0"/>
              <w:right w:val="single" w:color="auto" w:sz="4" w:space="0"/>
            </w:tcBorders>
            <w:vAlign w:val="center"/>
          </w:tcPr>
          <w:p w14:paraId="1E4C6F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D6C815">
        <w:tblPrEx>
          <w:tblCellMar>
            <w:top w:w="0" w:type="dxa"/>
            <w:left w:w="108" w:type="dxa"/>
            <w:bottom w:w="0" w:type="dxa"/>
            <w:right w:w="108" w:type="dxa"/>
          </w:tblCellMar>
        </w:tblPrEx>
        <w:trPr>
          <w:trHeight w:val="348" w:hRule="atLeast"/>
        </w:trPr>
        <w:tc>
          <w:tcPr>
            <w:tcW w:w="1973" w:type="dxa"/>
            <w:tcBorders>
              <w:top w:val="nil"/>
              <w:left w:val="single" w:color="auto" w:sz="4" w:space="0"/>
              <w:bottom w:val="single" w:color="auto" w:sz="4" w:space="0"/>
              <w:right w:val="single" w:color="auto" w:sz="4" w:space="0"/>
            </w:tcBorders>
            <w:vAlign w:val="center"/>
          </w:tcPr>
          <w:p w14:paraId="7E2D669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72" w:type="dxa"/>
            <w:tcBorders>
              <w:top w:val="nil"/>
              <w:left w:val="nil"/>
              <w:bottom w:val="single" w:color="auto" w:sz="4" w:space="0"/>
              <w:right w:val="single" w:color="auto" w:sz="4" w:space="0"/>
            </w:tcBorders>
            <w:vAlign w:val="center"/>
          </w:tcPr>
          <w:p w14:paraId="1EB048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42D009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2E72C9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2C776B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4D8FFB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439E3F7">
      <w:pPr>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r>
        <w:rPr>
          <w:rFonts w:hint="eastAsia" w:ascii="宋体" w:hAnsi="宋体" w:cs="宋体"/>
          <w:color w:val="auto"/>
          <w:szCs w:val="21"/>
          <w:highlight w:val="none"/>
          <w:lang w:bidi="ar"/>
        </w:rPr>
        <w:t>。</w:t>
      </w:r>
    </w:p>
    <w:p w14:paraId="590D6ADB">
      <w:pPr>
        <w:rPr>
          <w:rFonts w:ascii="宋体" w:hAnsi="宋体" w:cs="宋体"/>
          <w:color w:val="auto"/>
          <w:highlight w:val="none"/>
        </w:rPr>
      </w:pPr>
    </w:p>
    <w:p w14:paraId="619A8515">
      <w:pPr>
        <w:rPr>
          <w:rFonts w:ascii="宋体" w:hAnsi="宋体" w:cs="宋体"/>
          <w:color w:val="auto"/>
          <w:highlight w:val="none"/>
        </w:rPr>
      </w:pPr>
    </w:p>
    <w:p w14:paraId="6AC20ECF">
      <w:pPr>
        <w:pStyle w:val="5"/>
        <w:jc w:val="center"/>
        <w:rPr>
          <w:rFonts w:ascii="宋体" w:hAnsi="宋体" w:cs="宋体"/>
          <w:color w:val="auto"/>
          <w:highlight w:val="none"/>
        </w:rPr>
      </w:pPr>
      <w:bookmarkStart w:id="60" w:name="_Toc521"/>
      <w:r>
        <w:rPr>
          <w:rFonts w:hint="eastAsia" w:ascii="宋体" w:hAnsi="宋体" w:cs="宋体"/>
          <w:color w:val="auto"/>
          <w:highlight w:val="none"/>
        </w:rPr>
        <w:br w:type="page"/>
      </w:r>
      <w:bookmarkStart w:id="61" w:name="_Toc31681"/>
      <w:r>
        <w:rPr>
          <w:rFonts w:hint="eastAsia" w:ascii="宋体" w:hAnsi="宋体" w:cs="宋体"/>
          <w:color w:val="auto"/>
          <w:highlight w:val="none"/>
        </w:rPr>
        <w:t>第四章评审程序、评审方法和评审标准</w:t>
      </w:r>
      <w:bookmarkEnd w:id="60"/>
      <w:bookmarkEnd w:id="61"/>
    </w:p>
    <w:p w14:paraId="084AE51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1F1123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0D8095C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35507638">
      <w:pPr>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（1）查询渠道：“广西政府采购云平台”平台“信用中国”网站(</w:t>
      </w:r>
      <w:r>
        <w:rPr>
          <w:color w:val="auto"/>
          <w:highlight w:val="none"/>
        </w:rPr>
        <w:fldChar w:fldCharType="begin"/>
      </w:r>
      <w:r>
        <w:rPr>
          <w:color w:val="auto"/>
          <w:highlight w:val="none"/>
        </w:rPr>
        <w:instrText xml:space="preserve">HYPERLINK"http://www.creditchina.gov.cn"</w:instrText>
      </w:r>
      <w:r>
        <w:rPr>
          <w:color w:val="auto"/>
          <w:highlight w:val="none"/>
        </w:rPr>
        <w:fldChar w:fldCharType="separate"/>
      </w:r>
      <w:r>
        <w:rPr>
          <w:rStyle w:val="63"/>
          <w:rFonts w:hint="eastAsia" w:ascii="宋体" w:hAnsi="宋体" w:cs="宋体"/>
          <w:color w:val="auto"/>
          <w:highlight w:val="none"/>
        </w:rPr>
        <w:t>www.creditchina.gov.cn</w:t>
      </w:r>
      <w:r>
        <w:rPr>
          <w:rStyle w:val="63"/>
          <w:rFonts w:hint="eastAsia" w:ascii="宋体" w:hAnsi="宋体" w:cs="宋体"/>
          <w:color w:val="auto"/>
          <w:highlight w:val="none"/>
        </w:rPr>
        <w:fldChar w:fldCharType="end"/>
      </w:r>
      <w:r>
        <w:rPr>
          <w:rFonts w:hint="eastAsia" w:ascii="宋体" w:hAnsi="宋体" w:cs="宋体"/>
          <w:color w:val="auto"/>
          <w:highlight w:val="none"/>
        </w:rPr>
        <w:t>)、中国政府采购网(</w:t>
      </w:r>
      <w:r>
        <w:rPr>
          <w:color w:val="auto"/>
          <w:highlight w:val="none"/>
        </w:rPr>
        <w:fldChar w:fldCharType="begin"/>
      </w:r>
      <w:r>
        <w:rPr>
          <w:color w:val="auto"/>
          <w:highlight w:val="none"/>
        </w:rPr>
        <w:instrText xml:space="preserve">HYPERLINK"http://www.ccgp.gov.cn"</w:instrText>
      </w:r>
      <w:r>
        <w:rPr>
          <w:color w:val="auto"/>
          <w:highlight w:val="none"/>
        </w:rPr>
        <w:fldChar w:fldCharType="separate"/>
      </w:r>
      <w:r>
        <w:rPr>
          <w:rStyle w:val="63"/>
          <w:rFonts w:hint="eastAsia" w:ascii="宋体" w:hAnsi="宋体" w:cs="宋体"/>
          <w:color w:val="auto"/>
          <w:highlight w:val="none"/>
        </w:rPr>
        <w:t>www.ccgp.gov.cn</w:t>
      </w:r>
      <w:r>
        <w:rPr>
          <w:rStyle w:val="63"/>
          <w:rFonts w:hint="eastAsia" w:ascii="宋体" w:hAnsi="宋体" w:cs="宋体"/>
          <w:color w:val="auto"/>
          <w:highlight w:val="none"/>
        </w:rPr>
        <w:fldChar w:fldCharType="end"/>
      </w:r>
      <w:r>
        <w:rPr>
          <w:rFonts w:hint="eastAsia" w:ascii="宋体" w:hAnsi="宋体" w:cs="宋体"/>
          <w:color w:val="auto"/>
          <w:highlight w:val="none"/>
        </w:rPr>
        <w:t>)链接入口。</w:t>
      </w:r>
    </w:p>
    <w:p w14:paraId="0EE9A2EA">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（2）信用查询截止时点：资格审查结束前。</w:t>
      </w:r>
    </w:p>
    <w:p w14:paraId="11F1D34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（3）信用信息使用规则：</w:t>
      </w:r>
      <w:r>
        <w:rPr>
          <w:rFonts w:hint="eastAsia" w:ascii="宋体" w:hAnsi="宋体" w:cs="宋体"/>
          <w:color w:val="auto"/>
          <w:szCs w:val="21"/>
          <w:highlight w:val="none"/>
        </w:rPr>
        <w:t>对在“信用中国”网站(www.creditchina.gov.cn)被列入失信被执行人、重大税收违法失信主体、政府采购严重违法失信行为记录名单及其他不符合规定条件的供应商，资格审查不通过，不得参与项目采购活动。两个以上的自然人、法人或者其他组织组成一个联合体，以一个供应商的身份共同参加项目采购活动的，应当对所有联合体成员进行信用记录查询，联合体成员存在不良信用记录的，视同联合体存在不良信用记录。</w:t>
      </w:r>
    </w:p>
    <w:p w14:paraId="0C8C5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28D7AC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7882677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1169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72EEE6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51157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F36788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04D4F410">
      <w:pPr>
        <w:spacing w:line="360" w:lineRule="auto"/>
        <w:ind w:firstLine="420" w:firstLineChars="200"/>
        <w:rPr>
          <w:rFonts w:ascii="宋体" w:hAnsi="宋体" w:cs="宋体"/>
          <w:color w:val="auto"/>
          <w:szCs w:val="21"/>
          <w:highlight w:val="none"/>
        </w:rPr>
      </w:pPr>
      <w:bookmarkStart w:id="62"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62"/>
    <w:p w14:paraId="04E23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BE2DA2">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w:t>
      </w:r>
      <w:r>
        <w:rPr>
          <w:rFonts w:hint="eastAsia" w:ascii="宋体" w:hAnsi="宋体" w:cs="宋体"/>
          <w:color w:val="auto"/>
          <w:highlight w:val="none"/>
        </w:rPr>
        <w:t>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highlight w:val="none"/>
        </w:rPr>
        <w:t>。供应商为自然人的，必须由本人签字并附身份证明</w:t>
      </w:r>
      <w:r>
        <w:rPr>
          <w:rFonts w:hint="eastAsia" w:ascii="宋体" w:hAnsi="宋体" w:cs="宋体"/>
          <w:color w:val="auto"/>
          <w:spacing w:val="-6"/>
          <w:szCs w:val="21"/>
          <w:highlight w:val="none"/>
        </w:rPr>
        <w:t>。</w:t>
      </w:r>
    </w:p>
    <w:p w14:paraId="3A7A300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14:paraId="33A10F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B2CBD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16D13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3DC01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209C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FCB3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4B9B7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0F82C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A0FA1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66945A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2D6408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3）委托代理人未能出具有效身份证明或者出具的身份证明与授权委托书中的信息不符；</w:t>
      </w:r>
    </w:p>
    <w:p w14:paraId="0BA67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206A6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638D7B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6）商务条款中标“▲”的条款发生负偏离的或者允许负偏离的条款数超过“供应商须知前附表”规定项数的或者标明实质性的要求发生负偏离；</w:t>
      </w:r>
    </w:p>
    <w:p w14:paraId="359CF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7）未对竞标有效期作出响应或者响应文件承诺的竞标有效期不满足磋商文件要求；</w:t>
      </w:r>
    </w:p>
    <w:p w14:paraId="4E8C9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23B978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6C915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7235D0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036D4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12）明显不满足磋商文件要求的技术规格、安全、质量标准，或者与磋商文件中标“▲”的</w:t>
      </w: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或者标明实质性的要求发生负偏离；</w:t>
      </w:r>
    </w:p>
    <w:p w14:paraId="69FAB0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允许负偏离的条款数超过“供应商须知前附表”规定项数；</w:t>
      </w:r>
    </w:p>
    <w:p w14:paraId="1D3DCB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14）虚假竞标，或者出现其他情形而导致被磋商小组认定无效；</w:t>
      </w:r>
    </w:p>
    <w:p w14:paraId="2539D7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15）竞标技术方案不明确，磋商文件未允许但响应文件中存在一个或者一个以上备选（替代）竞标方案；</w:t>
      </w:r>
    </w:p>
    <w:p w14:paraId="671D6D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6FC514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37218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701E6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1)响应文件未提供“供应商须知前附表”报价商务技术文件中规定的“竞标报价表”的；</w:t>
      </w:r>
    </w:p>
    <w:p w14:paraId="18E5FB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2）未采用人民币报价或者未按照磋商文件标明的币种报价的；</w:t>
      </w:r>
    </w:p>
    <w:p w14:paraId="383CE9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C3509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3" w:name="_Hlk42596405"/>
      <w:r>
        <w:rPr>
          <w:rFonts w:hint="eastAsia" w:ascii="宋体" w:hAnsi="宋体" w:cs="宋体"/>
          <w:color w:val="auto"/>
          <w:szCs w:val="21"/>
          <w:highlight w:val="none"/>
        </w:rPr>
        <w:t>竞标报价（包含首次报价、最后报价）</w:t>
      </w:r>
      <w:bookmarkEnd w:id="63"/>
      <w:bookmarkStart w:id="64" w:name="_Hlk42596276"/>
      <w:r>
        <w:rPr>
          <w:rFonts w:hint="eastAsia" w:ascii="宋体" w:hAnsi="宋体" w:cs="宋体"/>
          <w:color w:val="auto"/>
          <w:szCs w:val="21"/>
          <w:highlight w:val="none"/>
        </w:rPr>
        <w:t>超过磋商文件分项采购预算金额或者最高限价的</w:t>
      </w:r>
      <w:bookmarkEnd w:id="64"/>
      <w:r>
        <w:rPr>
          <w:rFonts w:hint="eastAsia" w:ascii="宋体" w:hAnsi="宋体" w:cs="宋体"/>
          <w:color w:val="auto"/>
          <w:szCs w:val="21"/>
          <w:highlight w:val="none"/>
        </w:rPr>
        <w:t>（如本项目公布了最高限价）；</w:t>
      </w:r>
    </w:p>
    <w:p w14:paraId="1DE512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875B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4BC4F7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2.7通过符合性审查的合格供应商不足3家的，不得进入磋商环节，采购人或者采购代理机构应当重新开展采购活动（除符合本章3.8条规定的除外）。</w:t>
      </w:r>
    </w:p>
    <w:p w14:paraId="287598D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w:t>
      </w:r>
    </w:p>
    <w:p w14:paraId="2B53F63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3.磋商的程序</w:t>
      </w:r>
    </w:p>
    <w:p w14:paraId="20E4A1D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D0E04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89F88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3.3对磋商文件作出的实质性变动是磋商文件的有效组成部分，由磋商小组以</w:t>
      </w:r>
      <w:r>
        <w:rPr>
          <w:rFonts w:hint="eastAsia" w:ascii="宋体" w:hAnsi="宋体" w:cs="宋体"/>
          <w:color w:val="auto"/>
          <w:highlight w:val="none"/>
        </w:rPr>
        <w:t>电子澄清函形式</w:t>
      </w:r>
      <w:r>
        <w:rPr>
          <w:rFonts w:hint="eastAsia" w:ascii="宋体" w:hAnsi="宋体" w:cs="宋体"/>
          <w:color w:val="auto"/>
          <w:szCs w:val="21"/>
          <w:highlight w:val="none"/>
        </w:rPr>
        <w:t>同时通知所有参加磋商的供应商。</w:t>
      </w:r>
    </w:p>
    <w:p w14:paraId="693893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w:t>
      </w:r>
      <w:r>
        <w:rPr>
          <w:rFonts w:hint="eastAsia" w:ascii="宋体" w:hAnsi="宋体" w:cs="宋体"/>
          <w:color w:val="auto"/>
          <w:highlight w:val="none"/>
        </w:rPr>
        <w:t>并加盖电子公章</w:t>
      </w:r>
      <w:r>
        <w:rPr>
          <w:rFonts w:hint="eastAsia" w:ascii="宋体" w:hAnsi="宋体" w:cs="宋体"/>
          <w:color w:val="auto"/>
          <w:szCs w:val="21"/>
          <w:highlight w:val="none"/>
        </w:rPr>
        <w:t>。供应商为自然人的，必须由本人签字并附身份证明。参加磋商的供应商未在规定时间内重新提交响应文件的，视同</w:t>
      </w:r>
      <w:bookmarkStart w:id="65" w:name="_Hlk55814495"/>
      <w:r>
        <w:rPr>
          <w:rFonts w:hint="eastAsia" w:ascii="宋体" w:hAnsi="宋体" w:cs="宋体"/>
          <w:color w:val="auto"/>
          <w:szCs w:val="21"/>
          <w:highlight w:val="none"/>
        </w:rPr>
        <w:t>退出磋商</w:t>
      </w:r>
      <w:bookmarkEnd w:id="65"/>
      <w:r>
        <w:rPr>
          <w:rFonts w:hint="eastAsia" w:ascii="宋体" w:hAnsi="宋体" w:cs="宋体"/>
          <w:color w:val="auto"/>
          <w:szCs w:val="21"/>
          <w:highlight w:val="none"/>
        </w:rPr>
        <w:t>，其响应文件作无效处理。</w:t>
      </w:r>
    </w:p>
    <w:p w14:paraId="5ABFC5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56E545BA">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5317E368">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144D174D">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750124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1B44F705">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4.最后报价</w:t>
      </w:r>
    </w:p>
    <w:p w14:paraId="002C1B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提交最后报价，提交最后报价的供应商不得少于3家，除本章第4.3条外，否则必须重新采购。</w:t>
      </w:r>
    </w:p>
    <w:p w14:paraId="46EF77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66C0FA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3A438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3EB89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4.5供应商未在规定时间内提交最后报价的，视为退出磋商，其响应文件作无效处理。</w:t>
      </w:r>
    </w:p>
    <w:p w14:paraId="37F67F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695818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4.7响应文件最后报价出现前后不一致的，按照本章第2.4条的规定修正。</w:t>
      </w:r>
    </w:p>
    <w:p w14:paraId="3FB6C1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1617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6191A4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12D1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D6625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78CD74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4.10最后报价结束后，磋商小组不得再与供应商进行任何形式的商谈。</w:t>
      </w:r>
    </w:p>
    <w:p w14:paraId="65785A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79A051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524C9A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AEB02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111652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204AE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9F136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65F90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6313CCD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4F41B7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4B4D0A3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2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91"/>
        <w:gridCol w:w="6006"/>
        <w:gridCol w:w="851"/>
      </w:tblGrid>
      <w:tr w14:paraId="5D1B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42" w:type="dxa"/>
            <w:vAlign w:val="center"/>
          </w:tcPr>
          <w:p w14:paraId="036EEC64">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591" w:type="dxa"/>
            <w:vAlign w:val="center"/>
          </w:tcPr>
          <w:p w14:paraId="394E337B">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006" w:type="dxa"/>
            <w:vAlign w:val="center"/>
          </w:tcPr>
          <w:p w14:paraId="2FD0DA73">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851" w:type="dxa"/>
            <w:vAlign w:val="center"/>
          </w:tcPr>
          <w:p w14:paraId="0C34CD2D">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5EB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42" w:type="dxa"/>
            <w:vAlign w:val="center"/>
          </w:tcPr>
          <w:p w14:paraId="1BB2B855">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91" w:type="dxa"/>
            <w:vAlign w:val="center"/>
          </w:tcPr>
          <w:p w14:paraId="34EE3720">
            <w:pPr>
              <w:snapToGrid w:val="0"/>
              <w:spacing w:line="360" w:lineRule="auto"/>
              <w:jc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价格分</w:t>
            </w:r>
          </w:p>
          <w:p w14:paraId="31481C82">
            <w:pPr>
              <w:pStyle w:val="2"/>
              <w:ind w:firstLine="0" w:firstLineChars="0"/>
              <w:jc w:val="center"/>
              <w:rPr>
                <w:rFonts w:hint="eastAsia" w:eastAsia="宋体"/>
                <w:lang w:eastAsia="zh-CN"/>
              </w:rPr>
            </w:pPr>
            <w:r>
              <w:rPr>
                <w:rFonts w:hint="eastAsia" w:ascii="宋体" w:hAnsi="宋体" w:cs="宋体"/>
                <w:b w:val="0"/>
                <w:bCs w:val="0"/>
                <w:color w:val="auto"/>
                <w:sz w:val="21"/>
                <w:szCs w:val="21"/>
                <w:highlight w:val="none"/>
                <w:lang w:val="en-US" w:eastAsia="zh-CN"/>
              </w:rPr>
              <w:t>（满分15分</w:t>
            </w:r>
            <w:r>
              <w:rPr>
                <w:rFonts w:hint="eastAsia" w:ascii="宋体" w:hAnsi="宋体" w:cs="宋体"/>
                <w:b w:val="0"/>
                <w:bCs w:val="0"/>
                <w:color w:val="auto"/>
                <w:sz w:val="21"/>
                <w:szCs w:val="21"/>
                <w:highlight w:val="none"/>
                <w:lang w:eastAsia="zh-CN"/>
              </w:rPr>
              <w:t>）</w:t>
            </w:r>
          </w:p>
        </w:tc>
        <w:tc>
          <w:tcPr>
            <w:tcW w:w="6006" w:type="dxa"/>
            <w:vAlign w:val="center"/>
          </w:tcPr>
          <w:p w14:paraId="2A50837F">
            <w:pPr>
              <w:pStyle w:val="65"/>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按照《政府采购促进中小企业发展管理办法》（财库〔2020〕46号）、</w:t>
            </w:r>
            <w:r>
              <w:rPr>
                <w:rFonts w:hint="eastAsia" w:ascii="宋体" w:hAnsi="宋体" w:eastAsia="宋体" w:cs="Times New Roman"/>
                <w:bCs w:val="0"/>
                <w:color w:val="auto"/>
                <w:highlight w:val="none"/>
              </w:rPr>
              <w:t>《广西壮族自治区财政厅关于持续优化政府采购营商环境推动高质量发展的通知》（桂财采〔2024〕55号）</w:t>
            </w:r>
            <w:r>
              <w:rPr>
                <w:rFonts w:hint="eastAsia" w:ascii="宋体" w:hAnsi="宋体" w:eastAsia="宋体" w:cs="Times New Roman"/>
                <w:color w:val="auto"/>
                <w:highlight w:val="none"/>
              </w:rPr>
              <w:t>的规定，中小企业划分为中型、小型、微型三种类型，具体标准根据企业从业人员、营业收入、资产总额等指标，结合行业特点制定。</w:t>
            </w:r>
            <w:r>
              <w:rPr>
                <w:rFonts w:hint="eastAsia" w:ascii="宋体" w:hAnsi="宋体" w:eastAsia="宋体" w:cs="Times New Roman"/>
                <w:color w:val="auto"/>
                <w:highlight w:val="none"/>
                <w:lang w:eastAsia="zh-CN"/>
              </w:rPr>
              <w:t>供应商</w:t>
            </w:r>
            <w:r>
              <w:rPr>
                <w:rFonts w:hint="eastAsia" w:ascii="宋体" w:hAnsi="宋体" w:eastAsia="宋体" w:cs="Times New Roman"/>
                <w:color w:val="auto"/>
                <w:highlight w:val="none"/>
              </w:rPr>
              <w:t>认定为小型和微型企业的（以国家工信部门出具的证明文件为准），对小型和微型企业服务的价格给予10%的价格扣除，扣除后的价格为评</w:t>
            </w:r>
            <w:r>
              <w:rPr>
                <w:rFonts w:hint="eastAsia" w:ascii="宋体" w:hAnsi="宋体" w:eastAsia="宋体" w:cs="Times New Roman"/>
                <w:color w:val="auto"/>
                <w:highlight w:val="none"/>
                <w:lang w:eastAsia="zh-CN"/>
              </w:rPr>
              <w:t>审</w:t>
            </w:r>
            <w:r>
              <w:rPr>
                <w:rFonts w:hint="eastAsia" w:ascii="宋体" w:hAnsi="宋体" w:eastAsia="宋体" w:cs="Times New Roman"/>
                <w:color w:val="auto"/>
                <w:highlight w:val="none"/>
              </w:rPr>
              <w:t>价，即</w:t>
            </w:r>
            <w:r>
              <w:rPr>
                <w:rFonts w:hint="eastAsia"/>
                <w:color w:val="auto"/>
                <w:highlight w:val="none"/>
                <w:lang w:eastAsia="zh-CN"/>
              </w:rPr>
              <w:t>评审</w:t>
            </w:r>
            <w:r>
              <w:rPr>
                <w:rFonts w:hint="eastAsia" w:ascii="宋体" w:hAnsi="宋体" w:eastAsia="宋体" w:cs="Times New Roman"/>
                <w:color w:val="auto"/>
                <w:highlight w:val="none"/>
              </w:rPr>
              <w:t>价＝磋商最终报价×（1-10%）；（以供应商按第五章“响应文件格式”要求提供的《报价表》和《中小企业声明函》为评分依据）</w:t>
            </w:r>
          </w:p>
          <w:p w14:paraId="48C7B6C6">
            <w:pPr>
              <w:pStyle w:val="65"/>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竞标产品/服务提供企业按《关于政府采购支持监狱企业发展有关问题的通知》(财库〔2014〕68号)认定为监狱企业的，在政府采购活动中，监狱企业视同小型、微型企业。（以供应商按第五章“响应文件格式”要求提供的《报价表》和由省级以上监狱管理局、戒毒管理局(含新疆生产建设兵团)出具的属于监狱企业的证明文件为评分依据。</w:t>
            </w:r>
          </w:p>
          <w:p w14:paraId="46ECFAFC">
            <w:pPr>
              <w:pStyle w:val="65"/>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按照《关于促进残疾人就业政府采购政策的通知》（财库〔2017〕141号），供应商是残疾人福利性企业，且在政府采购活动中，提供本单位制造的货物（由本单位承担工程/提供服务），或者提供其他残疾人福利性单位制造的货物（不包括使用非残疾人福利性单位注册商标的货物），视同小型、微型企业小型、微型企业，享受评审中中小企业价格扣除政策。残疾人福利性单位属于小型、微型企业的，不重复享受政策。残疾人福利性单位参加政府采购活动时，应当提供该通知规定的，并提交残疾人证及在本企业缴纳社保证明。（以供应商按第五章“响应文件格式”要求提供的《报价表》和《残疾人福利性单位声明函》为评分依据）</w:t>
            </w:r>
          </w:p>
          <w:p w14:paraId="7A7698E9">
            <w:pPr>
              <w:pStyle w:val="65"/>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rPr>
              <w:t>）除上述情况外，评</w:t>
            </w:r>
            <w:r>
              <w:rPr>
                <w:rFonts w:hint="eastAsia" w:ascii="宋体" w:hAnsi="宋体" w:eastAsia="宋体" w:cs="Times New Roman"/>
                <w:color w:val="auto"/>
                <w:highlight w:val="none"/>
                <w:lang w:eastAsia="zh-CN"/>
              </w:rPr>
              <w:t>审</w:t>
            </w:r>
            <w:r>
              <w:rPr>
                <w:rFonts w:hint="eastAsia" w:ascii="宋体" w:hAnsi="宋体" w:eastAsia="宋体" w:cs="Times New Roman"/>
                <w:color w:val="auto"/>
                <w:highlight w:val="none"/>
              </w:rPr>
              <w:t>价＝磋商最终报价；</w:t>
            </w:r>
          </w:p>
          <w:p w14:paraId="76B51B48">
            <w:pPr>
              <w:pStyle w:val="65"/>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）以进入综合评分环节的有效最低的评</w:t>
            </w:r>
            <w:r>
              <w:rPr>
                <w:rFonts w:hint="eastAsia" w:ascii="宋体" w:hAnsi="宋体" w:eastAsia="宋体" w:cs="Times New Roman"/>
                <w:color w:val="auto"/>
                <w:highlight w:val="none"/>
                <w:lang w:eastAsia="zh-CN"/>
              </w:rPr>
              <w:t>审</w:t>
            </w:r>
            <w:r>
              <w:rPr>
                <w:rFonts w:hint="eastAsia" w:ascii="宋体" w:hAnsi="宋体" w:eastAsia="宋体" w:cs="Times New Roman"/>
                <w:color w:val="auto"/>
                <w:highlight w:val="none"/>
              </w:rPr>
              <w:t>价为基准价，基准价报价得分为满分。</w:t>
            </w:r>
          </w:p>
          <w:p w14:paraId="791C3C5B">
            <w:pPr>
              <w:pStyle w:val="65"/>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rPr>
              <w:t>）价格分计算公式：</w:t>
            </w:r>
          </w:p>
          <w:p w14:paraId="5D8A628E">
            <w:pPr>
              <w:snapToGrid w:val="0"/>
              <w:spacing w:line="360" w:lineRule="auto"/>
              <w:jc w:val="left"/>
              <w:rPr>
                <w:rFonts w:ascii="宋体" w:hAnsi="宋体" w:cs="宋体"/>
                <w:color w:val="auto"/>
                <w:sz w:val="21"/>
                <w:szCs w:val="21"/>
                <w:highlight w:val="none"/>
              </w:rPr>
            </w:pPr>
            <w:r>
              <w:rPr>
                <w:rFonts w:hint="eastAsia" w:ascii="宋体" w:hAnsi="宋体" w:eastAsia="宋体" w:cs="Times New Roman"/>
                <w:color w:val="auto"/>
                <w:highlight w:val="none"/>
              </w:rPr>
              <w:t>价格分=(评审基准价／某供应商最终报价)×</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en-US"/>
              </w:rPr>
              <w:t>5</w:t>
            </w:r>
            <w:r>
              <w:rPr>
                <w:rFonts w:hint="eastAsia" w:ascii="宋体" w:hAnsi="宋体" w:eastAsia="宋体" w:cs="Times New Roman"/>
                <w:color w:val="auto"/>
                <w:highlight w:val="none"/>
              </w:rPr>
              <w:t>分</w:t>
            </w:r>
          </w:p>
        </w:tc>
        <w:tc>
          <w:tcPr>
            <w:tcW w:w="851" w:type="dxa"/>
            <w:vAlign w:val="center"/>
          </w:tcPr>
          <w:p w14:paraId="20A5F7CC">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r>
      <w:tr w14:paraId="5B95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42" w:type="dxa"/>
            <w:vAlign w:val="center"/>
          </w:tcPr>
          <w:p w14:paraId="0BBAD29D">
            <w:pPr>
              <w:snapToGrid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w:t>
            </w:r>
          </w:p>
        </w:tc>
        <w:tc>
          <w:tcPr>
            <w:tcW w:w="1591" w:type="dxa"/>
            <w:vAlign w:val="center"/>
          </w:tcPr>
          <w:p w14:paraId="6CD18BEC">
            <w:pPr>
              <w:snapToGrid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技术分</w:t>
            </w:r>
          </w:p>
        </w:tc>
        <w:tc>
          <w:tcPr>
            <w:tcW w:w="6857" w:type="dxa"/>
            <w:gridSpan w:val="2"/>
            <w:vAlign w:val="center"/>
          </w:tcPr>
          <w:p w14:paraId="14D89CBA">
            <w:pPr>
              <w:snapToGrid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r>
      <w:tr w14:paraId="5EDF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2" w:type="dxa"/>
            <w:vAlign w:val="center"/>
          </w:tcPr>
          <w:p w14:paraId="7F3E3A75">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591" w:type="dxa"/>
            <w:shd w:val="clear" w:color="auto" w:fill="auto"/>
            <w:vAlign w:val="center"/>
          </w:tcPr>
          <w:p w14:paraId="2D781026">
            <w:pPr>
              <w:snapToGrid w:val="0"/>
              <w:spacing w:line="360" w:lineRule="auto"/>
              <w:jc w:val="center"/>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技术方案分</w:t>
            </w:r>
          </w:p>
          <w:p w14:paraId="016BB846">
            <w:pPr>
              <w:pStyle w:val="2"/>
              <w:ind w:firstLine="0" w:firstLineChars="0"/>
              <w:jc w:val="center"/>
              <w:rPr>
                <w:rFonts w:hint="eastAsia"/>
                <w:lang w:val="en-US" w:eastAsia="zh-CN"/>
              </w:rPr>
            </w:pPr>
            <w:r>
              <w:rPr>
                <w:rFonts w:hint="eastAsia" w:ascii="宋体" w:hAnsi="宋体" w:cs="Times New Roman"/>
                <w:b w:val="0"/>
                <w:bCs/>
                <w:color w:val="auto"/>
                <w:sz w:val="21"/>
                <w:szCs w:val="21"/>
                <w:highlight w:val="none"/>
                <w:lang w:val="en-US" w:eastAsia="zh-CN"/>
              </w:rPr>
              <w:t>（满分15分）</w:t>
            </w:r>
          </w:p>
        </w:tc>
        <w:tc>
          <w:tcPr>
            <w:tcW w:w="6006" w:type="dxa"/>
            <w:shd w:val="clear" w:color="auto" w:fill="auto"/>
            <w:vAlign w:val="center"/>
          </w:tcPr>
          <w:p w14:paraId="2C0FFF03">
            <w:pPr>
              <w:spacing w:line="360" w:lineRule="auto"/>
              <w:jc w:val="left"/>
              <w:rPr>
                <w:rFonts w:hint="eastAsia"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val="en-US" w:eastAsia="zh-CN"/>
              </w:rPr>
              <w:t>5</w:t>
            </w:r>
            <w:r>
              <w:rPr>
                <w:rFonts w:hint="eastAsia" w:ascii="宋体" w:hAnsi="宋体" w:cs="宋体"/>
                <w:color w:val="auto"/>
                <w:highlight w:val="none"/>
              </w:rPr>
              <w:t>分）：结合项目实际情况，对运营平台建设目标、架构设计、需求理解、建设内容等方面有简单描述；</w:t>
            </w:r>
          </w:p>
          <w:p w14:paraId="5FA1D396">
            <w:pPr>
              <w:spacing w:line="360" w:lineRule="auto"/>
              <w:jc w:val="left"/>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10</w:t>
            </w:r>
            <w:r>
              <w:rPr>
                <w:rFonts w:hint="eastAsia" w:ascii="宋体" w:hAnsi="宋体" w:cs="宋体"/>
                <w:color w:val="auto"/>
                <w:highlight w:val="none"/>
              </w:rPr>
              <w:t>分）：结合项目实际情况，对运营平台建设目标、架构设计、需求理解、建设内容、功能模块设计等描述比较具体；</w:t>
            </w:r>
          </w:p>
          <w:p w14:paraId="4637DDA0">
            <w:pPr>
              <w:spacing w:line="360" w:lineRule="auto"/>
              <w:jc w:val="left"/>
              <w:rPr>
                <w:rFonts w:hint="eastAsia"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15</w:t>
            </w:r>
            <w:r>
              <w:rPr>
                <w:rFonts w:hint="eastAsia" w:ascii="宋体" w:hAnsi="宋体" w:cs="宋体"/>
                <w:color w:val="auto"/>
                <w:highlight w:val="none"/>
              </w:rPr>
              <w:t>分）：结合项目实际情况，对运营平台建设目标、架构设计、需求理解、建设内容、功能模块设计、能进行详细的描述，且符合业务实际需求，能提出针对性的合理化建议，通过信息化手段实现医疗资源的快速调度和合理利用，保障项目按质按量高效完成。</w:t>
            </w:r>
          </w:p>
          <w:p w14:paraId="430636E9">
            <w:pPr>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注：未提供或不满足进档要求的不得分。</w:t>
            </w:r>
          </w:p>
        </w:tc>
        <w:tc>
          <w:tcPr>
            <w:tcW w:w="851" w:type="dxa"/>
            <w:shd w:val="clear" w:color="auto" w:fill="auto"/>
            <w:vAlign w:val="center"/>
          </w:tcPr>
          <w:p w14:paraId="32E4F403">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lang w:val="en-US" w:eastAsia="zh-CN"/>
              </w:rPr>
              <w:t>15分</w:t>
            </w:r>
            <w:r>
              <w:rPr>
                <w:rFonts w:hint="eastAsia"/>
                <w:color w:val="auto"/>
                <w:szCs w:val="21"/>
                <w:highlight w:val="none"/>
              </w:rPr>
              <w:t>（</w:t>
            </w:r>
            <w:r>
              <w:rPr>
                <w:rFonts w:hint="eastAsia"/>
                <w:color w:val="auto"/>
                <w:szCs w:val="21"/>
                <w:highlight w:val="none"/>
                <w:lang w:val="en-US" w:eastAsia="zh-CN"/>
              </w:rPr>
              <w:t>主</w:t>
            </w:r>
            <w:r>
              <w:rPr>
                <w:rFonts w:hint="eastAsia"/>
                <w:color w:val="auto"/>
                <w:szCs w:val="21"/>
                <w:highlight w:val="none"/>
              </w:rPr>
              <w:t>观</w:t>
            </w:r>
            <w:r>
              <w:rPr>
                <w:rFonts w:hint="eastAsia"/>
                <w:color w:val="auto"/>
                <w:szCs w:val="21"/>
                <w:highlight w:val="none"/>
                <w:lang w:val="en-US" w:eastAsia="zh-CN"/>
              </w:rPr>
              <w:t>分</w:t>
            </w:r>
            <w:r>
              <w:rPr>
                <w:rFonts w:hint="eastAsia"/>
                <w:color w:val="auto"/>
                <w:szCs w:val="21"/>
                <w:highlight w:val="none"/>
              </w:rPr>
              <w:t>）</w:t>
            </w:r>
          </w:p>
        </w:tc>
      </w:tr>
      <w:tr w14:paraId="032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2" w:type="dxa"/>
            <w:vAlign w:val="center"/>
          </w:tcPr>
          <w:p w14:paraId="678DF9F2">
            <w:pPr>
              <w:snapToGrid w:val="0"/>
              <w:spacing w:line="360" w:lineRule="auto"/>
              <w:jc w:val="center"/>
              <w:rPr>
                <w:rFonts w:hint="eastAsia" w:ascii="宋体" w:hAnsi="宋体" w:cs="宋体"/>
                <w:color w:val="auto"/>
                <w:sz w:val="21"/>
                <w:szCs w:val="21"/>
                <w:highlight w:val="none"/>
              </w:rPr>
            </w:pPr>
          </w:p>
        </w:tc>
        <w:tc>
          <w:tcPr>
            <w:tcW w:w="1591" w:type="dxa"/>
            <w:shd w:val="clear" w:color="auto" w:fill="auto"/>
            <w:vAlign w:val="center"/>
          </w:tcPr>
          <w:p w14:paraId="69188B9F">
            <w:pPr>
              <w:snapToGrid w:val="0"/>
              <w:spacing w:line="360" w:lineRule="auto"/>
              <w:jc w:val="center"/>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技术条款响应程度分</w:t>
            </w:r>
          </w:p>
          <w:p w14:paraId="66BC772C">
            <w:pPr>
              <w:pStyle w:val="2"/>
              <w:ind w:firstLine="0" w:firstLineChars="0"/>
              <w:jc w:val="center"/>
              <w:rPr>
                <w:rFonts w:hint="eastAsia"/>
                <w:lang w:val="en-US" w:eastAsia="zh-CN"/>
              </w:rPr>
            </w:pPr>
            <w:r>
              <w:rPr>
                <w:rFonts w:hint="eastAsia" w:ascii="宋体" w:hAnsi="宋体"/>
                <w:b w:val="0"/>
                <w:bCs/>
                <w:color w:val="auto"/>
                <w:sz w:val="21"/>
                <w:szCs w:val="21"/>
                <w:highlight w:val="none"/>
                <w:lang w:val="en-US" w:eastAsia="zh-CN"/>
              </w:rPr>
              <w:t>（满分15分）</w:t>
            </w:r>
          </w:p>
        </w:tc>
        <w:tc>
          <w:tcPr>
            <w:tcW w:w="6006" w:type="dxa"/>
            <w:shd w:val="clear" w:color="auto" w:fill="auto"/>
            <w:vAlign w:val="center"/>
          </w:tcPr>
          <w:p w14:paraId="357A6BC6">
            <w:pPr>
              <w:snapToGrid/>
              <w:spacing w:line="360" w:lineRule="auto"/>
              <w:ind w:firstLine="0" w:firstLineChars="0"/>
              <w:jc w:val="left"/>
              <w:rPr>
                <w:rFonts w:hint="eastAsia" w:ascii="宋体" w:hAnsi="宋体" w:cs="宋体"/>
                <w:color w:val="auto"/>
                <w:highlight w:val="none"/>
              </w:rPr>
            </w:pPr>
            <w:r>
              <w:rPr>
                <w:rFonts w:hint="eastAsia" w:ascii="宋体" w:hAnsi="宋体" w:cs="宋体"/>
                <w:color w:val="auto"/>
                <w:highlight w:val="none"/>
                <w:lang w:val="en-US" w:eastAsia="zh-CN"/>
              </w:rPr>
              <w:t>采购需求标注“</w:t>
            </w:r>
            <w:r>
              <w:rPr>
                <w:rFonts w:hint="default" w:ascii="宋体" w:hAnsi="宋体" w:eastAsia="宋体" w:cs="宋体"/>
                <w:color w:val="auto"/>
                <w:kern w:val="0"/>
                <w:szCs w:val="21"/>
                <w:highlight w:val="none"/>
                <w:lang w:bidi="ar"/>
              </w:rPr>
              <w:t>●</w:t>
            </w:r>
            <w:r>
              <w:rPr>
                <w:rFonts w:hint="eastAsia" w:ascii="宋体" w:hAnsi="宋体" w:cs="宋体"/>
                <w:color w:val="auto"/>
                <w:highlight w:val="none"/>
                <w:lang w:val="en-US" w:eastAsia="zh-CN"/>
              </w:rPr>
              <w:t>”条款为重要技术指标项(共15项)，供应商需提供系统详细功能截图或者条款要求的证明材料(加盖供应商公章)进行佐证，对未达到采购需求标注“</w:t>
            </w:r>
            <w:r>
              <w:rPr>
                <w:rFonts w:hint="default" w:ascii="宋体" w:hAnsi="宋体" w:eastAsia="宋体" w:cs="宋体"/>
                <w:color w:val="auto"/>
                <w:kern w:val="0"/>
                <w:szCs w:val="21"/>
                <w:highlight w:val="none"/>
                <w:lang w:bidi="ar"/>
              </w:rPr>
              <w:t>●</w:t>
            </w:r>
            <w:r>
              <w:rPr>
                <w:rFonts w:hint="eastAsia" w:ascii="宋体" w:hAnsi="宋体" w:cs="宋体"/>
                <w:color w:val="auto"/>
                <w:highlight w:val="none"/>
                <w:lang w:val="en-US" w:eastAsia="zh-CN"/>
              </w:rPr>
              <w:t>”条款功能点、截图不完整、不清晰的，每一项扣除1分；未标注“</w:t>
            </w:r>
            <w:r>
              <w:rPr>
                <w:rFonts w:hint="default" w:ascii="宋体" w:hAnsi="宋体" w:eastAsia="宋体" w:cs="宋体"/>
                <w:color w:val="auto"/>
                <w:kern w:val="0"/>
                <w:szCs w:val="21"/>
                <w:highlight w:val="none"/>
                <w:lang w:bidi="ar"/>
              </w:rPr>
              <w:t>●</w:t>
            </w:r>
            <w:r>
              <w:rPr>
                <w:rFonts w:hint="eastAsia" w:ascii="宋体" w:hAnsi="宋体" w:cs="宋体"/>
                <w:color w:val="auto"/>
                <w:highlight w:val="none"/>
                <w:lang w:val="en-US" w:eastAsia="zh-CN"/>
              </w:rPr>
              <w:t>”和“</w:t>
            </w:r>
            <w:r>
              <w:rPr>
                <w:rFonts w:hint="eastAsia"/>
                <w:color w:val="auto"/>
                <w:highlight w:val="none"/>
              </w:rPr>
              <w:t>▲</w:t>
            </w:r>
            <w:r>
              <w:rPr>
                <w:rFonts w:hint="eastAsia" w:ascii="宋体" w:hAnsi="宋体" w:cs="宋体"/>
                <w:color w:val="auto"/>
                <w:highlight w:val="none"/>
                <w:lang w:val="en-US" w:eastAsia="zh-CN"/>
              </w:rPr>
              <w:t>”条款为一般技术条款，供应商需承诺响应，每一项未承诺响应扣0.5分;</w:t>
            </w:r>
            <w:r>
              <w:rPr>
                <w:rFonts w:hint="eastAsia"/>
                <w:color w:val="auto"/>
                <w:highlight w:val="none"/>
                <w:lang w:val="en-US" w:eastAsia="zh-CN"/>
              </w:rPr>
              <w:t>扣完为止。</w:t>
            </w:r>
          </w:p>
        </w:tc>
        <w:tc>
          <w:tcPr>
            <w:tcW w:w="851" w:type="dxa"/>
            <w:shd w:val="clear" w:color="auto" w:fill="auto"/>
            <w:vAlign w:val="center"/>
          </w:tcPr>
          <w:p w14:paraId="604041F2">
            <w:pPr>
              <w:snapToGrid w:val="0"/>
              <w:spacing w:line="360" w:lineRule="auto"/>
              <w:jc w:val="center"/>
              <w:rPr>
                <w:rFonts w:hint="default"/>
                <w:color w:val="auto"/>
                <w:szCs w:val="21"/>
                <w:highlight w:val="none"/>
                <w:lang w:val="en-US" w:eastAsia="zh-CN"/>
              </w:rPr>
            </w:pPr>
            <w:r>
              <w:rPr>
                <w:rFonts w:hint="eastAsia"/>
                <w:color w:val="auto"/>
                <w:szCs w:val="21"/>
                <w:highlight w:val="none"/>
                <w:lang w:val="en-US" w:eastAsia="zh-CN"/>
              </w:rPr>
              <w:t>15分（客观分）</w:t>
            </w:r>
          </w:p>
        </w:tc>
      </w:tr>
      <w:tr w14:paraId="58AB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642" w:type="dxa"/>
            <w:vAlign w:val="center"/>
          </w:tcPr>
          <w:p w14:paraId="77704701">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1591" w:type="dxa"/>
            <w:shd w:val="clear" w:color="auto" w:fill="auto"/>
            <w:vAlign w:val="center"/>
          </w:tcPr>
          <w:p w14:paraId="2E2455EB">
            <w:pPr>
              <w:jc w:val="center"/>
              <w:rPr>
                <w:rFonts w:hint="eastAsia" w:ascii="宋体" w:hAnsi="宋体"/>
                <w:b w:val="0"/>
                <w:bCs/>
                <w:color w:val="auto"/>
                <w:szCs w:val="21"/>
                <w:highlight w:val="none"/>
              </w:rPr>
            </w:pPr>
            <w:r>
              <w:rPr>
                <w:rFonts w:hint="eastAsia" w:ascii="宋体" w:hAnsi="宋体"/>
                <w:b w:val="0"/>
                <w:bCs/>
                <w:color w:val="auto"/>
                <w:szCs w:val="21"/>
                <w:highlight w:val="none"/>
              </w:rPr>
              <w:t>项目实施方案分</w:t>
            </w:r>
          </w:p>
          <w:p w14:paraId="6F046183">
            <w:pPr>
              <w:pStyle w:val="2"/>
              <w:ind w:firstLine="0" w:firstLineChars="0"/>
              <w:jc w:val="center"/>
              <w:rPr>
                <w:lang w:val="en-US" w:eastAsia="zh-CN"/>
              </w:rPr>
            </w:pPr>
            <w:r>
              <w:rPr>
                <w:rFonts w:hint="eastAsia" w:ascii="宋体" w:hAnsi="宋体"/>
                <w:b w:val="0"/>
                <w:bCs/>
                <w:color w:val="auto"/>
                <w:sz w:val="21"/>
                <w:szCs w:val="21"/>
                <w:highlight w:val="none"/>
                <w:lang w:val="en-US" w:eastAsia="zh-CN"/>
              </w:rPr>
              <w:t>（满分15分）</w:t>
            </w:r>
          </w:p>
        </w:tc>
        <w:tc>
          <w:tcPr>
            <w:tcW w:w="6006" w:type="dxa"/>
            <w:shd w:val="clear" w:color="auto" w:fill="auto"/>
            <w:vAlign w:val="center"/>
          </w:tcPr>
          <w:p w14:paraId="5A1493EF">
            <w:pPr>
              <w:spacing w:line="360" w:lineRule="auto"/>
              <w:jc w:val="left"/>
              <w:rPr>
                <w:rFonts w:hint="eastAsia"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hAnsi="宋体"/>
                <w:bCs/>
                <w:color w:val="auto"/>
                <w:highlight w:val="none"/>
              </w:rPr>
              <w:t>提供简单的项目实施方案，包括项目实施进度计划</w:t>
            </w:r>
            <w:r>
              <w:rPr>
                <w:rFonts w:hint="eastAsia" w:hAnsi="宋体"/>
                <w:bCs/>
                <w:color w:val="auto"/>
                <w:highlight w:val="none"/>
                <w:lang w:eastAsia="zh-CN"/>
              </w:rPr>
              <w:t>、</w:t>
            </w:r>
            <w:r>
              <w:rPr>
                <w:rFonts w:hint="eastAsia" w:hAnsi="宋体"/>
                <w:bCs/>
                <w:color w:val="auto"/>
                <w:highlight w:val="none"/>
                <w:lang w:val="en-US" w:eastAsia="zh-CN"/>
              </w:rPr>
              <w:t>项目拟投入人员</w:t>
            </w:r>
            <w:r>
              <w:rPr>
                <w:rFonts w:hint="eastAsia" w:hAnsi="宋体"/>
                <w:bCs/>
                <w:color w:val="auto"/>
                <w:highlight w:val="none"/>
              </w:rPr>
              <w:t>、运营服务方案等内容；</w:t>
            </w:r>
          </w:p>
          <w:p w14:paraId="64EBAE8A">
            <w:pPr>
              <w:spacing w:line="360" w:lineRule="auto"/>
              <w:jc w:val="left"/>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10</w:t>
            </w:r>
            <w:r>
              <w:rPr>
                <w:rFonts w:hint="eastAsia" w:ascii="宋体" w:hAnsi="宋体" w:cs="宋体"/>
                <w:color w:val="auto"/>
                <w:highlight w:val="none"/>
              </w:rPr>
              <w:t>分）：</w:t>
            </w:r>
            <w:r>
              <w:rPr>
                <w:rFonts w:hint="eastAsia" w:hAnsi="宋体"/>
                <w:bCs/>
                <w:color w:val="auto"/>
                <w:highlight w:val="none"/>
              </w:rPr>
              <w:t>提供的项目实施方案较详细，有项目实施进度计划</w:t>
            </w:r>
            <w:r>
              <w:rPr>
                <w:rFonts w:hint="eastAsia" w:hAnsi="宋体"/>
                <w:bCs/>
                <w:color w:val="auto"/>
                <w:highlight w:val="none"/>
                <w:lang w:eastAsia="zh-CN"/>
              </w:rPr>
              <w:t>、</w:t>
            </w:r>
            <w:r>
              <w:rPr>
                <w:rFonts w:hint="eastAsia" w:hAnsi="宋体"/>
                <w:bCs/>
                <w:color w:val="auto"/>
                <w:highlight w:val="none"/>
                <w:lang w:val="en-US" w:eastAsia="zh-CN"/>
              </w:rPr>
              <w:t>项目拟投入人员</w:t>
            </w:r>
            <w:r>
              <w:rPr>
                <w:rFonts w:hint="eastAsia" w:hAnsi="宋体"/>
                <w:bCs/>
                <w:color w:val="auto"/>
                <w:highlight w:val="none"/>
              </w:rPr>
              <w:t>、运营服务方案、管理制度及运营体系、运营管理标准等内容，</w:t>
            </w:r>
            <w:r>
              <w:rPr>
                <w:rStyle w:val="66"/>
                <w:rFonts w:ascii="宋体" w:hAnsi="宋体"/>
                <w:color w:val="auto"/>
                <w:kern w:val="0"/>
                <w:szCs w:val="21"/>
                <w:highlight w:val="none"/>
              </w:rPr>
              <w:t>制定</w:t>
            </w:r>
            <w:r>
              <w:rPr>
                <w:rFonts w:hint="eastAsia" w:ascii="宋体" w:hAnsi="宋体" w:cs="宋体"/>
                <w:color w:val="auto"/>
                <w:highlight w:val="none"/>
              </w:rPr>
              <w:t>针对运营平台的实施进度计划，对项目实施沟通协调等内容有较详细的描述；</w:t>
            </w:r>
          </w:p>
          <w:p w14:paraId="1A15CA09">
            <w:pPr>
              <w:spacing w:line="360" w:lineRule="auto"/>
              <w:jc w:val="left"/>
              <w:rPr>
                <w:rFonts w:hint="eastAsia"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hAnsi="宋体"/>
                <w:bCs/>
                <w:color w:val="auto"/>
                <w:highlight w:val="none"/>
              </w:rPr>
              <w:t>提供的项目实施方案较详细，有项目实施进度计划</w:t>
            </w:r>
            <w:r>
              <w:rPr>
                <w:rFonts w:hint="eastAsia" w:hAnsi="宋体"/>
                <w:bCs/>
                <w:color w:val="auto"/>
                <w:highlight w:val="none"/>
                <w:lang w:eastAsia="zh-CN"/>
              </w:rPr>
              <w:t>、</w:t>
            </w:r>
            <w:r>
              <w:rPr>
                <w:rFonts w:hint="eastAsia" w:ascii="宋体" w:hAnsi="宋体" w:cs="宋体"/>
                <w:bCs w:val="0"/>
                <w:color w:val="auto"/>
                <w:highlight w:val="none"/>
                <w:lang w:val="en-US" w:eastAsia="zh-CN"/>
              </w:rPr>
              <w:t>项目拟投入人员</w:t>
            </w:r>
            <w:r>
              <w:rPr>
                <w:rFonts w:hint="eastAsia" w:ascii="宋体" w:hAnsi="宋体" w:cs="宋体"/>
                <w:bCs w:val="0"/>
                <w:color w:val="auto"/>
                <w:highlight w:val="none"/>
              </w:rPr>
              <w:t>、运营服务方案、管理制度及运营体系、运营管理标准等内容，制定针对运营平台的实施进度计划，</w:t>
            </w:r>
            <w:r>
              <w:rPr>
                <w:rFonts w:hint="eastAsia" w:ascii="宋体" w:hAnsi="宋体" w:cs="宋体"/>
                <w:b w:val="0"/>
                <w:bCs w:val="0"/>
                <w:color w:val="auto"/>
                <w:sz w:val="21"/>
                <w:highlight w:val="none"/>
              </w:rPr>
              <w:t>以本项目系统建设内容为基础的运营服务与增值</w:t>
            </w:r>
            <w:r>
              <w:rPr>
                <w:rFonts w:hint="eastAsia" w:ascii="宋体" w:hAnsi="宋体" w:cs="宋体"/>
                <w:b w:val="0"/>
                <w:bCs w:val="0"/>
                <w:color w:val="auto"/>
                <w:spacing w:val="0"/>
                <w:sz w:val="21"/>
                <w:highlight w:val="none"/>
              </w:rPr>
              <w:t>服务规划，设计医院运营方案</w:t>
            </w:r>
            <w:r>
              <w:rPr>
                <w:rFonts w:hint="eastAsia" w:ascii="宋体" w:hAnsi="宋体" w:cs="宋体"/>
                <w:b w:val="0"/>
                <w:bCs w:val="0"/>
                <w:color w:val="auto"/>
                <w:spacing w:val="0"/>
                <w:sz w:val="21"/>
                <w:highlight w:val="none"/>
                <w:lang w:eastAsia="zh-CN"/>
              </w:rPr>
              <w:t>，</w:t>
            </w:r>
            <w:r>
              <w:rPr>
                <w:rFonts w:hint="eastAsia" w:ascii="宋体" w:hAnsi="宋体" w:cs="宋体"/>
                <w:b w:val="0"/>
                <w:bCs w:val="0"/>
                <w:color w:val="auto"/>
                <w:spacing w:val="0"/>
                <w:sz w:val="21"/>
                <w:highlight w:val="none"/>
                <w:lang w:val="en-US" w:eastAsia="zh-CN"/>
              </w:rPr>
              <w:t>达到</w:t>
            </w:r>
            <w:r>
              <w:rPr>
                <w:rFonts w:hint="eastAsia" w:ascii="宋体" w:hAnsi="宋体" w:cs="宋体"/>
                <w:b w:val="0"/>
                <w:bCs w:val="0"/>
                <w:color w:val="auto"/>
                <w:spacing w:val="0"/>
                <w:sz w:val="21"/>
                <w:highlight w:val="none"/>
              </w:rPr>
              <w:t>拓展服务半径、扩大患者触及率、保障增值服务时效性</w:t>
            </w:r>
            <w:r>
              <w:rPr>
                <w:rFonts w:hint="eastAsia" w:ascii="宋体" w:hAnsi="宋体" w:cs="宋体"/>
                <w:b w:val="0"/>
                <w:bCs w:val="0"/>
                <w:color w:val="auto"/>
                <w:spacing w:val="0"/>
                <w:sz w:val="21"/>
                <w:highlight w:val="none"/>
                <w:lang w:val="en-US" w:eastAsia="zh-CN"/>
              </w:rPr>
              <w:t>目的</w:t>
            </w:r>
            <w:r>
              <w:rPr>
                <w:rFonts w:hint="eastAsia" w:ascii="宋体" w:hAnsi="宋体" w:cs="宋体"/>
                <w:b w:val="0"/>
                <w:bCs w:val="0"/>
                <w:color w:val="auto"/>
                <w:spacing w:val="0"/>
                <w:sz w:val="21"/>
                <w:highlight w:val="none"/>
              </w:rPr>
              <w:t>的可行的方案</w:t>
            </w:r>
            <w:r>
              <w:rPr>
                <w:rFonts w:hint="eastAsia" w:ascii="宋体" w:hAnsi="宋体" w:cs="宋体"/>
                <w:b w:val="0"/>
                <w:bCs w:val="0"/>
                <w:color w:val="auto"/>
                <w:spacing w:val="0"/>
                <w:sz w:val="21"/>
                <w:highlight w:val="none"/>
                <w:lang w:eastAsia="zh-CN"/>
              </w:rPr>
              <w:t>。</w:t>
            </w:r>
          </w:p>
          <w:p w14:paraId="76468F09">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Times New Roman" w:hAnsi="宋体"/>
                <w:color w:val="auto"/>
                <w:kern w:val="2"/>
                <w:sz w:val="21"/>
                <w:szCs w:val="24"/>
                <w:highlight w:val="none"/>
              </w:rPr>
              <w:t>注：未提供或不满足进档要求的不得分</w:t>
            </w:r>
            <w:r>
              <w:rPr>
                <w:rFonts w:hint="eastAsia" w:hAnsi="宋体"/>
                <w:color w:val="auto"/>
                <w:highlight w:val="none"/>
              </w:rPr>
              <w:t>。</w:t>
            </w:r>
          </w:p>
        </w:tc>
        <w:tc>
          <w:tcPr>
            <w:tcW w:w="851" w:type="dxa"/>
            <w:shd w:val="clear" w:color="auto" w:fill="auto"/>
            <w:vAlign w:val="center"/>
          </w:tcPr>
          <w:p w14:paraId="537151BA">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15</w:t>
            </w:r>
            <w:r>
              <w:rPr>
                <w:rFonts w:hint="eastAsia"/>
                <w:color w:val="auto"/>
                <w:szCs w:val="21"/>
                <w:highlight w:val="none"/>
              </w:rPr>
              <w:t>（</w:t>
            </w:r>
            <w:r>
              <w:rPr>
                <w:rFonts w:hint="eastAsia"/>
                <w:color w:val="auto"/>
                <w:szCs w:val="21"/>
                <w:highlight w:val="none"/>
                <w:lang w:val="en-US" w:eastAsia="zh-CN"/>
              </w:rPr>
              <w:t>主</w:t>
            </w:r>
            <w:r>
              <w:rPr>
                <w:rFonts w:hint="eastAsia"/>
                <w:color w:val="auto"/>
                <w:szCs w:val="21"/>
                <w:highlight w:val="none"/>
              </w:rPr>
              <w:t>观分）</w:t>
            </w:r>
          </w:p>
        </w:tc>
      </w:tr>
      <w:tr w14:paraId="255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2" w:type="dxa"/>
            <w:vAlign w:val="center"/>
          </w:tcPr>
          <w:p w14:paraId="35618BF3">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1591" w:type="dxa"/>
            <w:shd w:val="clear" w:color="auto" w:fill="auto"/>
            <w:vAlign w:val="center"/>
          </w:tcPr>
          <w:p w14:paraId="5A2D87B2">
            <w:pPr>
              <w:snapToGrid w:val="0"/>
              <w:spacing w:line="360" w:lineRule="auto"/>
              <w:jc w:val="center"/>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故障应急处理方案分</w:t>
            </w:r>
          </w:p>
          <w:p w14:paraId="56298459">
            <w:pPr>
              <w:pStyle w:val="2"/>
              <w:ind w:firstLine="0" w:firstLineChars="0"/>
              <w:jc w:val="center"/>
              <w:rPr>
                <w:rFonts w:hint="default"/>
                <w:lang w:val="en-US" w:eastAsia="zh-CN"/>
              </w:rPr>
            </w:pPr>
            <w:r>
              <w:rPr>
                <w:rFonts w:hint="eastAsia" w:ascii="宋体" w:hAnsi="宋体"/>
                <w:b w:val="0"/>
                <w:bCs/>
                <w:color w:val="auto"/>
                <w:sz w:val="21"/>
                <w:szCs w:val="21"/>
                <w:highlight w:val="none"/>
                <w:lang w:val="en-US" w:eastAsia="zh-CN"/>
              </w:rPr>
              <w:t>（满分6分）</w:t>
            </w:r>
          </w:p>
        </w:tc>
        <w:tc>
          <w:tcPr>
            <w:tcW w:w="6006" w:type="dxa"/>
            <w:shd w:val="clear" w:color="auto" w:fill="auto"/>
            <w:vAlign w:val="center"/>
          </w:tcPr>
          <w:p w14:paraId="54ACDCB7">
            <w:pPr>
              <w:adjustRightInd w:val="0"/>
              <w:spacing w:line="360" w:lineRule="auto"/>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对运营平台</w:t>
            </w:r>
            <w:r>
              <w:rPr>
                <w:rFonts w:hint="eastAsia" w:ascii="宋体" w:hAnsi="宋体" w:eastAsia="宋体" w:cs="宋体"/>
                <w:bCs/>
                <w:color w:val="auto"/>
                <w:sz w:val="21"/>
                <w:szCs w:val="21"/>
                <w:highlight w:val="none"/>
              </w:rPr>
              <w:t>故障</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排除</w:t>
            </w:r>
            <w:r>
              <w:rPr>
                <w:rFonts w:hint="eastAsia" w:ascii="宋体" w:hAnsi="宋体" w:eastAsia="宋体" w:cs="宋体"/>
                <w:bCs/>
                <w:color w:val="auto"/>
                <w:sz w:val="21"/>
                <w:szCs w:val="21"/>
                <w:highlight w:val="none"/>
                <w:lang w:val="en-US" w:eastAsia="zh-CN"/>
              </w:rPr>
              <w:t>及</w:t>
            </w:r>
            <w:r>
              <w:rPr>
                <w:rFonts w:hint="eastAsia" w:ascii="宋体" w:hAnsi="宋体" w:eastAsia="宋体" w:cs="宋体"/>
                <w:bCs/>
                <w:color w:val="auto"/>
                <w:sz w:val="21"/>
                <w:szCs w:val="21"/>
                <w:highlight w:val="none"/>
              </w:rPr>
              <w:t>运行服务保障应急预案</w:t>
            </w:r>
            <w:r>
              <w:rPr>
                <w:rFonts w:hint="eastAsia" w:ascii="宋体" w:hAnsi="宋体" w:eastAsia="宋体" w:cs="宋体"/>
                <w:bCs/>
                <w:color w:val="auto"/>
                <w:sz w:val="21"/>
                <w:szCs w:val="21"/>
                <w:highlight w:val="none"/>
                <w:lang w:val="en-US" w:eastAsia="zh-CN"/>
              </w:rPr>
              <w:t>的描述简单</w:t>
            </w:r>
            <w:r>
              <w:rPr>
                <w:rFonts w:hint="eastAsia" w:ascii="宋体" w:hAnsi="宋体" w:eastAsia="宋体" w:cs="宋体"/>
                <w:bCs/>
                <w:color w:val="auto"/>
                <w:sz w:val="21"/>
                <w:szCs w:val="21"/>
                <w:highlight w:val="none"/>
              </w:rPr>
              <w:t xml:space="preserve">； </w:t>
            </w:r>
          </w:p>
          <w:p w14:paraId="62CB7E14">
            <w:pPr>
              <w:adjustRightInd w:val="0"/>
              <w:spacing w:line="360" w:lineRule="auto"/>
              <w:textAlignment w:val="baseline"/>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cs="宋体"/>
                <w:bCs/>
                <w:color w:val="auto"/>
                <w:szCs w:val="21"/>
                <w:highlight w:val="none"/>
              </w:rPr>
              <w:t xml:space="preserve">对运营平台故障及时排除的对策较详细，能提供较详细的运行服务保障应急预案，包括系统故障及时排除对策，实施过程可能遇到的问题及其应对措施较合理； </w:t>
            </w:r>
          </w:p>
          <w:p w14:paraId="1D639686">
            <w:pPr>
              <w:adjustRightInd w:val="0"/>
              <w:spacing w:line="360" w:lineRule="auto"/>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cs="宋体"/>
                <w:bCs/>
                <w:color w:val="auto"/>
                <w:szCs w:val="21"/>
                <w:highlight w:val="none"/>
              </w:rPr>
              <w:t>对运营平台故障及时排除的对策具体可行，能提供有针对性的运行服务保障应急预案，系统故障及时排除对策，实施过程可能遇到的问题及其应对措施合理，避免故障问题再次发生，有合理化建议和措施，</w:t>
            </w:r>
            <w:r>
              <w:rPr>
                <w:rFonts w:ascii="宋体" w:hAnsi="宋体" w:cs="宋体"/>
                <w:bCs/>
                <w:color w:val="auto"/>
                <w:szCs w:val="21"/>
                <w:highlight w:val="none"/>
              </w:rPr>
              <w:t>应急措施有利于项目的实施，确保在突发故障发生时，能够迅速、有效地进行应对，保障医疗服务的连续性和患者的安全。</w:t>
            </w:r>
          </w:p>
          <w:p w14:paraId="6A18767D">
            <w:pPr>
              <w:snapToGrid/>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Times New Roman" w:hAnsi="宋体"/>
                <w:color w:val="auto"/>
                <w:kern w:val="2"/>
                <w:sz w:val="21"/>
                <w:szCs w:val="24"/>
                <w:highlight w:val="none"/>
              </w:rPr>
              <w:t>注：未提供或不满足进档要求的不得分</w:t>
            </w:r>
            <w:r>
              <w:rPr>
                <w:rFonts w:hint="eastAsia" w:hAnsi="宋体"/>
                <w:color w:val="auto"/>
                <w:highlight w:val="none"/>
              </w:rPr>
              <w:t>。</w:t>
            </w:r>
          </w:p>
        </w:tc>
        <w:tc>
          <w:tcPr>
            <w:tcW w:w="851" w:type="dxa"/>
            <w:shd w:val="clear" w:color="auto" w:fill="auto"/>
            <w:vAlign w:val="center"/>
          </w:tcPr>
          <w:p w14:paraId="675DB0E4">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lang w:val="en-US" w:eastAsia="zh-CN"/>
              </w:rPr>
              <w:t>6分</w:t>
            </w:r>
            <w:r>
              <w:rPr>
                <w:rFonts w:hint="eastAsia"/>
                <w:color w:val="auto"/>
                <w:szCs w:val="21"/>
                <w:highlight w:val="none"/>
              </w:rPr>
              <w:t>（</w:t>
            </w:r>
            <w:r>
              <w:rPr>
                <w:rFonts w:hint="eastAsia"/>
                <w:color w:val="auto"/>
                <w:szCs w:val="21"/>
                <w:highlight w:val="none"/>
                <w:lang w:val="en-US" w:eastAsia="zh-CN"/>
              </w:rPr>
              <w:t>主</w:t>
            </w:r>
            <w:r>
              <w:rPr>
                <w:rFonts w:hint="eastAsia"/>
                <w:color w:val="auto"/>
                <w:szCs w:val="21"/>
                <w:highlight w:val="none"/>
              </w:rPr>
              <w:t>观分）</w:t>
            </w:r>
          </w:p>
        </w:tc>
      </w:tr>
      <w:tr w14:paraId="1355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2" w:type="dxa"/>
            <w:vAlign w:val="center"/>
          </w:tcPr>
          <w:p w14:paraId="63B740B0">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1591" w:type="dxa"/>
            <w:shd w:val="clear" w:color="auto" w:fill="auto"/>
            <w:vAlign w:val="center"/>
          </w:tcPr>
          <w:p w14:paraId="254F32C3">
            <w:pPr>
              <w:snapToGrid w:val="0"/>
              <w:spacing w:line="360" w:lineRule="auto"/>
              <w:jc w:val="center"/>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售后服务方案</w:t>
            </w:r>
            <w:r>
              <w:rPr>
                <w:rFonts w:hint="eastAsia" w:ascii="宋体" w:hAnsi="宋体" w:cs="宋体"/>
                <w:b w:val="0"/>
                <w:bCs/>
                <w:color w:val="auto"/>
                <w:kern w:val="0"/>
                <w:szCs w:val="21"/>
                <w:highlight w:val="none"/>
                <w:lang w:val="en-US" w:eastAsia="zh-CN"/>
              </w:rPr>
              <w:t>及承诺</w:t>
            </w:r>
            <w:r>
              <w:rPr>
                <w:rFonts w:hint="eastAsia" w:ascii="宋体" w:hAnsi="宋体" w:cs="宋体"/>
                <w:b w:val="0"/>
                <w:bCs/>
                <w:color w:val="auto"/>
                <w:kern w:val="0"/>
                <w:szCs w:val="21"/>
                <w:highlight w:val="none"/>
              </w:rPr>
              <w:t>分</w:t>
            </w:r>
          </w:p>
          <w:p w14:paraId="231D8E6C">
            <w:pPr>
              <w:pStyle w:val="2"/>
              <w:ind w:firstLine="0" w:firstLineChars="0"/>
              <w:jc w:val="center"/>
              <w:rPr>
                <w:rFonts w:hint="default"/>
                <w:lang w:val="en-US" w:eastAsia="zh-CN"/>
              </w:rPr>
            </w:pPr>
            <w:r>
              <w:rPr>
                <w:rFonts w:hint="eastAsia" w:ascii="宋体" w:hAnsi="宋体"/>
                <w:b w:val="0"/>
                <w:bCs/>
                <w:color w:val="auto"/>
                <w:sz w:val="21"/>
                <w:szCs w:val="21"/>
                <w:highlight w:val="none"/>
                <w:lang w:val="en-US" w:eastAsia="zh-CN"/>
              </w:rPr>
              <w:t>（满分6分）</w:t>
            </w:r>
          </w:p>
        </w:tc>
        <w:tc>
          <w:tcPr>
            <w:tcW w:w="6006" w:type="dxa"/>
            <w:shd w:val="clear" w:color="auto" w:fill="auto"/>
            <w:vAlign w:val="center"/>
          </w:tcPr>
          <w:p w14:paraId="46E40A0D">
            <w:pPr>
              <w:adjustRightInd w:val="0"/>
              <w:spacing w:line="360" w:lineRule="auto"/>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一档（</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分）：提供简单的售后服务方案及承诺，包含响应时间、出现问题解决方案等内容；</w:t>
            </w:r>
          </w:p>
          <w:p w14:paraId="71AEC8BD">
            <w:pPr>
              <w:adjustRightInd w:val="0"/>
              <w:spacing w:line="360" w:lineRule="auto"/>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二档（</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分）：售后服务方案优于一档，包含响应时间、售后服务方案、售后服务流程、培训与指导、保障平台24小时不间断运行，减少系统故障和停机时间，根据技术发展和采购人需求，定期对平台进行功能升级和性能优化等内容； </w:t>
            </w:r>
          </w:p>
          <w:p w14:paraId="59A8287F">
            <w:pPr>
              <w:adjustRightInd w:val="0"/>
              <w:spacing w:line="360" w:lineRule="auto"/>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分）：售后服务方案优于二档，包含响应时间、售后服务方案、售后服务流程</w:t>
            </w:r>
            <w:r>
              <w:rPr>
                <w:rFonts w:hint="eastAsia" w:ascii="宋体" w:hAnsi="宋体" w:cs="宋体"/>
                <w:color w:val="auto"/>
                <w:kern w:val="0"/>
                <w:szCs w:val="21"/>
                <w:highlight w:val="none"/>
                <w:lang w:val="en-US" w:eastAsia="zh-CN"/>
              </w:rPr>
              <w:t>、故障异常</w:t>
            </w:r>
            <w:r>
              <w:rPr>
                <w:rFonts w:hint="eastAsia" w:ascii="宋体" w:hAnsi="宋体" w:cs="宋体"/>
                <w:color w:val="auto"/>
                <w:kern w:val="0"/>
                <w:szCs w:val="21"/>
                <w:highlight w:val="none"/>
              </w:rPr>
              <w:t>处理流程、巡检方案、培训与指导、人员保障预案及资源协调预案，保障平台24小时不间断运行，减少系统故障和停机时间，根据技术发展和采购人需求，定期对平台进行功能升级和性能优化</w:t>
            </w:r>
            <w:r>
              <w:rPr>
                <w:rFonts w:hint="eastAsia" w:ascii="宋体" w:hAnsi="宋体" w:cs="宋体"/>
                <w:color w:val="auto"/>
                <w:kern w:val="0"/>
                <w:szCs w:val="21"/>
                <w:highlight w:val="none"/>
                <w:lang w:eastAsia="zh-CN"/>
              </w:rPr>
              <w:t>。</w:t>
            </w:r>
          </w:p>
          <w:p w14:paraId="2BE9DDAD">
            <w:pPr>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color w:val="auto"/>
                <w:highlight w:val="none"/>
              </w:rPr>
              <w:t>注：未提供或不满足进档要求不得分。</w:t>
            </w:r>
          </w:p>
        </w:tc>
        <w:tc>
          <w:tcPr>
            <w:tcW w:w="851" w:type="dxa"/>
            <w:shd w:val="clear" w:color="auto" w:fill="auto"/>
            <w:vAlign w:val="center"/>
          </w:tcPr>
          <w:p w14:paraId="4FAA2E9C">
            <w:pPr>
              <w:snapToGrid w:val="0"/>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6分</w:t>
            </w:r>
            <w:r>
              <w:rPr>
                <w:rFonts w:hint="eastAsia"/>
                <w:color w:val="auto"/>
                <w:szCs w:val="21"/>
                <w:highlight w:val="none"/>
              </w:rPr>
              <w:t>（</w:t>
            </w:r>
            <w:r>
              <w:rPr>
                <w:rFonts w:hint="eastAsia"/>
                <w:color w:val="auto"/>
                <w:szCs w:val="21"/>
                <w:highlight w:val="none"/>
                <w:lang w:val="en-US" w:eastAsia="zh-CN"/>
              </w:rPr>
              <w:t>主</w:t>
            </w:r>
            <w:r>
              <w:rPr>
                <w:rFonts w:hint="eastAsia"/>
                <w:color w:val="auto"/>
                <w:szCs w:val="21"/>
                <w:highlight w:val="none"/>
              </w:rPr>
              <w:t>观分）</w:t>
            </w:r>
          </w:p>
        </w:tc>
      </w:tr>
      <w:tr w14:paraId="5472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2" w:type="dxa"/>
            <w:vAlign w:val="center"/>
          </w:tcPr>
          <w:p w14:paraId="0D7ACE3A">
            <w:pPr>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1591" w:type="dxa"/>
            <w:shd w:val="clear" w:color="auto" w:fill="auto"/>
            <w:vAlign w:val="center"/>
          </w:tcPr>
          <w:p w14:paraId="4A65BCC0">
            <w:pPr>
              <w:snapToGrid w:val="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服务团队</w:t>
            </w:r>
          </w:p>
          <w:p w14:paraId="444DE754">
            <w:pPr>
              <w:pStyle w:val="2"/>
              <w:ind w:firstLine="0" w:firstLineChars="0"/>
              <w:jc w:val="center"/>
              <w:rPr>
                <w:rFonts w:hint="eastAsia" w:eastAsia="宋体"/>
                <w:lang w:eastAsia="zh-CN"/>
              </w:rPr>
            </w:pPr>
            <w:r>
              <w:rPr>
                <w:rFonts w:hint="eastAsia" w:ascii="宋体" w:hAnsi="宋体"/>
                <w:b w:val="0"/>
                <w:color w:val="auto"/>
                <w:sz w:val="21"/>
                <w:szCs w:val="21"/>
                <w:highlight w:val="none"/>
                <w:lang w:val="en-US" w:eastAsia="zh-CN"/>
              </w:rPr>
              <w:t>（满分14分</w:t>
            </w:r>
            <w:r>
              <w:rPr>
                <w:rFonts w:hint="eastAsia" w:ascii="宋体" w:hAnsi="宋体" w:cs="宋体"/>
                <w:b w:val="0"/>
                <w:bCs w:val="0"/>
                <w:color w:val="auto"/>
                <w:szCs w:val="21"/>
                <w:highlight w:val="none"/>
                <w:lang w:eastAsia="zh-CN"/>
              </w:rPr>
              <w:t>）</w:t>
            </w:r>
          </w:p>
          <w:p w14:paraId="5C424EA5">
            <w:pPr>
              <w:snapToGrid w:val="0"/>
              <w:spacing w:line="360" w:lineRule="auto"/>
              <w:jc w:val="center"/>
              <w:rPr>
                <w:rFonts w:hint="eastAsia" w:ascii="宋体" w:hAnsi="宋体" w:cs="宋体"/>
                <w:b/>
                <w:color w:val="auto"/>
                <w:kern w:val="0"/>
                <w:szCs w:val="21"/>
                <w:highlight w:val="none"/>
              </w:rPr>
            </w:pPr>
          </w:p>
        </w:tc>
        <w:tc>
          <w:tcPr>
            <w:tcW w:w="6006" w:type="dxa"/>
            <w:shd w:val="clear" w:color="auto" w:fill="auto"/>
            <w:vAlign w:val="center"/>
          </w:tcPr>
          <w:p w14:paraId="43A999FA">
            <w:pPr>
              <w:spacing w:line="360" w:lineRule="auto"/>
              <w:ind w:firstLine="0" w:firstLineChars="0"/>
              <w:jc w:val="left"/>
              <w:rPr>
                <w:rFonts w:hint="eastAsia" w:ascii="Times New Roman" w:hAnsi="宋体" w:eastAsia="宋体" w:cs="Times New Roman"/>
                <w:bCs/>
                <w:color w:val="auto"/>
                <w:kern w:val="2"/>
                <w:sz w:val="21"/>
                <w:szCs w:val="24"/>
                <w:highlight w:val="none"/>
              </w:rPr>
            </w:pPr>
            <w:r>
              <w:rPr>
                <w:rFonts w:hint="eastAsia" w:ascii="Times New Roman" w:hAnsi="宋体" w:eastAsia="宋体" w:cs="Times New Roman"/>
                <w:bCs/>
                <w:color w:val="auto"/>
                <w:kern w:val="2"/>
                <w:sz w:val="21"/>
                <w:szCs w:val="24"/>
                <w:highlight w:val="none"/>
                <w:lang w:val="en-US" w:eastAsia="zh-CN"/>
              </w:rPr>
              <w:t>1.供应商</w:t>
            </w:r>
            <w:r>
              <w:rPr>
                <w:rFonts w:hint="eastAsia" w:ascii="Times New Roman" w:hAnsi="宋体" w:eastAsia="宋体" w:cs="Times New Roman"/>
                <w:bCs/>
                <w:color w:val="auto"/>
                <w:kern w:val="2"/>
                <w:sz w:val="21"/>
                <w:szCs w:val="24"/>
                <w:highlight w:val="none"/>
              </w:rPr>
              <w:t>需依据本项目的实际情况，提供参与本项目的团队配置和人员列表。</w:t>
            </w:r>
            <w:r>
              <w:rPr>
                <w:rFonts w:hint="eastAsia" w:ascii="Times New Roman" w:hAnsi="宋体" w:eastAsia="宋体" w:cs="Times New Roman"/>
                <w:bCs/>
                <w:color w:val="auto"/>
                <w:kern w:val="2"/>
                <w:sz w:val="21"/>
                <w:szCs w:val="24"/>
                <w:highlight w:val="none"/>
                <w:lang w:val="en-US" w:eastAsia="zh-CN"/>
              </w:rPr>
              <w:t>供应商</w:t>
            </w:r>
            <w:r>
              <w:rPr>
                <w:rFonts w:hint="eastAsia" w:ascii="Times New Roman" w:hAnsi="宋体" w:eastAsia="宋体" w:cs="Times New Roman"/>
                <w:bCs/>
                <w:color w:val="auto"/>
                <w:kern w:val="2"/>
                <w:sz w:val="21"/>
                <w:szCs w:val="24"/>
                <w:highlight w:val="none"/>
              </w:rPr>
              <w:t>拟派项目团队至少具备项目经理、研发工程师、测试工程师、架构师、运维及运营人员</w:t>
            </w:r>
            <w:r>
              <w:rPr>
                <w:rFonts w:hint="eastAsia" w:ascii="Times New Roman" w:hAnsi="宋体" w:eastAsia="宋体" w:cs="Times New Roman"/>
                <w:bCs/>
                <w:color w:val="auto"/>
                <w:kern w:val="2"/>
                <w:sz w:val="21"/>
                <w:szCs w:val="24"/>
                <w:highlight w:val="none"/>
                <w:lang w:eastAsia="zh-CN"/>
              </w:rPr>
              <w:t>，</w:t>
            </w:r>
            <w:r>
              <w:rPr>
                <w:rFonts w:hint="eastAsia" w:ascii="Times New Roman" w:hAnsi="宋体" w:eastAsia="宋体" w:cs="Times New Roman"/>
                <w:bCs/>
                <w:color w:val="auto"/>
                <w:kern w:val="2"/>
                <w:sz w:val="21"/>
                <w:szCs w:val="24"/>
                <w:highlight w:val="none"/>
                <w:lang w:val="en-US" w:eastAsia="zh-CN"/>
              </w:rPr>
              <w:t>项目团队人员需本科及以上学历</w:t>
            </w:r>
            <w:r>
              <w:rPr>
                <w:rFonts w:hint="eastAsia" w:ascii="Times New Roman" w:hAnsi="宋体" w:eastAsia="宋体" w:cs="Times New Roman"/>
                <w:bCs/>
                <w:color w:val="auto"/>
                <w:kern w:val="2"/>
                <w:sz w:val="21"/>
                <w:szCs w:val="24"/>
                <w:highlight w:val="none"/>
              </w:rPr>
              <w:t>，</w:t>
            </w:r>
            <w:r>
              <w:rPr>
                <w:rFonts w:hint="eastAsia" w:ascii="Times New Roman" w:hAnsi="宋体" w:eastAsia="宋体" w:cs="Times New Roman"/>
                <w:bCs/>
                <w:color w:val="auto"/>
                <w:kern w:val="2"/>
                <w:sz w:val="21"/>
                <w:szCs w:val="24"/>
                <w:highlight w:val="none"/>
                <w:lang w:val="en-US" w:eastAsia="zh-CN"/>
              </w:rPr>
              <w:t>每投入1人</w:t>
            </w:r>
            <w:r>
              <w:rPr>
                <w:rFonts w:hint="eastAsia" w:ascii="Times New Roman" w:hAnsi="宋体" w:eastAsia="宋体" w:cs="Times New Roman"/>
                <w:bCs/>
                <w:color w:val="auto"/>
                <w:kern w:val="2"/>
                <w:sz w:val="21"/>
                <w:szCs w:val="24"/>
                <w:highlight w:val="none"/>
              </w:rPr>
              <w:t>得</w:t>
            </w:r>
            <w:r>
              <w:rPr>
                <w:rFonts w:hint="eastAsia" w:ascii="Times New Roman" w:hAnsi="宋体" w:eastAsia="宋体" w:cs="Times New Roman"/>
                <w:bCs/>
                <w:color w:val="auto"/>
                <w:kern w:val="2"/>
                <w:sz w:val="21"/>
                <w:szCs w:val="24"/>
                <w:highlight w:val="none"/>
                <w:lang w:val="en-US" w:eastAsia="zh-CN"/>
              </w:rPr>
              <w:t>1</w:t>
            </w:r>
            <w:r>
              <w:rPr>
                <w:rFonts w:hint="eastAsia" w:ascii="Times New Roman" w:hAnsi="宋体" w:eastAsia="宋体" w:cs="Times New Roman"/>
                <w:bCs/>
                <w:color w:val="auto"/>
                <w:kern w:val="2"/>
                <w:sz w:val="21"/>
                <w:szCs w:val="24"/>
                <w:highlight w:val="none"/>
              </w:rPr>
              <w:t>分。</w:t>
            </w:r>
            <w:r>
              <w:rPr>
                <w:rFonts w:hint="eastAsia" w:ascii="Times New Roman" w:hAnsi="宋体" w:eastAsia="宋体" w:cs="Times New Roman"/>
                <w:bCs/>
                <w:color w:val="auto"/>
                <w:kern w:val="2"/>
                <w:sz w:val="21"/>
                <w:szCs w:val="24"/>
                <w:highlight w:val="none"/>
                <w:lang w:val="en-US" w:eastAsia="zh-CN"/>
              </w:rPr>
              <w:t>本项满分9分</w:t>
            </w:r>
            <w:r>
              <w:rPr>
                <w:rFonts w:hint="eastAsia" w:ascii="Times New Roman" w:hAnsi="宋体" w:eastAsia="宋体" w:cs="Times New Roman"/>
                <w:bCs/>
                <w:color w:val="auto"/>
                <w:kern w:val="2"/>
                <w:sz w:val="21"/>
                <w:szCs w:val="24"/>
                <w:highlight w:val="none"/>
              </w:rPr>
              <w:t>。</w:t>
            </w:r>
          </w:p>
          <w:p w14:paraId="4F48A141">
            <w:pPr>
              <w:spacing w:line="360" w:lineRule="auto"/>
              <w:jc w:val="left"/>
              <w:rPr>
                <w:rFonts w:hint="eastAsia" w:ascii="Times New Roman" w:hAnsi="宋体" w:eastAsia="宋体" w:cs="Times New Roman"/>
                <w:bCs/>
                <w:color w:val="auto"/>
                <w:kern w:val="2"/>
                <w:sz w:val="21"/>
                <w:szCs w:val="24"/>
                <w:highlight w:val="none"/>
              </w:rPr>
            </w:pPr>
            <w:r>
              <w:rPr>
                <w:rFonts w:hint="eastAsia" w:ascii="Times New Roman" w:hAnsi="宋体" w:eastAsia="宋体" w:cs="Times New Roman"/>
                <w:bCs/>
                <w:color w:val="auto"/>
                <w:kern w:val="2"/>
                <w:sz w:val="21"/>
                <w:szCs w:val="24"/>
                <w:highlight w:val="none"/>
              </w:rPr>
              <w:t>2.</w:t>
            </w:r>
            <w:r>
              <w:rPr>
                <w:rFonts w:hint="eastAsia" w:ascii="Times New Roman" w:hAnsi="宋体" w:eastAsia="宋体" w:cs="Times New Roman"/>
                <w:bCs/>
                <w:color w:val="auto"/>
                <w:kern w:val="2"/>
                <w:sz w:val="21"/>
                <w:szCs w:val="24"/>
                <w:highlight w:val="none"/>
                <w:lang w:val="en-US" w:eastAsia="zh-CN"/>
              </w:rPr>
              <w:t>供应商拟安排的项目经理</w:t>
            </w:r>
            <w:r>
              <w:rPr>
                <w:rFonts w:hint="eastAsia" w:ascii="Times New Roman" w:hAnsi="宋体" w:eastAsia="宋体" w:cs="Times New Roman"/>
                <w:bCs/>
                <w:color w:val="auto"/>
                <w:kern w:val="2"/>
                <w:sz w:val="21"/>
                <w:szCs w:val="24"/>
                <w:highlight w:val="none"/>
              </w:rPr>
              <w:t>具有信息系统项目管理师证书</w:t>
            </w:r>
            <w:r>
              <w:rPr>
                <w:rFonts w:hint="eastAsia" w:ascii="Times New Roman" w:hAnsi="宋体" w:eastAsia="宋体" w:cs="Times New Roman"/>
                <w:bCs/>
                <w:color w:val="auto"/>
                <w:kern w:val="2"/>
                <w:sz w:val="21"/>
                <w:szCs w:val="24"/>
                <w:highlight w:val="none"/>
                <w:lang w:val="en-US" w:eastAsia="zh-CN"/>
              </w:rPr>
              <w:t>或</w:t>
            </w:r>
            <w:r>
              <w:rPr>
                <w:rFonts w:hint="eastAsia" w:ascii="Times New Roman" w:hAnsi="宋体" w:eastAsia="宋体" w:cs="Times New Roman"/>
                <w:bCs/>
                <w:color w:val="auto"/>
                <w:kern w:val="2"/>
                <w:sz w:val="21"/>
                <w:szCs w:val="24"/>
                <w:highlight w:val="none"/>
              </w:rPr>
              <w:t>系统架构设计师认证证书的得</w:t>
            </w:r>
            <w:r>
              <w:rPr>
                <w:rFonts w:hint="eastAsia" w:ascii="Times New Roman" w:hAnsi="宋体" w:eastAsia="宋体" w:cs="Times New Roman"/>
                <w:bCs/>
                <w:color w:val="auto"/>
                <w:kern w:val="2"/>
                <w:sz w:val="21"/>
                <w:szCs w:val="24"/>
                <w:highlight w:val="none"/>
                <w:lang w:val="en-US" w:eastAsia="zh-CN"/>
              </w:rPr>
              <w:t>2</w:t>
            </w:r>
            <w:r>
              <w:rPr>
                <w:rFonts w:hint="eastAsia" w:ascii="Times New Roman" w:hAnsi="宋体" w:eastAsia="宋体" w:cs="Times New Roman"/>
                <w:bCs/>
                <w:color w:val="auto"/>
                <w:kern w:val="2"/>
                <w:sz w:val="21"/>
                <w:szCs w:val="24"/>
                <w:highlight w:val="none"/>
              </w:rPr>
              <w:t>分。</w:t>
            </w:r>
            <w:r>
              <w:rPr>
                <w:rFonts w:hint="eastAsia" w:ascii="Times New Roman" w:hAnsi="宋体" w:eastAsia="宋体" w:cs="Times New Roman"/>
                <w:bCs/>
                <w:color w:val="auto"/>
                <w:kern w:val="2"/>
                <w:sz w:val="21"/>
                <w:szCs w:val="24"/>
                <w:highlight w:val="none"/>
                <w:lang w:val="en-US" w:eastAsia="zh-CN"/>
              </w:rPr>
              <w:t>本项满分2</w:t>
            </w:r>
            <w:r>
              <w:rPr>
                <w:rFonts w:hint="eastAsia" w:ascii="Times New Roman" w:hAnsi="宋体" w:eastAsia="宋体" w:cs="Times New Roman"/>
                <w:bCs/>
                <w:color w:val="auto"/>
                <w:kern w:val="2"/>
                <w:sz w:val="21"/>
                <w:szCs w:val="24"/>
                <w:highlight w:val="none"/>
              </w:rPr>
              <w:t>分。</w:t>
            </w:r>
          </w:p>
          <w:p w14:paraId="6C6D3C78">
            <w:pPr>
              <w:spacing w:line="360" w:lineRule="auto"/>
              <w:jc w:val="left"/>
              <w:rPr>
                <w:rFonts w:hint="eastAsia" w:ascii="Times New Roman" w:hAnsi="宋体" w:eastAsia="宋体" w:cs="Times New Roman"/>
                <w:bCs/>
                <w:color w:val="auto"/>
                <w:kern w:val="2"/>
                <w:sz w:val="21"/>
                <w:szCs w:val="24"/>
                <w:highlight w:val="none"/>
              </w:rPr>
            </w:pPr>
            <w:r>
              <w:rPr>
                <w:rFonts w:hint="eastAsia" w:ascii="Times New Roman" w:hAnsi="宋体" w:eastAsia="宋体" w:cs="Times New Roman"/>
                <w:bCs/>
                <w:color w:val="auto"/>
                <w:kern w:val="2"/>
                <w:sz w:val="21"/>
                <w:szCs w:val="24"/>
                <w:highlight w:val="none"/>
              </w:rPr>
              <w:t>3.</w:t>
            </w:r>
            <w:r>
              <w:rPr>
                <w:rFonts w:hint="eastAsia" w:ascii="Times New Roman" w:hAnsi="宋体" w:eastAsia="宋体" w:cs="Times New Roman"/>
                <w:bCs/>
                <w:color w:val="auto"/>
                <w:kern w:val="2"/>
                <w:sz w:val="21"/>
                <w:szCs w:val="24"/>
                <w:highlight w:val="none"/>
                <w:lang w:val="en-US" w:eastAsia="zh-CN"/>
              </w:rPr>
              <w:t>供应商拟派的项目团队有相关背景的，项目人员获得医学专业的本科学位证得0.5分，获得医学专业的硕士学位证得1分，获得医学专业的博士学位证得3分；满分3分；</w:t>
            </w:r>
          </w:p>
          <w:p w14:paraId="166AD413">
            <w:pPr>
              <w:snapToGrid/>
              <w:spacing w:line="360" w:lineRule="auto"/>
              <w:ind w:firstLine="0" w:firstLineChars="0"/>
              <w:jc w:val="left"/>
              <w:rPr>
                <w:rFonts w:hint="eastAsia" w:ascii="Times New Roman" w:hAnsi="宋体" w:eastAsia="宋体" w:cs="Times New Roman"/>
                <w:bCs/>
                <w:color w:val="auto"/>
                <w:sz w:val="21"/>
                <w:szCs w:val="24"/>
                <w:highlight w:val="none"/>
                <w:lang w:val="en-US" w:eastAsia="zh-CN"/>
              </w:rPr>
            </w:pPr>
            <w:r>
              <w:rPr>
                <w:rFonts w:hint="eastAsia" w:ascii="Times New Roman" w:hAnsi="宋体" w:eastAsia="宋体" w:cs="Times New Roman"/>
                <w:bCs/>
                <w:color w:val="auto"/>
                <w:kern w:val="2"/>
                <w:sz w:val="21"/>
                <w:szCs w:val="24"/>
                <w:highlight w:val="none"/>
              </w:rPr>
              <w:t>（</w:t>
            </w:r>
            <w:r>
              <w:rPr>
                <w:rFonts w:hint="eastAsia" w:ascii="Times New Roman" w:hAnsi="宋体" w:eastAsia="宋体" w:cs="Times New Roman"/>
                <w:bCs/>
                <w:color w:val="auto"/>
                <w:kern w:val="2"/>
                <w:sz w:val="21"/>
                <w:szCs w:val="24"/>
                <w:highlight w:val="none"/>
                <w:lang w:val="en-US" w:eastAsia="zh-CN"/>
              </w:rPr>
              <w:t>响应</w:t>
            </w:r>
            <w:r>
              <w:rPr>
                <w:rFonts w:hint="eastAsia" w:ascii="Times New Roman" w:hAnsi="宋体" w:eastAsia="宋体" w:cs="Times New Roman"/>
                <w:bCs/>
                <w:color w:val="auto"/>
                <w:kern w:val="2"/>
                <w:sz w:val="21"/>
                <w:szCs w:val="24"/>
                <w:highlight w:val="none"/>
              </w:rPr>
              <w:t>文件中提供以上人员具有的相关证书原件复印件和近</w:t>
            </w:r>
            <w:r>
              <w:rPr>
                <w:rFonts w:hint="eastAsia" w:ascii="Times New Roman" w:hAnsi="宋体" w:eastAsia="宋体" w:cs="Times New Roman"/>
                <w:bCs/>
                <w:color w:val="auto"/>
                <w:kern w:val="2"/>
                <w:sz w:val="21"/>
                <w:szCs w:val="24"/>
                <w:highlight w:val="none"/>
                <w:lang w:val="en-US" w:eastAsia="zh-CN"/>
              </w:rPr>
              <w:t>半年内</w:t>
            </w:r>
            <w:r>
              <w:rPr>
                <w:rFonts w:hint="eastAsia" w:ascii="Times New Roman" w:hAnsi="宋体" w:eastAsia="宋体" w:cs="Times New Roman"/>
                <w:bCs/>
                <w:color w:val="auto"/>
                <w:kern w:val="2"/>
                <w:sz w:val="21"/>
                <w:szCs w:val="24"/>
                <w:highlight w:val="none"/>
              </w:rPr>
              <w:t>以来任意一月</w:t>
            </w:r>
            <w:r>
              <w:rPr>
                <w:rFonts w:hint="eastAsia" w:ascii="Times New Roman" w:hAnsi="宋体" w:eastAsia="宋体" w:cs="Times New Roman"/>
                <w:bCs/>
                <w:color w:val="auto"/>
                <w:kern w:val="2"/>
                <w:sz w:val="21"/>
                <w:szCs w:val="24"/>
                <w:highlight w:val="none"/>
                <w:lang w:val="en-US" w:eastAsia="zh-CN"/>
              </w:rPr>
              <w:t>供应商</w:t>
            </w:r>
            <w:r>
              <w:rPr>
                <w:rFonts w:hint="eastAsia" w:ascii="Times New Roman" w:hAnsi="宋体" w:eastAsia="宋体" w:cs="Times New Roman"/>
                <w:bCs/>
                <w:color w:val="auto"/>
                <w:kern w:val="2"/>
                <w:sz w:val="21"/>
                <w:szCs w:val="24"/>
                <w:highlight w:val="none"/>
              </w:rPr>
              <w:t>为其缴纳的社会保险证明材料，证明以社保主管部门出具的为准，否则不得分。）</w:t>
            </w:r>
          </w:p>
        </w:tc>
        <w:tc>
          <w:tcPr>
            <w:tcW w:w="851" w:type="dxa"/>
            <w:shd w:val="clear" w:color="auto" w:fill="auto"/>
            <w:vAlign w:val="center"/>
          </w:tcPr>
          <w:p w14:paraId="3D140A4E">
            <w:pPr>
              <w:snapToGrid w:val="0"/>
              <w:spacing w:line="360" w:lineRule="auto"/>
              <w:jc w:val="center"/>
              <w:rPr>
                <w:rFonts w:hint="eastAsia"/>
                <w:color w:val="auto"/>
                <w:szCs w:val="21"/>
                <w:highlight w:val="none"/>
                <w:lang w:val="en-US" w:eastAsia="zh-CN"/>
              </w:rPr>
            </w:pPr>
            <w:r>
              <w:rPr>
                <w:rFonts w:hint="eastAsia"/>
                <w:color w:val="auto"/>
                <w:szCs w:val="21"/>
                <w:highlight w:val="none"/>
                <w:lang w:val="en-US" w:eastAsia="zh-CN"/>
              </w:rPr>
              <w:t>14分</w:t>
            </w:r>
            <w:r>
              <w:rPr>
                <w:rFonts w:hint="eastAsia"/>
                <w:color w:val="auto"/>
                <w:szCs w:val="21"/>
                <w:highlight w:val="none"/>
              </w:rPr>
              <w:t>（</w:t>
            </w:r>
            <w:r>
              <w:rPr>
                <w:rFonts w:hint="eastAsia"/>
                <w:color w:val="auto"/>
                <w:szCs w:val="21"/>
                <w:highlight w:val="none"/>
                <w:lang w:val="en-US" w:eastAsia="zh-CN"/>
              </w:rPr>
              <w:t>客</w:t>
            </w:r>
            <w:r>
              <w:rPr>
                <w:rFonts w:hint="eastAsia"/>
                <w:color w:val="auto"/>
                <w:szCs w:val="21"/>
                <w:highlight w:val="none"/>
              </w:rPr>
              <w:t>观分）</w:t>
            </w:r>
          </w:p>
        </w:tc>
      </w:tr>
      <w:tr w14:paraId="4F8A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2" w:type="dxa"/>
            <w:vAlign w:val="center"/>
          </w:tcPr>
          <w:p w14:paraId="42252E09">
            <w:pPr>
              <w:snapToGrid/>
              <w:spacing w:line="400" w:lineRule="exact"/>
              <w:jc w:val="center"/>
              <w:rPr>
                <w:rFonts w:hint="eastAsia" w:ascii="Times New Roman" w:hAnsi="宋体" w:eastAsia="宋体" w:cs="Times New Roman"/>
                <w:b/>
                <w:bCs w:val="0"/>
                <w:color w:val="auto"/>
                <w:sz w:val="21"/>
                <w:szCs w:val="24"/>
                <w:highlight w:val="none"/>
              </w:rPr>
            </w:pPr>
            <w:r>
              <w:rPr>
                <w:rFonts w:hint="eastAsia" w:ascii="Times New Roman" w:hAnsi="宋体" w:eastAsia="宋体" w:cs="Times New Roman"/>
                <w:b/>
                <w:bCs w:val="0"/>
                <w:color w:val="auto"/>
                <w:sz w:val="21"/>
                <w:szCs w:val="24"/>
                <w:highlight w:val="none"/>
              </w:rPr>
              <w:t>3</w:t>
            </w:r>
          </w:p>
        </w:tc>
        <w:tc>
          <w:tcPr>
            <w:tcW w:w="1591" w:type="dxa"/>
            <w:vAlign w:val="center"/>
          </w:tcPr>
          <w:p w14:paraId="459865AA">
            <w:pPr>
              <w:snapToGrid/>
              <w:spacing w:line="400" w:lineRule="exact"/>
              <w:jc w:val="center"/>
              <w:rPr>
                <w:rFonts w:hint="eastAsia" w:ascii="Times New Roman" w:hAnsi="宋体" w:eastAsia="宋体" w:cs="Times New Roman"/>
                <w:b/>
                <w:bCs w:val="0"/>
                <w:color w:val="auto"/>
                <w:sz w:val="21"/>
                <w:szCs w:val="24"/>
                <w:highlight w:val="none"/>
              </w:rPr>
            </w:pPr>
            <w:r>
              <w:rPr>
                <w:rFonts w:hint="eastAsia" w:ascii="Times New Roman" w:hAnsi="宋体" w:eastAsia="宋体" w:cs="Times New Roman"/>
                <w:b/>
                <w:bCs w:val="0"/>
                <w:color w:val="auto"/>
                <w:sz w:val="21"/>
                <w:szCs w:val="24"/>
                <w:highlight w:val="none"/>
              </w:rPr>
              <w:t>商务分</w:t>
            </w:r>
          </w:p>
        </w:tc>
        <w:tc>
          <w:tcPr>
            <w:tcW w:w="6857" w:type="dxa"/>
            <w:gridSpan w:val="2"/>
            <w:vAlign w:val="center"/>
          </w:tcPr>
          <w:p w14:paraId="14C1FB0E">
            <w:pPr>
              <w:snapToGrid/>
              <w:spacing w:line="360" w:lineRule="auto"/>
              <w:jc w:val="center"/>
              <w:rPr>
                <w:rFonts w:hint="eastAsia" w:ascii="Times New Roman" w:hAnsi="宋体" w:eastAsia="宋体" w:cs="Times New Roman"/>
                <w:b/>
                <w:bCs w:val="0"/>
                <w:color w:val="auto"/>
                <w:sz w:val="21"/>
                <w:szCs w:val="24"/>
                <w:highlight w:val="none"/>
              </w:rPr>
            </w:pPr>
            <w:r>
              <w:rPr>
                <w:rFonts w:hint="eastAsia" w:ascii="Times New Roman" w:hAnsi="宋体" w:eastAsia="宋体" w:cs="Times New Roman"/>
                <w:b/>
                <w:bCs w:val="0"/>
                <w:color w:val="auto"/>
                <w:sz w:val="21"/>
                <w:szCs w:val="24"/>
                <w:highlight w:val="none"/>
              </w:rPr>
              <w:t>评审因素</w:t>
            </w:r>
          </w:p>
        </w:tc>
      </w:tr>
      <w:tr w14:paraId="5B15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2" w:type="dxa"/>
            <w:vAlign w:val="center"/>
          </w:tcPr>
          <w:p w14:paraId="499CE2E9">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1591" w:type="dxa"/>
            <w:vAlign w:val="center"/>
          </w:tcPr>
          <w:p w14:paraId="2F3E6A24">
            <w:pPr>
              <w:snapToGrid w:val="0"/>
              <w:spacing w:line="360" w:lineRule="auto"/>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业绩分</w:t>
            </w:r>
          </w:p>
          <w:p w14:paraId="7C071EDA">
            <w:pPr>
              <w:pStyle w:val="2"/>
              <w:ind w:firstLine="0" w:firstLineChars="0"/>
              <w:jc w:val="center"/>
              <w:rPr>
                <w:rFonts w:hint="eastAsia" w:eastAsia="宋体"/>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满分4分</w:t>
            </w:r>
            <w:r>
              <w:rPr>
                <w:rFonts w:hint="eastAsia" w:asciiTheme="minorEastAsia" w:hAnsiTheme="minorEastAsia" w:eastAsiaTheme="minorEastAsia" w:cstheme="minorEastAsia"/>
                <w:b w:val="0"/>
                <w:bCs w:val="0"/>
                <w:color w:val="auto"/>
                <w:sz w:val="21"/>
                <w:szCs w:val="21"/>
                <w:highlight w:val="none"/>
                <w:lang w:eastAsia="zh-CN"/>
              </w:rPr>
              <w:t>）</w:t>
            </w:r>
          </w:p>
        </w:tc>
        <w:tc>
          <w:tcPr>
            <w:tcW w:w="6006" w:type="dxa"/>
            <w:vAlign w:val="center"/>
          </w:tcPr>
          <w:p w14:paraId="0A0C42F1">
            <w:pPr>
              <w:numPr>
                <w:ilvl w:val="0"/>
                <w:numId w:val="0"/>
              </w:numPr>
              <w:snapToGrid/>
              <w:spacing w:line="360" w:lineRule="auto"/>
              <w:jc w:val="left"/>
              <w:rPr>
                <w:rFonts w:hint="eastAsia" w:ascii="Times New Roman" w:hAnsi="宋体" w:eastAsia="宋体" w:cs="Times New Roman"/>
                <w:bCs/>
                <w:color w:val="auto"/>
                <w:sz w:val="21"/>
                <w:szCs w:val="24"/>
                <w:highlight w:val="none"/>
              </w:rPr>
            </w:pPr>
            <w:r>
              <w:rPr>
                <w:rFonts w:hint="eastAsia" w:ascii="Times New Roman" w:hAnsi="宋体" w:eastAsia="宋体" w:cs="Times New Roman"/>
                <w:bCs/>
                <w:color w:val="auto"/>
                <w:kern w:val="2"/>
                <w:sz w:val="21"/>
                <w:szCs w:val="24"/>
                <w:highlight w:val="none"/>
                <w:lang w:eastAsia="zh-CN"/>
              </w:rPr>
              <w:t>供应商</w:t>
            </w:r>
            <w:r>
              <w:rPr>
                <w:rFonts w:hint="eastAsia" w:ascii="Times New Roman" w:hAnsi="宋体" w:eastAsia="宋体" w:cs="Times New Roman"/>
                <w:bCs/>
                <w:color w:val="auto"/>
                <w:sz w:val="21"/>
                <w:szCs w:val="24"/>
                <w:highlight w:val="none"/>
              </w:rPr>
              <w:t>提供2022年</w:t>
            </w:r>
            <w:r>
              <w:rPr>
                <w:rFonts w:hint="eastAsia" w:ascii="Times New Roman" w:hAnsi="宋体" w:eastAsia="宋体" w:cs="Times New Roman"/>
                <w:bCs/>
                <w:color w:val="auto"/>
                <w:kern w:val="2"/>
                <w:sz w:val="21"/>
                <w:szCs w:val="24"/>
                <w:highlight w:val="none"/>
                <w:lang w:val="en-US" w:eastAsia="zh-CN"/>
              </w:rPr>
              <w:t>1</w:t>
            </w:r>
            <w:r>
              <w:rPr>
                <w:rFonts w:hint="eastAsia" w:ascii="Times New Roman" w:hAnsi="宋体" w:eastAsia="宋体" w:cs="Times New Roman"/>
                <w:bCs/>
                <w:color w:val="auto"/>
                <w:sz w:val="21"/>
                <w:szCs w:val="24"/>
                <w:highlight w:val="none"/>
              </w:rPr>
              <w:t>月1日（以合同签订时间为准）起至今的类似业绩，每提供1个得</w:t>
            </w:r>
            <w:r>
              <w:rPr>
                <w:rFonts w:hint="eastAsia" w:ascii="Times New Roman" w:hAnsi="宋体" w:eastAsia="宋体" w:cs="Times New Roman"/>
                <w:bCs/>
                <w:color w:val="auto"/>
                <w:kern w:val="2"/>
                <w:sz w:val="21"/>
                <w:szCs w:val="24"/>
                <w:highlight w:val="none"/>
                <w:lang w:val="en-US" w:eastAsia="zh-CN"/>
              </w:rPr>
              <w:t>1</w:t>
            </w:r>
            <w:r>
              <w:rPr>
                <w:rFonts w:hint="eastAsia" w:ascii="Times New Roman" w:hAnsi="宋体" w:eastAsia="宋体" w:cs="Times New Roman"/>
                <w:bCs/>
                <w:color w:val="auto"/>
                <w:sz w:val="21"/>
                <w:szCs w:val="24"/>
                <w:highlight w:val="none"/>
              </w:rPr>
              <w:t>分，</w:t>
            </w:r>
            <w:r>
              <w:rPr>
                <w:rFonts w:hint="eastAsia" w:ascii="Times New Roman" w:hAnsi="宋体" w:eastAsia="宋体" w:cs="Times New Roman"/>
                <w:bCs/>
                <w:color w:val="auto"/>
                <w:kern w:val="2"/>
                <w:sz w:val="21"/>
                <w:szCs w:val="24"/>
                <w:highlight w:val="none"/>
                <w:lang w:val="en-US" w:eastAsia="zh-CN"/>
              </w:rPr>
              <w:t>满分4</w:t>
            </w:r>
            <w:r>
              <w:rPr>
                <w:rFonts w:hint="eastAsia" w:ascii="Times New Roman" w:hAnsi="宋体" w:eastAsia="宋体" w:cs="Times New Roman"/>
                <w:bCs/>
                <w:color w:val="auto"/>
                <w:sz w:val="21"/>
                <w:szCs w:val="24"/>
                <w:highlight w:val="none"/>
              </w:rPr>
              <w:t>分。注：提供合同复印件（合同中需包含AI内容、数量、金额等且清晰可见，否则不得分）</w:t>
            </w:r>
          </w:p>
        </w:tc>
        <w:tc>
          <w:tcPr>
            <w:tcW w:w="851" w:type="dxa"/>
            <w:vAlign w:val="center"/>
          </w:tcPr>
          <w:p w14:paraId="0D1A122A">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color w:val="auto"/>
                <w:szCs w:val="21"/>
                <w:highlight w:val="none"/>
              </w:rPr>
              <w:t>（客观</w:t>
            </w:r>
            <w:r>
              <w:rPr>
                <w:rFonts w:hint="eastAsia"/>
                <w:color w:val="auto"/>
                <w:szCs w:val="21"/>
                <w:highlight w:val="none"/>
                <w:lang w:val="en-US" w:eastAsia="zh-CN"/>
              </w:rPr>
              <w:t>分</w:t>
            </w:r>
            <w:r>
              <w:rPr>
                <w:rFonts w:hint="eastAsia"/>
                <w:color w:val="auto"/>
                <w:szCs w:val="21"/>
                <w:highlight w:val="none"/>
              </w:rPr>
              <w:t>）</w:t>
            </w:r>
          </w:p>
        </w:tc>
      </w:tr>
      <w:tr w14:paraId="7095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2" w:type="dxa"/>
            <w:vAlign w:val="center"/>
          </w:tcPr>
          <w:p w14:paraId="128F5E7E">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91" w:type="dxa"/>
            <w:vAlign w:val="center"/>
          </w:tcPr>
          <w:p w14:paraId="164671BA">
            <w:pPr>
              <w:numPr>
                <w:ilvl w:val="0"/>
                <w:numId w:val="0"/>
              </w:num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企业综合实力</w:t>
            </w:r>
            <w:r>
              <w:rPr>
                <w:rFonts w:hint="eastAsia" w:ascii="宋体" w:hAnsi="宋体" w:eastAsia="宋体" w:cs="宋体"/>
                <w:b w:val="0"/>
                <w:bCs w:val="0"/>
                <w:color w:val="auto"/>
                <w:sz w:val="21"/>
                <w:szCs w:val="21"/>
                <w:highlight w:val="none"/>
              </w:rPr>
              <w:t>分</w:t>
            </w:r>
          </w:p>
          <w:p w14:paraId="44CCCCFB">
            <w:pPr>
              <w:pStyle w:val="2"/>
              <w:ind w:firstLine="0" w:firstLineChars="0"/>
              <w:jc w:val="center"/>
              <w:rPr>
                <w:rFonts w:hint="eastAsia" w:eastAsia="宋体"/>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满分10分</w:t>
            </w:r>
            <w:r>
              <w:rPr>
                <w:rFonts w:hint="eastAsia" w:asciiTheme="minorEastAsia" w:hAnsiTheme="minorEastAsia" w:eastAsiaTheme="minorEastAsia" w:cstheme="minorEastAsia"/>
                <w:b w:val="0"/>
                <w:bCs w:val="0"/>
                <w:color w:val="auto"/>
                <w:sz w:val="21"/>
                <w:szCs w:val="21"/>
                <w:highlight w:val="none"/>
                <w:lang w:eastAsia="zh-CN"/>
              </w:rPr>
              <w:t>）</w:t>
            </w:r>
          </w:p>
        </w:tc>
        <w:tc>
          <w:tcPr>
            <w:tcW w:w="6006" w:type="dxa"/>
            <w:vAlign w:val="center"/>
          </w:tcPr>
          <w:p w14:paraId="1C1AD56E">
            <w:pPr>
              <w:numPr>
                <w:ilvl w:val="-1"/>
                <w:numId w:val="0"/>
              </w:numPr>
              <w:adjustRightInd/>
              <w:snapToGrid/>
              <w:spacing w:line="360" w:lineRule="auto"/>
              <w:ind w:left="0" w:leftChars="0" w:firstLine="0" w:firstLineChars="0"/>
              <w:jc w:val="left"/>
              <w:textAlignment w:val="auto"/>
              <w:rPr>
                <w:rFonts w:hint="eastAsia" w:ascii="Times New Roman" w:hAnsi="宋体" w:eastAsia="宋体" w:cs="Times New Roman"/>
                <w:bCs/>
                <w:color w:val="auto"/>
                <w:kern w:val="2"/>
                <w:sz w:val="21"/>
                <w:szCs w:val="24"/>
                <w:highlight w:val="none"/>
                <w:vertAlign w:val="baseline"/>
                <w:lang w:val="en-US" w:eastAsia="zh-CN"/>
              </w:rPr>
            </w:pPr>
            <w:r>
              <w:rPr>
                <w:rFonts w:hint="eastAsia" w:ascii="Times New Roman" w:hAnsi="宋体" w:eastAsia="宋体" w:cs="Times New Roman"/>
                <w:b w:val="0"/>
                <w:bCs/>
                <w:color w:val="auto"/>
                <w:kern w:val="2"/>
                <w:sz w:val="21"/>
                <w:szCs w:val="24"/>
                <w:highlight w:val="none"/>
                <w:vertAlign w:val="baseline"/>
                <w:lang w:val="en-US" w:eastAsia="zh-CN" w:bidi="ar-SA"/>
              </w:rPr>
              <w:t>1.</w:t>
            </w:r>
            <w:r>
              <w:rPr>
                <w:rFonts w:hint="eastAsia" w:ascii="Times New Roman" w:hAnsi="宋体" w:eastAsia="宋体" w:cs="Times New Roman"/>
                <w:bCs/>
                <w:color w:val="auto"/>
                <w:kern w:val="2"/>
                <w:sz w:val="21"/>
                <w:szCs w:val="24"/>
                <w:highlight w:val="none"/>
                <w:vertAlign w:val="baseline"/>
                <w:lang w:val="en-US" w:eastAsia="zh-CN"/>
              </w:rPr>
              <w:t>供应商具备有效的</w:t>
            </w:r>
            <w:r>
              <w:rPr>
                <w:rFonts w:hint="eastAsia" w:ascii="Times New Roman" w:hAnsi="宋体" w:eastAsia="宋体" w:cs="Times New Roman"/>
                <w:bCs/>
                <w:color w:val="auto"/>
                <w:kern w:val="2"/>
                <w:szCs w:val="24"/>
                <w:highlight w:val="none"/>
                <w:lang w:val="en-US" w:eastAsia="zh-CN"/>
              </w:rPr>
              <w:t>ISO27799个人健康信息安全管理体系认证证书</w:t>
            </w:r>
            <w:r>
              <w:rPr>
                <w:rFonts w:hint="eastAsia" w:ascii="Times New Roman" w:hAnsi="宋体" w:eastAsia="宋体" w:cs="Times New Roman"/>
                <w:bCs/>
                <w:color w:val="auto"/>
                <w:kern w:val="2"/>
                <w:szCs w:val="24"/>
                <w:highlight w:val="none"/>
              </w:rPr>
              <w:t>、</w:t>
            </w:r>
            <w:r>
              <w:rPr>
                <w:rFonts w:hint="eastAsia" w:ascii="Times New Roman" w:hAnsi="宋体" w:eastAsia="宋体" w:cs="Times New Roman"/>
                <w:bCs/>
                <w:color w:val="auto"/>
                <w:kern w:val="2"/>
                <w:sz w:val="21"/>
                <w:szCs w:val="24"/>
                <w:highlight w:val="none"/>
                <w:vertAlign w:val="baseline"/>
                <w:lang w:val="en-US" w:eastAsia="zh-CN"/>
              </w:rPr>
              <w:t>ISO/IEC27001 信息安全管理体系认证、ISO/IEC20000 信息技术服务管理体系认证证书，每提供1个得2分，满分6分，不提供不得分。（提供有效的证书复印件，否则不得分）。</w:t>
            </w:r>
          </w:p>
          <w:p w14:paraId="4D9718B2">
            <w:pPr>
              <w:snapToGrid/>
              <w:spacing w:line="360" w:lineRule="auto"/>
              <w:jc w:val="left"/>
              <w:rPr>
                <w:rFonts w:hint="eastAsia" w:ascii="Times New Roman" w:hAnsi="宋体" w:eastAsia="宋体" w:cs="Times New Roman"/>
                <w:bCs/>
                <w:color w:val="auto"/>
                <w:kern w:val="2"/>
                <w:sz w:val="21"/>
                <w:szCs w:val="24"/>
                <w:highlight w:val="none"/>
              </w:rPr>
            </w:pPr>
            <w:r>
              <w:rPr>
                <w:rFonts w:hint="eastAsia" w:ascii="Times New Roman" w:hAnsi="宋体" w:eastAsia="宋体" w:cs="Times New Roman"/>
                <w:bCs/>
                <w:color w:val="auto"/>
                <w:kern w:val="2"/>
                <w:szCs w:val="24"/>
                <w:highlight w:val="none"/>
                <w:lang w:val="en-US" w:eastAsia="zh-CN" w:bidi="ar"/>
              </w:rPr>
              <w:t>2.</w:t>
            </w:r>
            <w:r>
              <w:rPr>
                <w:rFonts w:hint="eastAsia" w:ascii="Times New Roman" w:hAnsi="宋体" w:eastAsia="宋体" w:cs="Times New Roman"/>
                <w:bCs/>
                <w:color w:val="auto"/>
                <w:kern w:val="2"/>
                <w:szCs w:val="24"/>
                <w:highlight w:val="none"/>
                <w:lang w:eastAsia="zh-CN" w:bidi="ar"/>
              </w:rPr>
              <w:t>供应商</w:t>
            </w:r>
            <w:r>
              <w:rPr>
                <w:rFonts w:hint="eastAsia" w:ascii="Times New Roman" w:hAnsi="宋体" w:eastAsia="宋体" w:cs="Times New Roman"/>
                <w:bCs/>
                <w:color w:val="auto"/>
                <w:kern w:val="2"/>
                <w:szCs w:val="24"/>
                <w:highlight w:val="none"/>
                <w:lang w:bidi="ar"/>
              </w:rPr>
              <w:t>具有本次建设内容相关的软件著作权证书，</w:t>
            </w:r>
            <w:r>
              <w:rPr>
                <w:rFonts w:hint="eastAsia" w:ascii="Times New Roman" w:hAnsi="宋体" w:eastAsia="宋体" w:cs="Times New Roman"/>
                <w:bCs/>
                <w:color w:val="auto"/>
                <w:kern w:val="2"/>
                <w:szCs w:val="24"/>
                <w:highlight w:val="none"/>
              </w:rPr>
              <w:t>每提供1个得1分，满分</w:t>
            </w:r>
            <w:r>
              <w:rPr>
                <w:rFonts w:hint="eastAsia" w:ascii="Times New Roman" w:hAnsi="宋体" w:eastAsia="宋体" w:cs="Times New Roman"/>
                <w:bCs/>
                <w:color w:val="auto"/>
                <w:kern w:val="2"/>
                <w:szCs w:val="24"/>
                <w:highlight w:val="none"/>
                <w:lang w:val="en-US" w:eastAsia="zh-CN"/>
              </w:rPr>
              <w:t>4</w:t>
            </w:r>
            <w:r>
              <w:rPr>
                <w:rFonts w:hint="eastAsia" w:ascii="Times New Roman" w:hAnsi="宋体" w:eastAsia="宋体" w:cs="Times New Roman"/>
                <w:bCs/>
                <w:color w:val="auto"/>
                <w:kern w:val="2"/>
                <w:szCs w:val="24"/>
                <w:highlight w:val="none"/>
              </w:rPr>
              <w:t>分</w:t>
            </w:r>
            <w:r>
              <w:rPr>
                <w:rFonts w:hint="eastAsia" w:ascii="Times New Roman" w:hAnsi="宋体" w:eastAsia="宋体" w:cs="Times New Roman"/>
                <w:bCs/>
                <w:color w:val="auto"/>
                <w:kern w:val="2"/>
                <w:sz w:val="21"/>
                <w:szCs w:val="24"/>
                <w:highlight w:val="none"/>
                <w:vertAlign w:val="baseline"/>
                <w:lang w:val="en-US" w:eastAsia="zh-CN"/>
              </w:rPr>
              <w:t>（提供有效的证书复印件，且证书内容不得相似，</w:t>
            </w:r>
            <w:r>
              <w:rPr>
                <w:rFonts w:hint="eastAsia" w:ascii="Times New Roman" w:hAnsi="宋体" w:eastAsia="宋体" w:cs="Times New Roman"/>
                <w:bCs/>
                <w:color w:val="auto"/>
                <w:kern w:val="2"/>
                <w:szCs w:val="24"/>
                <w:highlight w:val="none"/>
              </w:rPr>
              <w:t>否则不得分</w:t>
            </w:r>
            <w:r>
              <w:rPr>
                <w:rFonts w:hint="eastAsia" w:ascii="Times New Roman" w:hAnsi="宋体" w:eastAsia="宋体" w:cs="Times New Roman"/>
                <w:bCs/>
                <w:color w:val="auto"/>
                <w:kern w:val="2"/>
                <w:sz w:val="21"/>
                <w:szCs w:val="24"/>
                <w:highlight w:val="none"/>
                <w:vertAlign w:val="baseline"/>
                <w:lang w:val="en-US" w:eastAsia="zh-CN"/>
              </w:rPr>
              <w:t>）。</w:t>
            </w:r>
          </w:p>
        </w:tc>
        <w:tc>
          <w:tcPr>
            <w:tcW w:w="851" w:type="dxa"/>
            <w:vAlign w:val="center"/>
          </w:tcPr>
          <w:p w14:paraId="4874B6B2">
            <w:pPr>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color w:val="auto"/>
                <w:szCs w:val="21"/>
                <w:highlight w:val="none"/>
              </w:rPr>
              <w:t>（客观</w:t>
            </w:r>
            <w:r>
              <w:rPr>
                <w:rFonts w:hint="eastAsia"/>
                <w:color w:val="auto"/>
                <w:szCs w:val="21"/>
                <w:highlight w:val="none"/>
                <w:lang w:val="en-US" w:eastAsia="zh-CN"/>
              </w:rPr>
              <w:t>分</w:t>
            </w:r>
            <w:r>
              <w:rPr>
                <w:rFonts w:hint="eastAsia"/>
                <w:color w:val="auto"/>
                <w:szCs w:val="21"/>
                <w:highlight w:val="none"/>
              </w:rPr>
              <w:t>）</w:t>
            </w:r>
          </w:p>
        </w:tc>
      </w:tr>
      <w:tr w14:paraId="1EE6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vAlign w:val="center"/>
          </w:tcPr>
          <w:p w14:paraId="157E682C">
            <w:pPr>
              <w:widowControl/>
              <w:spacing w:line="360" w:lineRule="auto"/>
              <w:rPr>
                <w:rFonts w:ascii="宋体" w:hAnsi="宋体" w:cs="宋体"/>
                <w:color w:val="auto"/>
                <w:kern w:val="0"/>
                <w:sz w:val="21"/>
                <w:szCs w:val="21"/>
                <w:highlight w:val="none"/>
              </w:rPr>
            </w:pPr>
            <w:r>
              <w:rPr>
                <w:rFonts w:hint="eastAsia" w:ascii="宋体" w:hAnsi="宋体" w:cs="宋体"/>
                <w:bCs/>
                <w:color w:val="auto"/>
                <w:sz w:val="21"/>
                <w:szCs w:val="21"/>
                <w:highlight w:val="none"/>
              </w:rPr>
              <w:t>总得分＝1＋2＋3</w:t>
            </w:r>
          </w:p>
        </w:tc>
      </w:tr>
    </w:tbl>
    <w:p w14:paraId="5914C77B">
      <w:pPr>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87C1DAD">
      <w:pPr>
        <w:rPr>
          <w:color w:val="auto"/>
          <w:highlight w:val="none"/>
        </w:rPr>
      </w:pPr>
    </w:p>
    <w:p w14:paraId="02A2960B">
      <w:pPr>
        <w:pStyle w:val="5"/>
        <w:jc w:val="center"/>
        <w:rPr>
          <w:rFonts w:ascii="宋体" w:hAnsi="宋体" w:cs="宋体"/>
          <w:color w:val="auto"/>
          <w:highlight w:val="none"/>
        </w:rPr>
      </w:pPr>
      <w:bookmarkStart w:id="66" w:name="_Toc9613"/>
      <w:r>
        <w:rPr>
          <w:rFonts w:hint="eastAsia" w:ascii="宋体" w:hAnsi="宋体" w:cs="宋体"/>
          <w:color w:val="auto"/>
          <w:highlight w:val="none"/>
        </w:rPr>
        <w:br w:type="page"/>
      </w:r>
      <w:bookmarkStart w:id="67" w:name="_Toc28697"/>
      <w:r>
        <w:rPr>
          <w:rFonts w:hint="eastAsia" w:ascii="宋体" w:hAnsi="宋体" w:cs="宋体"/>
          <w:color w:val="auto"/>
          <w:highlight w:val="none"/>
        </w:rPr>
        <w:t>第五章响应文件格式</w:t>
      </w:r>
      <w:bookmarkEnd w:id="66"/>
      <w:bookmarkEnd w:id="67"/>
    </w:p>
    <w:p w14:paraId="50A59CB6">
      <w:pPr>
        <w:pStyle w:val="5"/>
        <w:rPr>
          <w:rFonts w:ascii="宋体" w:hAnsi="宋体" w:cs="宋体"/>
          <w:color w:val="auto"/>
          <w:highlight w:val="none"/>
        </w:rPr>
      </w:pPr>
      <w:bookmarkStart w:id="68" w:name="_Toc44229899"/>
      <w:bookmarkStart w:id="69" w:name="_Toc35611516"/>
      <w:bookmarkStart w:id="70" w:name="_Toc3161"/>
      <w:bookmarkStart w:id="71" w:name="_Toc31728084"/>
      <w:bookmarkStart w:id="72" w:name="_Toc35611438"/>
      <w:bookmarkStart w:id="73" w:name="_Toc23228"/>
      <w:bookmarkStart w:id="74" w:name="_Toc31723070"/>
      <w:r>
        <w:rPr>
          <w:rFonts w:hint="eastAsia" w:ascii="宋体" w:hAnsi="宋体" w:cs="宋体"/>
          <w:color w:val="auto"/>
          <w:highlight w:val="none"/>
        </w:rPr>
        <w:t>一、资格证明文件格式</w:t>
      </w:r>
      <w:bookmarkEnd w:id="68"/>
      <w:bookmarkEnd w:id="69"/>
      <w:bookmarkEnd w:id="70"/>
      <w:bookmarkEnd w:id="71"/>
      <w:bookmarkEnd w:id="72"/>
      <w:bookmarkEnd w:id="73"/>
      <w:bookmarkEnd w:id="74"/>
    </w:p>
    <w:p w14:paraId="3D8990BB">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3F2D4DB9">
      <w:pPr>
        <w:snapToGrid w:val="0"/>
        <w:spacing w:before="156" w:beforeLines="50" w:after="50"/>
        <w:rPr>
          <w:rFonts w:ascii="宋体" w:hAnsi="宋体" w:cs="宋体"/>
          <w:bCs/>
          <w:color w:val="auto"/>
          <w:sz w:val="32"/>
          <w:szCs w:val="20"/>
          <w:highlight w:val="none"/>
        </w:rPr>
      </w:pPr>
      <w:r>
        <w:rPr>
          <w:rFonts w:hint="eastAsia" w:ascii="宋体" w:hAnsi="宋体" w:cs="宋体"/>
          <w:bCs/>
          <w:color w:val="auto"/>
          <w:sz w:val="24"/>
          <w:highlight w:val="none"/>
        </w:rPr>
        <w:t>电子响应文件</w:t>
      </w:r>
    </w:p>
    <w:p w14:paraId="43956DC5">
      <w:pPr>
        <w:snapToGrid w:val="0"/>
        <w:spacing w:before="156" w:beforeLines="50" w:after="50"/>
        <w:rPr>
          <w:rFonts w:ascii="宋体" w:hAnsi="宋体" w:cs="宋体"/>
          <w:color w:val="auto"/>
          <w:sz w:val="24"/>
          <w:szCs w:val="20"/>
          <w:highlight w:val="none"/>
        </w:rPr>
      </w:pPr>
    </w:p>
    <w:p w14:paraId="10F35178">
      <w:pPr>
        <w:snapToGrid w:val="0"/>
        <w:spacing w:before="156" w:beforeLines="50" w:after="50"/>
        <w:rPr>
          <w:rFonts w:ascii="宋体" w:hAnsi="宋体" w:cs="宋体"/>
          <w:color w:val="auto"/>
          <w:sz w:val="24"/>
          <w:szCs w:val="20"/>
          <w:highlight w:val="none"/>
        </w:rPr>
      </w:pPr>
    </w:p>
    <w:p w14:paraId="04E6FA16">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w:t>
      </w:r>
    </w:p>
    <w:p w14:paraId="3B26D56B">
      <w:pPr>
        <w:snapToGrid w:val="0"/>
        <w:spacing w:before="156" w:beforeLines="50" w:after="50"/>
        <w:rPr>
          <w:rFonts w:ascii="宋体" w:hAnsi="宋体" w:cs="宋体"/>
          <w:bCs/>
          <w:color w:val="auto"/>
          <w:sz w:val="24"/>
          <w:szCs w:val="20"/>
          <w:highlight w:val="none"/>
        </w:rPr>
      </w:pPr>
    </w:p>
    <w:p w14:paraId="09B2BC02">
      <w:pPr>
        <w:snapToGrid w:val="0"/>
        <w:spacing w:before="156" w:beforeLines="50" w:after="50"/>
        <w:rPr>
          <w:rFonts w:ascii="宋体" w:hAnsi="宋体" w:cs="宋体"/>
          <w:bCs/>
          <w:color w:val="auto"/>
          <w:sz w:val="24"/>
          <w:szCs w:val="20"/>
          <w:highlight w:val="none"/>
        </w:rPr>
      </w:pPr>
    </w:p>
    <w:p w14:paraId="2B100AA4">
      <w:pPr>
        <w:snapToGrid w:val="0"/>
        <w:spacing w:before="156" w:beforeLines="50" w:after="50"/>
        <w:rPr>
          <w:rFonts w:ascii="宋体" w:hAnsi="宋体" w:cs="宋体"/>
          <w:bCs/>
          <w:color w:val="auto"/>
          <w:sz w:val="24"/>
          <w:szCs w:val="20"/>
          <w:highlight w:val="none"/>
        </w:rPr>
      </w:pPr>
    </w:p>
    <w:p w14:paraId="20151C3C">
      <w:pPr>
        <w:snapToGrid w:val="0"/>
        <w:spacing w:before="156" w:beforeLines="50" w:after="50"/>
        <w:rPr>
          <w:rFonts w:ascii="宋体" w:hAnsi="宋体" w:cs="宋体"/>
          <w:bCs/>
          <w:color w:val="auto"/>
          <w:sz w:val="24"/>
          <w:szCs w:val="20"/>
          <w:highlight w:val="none"/>
        </w:rPr>
      </w:pPr>
    </w:p>
    <w:p w14:paraId="250228B3">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925C1B0">
      <w:pPr>
        <w:snapToGrid w:val="0"/>
        <w:spacing w:before="156" w:beforeLines="50" w:after="50"/>
        <w:ind w:firstLine="720" w:firstLineChars="225"/>
        <w:rPr>
          <w:rFonts w:ascii="宋体" w:hAnsi="宋体" w:cs="宋体"/>
          <w:bCs/>
          <w:color w:val="auto"/>
          <w:sz w:val="32"/>
          <w:szCs w:val="32"/>
          <w:highlight w:val="none"/>
        </w:rPr>
      </w:pPr>
    </w:p>
    <w:p w14:paraId="308BFFC6">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F391F3C">
      <w:pPr>
        <w:snapToGrid w:val="0"/>
        <w:spacing w:before="156" w:beforeLines="50" w:after="50"/>
        <w:ind w:firstLine="720" w:firstLineChars="225"/>
        <w:rPr>
          <w:rFonts w:ascii="宋体" w:hAnsi="宋体" w:cs="宋体"/>
          <w:bCs/>
          <w:color w:val="auto"/>
          <w:sz w:val="32"/>
          <w:szCs w:val="32"/>
          <w:highlight w:val="none"/>
        </w:rPr>
      </w:pPr>
    </w:p>
    <w:p w14:paraId="46D94771">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86E74E3">
      <w:pPr>
        <w:snapToGrid w:val="0"/>
        <w:spacing w:before="156" w:beforeLines="50" w:after="50"/>
        <w:ind w:firstLine="720" w:firstLineChars="225"/>
        <w:rPr>
          <w:rFonts w:ascii="宋体" w:hAnsi="宋体" w:cs="宋体"/>
          <w:bCs/>
          <w:color w:val="auto"/>
          <w:sz w:val="32"/>
          <w:szCs w:val="32"/>
          <w:highlight w:val="none"/>
        </w:rPr>
      </w:pPr>
    </w:p>
    <w:p w14:paraId="6C179808">
      <w:pPr>
        <w:pStyle w:val="11"/>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A755CF9">
      <w:pPr>
        <w:pStyle w:val="11"/>
        <w:snapToGrid w:val="0"/>
        <w:spacing w:before="50" w:after="50"/>
        <w:ind w:firstLine="1280" w:firstLineChars="400"/>
        <w:rPr>
          <w:rFonts w:ascii="宋体" w:hAnsi="宋体" w:cs="宋体"/>
          <w:bCs/>
          <w:color w:val="auto"/>
          <w:sz w:val="32"/>
          <w:szCs w:val="32"/>
          <w:highlight w:val="none"/>
        </w:rPr>
      </w:pPr>
    </w:p>
    <w:p w14:paraId="4601163D">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年月日</w:t>
      </w:r>
    </w:p>
    <w:p w14:paraId="77766BC4">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6919EA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cs="宋体"/>
          <w:color w:val="auto"/>
          <w:kern w:val="0"/>
          <w:sz w:val="24"/>
          <w:highlight w:val="none"/>
        </w:rPr>
        <w:t>…（页码）</w:t>
      </w:r>
    </w:p>
    <w:p w14:paraId="196129E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二、供应商依法缴纳税收的相关材料[近半年内任意连续</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页码）</w:t>
      </w:r>
    </w:p>
    <w:p w14:paraId="44C153A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三、供应商依法缴纳社会保障资金的相关材料[近半年内任意连续</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页码）</w:t>
      </w:r>
    </w:p>
    <w:p w14:paraId="7108BA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财务状况报告2024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color w:val="auto"/>
          <w:kern w:val="0"/>
          <w:sz w:val="24"/>
          <w:highlight w:val="none"/>
        </w:rPr>
        <w:t>…………………………（页码）</w:t>
      </w:r>
    </w:p>
    <w:p w14:paraId="147F2A3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五、供应商直接控股、管理关系信息表</w:t>
      </w:r>
      <w:r>
        <w:rPr>
          <w:rFonts w:hint="eastAsia" w:ascii="宋体" w:hAnsi="宋体" w:cs="宋体"/>
          <w:color w:val="auto"/>
          <w:kern w:val="0"/>
          <w:sz w:val="24"/>
          <w:highlight w:val="none"/>
        </w:rPr>
        <w:t>…………………………………………（页码）</w:t>
      </w:r>
    </w:p>
    <w:p w14:paraId="043CD9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六、竞标声明………………………………………………………………………（页码）</w:t>
      </w:r>
    </w:p>
    <w:p w14:paraId="660AFE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七、联合体协议书……………………………………………………………………（页码）</w:t>
      </w:r>
    </w:p>
    <w:p w14:paraId="09854E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、除磋商文件规定必须提供以外，供应商认为需要提供的其他证明材料…（页码）</w:t>
      </w:r>
    </w:p>
    <w:p w14:paraId="764DF9E6">
      <w:pPr>
        <w:rPr>
          <w:rFonts w:ascii="宋体" w:hAnsi="宋体" w:cs="宋体"/>
          <w:color w:val="auto"/>
          <w:sz w:val="24"/>
          <w:highlight w:val="none"/>
        </w:rPr>
      </w:pPr>
    </w:p>
    <w:p w14:paraId="46DEDF5B">
      <w:pPr>
        <w:snapToGrid w:val="0"/>
        <w:spacing w:before="156" w:beforeLines="50" w:after="50" w:line="360" w:lineRule="auto"/>
        <w:ind w:firstLine="645"/>
        <w:rPr>
          <w:rFonts w:ascii="宋体" w:hAnsi="宋体" w:cs="宋体"/>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r>
        <w:rPr>
          <w:rFonts w:hint="eastAsia" w:ascii="宋体" w:hAnsi="宋体" w:cs="宋体"/>
          <w:color w:val="auto"/>
          <w:sz w:val="24"/>
          <w:highlight w:val="none"/>
        </w:rPr>
        <w:t>。</w:t>
      </w:r>
    </w:p>
    <w:p w14:paraId="6CAD58FE">
      <w:pPr>
        <w:pStyle w:val="21"/>
        <w:rPr>
          <w:rFonts w:ascii="宋体" w:hAnsi="宋体" w:cs="宋体"/>
          <w:color w:val="auto"/>
          <w:highlight w:val="none"/>
        </w:rPr>
      </w:pPr>
    </w:p>
    <w:p w14:paraId="1625648D">
      <w:pPr>
        <w:snapToGrid w:val="0"/>
        <w:spacing w:before="156" w:beforeLines="50" w:after="50"/>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color w:val="auto"/>
          <w:sz w:val="28"/>
          <w:szCs w:val="28"/>
          <w:highlight w:val="none"/>
        </w:rPr>
        <w:t>一、供应商为法人或者其他组织的提供其营业执照等证明文件（如营业执照或者事业单位法人证书或者执业许可证等），供应商为自然人的提供其身份证复印件</w:t>
      </w:r>
    </w:p>
    <w:p w14:paraId="0634FB5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58D71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日期：年月日</w:t>
      </w:r>
    </w:p>
    <w:p w14:paraId="29414272">
      <w:pPr>
        <w:pStyle w:val="21"/>
        <w:rPr>
          <w:rFonts w:ascii="宋体" w:hAnsi="宋体" w:cs="宋体"/>
          <w:color w:val="auto"/>
          <w:highlight w:val="none"/>
        </w:rPr>
      </w:pPr>
    </w:p>
    <w:p w14:paraId="338A2D9F">
      <w:pPr>
        <w:pStyle w:val="21"/>
        <w:rPr>
          <w:rFonts w:ascii="宋体" w:hAnsi="宋体" w:cs="宋体"/>
          <w:color w:val="auto"/>
          <w:highlight w:val="none"/>
        </w:rPr>
      </w:pPr>
    </w:p>
    <w:p w14:paraId="1ED3E9C9">
      <w:pPr>
        <w:pStyle w:val="21"/>
        <w:rPr>
          <w:rFonts w:ascii="宋体" w:hAnsi="宋体" w:cs="宋体"/>
          <w:b/>
          <w:color w:val="auto"/>
          <w:sz w:val="28"/>
          <w:szCs w:val="28"/>
          <w:highlight w:val="none"/>
        </w:rPr>
      </w:pPr>
      <w:r>
        <w:rPr>
          <w:rFonts w:hint="eastAsia" w:ascii="宋体" w:hAnsi="宋体" w:cs="宋体"/>
          <w:b/>
          <w:color w:val="auto"/>
          <w:sz w:val="28"/>
          <w:szCs w:val="28"/>
          <w:highlight w:val="none"/>
        </w:rPr>
        <w:t>二、供应商依法缴纳税收的相关材料[近半年内任意连续</w:t>
      </w: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14:paraId="43832799">
      <w:pPr>
        <w:pStyle w:val="21"/>
        <w:rPr>
          <w:rFonts w:ascii="宋体" w:hAnsi="宋体" w:cs="宋体"/>
          <w:color w:val="auto"/>
          <w:highlight w:val="none"/>
        </w:rPr>
      </w:pPr>
    </w:p>
    <w:p w14:paraId="653522D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802F64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日期：年月日</w:t>
      </w:r>
    </w:p>
    <w:p w14:paraId="2EA41775">
      <w:pPr>
        <w:pStyle w:val="21"/>
        <w:rPr>
          <w:rFonts w:ascii="宋体" w:hAnsi="宋体" w:cs="宋体"/>
          <w:color w:val="auto"/>
          <w:highlight w:val="none"/>
        </w:rPr>
      </w:pPr>
    </w:p>
    <w:p w14:paraId="344745E3">
      <w:pPr>
        <w:pStyle w:val="21"/>
        <w:rPr>
          <w:rFonts w:ascii="宋体" w:hAnsi="宋体" w:cs="宋体"/>
          <w:color w:val="auto"/>
          <w:highlight w:val="none"/>
        </w:rPr>
      </w:pPr>
    </w:p>
    <w:p w14:paraId="0E902419">
      <w:pPr>
        <w:pStyle w:val="21"/>
        <w:rPr>
          <w:rFonts w:ascii="宋体" w:hAnsi="宋体" w:cs="宋体"/>
          <w:b/>
          <w:color w:val="auto"/>
          <w:sz w:val="28"/>
          <w:szCs w:val="28"/>
          <w:highlight w:val="none"/>
        </w:rPr>
      </w:pPr>
      <w:r>
        <w:rPr>
          <w:rFonts w:hint="eastAsia" w:ascii="宋体" w:hAnsi="宋体" w:cs="宋体"/>
          <w:b/>
          <w:color w:val="auto"/>
          <w:sz w:val="28"/>
          <w:szCs w:val="28"/>
          <w:highlight w:val="none"/>
        </w:rPr>
        <w:t>三、供应商依法缴纳社会保障资金的相关材料[近半年内任意连续</w:t>
      </w: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p>
    <w:p w14:paraId="469DF91E">
      <w:pPr>
        <w:pStyle w:val="21"/>
        <w:rPr>
          <w:rFonts w:ascii="宋体" w:hAnsi="宋体" w:cs="宋体"/>
          <w:color w:val="auto"/>
          <w:sz w:val="24"/>
          <w:highlight w:val="none"/>
        </w:rPr>
      </w:pPr>
    </w:p>
    <w:p w14:paraId="17660240">
      <w:pPr>
        <w:pStyle w:val="21"/>
        <w:rPr>
          <w:rFonts w:ascii="宋体" w:hAnsi="宋体" w:cs="宋体"/>
          <w:color w:val="auto"/>
          <w:sz w:val="24"/>
          <w:highlight w:val="none"/>
        </w:rPr>
      </w:pPr>
    </w:p>
    <w:p w14:paraId="0064862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2CC8130">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日期：年月日</w:t>
      </w:r>
    </w:p>
    <w:p w14:paraId="173BBB97">
      <w:pPr>
        <w:pStyle w:val="21"/>
        <w:rPr>
          <w:rFonts w:ascii="宋体" w:hAnsi="宋体" w:cs="宋体"/>
          <w:color w:val="auto"/>
          <w:highlight w:val="none"/>
        </w:rPr>
      </w:pPr>
    </w:p>
    <w:p w14:paraId="01161684">
      <w:pPr>
        <w:pStyle w:val="21"/>
        <w:rPr>
          <w:rFonts w:ascii="宋体" w:hAnsi="宋体" w:cs="宋体"/>
          <w:color w:val="auto"/>
          <w:highlight w:val="none"/>
        </w:rPr>
      </w:pPr>
    </w:p>
    <w:p w14:paraId="76BCF368">
      <w:pPr>
        <w:pStyle w:val="21"/>
        <w:rPr>
          <w:rFonts w:ascii="宋体" w:hAnsi="宋体" w:cs="宋体"/>
          <w:b/>
          <w:color w:val="auto"/>
          <w:sz w:val="28"/>
          <w:szCs w:val="28"/>
          <w:highlight w:val="none"/>
        </w:rPr>
      </w:pPr>
      <w:r>
        <w:rPr>
          <w:rFonts w:hint="eastAsia" w:ascii="宋体" w:hAnsi="宋体" w:cs="宋体"/>
          <w:b/>
          <w:color w:val="auto"/>
          <w:sz w:val="28"/>
          <w:szCs w:val="28"/>
          <w:highlight w:val="none"/>
        </w:rPr>
        <w:t>四、供应商财务状况报告2024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p>
    <w:p w14:paraId="58B0D6CB">
      <w:pPr>
        <w:pStyle w:val="21"/>
        <w:rPr>
          <w:rFonts w:ascii="宋体" w:hAnsi="宋体" w:cs="宋体"/>
          <w:color w:val="auto"/>
          <w:highlight w:val="none"/>
        </w:rPr>
      </w:pPr>
    </w:p>
    <w:p w14:paraId="542727B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5BAD29F">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日期：年月日</w:t>
      </w:r>
    </w:p>
    <w:p w14:paraId="6833E44F">
      <w:pPr>
        <w:spacing w:line="300" w:lineRule="auto"/>
        <w:rPr>
          <w:rFonts w:ascii="宋体" w:hAnsi="宋体" w:cs="宋体"/>
          <w:color w:val="auto"/>
          <w:szCs w:val="21"/>
          <w:highlight w:val="none"/>
        </w:rPr>
      </w:pPr>
    </w:p>
    <w:p w14:paraId="3FC7977C">
      <w:pPr>
        <w:spacing w:line="320" w:lineRule="exact"/>
        <w:jc w:val="left"/>
        <w:rPr>
          <w:rFonts w:ascii="宋体" w:hAnsi="宋体" w:cs="宋体"/>
          <w:color w:val="auto"/>
          <w:szCs w:val="21"/>
          <w:highlight w:val="none"/>
        </w:rPr>
      </w:pPr>
    </w:p>
    <w:p w14:paraId="394E1E6E">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五、供应商直接控股、管理关系信息表</w:t>
      </w:r>
    </w:p>
    <w:p w14:paraId="0044A495">
      <w:pPr>
        <w:snapToGrid w:val="0"/>
        <w:spacing w:before="156" w:beforeLines="50" w:after="50" w:line="360" w:lineRule="auto"/>
        <w:jc w:val="center"/>
        <w:rPr>
          <w:rFonts w:ascii="宋体" w:hAnsi="宋体" w:cs="宋体"/>
          <w:b/>
          <w:color w:val="auto"/>
          <w:sz w:val="24"/>
          <w:highlight w:val="none"/>
        </w:rPr>
      </w:pPr>
    </w:p>
    <w:p w14:paraId="757988A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79060B1B">
      <w:pPr>
        <w:snapToGrid w:val="0"/>
        <w:spacing w:before="50" w:after="156" w:afterLines="50" w:line="360" w:lineRule="auto"/>
        <w:jc w:val="center"/>
        <w:rPr>
          <w:rFonts w:ascii="宋体" w:hAnsi="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DCD642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2AD7F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3190F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C4CB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96F4B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00F5B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734AF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9E922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215908">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C20055">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2352E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8CBF06">
            <w:pPr>
              <w:widowControl/>
              <w:spacing w:line="360" w:lineRule="auto"/>
              <w:jc w:val="center"/>
              <w:rPr>
                <w:rFonts w:ascii="宋体" w:hAnsi="宋体" w:cs="宋体"/>
                <w:color w:val="auto"/>
                <w:kern w:val="0"/>
                <w:sz w:val="24"/>
                <w:highlight w:val="none"/>
              </w:rPr>
            </w:pPr>
          </w:p>
        </w:tc>
      </w:tr>
      <w:tr w14:paraId="072CEC4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F5C37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39E010">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E552E">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9C8C92">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57C641">
            <w:pPr>
              <w:widowControl/>
              <w:spacing w:line="360" w:lineRule="auto"/>
              <w:jc w:val="center"/>
              <w:rPr>
                <w:rFonts w:ascii="宋体" w:hAnsi="宋体" w:cs="宋体"/>
                <w:color w:val="auto"/>
                <w:kern w:val="0"/>
                <w:sz w:val="24"/>
                <w:highlight w:val="none"/>
              </w:rPr>
            </w:pPr>
          </w:p>
        </w:tc>
      </w:tr>
      <w:tr w14:paraId="258548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3C29F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6D5B4D">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B382E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B77C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70C3E6">
            <w:pPr>
              <w:widowControl/>
              <w:spacing w:line="360" w:lineRule="auto"/>
              <w:jc w:val="center"/>
              <w:rPr>
                <w:rFonts w:ascii="宋体" w:hAnsi="宋体" w:cs="宋体"/>
                <w:color w:val="auto"/>
                <w:kern w:val="0"/>
                <w:sz w:val="24"/>
                <w:highlight w:val="none"/>
              </w:rPr>
            </w:pPr>
          </w:p>
        </w:tc>
      </w:tr>
      <w:tr w14:paraId="6979F41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D9BF4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E2A450">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3C82A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13B34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77746E">
            <w:pPr>
              <w:widowControl/>
              <w:spacing w:line="360" w:lineRule="auto"/>
              <w:jc w:val="center"/>
              <w:rPr>
                <w:rFonts w:ascii="宋体" w:hAnsi="宋体" w:cs="宋体"/>
                <w:color w:val="auto"/>
                <w:kern w:val="0"/>
                <w:sz w:val="24"/>
                <w:highlight w:val="none"/>
              </w:rPr>
            </w:pPr>
          </w:p>
        </w:tc>
      </w:tr>
    </w:tbl>
    <w:p w14:paraId="60E32F8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01A6B8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D7C27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797FD1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528E95F">
      <w:pPr>
        <w:snapToGrid w:val="0"/>
        <w:spacing w:line="360" w:lineRule="auto"/>
        <w:jc w:val="left"/>
        <w:rPr>
          <w:rFonts w:ascii="宋体" w:hAnsi="宋体" w:cs="宋体"/>
          <w:color w:val="auto"/>
          <w:sz w:val="24"/>
          <w:highlight w:val="none"/>
        </w:rPr>
      </w:pPr>
    </w:p>
    <w:p w14:paraId="282B164E">
      <w:pPr>
        <w:snapToGrid w:val="0"/>
        <w:spacing w:line="360" w:lineRule="auto"/>
        <w:jc w:val="left"/>
        <w:rPr>
          <w:rFonts w:ascii="宋体" w:hAnsi="宋体" w:cs="宋体"/>
          <w:color w:val="auto"/>
          <w:sz w:val="24"/>
          <w:highlight w:val="none"/>
        </w:rPr>
      </w:pPr>
    </w:p>
    <w:p w14:paraId="1285415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A13950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日期：年月日</w:t>
      </w:r>
    </w:p>
    <w:p w14:paraId="3709F5A9">
      <w:pPr>
        <w:pStyle w:val="21"/>
        <w:rPr>
          <w:rFonts w:ascii="宋体" w:hAnsi="宋体" w:cs="宋体"/>
          <w:color w:val="auto"/>
          <w:highlight w:val="none"/>
        </w:rPr>
      </w:pPr>
    </w:p>
    <w:p w14:paraId="22E97814">
      <w:pPr>
        <w:pStyle w:val="21"/>
        <w:rPr>
          <w:rFonts w:ascii="宋体" w:hAnsi="宋体" w:cs="宋体"/>
          <w:color w:val="auto"/>
          <w:highlight w:val="none"/>
        </w:rPr>
      </w:pPr>
    </w:p>
    <w:p w14:paraId="0476AEFF">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7B0CA463">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45519579">
      <w:pPr>
        <w:snapToGrid w:val="0"/>
        <w:spacing w:line="360" w:lineRule="auto"/>
        <w:jc w:val="center"/>
        <w:rPr>
          <w:rFonts w:ascii="宋体" w:hAnsi="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42F64E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9314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209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2ECA2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9D399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59D252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3D154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B5ABD0">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87909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0B866F">
            <w:pPr>
              <w:widowControl/>
              <w:spacing w:line="360" w:lineRule="auto"/>
              <w:jc w:val="center"/>
              <w:rPr>
                <w:rFonts w:ascii="宋体" w:hAnsi="宋体" w:cs="宋体"/>
                <w:color w:val="auto"/>
                <w:kern w:val="0"/>
                <w:sz w:val="24"/>
                <w:highlight w:val="none"/>
              </w:rPr>
            </w:pPr>
          </w:p>
        </w:tc>
      </w:tr>
      <w:tr w14:paraId="589304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50C60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62D07D">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4F53F">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A0351">
            <w:pPr>
              <w:widowControl/>
              <w:spacing w:line="360" w:lineRule="auto"/>
              <w:jc w:val="center"/>
              <w:rPr>
                <w:rFonts w:ascii="宋体" w:hAnsi="宋体" w:cs="宋体"/>
                <w:color w:val="auto"/>
                <w:kern w:val="0"/>
                <w:sz w:val="24"/>
                <w:highlight w:val="none"/>
              </w:rPr>
            </w:pPr>
          </w:p>
        </w:tc>
      </w:tr>
      <w:tr w14:paraId="0DDD5CA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3FF20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4F292">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8917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80E998">
            <w:pPr>
              <w:widowControl/>
              <w:spacing w:line="360" w:lineRule="auto"/>
              <w:jc w:val="center"/>
              <w:rPr>
                <w:rFonts w:ascii="宋体" w:hAnsi="宋体" w:cs="宋体"/>
                <w:color w:val="auto"/>
                <w:kern w:val="0"/>
                <w:sz w:val="24"/>
                <w:highlight w:val="none"/>
              </w:rPr>
            </w:pPr>
          </w:p>
        </w:tc>
      </w:tr>
      <w:tr w14:paraId="21ECA59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2EC78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5098A2">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791FC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ED5CAF">
            <w:pPr>
              <w:widowControl/>
              <w:spacing w:line="360" w:lineRule="auto"/>
              <w:jc w:val="center"/>
              <w:rPr>
                <w:rFonts w:ascii="宋体" w:hAnsi="宋体" w:cs="宋体"/>
                <w:color w:val="auto"/>
                <w:kern w:val="0"/>
                <w:sz w:val="24"/>
                <w:highlight w:val="none"/>
              </w:rPr>
            </w:pPr>
          </w:p>
        </w:tc>
      </w:tr>
    </w:tbl>
    <w:p w14:paraId="2718D94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9CAC46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77A2F3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6B5B01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85DD64D">
      <w:pPr>
        <w:snapToGrid w:val="0"/>
        <w:spacing w:line="360" w:lineRule="auto"/>
        <w:jc w:val="left"/>
        <w:rPr>
          <w:rFonts w:ascii="宋体" w:hAnsi="宋体" w:cs="宋体"/>
          <w:color w:val="auto"/>
          <w:sz w:val="24"/>
          <w:highlight w:val="none"/>
        </w:rPr>
      </w:pPr>
    </w:p>
    <w:p w14:paraId="6D5928D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9987ED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日期：年月日</w:t>
      </w:r>
    </w:p>
    <w:p w14:paraId="5EEC673E">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六、竞标声明</w:t>
      </w:r>
    </w:p>
    <w:p w14:paraId="3AA6D00E">
      <w:pPr>
        <w:spacing w:line="320" w:lineRule="exact"/>
        <w:jc w:val="center"/>
        <w:rPr>
          <w:rFonts w:ascii="宋体" w:hAnsi="宋体" w:cs="宋体"/>
          <w:color w:val="auto"/>
          <w:sz w:val="24"/>
          <w:szCs w:val="20"/>
          <w:highlight w:val="none"/>
        </w:rPr>
      </w:pPr>
    </w:p>
    <w:p w14:paraId="5BB14BB4">
      <w:pPr>
        <w:spacing w:before="156" w:beforeLines="50" w:after="50"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7F3510CB">
      <w:pPr>
        <w:spacing w:before="156" w:beforeLines="50" w:after="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6A5F3596">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F7D8D9A">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E9CFF8">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70790BB">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8E6B048">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FD0DF26">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29F2C6E">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96A7C23">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0CA976">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4CA2F81">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1FA5B4D">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8F3984B">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D564D4D">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4D78A35">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BA81F4F">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B1313B8">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42B0B14">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F0965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26336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67FE2087">
      <w:pPr>
        <w:pStyle w:val="18"/>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201E09B4">
      <w:pPr>
        <w:pStyle w:val="18"/>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电话/传真：电子函件：</w:t>
      </w:r>
    </w:p>
    <w:p w14:paraId="206FAA8E">
      <w:pPr>
        <w:pStyle w:val="17"/>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p>
    <w:p w14:paraId="64DEBB7E">
      <w:pPr>
        <w:pStyle w:val="17"/>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493C72D">
      <w:pPr>
        <w:pStyle w:val="17"/>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69519874">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9F0B918">
      <w:pPr>
        <w:spacing w:line="360" w:lineRule="auto"/>
        <w:ind w:firstLine="4320" w:firstLineChars="1800"/>
        <w:rPr>
          <w:rFonts w:ascii="宋体" w:hAnsi="宋体" w:cs="宋体"/>
          <w:color w:val="auto"/>
          <w:sz w:val="24"/>
          <w:highlight w:val="none"/>
        </w:rPr>
      </w:pPr>
    </w:p>
    <w:p w14:paraId="2C21E998">
      <w:pPr>
        <w:snapToGrid w:val="0"/>
        <w:spacing w:before="156"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供应商名称（电子签章）：</w:t>
      </w:r>
    </w:p>
    <w:p w14:paraId="12FDDFD9">
      <w:pPr>
        <w:snapToGrid w:val="0"/>
        <w:spacing w:before="156"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日期：年月日</w:t>
      </w:r>
    </w:p>
    <w:p w14:paraId="0D4B7905">
      <w:pPr>
        <w:rPr>
          <w:rFonts w:ascii="宋体" w:hAnsi="宋体" w:cs="宋体"/>
          <w:color w:val="auto"/>
          <w:highlight w:val="none"/>
        </w:rPr>
      </w:pPr>
    </w:p>
    <w:p w14:paraId="0536D2AD">
      <w:pPr>
        <w:pStyle w:val="21"/>
        <w:rPr>
          <w:rFonts w:ascii="宋体" w:hAnsi="宋体" w:cs="宋体"/>
          <w:color w:val="auto"/>
          <w:highlight w:val="none"/>
        </w:rPr>
      </w:pPr>
    </w:p>
    <w:p w14:paraId="5A03AD4B">
      <w:pPr>
        <w:pStyle w:val="21"/>
        <w:rPr>
          <w:rFonts w:ascii="宋体" w:hAnsi="宋体" w:cs="宋体"/>
          <w:color w:val="auto"/>
          <w:highlight w:val="none"/>
        </w:rPr>
      </w:pPr>
    </w:p>
    <w:p w14:paraId="339C114D">
      <w:pPr>
        <w:pStyle w:val="21"/>
        <w:rPr>
          <w:rFonts w:ascii="宋体" w:hAnsi="宋体" w:cs="宋体"/>
          <w:color w:val="auto"/>
          <w:highlight w:val="none"/>
        </w:rPr>
      </w:pPr>
    </w:p>
    <w:p w14:paraId="54C0EDCB">
      <w:pPr>
        <w:pStyle w:val="21"/>
        <w:rPr>
          <w:rFonts w:ascii="宋体" w:hAnsi="宋体" w:cs="宋体"/>
          <w:color w:val="auto"/>
          <w:highlight w:val="none"/>
        </w:rPr>
      </w:pPr>
    </w:p>
    <w:p w14:paraId="68DE076A">
      <w:pPr>
        <w:pStyle w:val="21"/>
        <w:rPr>
          <w:rFonts w:ascii="宋体" w:hAnsi="宋体" w:cs="宋体"/>
          <w:color w:val="auto"/>
          <w:highlight w:val="none"/>
        </w:rPr>
      </w:pPr>
    </w:p>
    <w:p w14:paraId="5B31ED87">
      <w:pPr>
        <w:spacing w:line="320" w:lineRule="exact"/>
        <w:jc w:val="center"/>
        <w:rPr>
          <w:rFonts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sz w:val="32"/>
          <w:szCs w:val="32"/>
          <w:highlight w:val="none"/>
        </w:rPr>
        <w:t>七、联合体协议书</w:t>
      </w:r>
    </w:p>
    <w:p w14:paraId="56055C54">
      <w:pPr>
        <w:rPr>
          <w:rFonts w:ascii="宋体" w:hAnsi="宋体" w:cs="宋体"/>
          <w:color w:val="auto"/>
          <w:highlight w:val="none"/>
        </w:rPr>
      </w:pPr>
    </w:p>
    <w:p w14:paraId="46D6AD1D">
      <w:pPr>
        <w:rPr>
          <w:rFonts w:ascii="宋体" w:hAnsi="宋体" w:cs="宋体"/>
          <w:color w:val="auto"/>
          <w:highlight w:val="none"/>
        </w:rPr>
      </w:pPr>
    </w:p>
    <w:p w14:paraId="0C6628DE">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（所有成员单位名称）自愿组成（联合体名称）联合体，共同参加（项目名称）采购项目竞标。现就联合体竞标事宜订立如下协议：</w:t>
      </w:r>
    </w:p>
    <w:p w14:paraId="7E6E16CD">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（某成员单位名称）为（联合体名称）牵头人。</w:t>
      </w:r>
    </w:p>
    <w:p w14:paraId="2C41CEAC">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8DCF054">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3F7016CC">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0BFFDBFE">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w:t>
      </w:r>
      <w:r>
        <w:rPr>
          <w:rFonts w:hint="eastAsia" w:ascii="宋体" w:hAnsi="宋体" w:cs="宋体"/>
          <w:color w:val="auto"/>
          <w:spacing w:val="-6"/>
          <w:sz w:val="24"/>
          <w:szCs w:val="24"/>
          <w:highlight w:val="none"/>
          <w:lang w:eastAsia="zh-CN"/>
        </w:rPr>
        <w:t>位公</w:t>
      </w:r>
      <w:r>
        <w:rPr>
          <w:rFonts w:hint="eastAsia" w:ascii="宋体" w:hAnsi="宋体" w:cs="宋体"/>
          <w:color w:val="auto"/>
          <w:spacing w:val="-6"/>
          <w:sz w:val="24"/>
          <w:szCs w:val="24"/>
          <w:highlight w:val="none"/>
        </w:rPr>
        <w:t>章之日起生效，合同履行完毕后自动失效。</w:t>
      </w:r>
    </w:p>
    <w:p w14:paraId="08CF969B">
      <w:pPr>
        <w:pStyle w:val="11"/>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0EAC0D11">
      <w:pPr>
        <w:pStyle w:val="11"/>
        <w:overflowPunct w:val="0"/>
        <w:ind w:firstLine="480" w:firstLineChars="200"/>
        <w:rPr>
          <w:rFonts w:ascii="宋体" w:hAnsi="宋体" w:cs="宋体"/>
          <w:color w:val="auto"/>
          <w:sz w:val="24"/>
          <w:highlight w:val="none"/>
        </w:rPr>
      </w:pPr>
      <w:r>
        <w:rPr>
          <w:rFonts w:hint="eastAsia" w:ascii="宋体" w:hAnsi="宋体" w:cs="宋体"/>
          <w:color w:val="auto"/>
          <w:sz w:val="24"/>
          <w:szCs w:val="24"/>
          <w:highlight w:val="none"/>
        </w:rPr>
        <w:t>注：</w:t>
      </w:r>
      <w:r>
        <w:rPr>
          <w:rFonts w:hint="eastAsia" w:ascii="宋体" w:hAnsi="宋体" w:cs="宋体"/>
          <w:color w:val="auto"/>
          <w:sz w:val="24"/>
          <w:highlight w:val="none"/>
        </w:rPr>
        <w:t>本协议书由法定代表人签字的，应附法定代表人身份证明；本协议书由委托代理人签字的，应附法定代表人授权委托书。</w:t>
      </w:r>
    </w:p>
    <w:p w14:paraId="0AE86B82">
      <w:pPr>
        <w:pStyle w:val="11"/>
        <w:overflowPunct w:val="0"/>
        <w:ind w:firstLine="480" w:firstLineChars="200"/>
        <w:rPr>
          <w:rFonts w:ascii="宋体" w:hAnsi="宋体" w:cs="宋体"/>
          <w:color w:val="auto"/>
          <w:sz w:val="24"/>
          <w:highlight w:val="none"/>
        </w:rPr>
      </w:pPr>
    </w:p>
    <w:p w14:paraId="61ABA52C">
      <w:pPr>
        <w:pStyle w:val="11"/>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牵头人名称：（公章/电子签章）</w:t>
      </w:r>
    </w:p>
    <w:p w14:paraId="02D0D8EE">
      <w:pPr>
        <w:pStyle w:val="11"/>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法定代表人或其委托代理人：（手写签名/电子签名）</w:t>
      </w:r>
    </w:p>
    <w:p w14:paraId="02A19DD6">
      <w:pPr>
        <w:pStyle w:val="11"/>
        <w:overflowPunct w:val="0"/>
        <w:ind w:firstLine="480" w:firstLineChars="200"/>
        <w:rPr>
          <w:rFonts w:ascii="宋体" w:hAnsi="宋体" w:cs="宋体"/>
          <w:color w:val="auto"/>
          <w:sz w:val="24"/>
          <w:highlight w:val="none"/>
        </w:rPr>
      </w:pPr>
    </w:p>
    <w:p w14:paraId="1420F573">
      <w:pPr>
        <w:pStyle w:val="11"/>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成员一名称：（公章/电子签章）</w:t>
      </w:r>
    </w:p>
    <w:p w14:paraId="12C10477">
      <w:pPr>
        <w:pStyle w:val="11"/>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法定代表人或其委托代理人：（手写签名/电子签名）</w:t>
      </w:r>
    </w:p>
    <w:p w14:paraId="7FD60565">
      <w:pPr>
        <w:pStyle w:val="11"/>
        <w:overflowPunct w:val="0"/>
        <w:ind w:firstLine="480" w:firstLineChars="200"/>
        <w:rPr>
          <w:rFonts w:ascii="宋体" w:hAnsi="宋体" w:cs="宋体"/>
          <w:color w:val="auto"/>
          <w:sz w:val="24"/>
          <w:highlight w:val="none"/>
        </w:rPr>
      </w:pPr>
    </w:p>
    <w:p w14:paraId="6A300EF8">
      <w:pPr>
        <w:pStyle w:val="11"/>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成员二名称：（公章/电子签章）</w:t>
      </w:r>
    </w:p>
    <w:p w14:paraId="3FB375C9">
      <w:pPr>
        <w:pStyle w:val="11"/>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法定代表人或其委托代理人：（手写签名/电子签名）</w:t>
      </w:r>
    </w:p>
    <w:p w14:paraId="1CF986E5">
      <w:pPr>
        <w:pStyle w:val="11"/>
        <w:overflowPunct w:val="0"/>
        <w:spacing w:line="360" w:lineRule="auto"/>
        <w:ind w:firstLine="480" w:firstLineChars="200"/>
        <w:rPr>
          <w:rFonts w:ascii="宋体" w:hAnsi="宋体" w:cs="宋体"/>
          <w:color w:val="auto"/>
          <w:sz w:val="24"/>
          <w:highlight w:val="none"/>
        </w:rPr>
      </w:pPr>
    </w:p>
    <w:p w14:paraId="1161E22E">
      <w:pPr>
        <w:pStyle w:val="11"/>
        <w:overflowPunct w:val="0"/>
        <w:spacing w:line="360" w:lineRule="auto"/>
        <w:ind w:firstLine="480" w:firstLineChars="200"/>
        <w:rPr>
          <w:rFonts w:ascii="宋体" w:hAnsi="宋体" w:cs="宋体"/>
          <w:color w:val="auto"/>
          <w:sz w:val="24"/>
          <w:highlight w:val="none"/>
        </w:rPr>
      </w:pPr>
    </w:p>
    <w:p w14:paraId="77830593">
      <w:pPr>
        <w:pStyle w:val="21"/>
        <w:rPr>
          <w:rFonts w:ascii="宋体" w:hAnsi="宋体" w:cs="宋体"/>
          <w:color w:val="auto"/>
          <w:sz w:val="24"/>
          <w:szCs w:val="24"/>
          <w:highlight w:val="none"/>
        </w:rPr>
      </w:pPr>
      <w:r>
        <w:rPr>
          <w:rFonts w:hint="eastAsia" w:ascii="宋体" w:hAnsi="宋体" w:cs="宋体"/>
          <w:b/>
          <w:color w:val="auto"/>
          <w:sz w:val="32"/>
          <w:szCs w:val="32"/>
          <w:highlight w:val="none"/>
        </w:rPr>
        <w:br w:type="page"/>
      </w:r>
    </w:p>
    <w:p w14:paraId="24228472">
      <w:pPr>
        <w:pStyle w:val="21"/>
        <w:rPr>
          <w:rFonts w:ascii="宋体" w:hAnsi="宋体" w:cs="宋体"/>
          <w:color w:val="auto"/>
          <w:sz w:val="24"/>
          <w:szCs w:val="24"/>
          <w:highlight w:val="none"/>
        </w:rPr>
      </w:pPr>
    </w:p>
    <w:p w14:paraId="7AECC3DD">
      <w:pPr>
        <w:pStyle w:val="21"/>
        <w:rPr>
          <w:rFonts w:ascii="宋体" w:hAnsi="宋体" w:cs="宋体"/>
          <w:color w:val="auto"/>
          <w:sz w:val="24"/>
          <w:szCs w:val="24"/>
          <w:highlight w:val="none"/>
        </w:rPr>
      </w:pPr>
    </w:p>
    <w:p w14:paraId="2CA81AAE">
      <w:pPr>
        <w:pStyle w:val="21"/>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cs="宋体"/>
          <w:b/>
          <w:color w:val="auto"/>
          <w:sz w:val="28"/>
          <w:szCs w:val="28"/>
          <w:highlight w:val="none"/>
        </w:rPr>
        <w:t>、除磋商文件规定必须提供以外，供应商认为需要提供的其他证明材料</w:t>
      </w:r>
    </w:p>
    <w:p w14:paraId="581688ED">
      <w:pPr>
        <w:pStyle w:val="21"/>
        <w:rPr>
          <w:rFonts w:ascii="宋体" w:hAnsi="宋体" w:cs="宋体"/>
          <w:color w:val="auto"/>
          <w:sz w:val="24"/>
          <w:szCs w:val="24"/>
          <w:highlight w:val="none"/>
        </w:rPr>
      </w:pPr>
    </w:p>
    <w:p w14:paraId="7AE71F8B">
      <w:pPr>
        <w:pStyle w:val="21"/>
        <w:rPr>
          <w:rFonts w:ascii="宋体" w:hAnsi="宋体" w:cs="宋体"/>
          <w:color w:val="auto"/>
          <w:sz w:val="24"/>
          <w:szCs w:val="24"/>
          <w:highlight w:val="none"/>
        </w:rPr>
      </w:pPr>
    </w:p>
    <w:p w14:paraId="4C84A0F2">
      <w:pPr>
        <w:spacing w:line="360" w:lineRule="auto"/>
        <w:rPr>
          <w:rFonts w:ascii="宋体" w:hAnsi="宋体" w:cs="宋体"/>
          <w:color w:val="auto"/>
          <w:sz w:val="24"/>
          <w:highlight w:val="none"/>
        </w:rPr>
      </w:pPr>
    </w:p>
    <w:p w14:paraId="5377EB2A">
      <w:pPr>
        <w:spacing w:line="276" w:lineRule="auto"/>
        <w:ind w:firstLine="4320" w:firstLineChars="1800"/>
        <w:rPr>
          <w:rFonts w:ascii="宋体" w:hAnsi="宋体" w:cs="宋体"/>
          <w:color w:val="auto"/>
          <w:sz w:val="24"/>
          <w:highlight w:val="none"/>
        </w:rPr>
      </w:pPr>
    </w:p>
    <w:p w14:paraId="65BF7597">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043DFF48">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日期：年月日</w:t>
      </w:r>
    </w:p>
    <w:p w14:paraId="5AB94F04">
      <w:pPr>
        <w:spacing w:line="360" w:lineRule="auto"/>
        <w:rPr>
          <w:rFonts w:ascii="宋体" w:hAnsi="宋体" w:cs="宋体"/>
          <w:color w:val="auto"/>
          <w:sz w:val="24"/>
          <w:highlight w:val="none"/>
        </w:rPr>
      </w:pPr>
    </w:p>
    <w:p w14:paraId="618B49BD">
      <w:pPr>
        <w:pStyle w:val="21"/>
        <w:rPr>
          <w:rFonts w:ascii="宋体" w:hAnsi="宋体" w:cs="宋体"/>
          <w:color w:val="auto"/>
          <w:sz w:val="24"/>
          <w:szCs w:val="24"/>
          <w:highlight w:val="none"/>
        </w:rPr>
      </w:pPr>
    </w:p>
    <w:p w14:paraId="4651B254">
      <w:pPr>
        <w:pStyle w:val="21"/>
        <w:rPr>
          <w:rFonts w:ascii="宋体" w:hAnsi="宋体" w:cs="宋体"/>
          <w:color w:val="auto"/>
          <w:sz w:val="24"/>
          <w:szCs w:val="24"/>
          <w:highlight w:val="none"/>
        </w:rPr>
      </w:pPr>
    </w:p>
    <w:p w14:paraId="3552B0CC">
      <w:pPr>
        <w:pStyle w:val="21"/>
        <w:rPr>
          <w:rFonts w:ascii="宋体" w:hAnsi="宋体" w:cs="宋体"/>
          <w:color w:val="auto"/>
          <w:sz w:val="24"/>
          <w:szCs w:val="24"/>
          <w:highlight w:val="none"/>
        </w:rPr>
      </w:pPr>
    </w:p>
    <w:p w14:paraId="3C019C3B">
      <w:pPr>
        <w:pStyle w:val="21"/>
        <w:rPr>
          <w:rFonts w:ascii="宋体" w:hAnsi="宋体" w:cs="宋体"/>
          <w:color w:val="auto"/>
          <w:sz w:val="24"/>
          <w:szCs w:val="24"/>
          <w:highlight w:val="none"/>
        </w:rPr>
      </w:pPr>
    </w:p>
    <w:p w14:paraId="423139AB">
      <w:pPr>
        <w:pStyle w:val="21"/>
        <w:rPr>
          <w:rFonts w:ascii="宋体" w:hAnsi="宋体" w:cs="宋体"/>
          <w:color w:val="auto"/>
          <w:highlight w:val="none"/>
        </w:rPr>
      </w:pPr>
    </w:p>
    <w:p w14:paraId="056536C8">
      <w:pPr>
        <w:pStyle w:val="21"/>
        <w:rPr>
          <w:rFonts w:ascii="宋体" w:hAnsi="宋体" w:cs="宋体"/>
          <w:color w:val="auto"/>
          <w:highlight w:val="none"/>
        </w:rPr>
      </w:pPr>
    </w:p>
    <w:p w14:paraId="64D91B8B">
      <w:pPr>
        <w:pStyle w:val="5"/>
        <w:rPr>
          <w:rFonts w:ascii="宋体" w:hAnsi="宋体" w:cs="宋体"/>
          <w:color w:val="auto"/>
          <w:highlight w:val="none"/>
        </w:rPr>
      </w:pPr>
      <w:r>
        <w:rPr>
          <w:rFonts w:hint="eastAsia" w:ascii="宋体" w:hAnsi="宋体" w:cs="宋体"/>
          <w:color w:val="auto"/>
          <w:highlight w:val="none"/>
        </w:rPr>
        <w:br w:type="page"/>
      </w:r>
      <w:bookmarkStart w:id="75" w:name="_Toc2654"/>
      <w:bookmarkStart w:id="76" w:name="_Toc5567"/>
      <w:r>
        <w:rPr>
          <w:rFonts w:hint="eastAsia" w:ascii="宋体" w:hAnsi="宋体" w:cs="宋体"/>
          <w:color w:val="auto"/>
          <w:highlight w:val="none"/>
        </w:rPr>
        <w:t>二、商务技术文件格式</w:t>
      </w:r>
      <w:bookmarkEnd w:id="75"/>
      <w:bookmarkEnd w:id="76"/>
    </w:p>
    <w:p w14:paraId="75D3C6A5">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1EAF6F7E">
      <w:pPr>
        <w:snapToGrid w:val="0"/>
        <w:spacing w:before="156" w:beforeLines="50" w:after="50"/>
        <w:rPr>
          <w:rFonts w:ascii="宋体" w:hAnsi="宋体" w:cs="宋体"/>
          <w:color w:val="auto"/>
          <w:sz w:val="24"/>
          <w:highlight w:val="none"/>
        </w:rPr>
      </w:pPr>
    </w:p>
    <w:p w14:paraId="3A93BC4D">
      <w:pPr>
        <w:snapToGrid w:val="0"/>
        <w:spacing w:before="156" w:beforeLines="50" w:after="50"/>
        <w:jc w:val="right"/>
        <w:rPr>
          <w:rFonts w:ascii="宋体" w:hAnsi="宋体" w:cs="宋体"/>
          <w:bCs/>
          <w:color w:val="auto"/>
          <w:sz w:val="32"/>
          <w:szCs w:val="20"/>
          <w:highlight w:val="none"/>
        </w:rPr>
      </w:pPr>
      <w:r>
        <w:rPr>
          <w:rFonts w:hint="eastAsia" w:ascii="宋体" w:hAnsi="宋体" w:cs="宋体"/>
          <w:bCs/>
          <w:color w:val="auto"/>
          <w:sz w:val="24"/>
          <w:highlight w:val="none"/>
        </w:rPr>
        <w:t>电子响应文件</w:t>
      </w:r>
    </w:p>
    <w:p w14:paraId="7B9365D3">
      <w:pPr>
        <w:snapToGrid w:val="0"/>
        <w:spacing w:before="156" w:beforeLines="50" w:after="50"/>
        <w:rPr>
          <w:rFonts w:ascii="宋体" w:hAnsi="宋体" w:cs="宋体"/>
          <w:color w:val="auto"/>
          <w:sz w:val="24"/>
          <w:szCs w:val="20"/>
          <w:highlight w:val="none"/>
        </w:rPr>
      </w:pPr>
    </w:p>
    <w:p w14:paraId="54EAF81D">
      <w:pPr>
        <w:snapToGrid w:val="0"/>
        <w:spacing w:before="156" w:beforeLines="50" w:after="50"/>
        <w:rPr>
          <w:rFonts w:ascii="宋体" w:hAnsi="宋体" w:cs="宋体"/>
          <w:color w:val="auto"/>
          <w:sz w:val="24"/>
          <w:szCs w:val="20"/>
          <w:highlight w:val="none"/>
        </w:rPr>
      </w:pPr>
    </w:p>
    <w:p w14:paraId="1B87DE5E">
      <w:pPr>
        <w:snapToGrid w:val="0"/>
        <w:spacing w:before="156" w:beforeLines="50" w:after="50"/>
        <w:rPr>
          <w:rFonts w:ascii="宋体" w:hAnsi="宋体" w:cs="宋体"/>
          <w:color w:val="auto"/>
          <w:sz w:val="24"/>
          <w:szCs w:val="20"/>
          <w:highlight w:val="none"/>
        </w:rPr>
      </w:pPr>
    </w:p>
    <w:p w14:paraId="790F6CCC">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商务技术文件</w:t>
      </w:r>
    </w:p>
    <w:p w14:paraId="3ABC6A38">
      <w:pPr>
        <w:snapToGrid w:val="0"/>
        <w:spacing w:before="156" w:beforeLines="50" w:after="50"/>
        <w:rPr>
          <w:rFonts w:ascii="宋体" w:hAnsi="宋体" w:cs="宋体"/>
          <w:bCs/>
          <w:color w:val="auto"/>
          <w:sz w:val="24"/>
          <w:szCs w:val="20"/>
          <w:highlight w:val="none"/>
        </w:rPr>
      </w:pPr>
    </w:p>
    <w:p w14:paraId="6588D334">
      <w:pPr>
        <w:snapToGrid w:val="0"/>
        <w:spacing w:before="156" w:beforeLines="50" w:after="50"/>
        <w:rPr>
          <w:rFonts w:ascii="宋体" w:hAnsi="宋体" w:cs="宋体"/>
          <w:bCs/>
          <w:color w:val="auto"/>
          <w:sz w:val="24"/>
          <w:szCs w:val="20"/>
          <w:highlight w:val="none"/>
        </w:rPr>
      </w:pPr>
    </w:p>
    <w:p w14:paraId="268F5000">
      <w:pPr>
        <w:snapToGrid w:val="0"/>
        <w:spacing w:before="156" w:beforeLines="50" w:after="50"/>
        <w:rPr>
          <w:rFonts w:ascii="宋体" w:hAnsi="宋体" w:cs="宋体"/>
          <w:bCs/>
          <w:color w:val="auto"/>
          <w:sz w:val="24"/>
          <w:szCs w:val="20"/>
          <w:highlight w:val="none"/>
        </w:rPr>
      </w:pPr>
    </w:p>
    <w:p w14:paraId="78A59717">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FABCCCD">
      <w:pPr>
        <w:snapToGrid w:val="0"/>
        <w:spacing w:before="156" w:beforeLines="50" w:after="50"/>
        <w:ind w:firstLine="720" w:firstLineChars="225"/>
        <w:rPr>
          <w:rFonts w:ascii="宋体" w:hAnsi="宋体" w:cs="宋体"/>
          <w:bCs/>
          <w:color w:val="auto"/>
          <w:sz w:val="32"/>
          <w:szCs w:val="32"/>
          <w:highlight w:val="none"/>
        </w:rPr>
      </w:pPr>
    </w:p>
    <w:p w14:paraId="264653AF">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EF00877">
      <w:pPr>
        <w:snapToGrid w:val="0"/>
        <w:spacing w:before="156" w:beforeLines="50" w:after="50"/>
        <w:ind w:firstLine="720" w:firstLineChars="225"/>
        <w:rPr>
          <w:rFonts w:ascii="宋体" w:hAnsi="宋体" w:cs="宋体"/>
          <w:bCs/>
          <w:color w:val="auto"/>
          <w:sz w:val="32"/>
          <w:szCs w:val="32"/>
          <w:highlight w:val="none"/>
        </w:rPr>
      </w:pPr>
    </w:p>
    <w:p w14:paraId="77171524">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1942E40">
      <w:pPr>
        <w:snapToGrid w:val="0"/>
        <w:spacing w:before="156" w:beforeLines="50" w:after="50"/>
        <w:ind w:firstLine="720" w:firstLineChars="225"/>
        <w:rPr>
          <w:rFonts w:ascii="宋体" w:hAnsi="宋体" w:cs="宋体"/>
          <w:bCs/>
          <w:color w:val="auto"/>
          <w:sz w:val="32"/>
          <w:szCs w:val="32"/>
          <w:highlight w:val="none"/>
        </w:rPr>
      </w:pPr>
    </w:p>
    <w:p w14:paraId="657B627B">
      <w:pPr>
        <w:pStyle w:val="11"/>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5DDC611">
      <w:pPr>
        <w:pStyle w:val="11"/>
        <w:snapToGrid w:val="0"/>
        <w:spacing w:before="50" w:after="50"/>
        <w:ind w:firstLine="1280" w:firstLineChars="400"/>
        <w:rPr>
          <w:rFonts w:ascii="宋体" w:hAnsi="宋体" w:cs="宋体"/>
          <w:bCs/>
          <w:color w:val="auto"/>
          <w:sz w:val="32"/>
          <w:szCs w:val="32"/>
          <w:highlight w:val="none"/>
        </w:rPr>
      </w:pPr>
    </w:p>
    <w:p w14:paraId="7000C6BB">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年月日</w:t>
      </w:r>
    </w:p>
    <w:p w14:paraId="0CC5E077">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0657099A">
      <w:pPr>
        <w:snapToGrid w:val="0"/>
        <w:spacing w:before="156" w:beforeLines="50" w:after="50"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商务文件</w:t>
      </w:r>
    </w:p>
    <w:p w14:paraId="5756F8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一、无串通竞标行为的承诺函……………………………………………………（页码）</w:t>
      </w:r>
    </w:p>
    <w:p w14:paraId="75E8F39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二、法定代表人身份证明书及法定代表人有效身份证正反面复印件…………（页码）</w:t>
      </w:r>
    </w:p>
    <w:p w14:paraId="41D713F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三、法定代表人授权委托书及委托代理人有效身份证正反面复印件…………（页码）四、商务条款偏离表…………………………………………………………………（页码）</w:t>
      </w:r>
    </w:p>
    <w:p w14:paraId="57078E1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五、磋商保证金提交凭证……………………………………………………………（页码）</w:t>
      </w:r>
    </w:p>
    <w:p w14:paraId="1353131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六、供应商认为需要提供的其他有关资料…………………………………………（页码）</w:t>
      </w:r>
    </w:p>
    <w:p w14:paraId="2E294B12">
      <w:pPr>
        <w:snapToGrid w:val="0"/>
        <w:spacing w:before="156" w:beforeLines="50" w:after="50"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技术文件</w:t>
      </w:r>
    </w:p>
    <w:p w14:paraId="450D5B03">
      <w:pPr>
        <w:pStyle w:val="21"/>
        <w:rPr>
          <w:rFonts w:ascii="宋体" w:hAnsi="宋体" w:cs="宋体"/>
          <w:color w:val="auto"/>
          <w:highlight w:val="none"/>
        </w:rPr>
      </w:pPr>
    </w:p>
    <w:p w14:paraId="70F349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kern w:val="0"/>
          <w:sz w:val="24"/>
          <w:highlight w:val="none"/>
          <w:lang w:eastAsia="zh-CN"/>
        </w:rPr>
        <w:t>服务需求</w:t>
      </w:r>
      <w:r>
        <w:rPr>
          <w:rFonts w:hint="eastAsia" w:ascii="宋体" w:hAnsi="宋体" w:cs="宋体"/>
          <w:color w:val="auto"/>
          <w:kern w:val="0"/>
          <w:sz w:val="24"/>
          <w:highlight w:val="none"/>
        </w:rPr>
        <w:t>偏离表…………………………………………………………………（页码）</w:t>
      </w:r>
    </w:p>
    <w:p w14:paraId="7E92DC7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二、服务方案…………………………………………………………………………（页码）</w:t>
      </w:r>
    </w:p>
    <w:p w14:paraId="06E5181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三、项目实施人员一览表……………………………………………………………（页码）</w:t>
      </w:r>
    </w:p>
    <w:p w14:paraId="142C2CF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四、供应商认为需要提供的其他有关资料…………………………………………（页码）</w:t>
      </w:r>
    </w:p>
    <w:p w14:paraId="60E7658A">
      <w:pPr>
        <w:pStyle w:val="21"/>
        <w:rPr>
          <w:rFonts w:ascii="宋体" w:hAnsi="宋体" w:cs="宋体"/>
          <w:color w:val="auto"/>
          <w:highlight w:val="none"/>
        </w:rPr>
      </w:pPr>
    </w:p>
    <w:p w14:paraId="322882D4">
      <w:pPr>
        <w:pStyle w:val="21"/>
        <w:rPr>
          <w:rFonts w:ascii="宋体" w:hAnsi="宋体" w:cs="宋体"/>
          <w:color w:val="auto"/>
          <w:highlight w:val="none"/>
        </w:rPr>
      </w:pPr>
    </w:p>
    <w:p w14:paraId="4F914045">
      <w:pPr>
        <w:snapToGrid w:val="0"/>
        <w:spacing w:before="156" w:beforeLines="50" w:after="50" w:line="360" w:lineRule="auto"/>
        <w:ind w:firstLine="645"/>
        <w:rPr>
          <w:rFonts w:ascii="宋体" w:hAnsi="宋体" w:cs="宋体"/>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r>
        <w:rPr>
          <w:rFonts w:hint="eastAsia" w:ascii="宋体" w:hAnsi="宋体" w:cs="宋体"/>
          <w:color w:val="auto"/>
          <w:sz w:val="24"/>
          <w:highlight w:val="none"/>
        </w:rPr>
        <w:t>。</w:t>
      </w:r>
    </w:p>
    <w:p w14:paraId="181654E3">
      <w:pPr>
        <w:pStyle w:val="21"/>
        <w:rPr>
          <w:rFonts w:ascii="宋体" w:hAnsi="宋体" w:cs="宋体"/>
          <w:color w:val="auto"/>
          <w:highlight w:val="none"/>
        </w:rPr>
      </w:pPr>
    </w:p>
    <w:p w14:paraId="18A1935A">
      <w:pPr>
        <w:pStyle w:val="21"/>
        <w:rPr>
          <w:rFonts w:ascii="宋体" w:hAnsi="宋体" w:cs="宋体"/>
          <w:color w:val="auto"/>
          <w:highlight w:val="none"/>
        </w:rPr>
      </w:pPr>
    </w:p>
    <w:p w14:paraId="7CFFF5E9">
      <w:pPr>
        <w:pStyle w:val="21"/>
        <w:rPr>
          <w:rFonts w:ascii="宋体" w:hAnsi="宋体" w:cs="宋体"/>
          <w:color w:val="auto"/>
          <w:highlight w:val="none"/>
        </w:rPr>
      </w:pPr>
    </w:p>
    <w:p w14:paraId="4EC2CE46">
      <w:pPr>
        <w:pStyle w:val="21"/>
        <w:rPr>
          <w:rFonts w:ascii="宋体" w:hAnsi="宋体" w:cs="宋体"/>
          <w:color w:val="auto"/>
          <w:highlight w:val="none"/>
        </w:rPr>
      </w:pPr>
    </w:p>
    <w:p w14:paraId="0F181E84">
      <w:pPr>
        <w:spacing w:line="520" w:lineRule="exact"/>
        <w:jc w:val="left"/>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28"/>
          <w:szCs w:val="28"/>
          <w:highlight w:val="none"/>
        </w:rPr>
        <w:t>商务文件</w:t>
      </w:r>
    </w:p>
    <w:p w14:paraId="3443A3C8">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一、无串通竞标行为的承诺函</w:t>
      </w:r>
    </w:p>
    <w:p w14:paraId="043598DD">
      <w:pPr>
        <w:spacing w:line="400" w:lineRule="exact"/>
        <w:ind w:firstLine="640" w:firstLineChars="200"/>
        <w:rPr>
          <w:rFonts w:ascii="宋体" w:hAnsi="宋体" w:cs="宋体"/>
          <w:color w:val="auto"/>
          <w:sz w:val="32"/>
          <w:szCs w:val="32"/>
          <w:highlight w:val="none"/>
        </w:rPr>
      </w:pPr>
    </w:p>
    <w:p w14:paraId="59A9EBF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45D04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5B19B6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B712C7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4D55D0B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7D4108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5D5B0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3B9FD576">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4A930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D5221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8C6E3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14527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F02E25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DD8943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DECE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30D847F">
      <w:pPr>
        <w:spacing w:line="360" w:lineRule="auto"/>
        <w:ind w:firstLine="480" w:firstLineChars="200"/>
        <w:rPr>
          <w:rFonts w:ascii="宋体" w:hAnsi="宋体" w:cs="宋体"/>
          <w:color w:val="auto"/>
          <w:sz w:val="24"/>
          <w:highlight w:val="none"/>
        </w:rPr>
      </w:pPr>
    </w:p>
    <w:p w14:paraId="11BB59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2A6691F9">
      <w:pPr>
        <w:spacing w:line="360" w:lineRule="auto"/>
        <w:rPr>
          <w:rFonts w:ascii="宋体" w:hAnsi="宋体" w:cs="宋体"/>
          <w:color w:val="auto"/>
          <w:sz w:val="24"/>
          <w:highlight w:val="none"/>
        </w:rPr>
      </w:pPr>
    </w:p>
    <w:p w14:paraId="6CF2F124">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657FDAB2">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日期：年月日</w:t>
      </w:r>
    </w:p>
    <w:p w14:paraId="4CAA1599">
      <w:pPr>
        <w:pStyle w:val="21"/>
        <w:rPr>
          <w:rFonts w:ascii="宋体" w:hAnsi="宋体" w:cs="宋体"/>
          <w:color w:val="auto"/>
          <w:highlight w:val="none"/>
        </w:rPr>
      </w:pPr>
    </w:p>
    <w:p w14:paraId="5FFC1E4F">
      <w:pPr>
        <w:spacing w:line="52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二、法定代表人身份证明书及法定代表人有效身份证正反面复印件</w:t>
      </w:r>
    </w:p>
    <w:p w14:paraId="4E6FD3D1">
      <w:pPr>
        <w:pStyle w:val="21"/>
        <w:rPr>
          <w:rFonts w:ascii="宋体" w:hAnsi="宋体" w:cs="宋体"/>
          <w:color w:val="auto"/>
          <w:highlight w:val="none"/>
        </w:rPr>
      </w:pPr>
    </w:p>
    <w:p w14:paraId="03CE7F54">
      <w:pPr>
        <w:pStyle w:val="21"/>
        <w:rPr>
          <w:rFonts w:ascii="宋体" w:hAnsi="宋体" w:cs="宋体"/>
          <w:color w:val="auto"/>
          <w:highlight w:val="none"/>
        </w:rPr>
      </w:pPr>
    </w:p>
    <w:p w14:paraId="33AC6EF6">
      <w:pPr>
        <w:spacing w:before="312" w:beforeLines="100" w:after="156" w:afterLines="50" w:line="520" w:lineRule="exact"/>
        <w:ind w:left="54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5C3A6950">
      <w:pPr>
        <w:spacing w:line="520" w:lineRule="exact"/>
        <w:ind w:left="540"/>
        <w:rPr>
          <w:rFonts w:ascii="宋体" w:hAnsi="宋体" w:cs="宋体"/>
          <w:color w:val="auto"/>
          <w:sz w:val="32"/>
          <w:szCs w:val="32"/>
          <w:highlight w:val="none"/>
        </w:rPr>
      </w:pPr>
    </w:p>
    <w:p w14:paraId="5FEC7CAD">
      <w:pPr>
        <w:spacing w:line="360" w:lineRule="auto"/>
        <w:ind w:left="540"/>
        <w:rPr>
          <w:rFonts w:ascii="宋体" w:hAnsi="宋体" w:cs="宋体"/>
          <w:color w:val="auto"/>
          <w:sz w:val="24"/>
          <w:highlight w:val="none"/>
        </w:rPr>
      </w:pPr>
      <w:r>
        <w:rPr>
          <w:rFonts w:hint="eastAsia" w:ascii="宋体" w:hAnsi="宋体" w:cs="宋体"/>
          <w:color w:val="auto"/>
          <w:sz w:val="24"/>
          <w:highlight w:val="none"/>
        </w:rPr>
        <w:t>供应商名称：</w:t>
      </w:r>
    </w:p>
    <w:p w14:paraId="03AB400D">
      <w:pPr>
        <w:spacing w:line="360" w:lineRule="auto"/>
        <w:ind w:left="540"/>
        <w:rPr>
          <w:rFonts w:ascii="宋体" w:hAnsi="宋体" w:cs="宋体"/>
          <w:color w:val="auto"/>
          <w:sz w:val="24"/>
          <w:highlight w:val="none"/>
        </w:rPr>
      </w:pPr>
      <w:r>
        <w:rPr>
          <w:rFonts w:hint="eastAsia" w:ascii="宋体" w:hAnsi="宋体" w:cs="宋体"/>
          <w:color w:val="auto"/>
          <w:sz w:val="24"/>
          <w:highlight w:val="none"/>
        </w:rPr>
        <w:t>地址：</w:t>
      </w:r>
    </w:p>
    <w:p w14:paraId="17FFC65D">
      <w:pPr>
        <w:spacing w:line="360" w:lineRule="auto"/>
        <w:ind w:left="540"/>
        <w:rPr>
          <w:rFonts w:ascii="宋体" w:hAnsi="宋体" w:cs="宋体"/>
          <w:color w:val="auto"/>
          <w:sz w:val="24"/>
          <w:highlight w:val="none"/>
        </w:rPr>
      </w:pPr>
      <w:r>
        <w:rPr>
          <w:rFonts w:hint="eastAsia" w:ascii="宋体" w:hAnsi="宋体" w:cs="宋体"/>
          <w:color w:val="auto"/>
          <w:sz w:val="24"/>
          <w:highlight w:val="none"/>
        </w:rPr>
        <w:t>姓名：性别：</w:t>
      </w:r>
    </w:p>
    <w:p w14:paraId="52FD6C76">
      <w:pPr>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年龄：职务：</w:t>
      </w:r>
    </w:p>
    <w:p w14:paraId="6E9D7A2C">
      <w:pPr>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p>
    <w:p w14:paraId="2B7C47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8282829">
      <w:pPr>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4108DFC9">
      <w:pPr>
        <w:spacing w:line="500" w:lineRule="exact"/>
        <w:ind w:left="540"/>
        <w:rPr>
          <w:rFonts w:ascii="宋体" w:hAnsi="宋体" w:cs="宋体"/>
          <w:color w:val="auto"/>
          <w:sz w:val="24"/>
          <w:highlight w:val="none"/>
        </w:rPr>
      </w:pPr>
    </w:p>
    <w:p w14:paraId="7885586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688614">
      <w:pPr>
        <w:spacing w:line="500" w:lineRule="exact"/>
        <w:ind w:left="540"/>
        <w:rPr>
          <w:rFonts w:ascii="宋体" w:hAnsi="宋体" w:cs="宋体"/>
          <w:color w:val="auto"/>
          <w:sz w:val="24"/>
          <w:highlight w:val="none"/>
        </w:rPr>
      </w:pPr>
    </w:p>
    <w:p w14:paraId="27484C11">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1865CAF6">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zh-CN"/>
        </w:rPr>
        <w:t>月日</w:t>
      </w:r>
    </w:p>
    <w:p w14:paraId="6D669816">
      <w:pPr>
        <w:snapToGrid w:val="0"/>
        <w:spacing w:before="156" w:beforeLines="50" w:after="50" w:line="360" w:lineRule="auto"/>
        <w:jc w:val="left"/>
        <w:rPr>
          <w:rFonts w:ascii="宋体" w:hAnsi="宋体" w:cs="宋体"/>
          <w:color w:val="auto"/>
          <w:sz w:val="24"/>
          <w:highlight w:val="none"/>
        </w:rPr>
      </w:pPr>
    </w:p>
    <w:p w14:paraId="197375D6">
      <w:pPr>
        <w:snapToGrid w:val="0"/>
        <w:spacing w:before="156"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6703F2D1">
      <w:pPr>
        <w:snapToGrid w:val="0"/>
        <w:spacing w:before="156" w:beforeLines="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0A5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CE28120">
            <w:pPr>
              <w:spacing w:line="360" w:lineRule="auto"/>
              <w:rPr>
                <w:rFonts w:ascii="宋体" w:hAnsi="宋体" w:cs="宋体"/>
                <w:b/>
                <w:color w:val="auto"/>
                <w:sz w:val="24"/>
                <w:highlight w:val="none"/>
              </w:rPr>
            </w:pPr>
          </w:p>
          <w:p w14:paraId="680DB93A">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w:t>
            </w:r>
            <w:r>
              <w:rPr>
                <w:rFonts w:hint="eastAsia" w:ascii="宋体" w:hAnsi="宋体" w:cs="宋体"/>
                <w:b/>
                <w:color w:val="auto"/>
                <w:sz w:val="24"/>
                <w:highlight w:val="none"/>
                <w:lang w:val="en-US" w:eastAsia="zh-CN"/>
              </w:rPr>
              <w:t>人</w:t>
            </w:r>
            <w:r>
              <w:rPr>
                <w:rFonts w:hint="eastAsia" w:ascii="宋体" w:hAnsi="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3BF5271D">
      <w:pPr>
        <w:pStyle w:val="21"/>
        <w:rPr>
          <w:rFonts w:ascii="宋体" w:hAnsi="宋体" w:cs="宋体"/>
          <w:color w:val="auto"/>
          <w:highlight w:val="none"/>
        </w:rPr>
      </w:pPr>
    </w:p>
    <w:p w14:paraId="40C07624">
      <w:pPr>
        <w:adjustRightInd w:val="0"/>
        <w:snapToGrid w:val="0"/>
        <w:spacing w:line="300" w:lineRule="auto"/>
        <w:jc w:val="left"/>
        <w:rPr>
          <w:rFonts w:ascii="宋体" w:hAnsi="宋体" w:cs="宋体"/>
          <w:b/>
          <w:color w:val="auto"/>
          <w:szCs w:val="21"/>
          <w:highlight w:val="none"/>
        </w:rPr>
      </w:pPr>
    </w:p>
    <w:p w14:paraId="7F3A0BD3">
      <w:pPr>
        <w:spacing w:line="500" w:lineRule="exact"/>
        <w:jc w:val="center"/>
        <w:rPr>
          <w:rFonts w:ascii="宋体" w:hAnsi="宋体" w:cs="宋体"/>
          <w:color w:val="auto"/>
          <w:sz w:val="36"/>
          <w:szCs w:val="36"/>
          <w:highlight w:val="none"/>
        </w:rPr>
      </w:pPr>
      <w:r>
        <w:rPr>
          <w:rFonts w:hint="eastAsia" w:ascii="宋体" w:hAnsi="宋体" w:cs="宋体"/>
          <w:color w:val="auto"/>
          <w:sz w:val="44"/>
          <w:szCs w:val="44"/>
          <w:highlight w:val="none"/>
        </w:rPr>
        <w:br w:type="page"/>
      </w:r>
      <w:r>
        <w:rPr>
          <w:rFonts w:hint="eastAsia" w:ascii="宋体" w:hAnsi="宋体" w:cs="宋体"/>
          <w:b/>
          <w:bCs/>
          <w:color w:val="auto"/>
          <w:sz w:val="32"/>
          <w:szCs w:val="32"/>
          <w:highlight w:val="none"/>
        </w:rPr>
        <w:t>三、法定代表人授权委托书及委托代理人有效身份证正反面复印件</w:t>
      </w:r>
    </w:p>
    <w:p w14:paraId="706277EA">
      <w:pPr>
        <w:pStyle w:val="21"/>
        <w:rPr>
          <w:rFonts w:ascii="宋体" w:hAnsi="宋体" w:cs="宋体"/>
          <w:color w:val="auto"/>
          <w:highlight w:val="none"/>
        </w:rPr>
      </w:pPr>
    </w:p>
    <w:p w14:paraId="5021E1D8">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法定代表人授权委托书（如有委托时）</w:t>
      </w:r>
    </w:p>
    <w:p w14:paraId="088E2F75">
      <w:pPr>
        <w:snapToGrid w:val="0"/>
        <w:spacing w:before="156" w:beforeLines="50" w:after="50"/>
        <w:jc w:val="center"/>
        <w:rPr>
          <w:rFonts w:ascii="宋体" w:hAnsi="宋体" w:cs="宋体"/>
          <w:b/>
          <w:color w:val="auto"/>
          <w:sz w:val="24"/>
          <w:highlight w:val="none"/>
        </w:rPr>
      </w:pPr>
    </w:p>
    <w:p w14:paraId="5D86F5A3">
      <w:pPr>
        <w:pStyle w:val="18"/>
        <w:spacing w:line="440" w:lineRule="exact"/>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（采购人名称）</w:t>
      </w:r>
    </w:p>
    <w:p w14:paraId="7266E35E">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本人（姓名）系（供应商名称）的法定代表人，现授权我单位在职正式员工（姓名和职务）为我方代理人。代理人根据授权，以我方名义签署、澄清、说明、补正、递交、撤回、修改贵方组织的</w:t>
      </w:r>
      <w:r>
        <w:rPr>
          <w:rFonts w:hint="eastAsia" w:hAnsi="宋体" w:cs="宋体"/>
          <w:color w:val="auto"/>
          <w:sz w:val="24"/>
          <w:szCs w:val="24"/>
          <w:highlight w:val="none"/>
          <w:u w:val="single"/>
        </w:rPr>
        <w:t>项目名称</w:t>
      </w:r>
      <w:r>
        <w:rPr>
          <w:rFonts w:hint="eastAsia" w:hAnsi="宋体" w:cs="宋体"/>
          <w:color w:val="auto"/>
          <w:sz w:val="24"/>
          <w:szCs w:val="24"/>
          <w:highlight w:val="none"/>
        </w:rPr>
        <w:t>项目（项目编号：）的响应文件、签订合同和处理一切有关事宜，其法律后果由我方承担。</w:t>
      </w:r>
    </w:p>
    <w:p w14:paraId="724BC89D">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本授权书于年月日签字生效，委托期限：。</w:t>
      </w:r>
    </w:p>
    <w:p w14:paraId="0CBBC0B4">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代理人无转委托权。</w:t>
      </w:r>
    </w:p>
    <w:p w14:paraId="3B4716CB">
      <w:pPr>
        <w:rPr>
          <w:rFonts w:ascii="宋体" w:hAnsi="宋体" w:cs="宋体"/>
          <w:color w:val="auto"/>
          <w:sz w:val="24"/>
          <w:highlight w:val="none"/>
        </w:rPr>
      </w:pPr>
    </w:p>
    <w:p w14:paraId="6537C7BC">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供应商（或联合体投标牵头人名称）（电子签章）：</w:t>
      </w:r>
    </w:p>
    <w:p w14:paraId="0E8984F4">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法定代表人（签字）：</w:t>
      </w:r>
    </w:p>
    <w:p w14:paraId="5310FC05">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法定代表人身份证号码：</w:t>
      </w:r>
    </w:p>
    <w:p w14:paraId="088842CA">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委托代理人（签字）：</w:t>
      </w:r>
    </w:p>
    <w:p w14:paraId="4D8BF2E4">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委托代理人身份证号码：</w:t>
      </w:r>
    </w:p>
    <w:p w14:paraId="5F657715">
      <w:pPr>
        <w:rPr>
          <w:rFonts w:ascii="宋体" w:hAnsi="宋体" w:cs="宋体"/>
          <w:color w:val="auto"/>
          <w:sz w:val="24"/>
          <w:highlight w:val="none"/>
        </w:rPr>
      </w:pPr>
    </w:p>
    <w:p w14:paraId="192862D8">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成员一名称（电子签章）：</w:t>
      </w:r>
    </w:p>
    <w:p w14:paraId="716CED9D">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法定代表人（签字）：</w:t>
      </w:r>
    </w:p>
    <w:p w14:paraId="3A044223">
      <w:pPr>
        <w:rPr>
          <w:rFonts w:ascii="宋体" w:hAnsi="宋体" w:cs="宋体"/>
          <w:color w:val="auto"/>
          <w:sz w:val="24"/>
          <w:highlight w:val="none"/>
        </w:rPr>
      </w:pPr>
    </w:p>
    <w:p w14:paraId="4220D8BC">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成员二名称（电子签章）：</w:t>
      </w:r>
    </w:p>
    <w:p w14:paraId="69E6B58D">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法定代表人或其委托代理人：（签字）</w:t>
      </w:r>
    </w:p>
    <w:p w14:paraId="2B301D61">
      <w:pPr>
        <w:pStyle w:val="18"/>
        <w:ind w:firstLine="480" w:firstLineChars="200"/>
        <w:rPr>
          <w:rFonts w:hAnsi="宋体" w:cs="宋体"/>
          <w:color w:val="auto"/>
          <w:sz w:val="24"/>
          <w:szCs w:val="24"/>
          <w:highlight w:val="none"/>
        </w:rPr>
      </w:pPr>
      <w:r>
        <w:rPr>
          <w:rFonts w:hint="eastAsia" w:hAnsi="宋体" w:cs="宋体"/>
          <w:color w:val="auto"/>
          <w:sz w:val="24"/>
          <w:szCs w:val="24"/>
          <w:highlight w:val="none"/>
        </w:rPr>
        <w:t>......</w:t>
      </w:r>
    </w:p>
    <w:p w14:paraId="4E87F108">
      <w:pPr>
        <w:spacing w:line="276" w:lineRule="auto"/>
        <w:rPr>
          <w:rFonts w:ascii="宋体" w:hAnsi="宋体" w:cs="宋体"/>
          <w:color w:val="auto"/>
          <w:sz w:val="24"/>
          <w:highlight w:val="none"/>
        </w:rPr>
      </w:pPr>
      <w:r>
        <w:rPr>
          <w:rFonts w:hint="eastAsia" w:ascii="宋体" w:hAnsi="宋体" w:cs="宋体"/>
          <w:color w:val="auto"/>
          <w:sz w:val="24"/>
          <w:highlight w:val="none"/>
        </w:rPr>
        <w:t>注：1.以联合体形式竞标的，本授权委托书应由联合体牵头人的法定代表人按上述规定签署。</w:t>
      </w:r>
    </w:p>
    <w:p w14:paraId="1AFDD7F5">
      <w:pPr>
        <w:snapToGrid w:val="0"/>
        <w:spacing w:before="50" w:after="156" w:afterLines="50" w:line="276" w:lineRule="auto"/>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2.供应商为其他组织或者自然人时，本采购文件规定的法定代表人指负责人或者自然人。本采购文件所称负责人是指参加竞标的其他组织营业执照上的负责人，本采购文件所称自然人指参与响应的自然人本人。</w:t>
      </w:r>
    </w:p>
    <w:p w14:paraId="5F01FA56">
      <w:pPr>
        <w:snapToGrid w:val="0"/>
        <w:spacing w:before="50" w:after="156" w:afterLines="50" w:line="276" w:lineRule="auto"/>
        <w:jc w:val="left"/>
        <w:rPr>
          <w:rFonts w:ascii="宋体" w:hAnsi="宋体" w:cs="宋体"/>
          <w:color w:val="auto"/>
          <w:sz w:val="24"/>
          <w:highlight w:val="none"/>
        </w:rPr>
      </w:pPr>
      <w:r>
        <w:rPr>
          <w:rFonts w:hint="eastAsia" w:ascii="宋体" w:hAnsi="宋体" w:cs="宋体"/>
          <w:color w:val="auto"/>
          <w:sz w:val="24"/>
          <w:highlight w:val="none"/>
        </w:rPr>
        <w:t>3.若为联合体竞标须各方签字或盖章。</w:t>
      </w:r>
    </w:p>
    <w:p w14:paraId="362BD4C4">
      <w:pPr>
        <w:spacing w:line="360" w:lineRule="auto"/>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9"/>
        <w:tblpPr w:leftFromText="180" w:rightFromText="180" w:vertAnchor="text" w:horzAnchor="margin" w:tblpY="26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4B67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8940" w:type="dxa"/>
          </w:tcPr>
          <w:p w14:paraId="270A9CF2">
            <w:pPr>
              <w:spacing w:line="360" w:lineRule="auto"/>
              <w:rPr>
                <w:rFonts w:ascii="宋体" w:hAnsi="宋体" w:cs="宋体"/>
                <w:b/>
                <w:color w:val="auto"/>
                <w:sz w:val="24"/>
                <w:highlight w:val="none"/>
              </w:rPr>
            </w:pPr>
          </w:p>
          <w:p w14:paraId="7AD998CC">
            <w:pPr>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5B8784DB">
      <w:pPr>
        <w:snapToGrid w:val="0"/>
        <w:spacing w:before="50" w:after="156" w:afterLines="50" w:line="360" w:lineRule="auto"/>
        <w:jc w:val="left"/>
        <w:rPr>
          <w:rFonts w:ascii="宋体" w:hAnsi="宋体" w:cs="宋体"/>
          <w:color w:val="auto"/>
          <w:szCs w:val="21"/>
          <w:highlight w:val="none"/>
        </w:rPr>
      </w:pPr>
    </w:p>
    <w:p w14:paraId="41CA78E2">
      <w:pPr>
        <w:spacing w:line="360" w:lineRule="auto"/>
        <w:ind w:firstLine="420" w:firstLineChars="200"/>
        <w:jc w:val="left"/>
        <w:rPr>
          <w:rFonts w:ascii="宋体" w:hAnsi="宋体" w:cs="宋体"/>
          <w:color w:val="auto"/>
          <w:szCs w:val="21"/>
          <w:highlight w:val="none"/>
        </w:rPr>
      </w:pPr>
    </w:p>
    <w:p w14:paraId="0E9C84A3">
      <w:pPr>
        <w:pStyle w:val="21"/>
        <w:rPr>
          <w:rFonts w:ascii="宋体" w:hAnsi="宋体" w:cs="宋体"/>
          <w:color w:val="auto"/>
          <w:highlight w:val="none"/>
        </w:rPr>
      </w:pPr>
    </w:p>
    <w:p w14:paraId="0A06AE9C">
      <w:pPr>
        <w:jc w:val="center"/>
        <w:rPr>
          <w:rFonts w:ascii="宋体" w:hAnsi="宋体" w:cs="宋体"/>
          <w:bCs/>
          <w:color w:val="auto"/>
          <w:sz w:val="44"/>
          <w:szCs w:val="44"/>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四、商务条款偏离表</w:t>
      </w:r>
    </w:p>
    <w:p w14:paraId="5CDE83D9">
      <w:pPr>
        <w:spacing w:line="500" w:lineRule="exact"/>
        <w:jc w:val="center"/>
        <w:rPr>
          <w:rFonts w:ascii="宋体" w:hAnsi="宋体" w:cs="宋体"/>
          <w:b/>
          <w:color w:val="auto"/>
          <w:sz w:val="32"/>
          <w:szCs w:val="32"/>
          <w:highlight w:val="none"/>
        </w:rPr>
      </w:pPr>
      <w:r>
        <w:rPr>
          <w:rFonts w:hint="eastAsia" w:ascii="宋体" w:hAnsi="宋体" w:cs="宋体"/>
          <w:bCs/>
          <w:color w:val="auto"/>
          <w:sz w:val="32"/>
          <w:szCs w:val="32"/>
          <w:highlight w:val="none"/>
        </w:rPr>
        <w:t>(注：按采购需求具体条款修改</w:t>
      </w:r>
      <w:r>
        <w:rPr>
          <w:rFonts w:hint="eastAsia" w:ascii="宋体" w:hAnsi="宋体" w:cs="宋体"/>
          <w:bCs/>
          <w:color w:val="auto"/>
          <w:sz w:val="32"/>
          <w:szCs w:val="32"/>
          <w:highlight w:val="none"/>
          <w:lang w:eastAsia="zh-CN"/>
        </w:rPr>
        <w:t>）</w:t>
      </w:r>
    </w:p>
    <w:p w14:paraId="4D43083A">
      <w:pPr>
        <w:rPr>
          <w:rFonts w:ascii="宋体" w:hAnsi="宋体" w:cs="宋体"/>
          <w:color w:val="auto"/>
          <w:highlight w:val="none"/>
        </w:rPr>
      </w:pPr>
    </w:p>
    <w:p w14:paraId="36E5334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2666CC7D">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采购项目名称：</w:t>
      </w:r>
    </w:p>
    <w:p w14:paraId="12222538">
      <w:pPr>
        <w:pStyle w:val="21"/>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分标号（此处有分标时填写具体分标号，无分标时填写“无”）：</w:t>
      </w:r>
    </w:p>
    <w:p w14:paraId="783D24F6">
      <w:pPr>
        <w:snapToGrid w:val="0"/>
        <w:spacing w:before="50" w:line="360" w:lineRule="auto"/>
        <w:jc w:val="left"/>
        <w:rPr>
          <w:rFonts w:ascii="宋体" w:hAnsi="宋体" w:cs="宋体"/>
          <w:color w:val="auto"/>
          <w:sz w:val="24"/>
          <w:highlight w:val="none"/>
          <w:u w:val="single"/>
        </w:rPr>
      </w:pPr>
    </w:p>
    <w:tbl>
      <w:tblPr>
        <w:tblStyle w:val="2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8"/>
        <w:gridCol w:w="2768"/>
        <w:gridCol w:w="2040"/>
        <w:gridCol w:w="2112"/>
      </w:tblGrid>
      <w:tr w14:paraId="259C2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88" w:type="dxa"/>
            <w:tcBorders>
              <w:top w:val="single" w:color="auto" w:sz="4" w:space="0"/>
              <w:left w:val="single" w:color="auto" w:sz="4" w:space="0"/>
              <w:bottom w:val="single" w:color="auto" w:sz="4" w:space="0"/>
              <w:right w:val="single" w:color="auto" w:sz="4" w:space="0"/>
            </w:tcBorders>
            <w:vAlign w:val="center"/>
          </w:tcPr>
          <w:p w14:paraId="241E8157">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tc>
        <w:tc>
          <w:tcPr>
            <w:tcW w:w="2768" w:type="dxa"/>
            <w:tcBorders>
              <w:top w:val="single" w:color="auto" w:sz="4" w:space="0"/>
              <w:left w:val="single" w:color="auto" w:sz="4" w:space="0"/>
              <w:bottom w:val="single" w:color="auto" w:sz="4" w:space="0"/>
              <w:right w:val="single" w:color="auto" w:sz="4" w:space="0"/>
            </w:tcBorders>
            <w:vAlign w:val="center"/>
          </w:tcPr>
          <w:p w14:paraId="25B56B19">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磋商文件商务条款要求</w:t>
            </w:r>
          </w:p>
        </w:tc>
        <w:tc>
          <w:tcPr>
            <w:tcW w:w="2040" w:type="dxa"/>
            <w:tcBorders>
              <w:top w:val="single" w:color="auto" w:sz="4" w:space="0"/>
              <w:left w:val="single" w:color="auto" w:sz="4" w:space="0"/>
              <w:bottom w:val="single" w:color="auto" w:sz="4" w:space="0"/>
              <w:right w:val="single" w:color="auto" w:sz="4" w:space="0"/>
            </w:tcBorders>
            <w:vAlign w:val="center"/>
          </w:tcPr>
          <w:p w14:paraId="35B844BD">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569F8D00">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262C5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88" w:type="dxa"/>
            <w:tcBorders>
              <w:top w:val="single" w:color="auto" w:sz="4" w:space="0"/>
              <w:left w:val="single" w:color="auto" w:sz="4" w:space="0"/>
              <w:bottom w:val="single" w:color="auto" w:sz="4" w:space="0"/>
              <w:right w:val="single" w:color="auto" w:sz="4" w:space="0"/>
            </w:tcBorders>
            <w:vAlign w:val="center"/>
          </w:tcPr>
          <w:p w14:paraId="654E76F4">
            <w:pPr>
              <w:snapToGrid w:val="0"/>
              <w:spacing w:before="156" w:beforeLines="50" w:line="360" w:lineRule="auto"/>
              <w:jc w:val="center"/>
              <w:rPr>
                <w:rFonts w:ascii="宋体" w:hAnsi="宋体" w:cs="宋体"/>
                <w:color w:val="auto"/>
                <w:sz w:val="24"/>
                <w:highlight w:val="none"/>
              </w:rPr>
            </w:pPr>
            <w:r>
              <w:rPr>
                <w:rFonts w:hint="eastAsia" w:ascii="宋体" w:hAnsi="宋体" w:eastAsia="宋体" w:cs="宋体"/>
                <w:i w:val="0"/>
                <w:iCs w:val="0"/>
                <w:color w:val="auto"/>
                <w:sz w:val="24"/>
                <w:szCs w:val="24"/>
                <w:highlight w:val="none"/>
                <w:u w:val="none"/>
                <w:lang w:val="en-US" w:eastAsia="zh-CN"/>
              </w:rPr>
              <w:t>服务期及地点</w:t>
            </w:r>
          </w:p>
        </w:tc>
        <w:tc>
          <w:tcPr>
            <w:tcW w:w="2768" w:type="dxa"/>
            <w:tcBorders>
              <w:top w:val="single" w:color="auto" w:sz="4" w:space="0"/>
              <w:left w:val="single" w:color="auto" w:sz="4" w:space="0"/>
              <w:bottom w:val="single" w:color="auto" w:sz="4" w:space="0"/>
              <w:right w:val="single" w:color="auto" w:sz="4" w:space="0"/>
            </w:tcBorders>
            <w:vAlign w:val="center"/>
          </w:tcPr>
          <w:p w14:paraId="076754BC">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7F592090">
            <w:pPr>
              <w:snapToGrid w:val="0"/>
              <w:spacing w:before="156" w:beforeLines="50" w:line="360" w:lineRule="auto"/>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8949D83">
            <w:pPr>
              <w:snapToGrid w:val="0"/>
              <w:spacing w:before="156" w:beforeLines="50" w:line="360" w:lineRule="auto"/>
              <w:jc w:val="center"/>
              <w:rPr>
                <w:rFonts w:ascii="宋体" w:hAnsi="宋体" w:cs="宋体"/>
                <w:color w:val="auto"/>
                <w:sz w:val="24"/>
                <w:highlight w:val="none"/>
              </w:rPr>
            </w:pPr>
          </w:p>
        </w:tc>
      </w:tr>
      <w:tr w14:paraId="27346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88" w:type="dxa"/>
            <w:tcBorders>
              <w:top w:val="single" w:color="auto" w:sz="4" w:space="0"/>
              <w:left w:val="single" w:color="auto" w:sz="4" w:space="0"/>
              <w:bottom w:val="single" w:color="auto" w:sz="4" w:space="0"/>
              <w:right w:val="single" w:color="auto" w:sz="4" w:space="0"/>
            </w:tcBorders>
            <w:vAlign w:val="center"/>
          </w:tcPr>
          <w:p w14:paraId="3A9D8C4C">
            <w:pPr>
              <w:snapToGrid w:val="0"/>
              <w:spacing w:before="156" w:beforeLines="50" w:line="360" w:lineRule="auto"/>
              <w:jc w:val="center"/>
              <w:rPr>
                <w:rFonts w:ascii="宋体" w:hAnsi="宋体" w:cs="宋体"/>
                <w:color w:val="auto"/>
                <w:sz w:val="24"/>
                <w:highlight w:val="none"/>
              </w:rPr>
            </w:pPr>
            <w:r>
              <w:rPr>
                <w:rFonts w:hint="eastAsia" w:ascii="宋体" w:hAnsi="宋体" w:eastAsia="宋体" w:cs="宋体"/>
                <w:i w:val="0"/>
                <w:iCs w:val="0"/>
                <w:color w:val="auto"/>
                <w:sz w:val="24"/>
                <w:szCs w:val="24"/>
                <w:highlight w:val="none"/>
                <w:u w:val="none"/>
                <w:lang w:val="en-US" w:eastAsia="zh-CN"/>
              </w:rPr>
              <w:t>服务响应速度</w:t>
            </w:r>
          </w:p>
        </w:tc>
        <w:tc>
          <w:tcPr>
            <w:tcW w:w="2768" w:type="dxa"/>
            <w:tcBorders>
              <w:top w:val="single" w:color="auto" w:sz="4" w:space="0"/>
              <w:left w:val="single" w:color="auto" w:sz="4" w:space="0"/>
              <w:bottom w:val="single" w:color="auto" w:sz="4" w:space="0"/>
              <w:right w:val="single" w:color="auto" w:sz="4" w:space="0"/>
            </w:tcBorders>
            <w:vAlign w:val="center"/>
          </w:tcPr>
          <w:p w14:paraId="6030E236">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6908D227">
            <w:pPr>
              <w:snapToGrid w:val="0"/>
              <w:spacing w:before="156" w:beforeLines="50" w:line="360" w:lineRule="auto"/>
              <w:ind w:left="43"/>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298D94E">
            <w:pPr>
              <w:snapToGrid w:val="0"/>
              <w:spacing w:before="156" w:beforeLines="50" w:line="360" w:lineRule="auto"/>
              <w:ind w:left="43"/>
              <w:jc w:val="center"/>
              <w:rPr>
                <w:rFonts w:ascii="宋体" w:hAnsi="宋体" w:cs="宋体"/>
                <w:color w:val="auto"/>
                <w:sz w:val="24"/>
                <w:highlight w:val="none"/>
              </w:rPr>
            </w:pPr>
          </w:p>
        </w:tc>
      </w:tr>
      <w:tr w14:paraId="54C34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88" w:type="dxa"/>
            <w:tcBorders>
              <w:top w:val="single" w:color="auto" w:sz="4" w:space="0"/>
              <w:left w:val="single" w:color="auto" w:sz="4" w:space="0"/>
              <w:bottom w:val="single" w:color="auto" w:sz="4" w:space="0"/>
              <w:right w:val="single" w:color="auto" w:sz="4" w:space="0"/>
            </w:tcBorders>
            <w:vAlign w:val="center"/>
          </w:tcPr>
          <w:p w14:paraId="0E2AE303">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合同签订期</w:t>
            </w:r>
          </w:p>
        </w:tc>
        <w:tc>
          <w:tcPr>
            <w:tcW w:w="2768" w:type="dxa"/>
            <w:tcBorders>
              <w:top w:val="single" w:color="auto" w:sz="4" w:space="0"/>
              <w:left w:val="single" w:color="auto" w:sz="4" w:space="0"/>
              <w:bottom w:val="single" w:color="auto" w:sz="4" w:space="0"/>
              <w:right w:val="single" w:color="auto" w:sz="4" w:space="0"/>
            </w:tcBorders>
            <w:vAlign w:val="center"/>
          </w:tcPr>
          <w:p w14:paraId="524F7F2C">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73C11FC9">
            <w:pPr>
              <w:snapToGrid w:val="0"/>
              <w:spacing w:before="156" w:beforeLines="50" w:line="360" w:lineRule="auto"/>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37F34F0">
            <w:pPr>
              <w:snapToGrid w:val="0"/>
              <w:spacing w:before="156" w:beforeLines="50" w:line="360" w:lineRule="auto"/>
              <w:jc w:val="center"/>
              <w:rPr>
                <w:rFonts w:ascii="宋体" w:hAnsi="宋体" w:cs="宋体"/>
                <w:color w:val="auto"/>
                <w:sz w:val="24"/>
                <w:highlight w:val="none"/>
              </w:rPr>
            </w:pPr>
          </w:p>
        </w:tc>
      </w:tr>
      <w:tr w14:paraId="13D66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cBorders>
            <w:vAlign w:val="center"/>
          </w:tcPr>
          <w:p w14:paraId="728B836A">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768" w:type="dxa"/>
            <w:tcBorders>
              <w:top w:val="single" w:color="auto" w:sz="4" w:space="0"/>
              <w:left w:val="single" w:color="auto" w:sz="4" w:space="0"/>
              <w:bottom w:val="single" w:color="auto" w:sz="4" w:space="0"/>
              <w:right w:val="single" w:color="auto" w:sz="4" w:space="0"/>
            </w:tcBorders>
            <w:vAlign w:val="center"/>
          </w:tcPr>
          <w:p w14:paraId="6104B8DB">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50261115">
            <w:pPr>
              <w:snapToGrid w:val="0"/>
              <w:spacing w:before="156" w:beforeLines="50" w:line="360" w:lineRule="auto"/>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6E70BC0">
            <w:pPr>
              <w:snapToGrid w:val="0"/>
              <w:spacing w:before="156" w:beforeLines="50" w:line="360" w:lineRule="auto"/>
              <w:jc w:val="center"/>
              <w:rPr>
                <w:rFonts w:ascii="宋体" w:hAnsi="宋体" w:cs="宋体"/>
                <w:color w:val="auto"/>
                <w:sz w:val="24"/>
                <w:highlight w:val="none"/>
              </w:rPr>
            </w:pPr>
          </w:p>
        </w:tc>
      </w:tr>
    </w:tbl>
    <w:p w14:paraId="0385345B">
      <w:pPr>
        <w:pStyle w:val="15"/>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A7E4B2F">
      <w:pPr>
        <w:pStyle w:val="15"/>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1.说明：应对照磋商文件“第三章采购需求”中的商务条款逐条实质性响应，并作出偏离说明。</w:t>
      </w:r>
    </w:p>
    <w:p w14:paraId="5845ED2D">
      <w:pPr>
        <w:snapToGrid w:val="0"/>
        <w:spacing w:before="50" w:line="360" w:lineRule="auto"/>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负偏离”或者“无偏离”。既不属于“正偏离”也不属于“负偏离”即为“无偏离”。</w:t>
      </w:r>
    </w:p>
    <w:p w14:paraId="19AFD687">
      <w:pPr>
        <w:snapToGrid w:val="0"/>
        <w:spacing w:before="50" w:after="50" w:line="360" w:lineRule="auto"/>
        <w:ind w:right="-817" w:rightChars="-389"/>
        <w:rPr>
          <w:rFonts w:ascii="宋体" w:hAnsi="宋体" w:cs="宋体"/>
          <w:color w:val="auto"/>
          <w:sz w:val="24"/>
          <w:highlight w:val="none"/>
        </w:rPr>
      </w:pPr>
    </w:p>
    <w:p w14:paraId="2490620A">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2C7FABC6">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06A2A221">
      <w:pPr>
        <w:pStyle w:val="21"/>
        <w:rPr>
          <w:rFonts w:ascii="宋体" w:hAnsi="宋体" w:cs="宋体"/>
          <w:color w:val="auto"/>
          <w:highlight w:val="none"/>
        </w:rPr>
      </w:pPr>
    </w:p>
    <w:p w14:paraId="6EC02065">
      <w:pPr>
        <w:pStyle w:val="21"/>
        <w:rPr>
          <w:rFonts w:ascii="宋体" w:hAnsi="宋体" w:cs="宋体"/>
          <w:color w:val="auto"/>
          <w:highlight w:val="none"/>
        </w:rPr>
      </w:pPr>
    </w:p>
    <w:p w14:paraId="2AD5CAB4">
      <w:pPr>
        <w:pStyle w:val="21"/>
        <w:rPr>
          <w:rFonts w:ascii="宋体" w:hAnsi="宋体" w:cs="宋体"/>
          <w:color w:val="auto"/>
          <w:highlight w:val="none"/>
        </w:rPr>
      </w:pPr>
    </w:p>
    <w:p w14:paraId="081DF0CB">
      <w:pPr>
        <w:adjustRightInd w:val="0"/>
        <w:snapToGrid w:val="0"/>
        <w:spacing w:line="520" w:lineRule="exact"/>
        <w:ind w:firstLine="7040" w:firstLineChars="1600"/>
        <w:jc w:val="center"/>
        <w:rPr>
          <w:rFonts w:ascii="宋体" w:hAnsi="宋体" w:cs="宋体"/>
          <w:bCs/>
          <w:color w:val="auto"/>
          <w:sz w:val="44"/>
          <w:szCs w:val="44"/>
          <w:highlight w:val="none"/>
        </w:rPr>
      </w:pPr>
    </w:p>
    <w:p w14:paraId="2000B8E6">
      <w:pPr>
        <w:adjustRightInd w:val="0"/>
        <w:snapToGrid w:val="0"/>
        <w:spacing w:line="520" w:lineRule="exact"/>
        <w:ind w:firstLine="7040" w:firstLineChars="1600"/>
        <w:jc w:val="center"/>
        <w:rPr>
          <w:rFonts w:ascii="宋体" w:hAnsi="宋体" w:cs="宋体"/>
          <w:bCs/>
          <w:color w:val="auto"/>
          <w:sz w:val="44"/>
          <w:szCs w:val="44"/>
          <w:highlight w:val="none"/>
        </w:rPr>
      </w:pPr>
    </w:p>
    <w:p w14:paraId="1F48AA92">
      <w:pPr>
        <w:adjustRightInd w:val="0"/>
        <w:snapToGrid w:val="0"/>
        <w:spacing w:line="520" w:lineRule="exact"/>
        <w:ind w:firstLine="7040" w:firstLineChars="1600"/>
        <w:jc w:val="center"/>
        <w:rPr>
          <w:rFonts w:ascii="宋体" w:hAnsi="宋体" w:cs="宋体"/>
          <w:bCs/>
          <w:color w:val="auto"/>
          <w:sz w:val="44"/>
          <w:szCs w:val="44"/>
          <w:highlight w:val="none"/>
        </w:rPr>
      </w:pPr>
    </w:p>
    <w:p w14:paraId="31880C33">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五、磋商保证金提交凭证</w:t>
      </w:r>
    </w:p>
    <w:p w14:paraId="63D3C450">
      <w:pPr>
        <w:pStyle w:val="21"/>
        <w:rPr>
          <w:rFonts w:ascii="宋体" w:hAnsi="宋体" w:cs="宋体"/>
          <w:color w:val="auto"/>
          <w:highlight w:val="none"/>
        </w:rPr>
      </w:pPr>
    </w:p>
    <w:p w14:paraId="4EC72C81">
      <w:pPr>
        <w:pStyle w:val="21"/>
        <w:rPr>
          <w:rFonts w:ascii="宋体" w:hAnsi="宋体" w:cs="宋体"/>
          <w:color w:val="auto"/>
          <w:highlight w:val="none"/>
        </w:rPr>
      </w:pPr>
    </w:p>
    <w:p w14:paraId="4815369F">
      <w:pPr>
        <w:pStyle w:val="21"/>
        <w:rPr>
          <w:rFonts w:ascii="宋体" w:hAnsi="宋体" w:cs="宋体"/>
          <w:color w:val="auto"/>
          <w:highlight w:val="none"/>
        </w:rPr>
      </w:pPr>
    </w:p>
    <w:p w14:paraId="2F7B9DBB">
      <w:pPr>
        <w:snapToGrid w:val="0"/>
        <w:spacing w:before="50" w:after="50" w:line="360" w:lineRule="auto"/>
        <w:ind w:right="-817" w:rightChars="-389"/>
        <w:rPr>
          <w:rFonts w:ascii="宋体" w:hAnsi="宋体" w:cs="宋体"/>
          <w:color w:val="auto"/>
          <w:sz w:val="24"/>
          <w:highlight w:val="none"/>
        </w:rPr>
      </w:pPr>
    </w:p>
    <w:p w14:paraId="7FF7383E">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2B8F66A0">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0F9CF663">
      <w:pPr>
        <w:pStyle w:val="21"/>
        <w:rPr>
          <w:rFonts w:ascii="宋体" w:hAnsi="宋体" w:cs="宋体"/>
          <w:color w:val="auto"/>
          <w:highlight w:val="none"/>
        </w:rPr>
      </w:pPr>
    </w:p>
    <w:p w14:paraId="2F2638E3">
      <w:pPr>
        <w:pStyle w:val="21"/>
        <w:rPr>
          <w:rFonts w:ascii="宋体" w:hAnsi="宋体" w:cs="宋体"/>
          <w:color w:val="auto"/>
          <w:highlight w:val="none"/>
        </w:rPr>
      </w:pPr>
    </w:p>
    <w:p w14:paraId="4FE3ED80">
      <w:pPr>
        <w:pStyle w:val="21"/>
        <w:rPr>
          <w:rFonts w:ascii="宋体" w:hAnsi="宋体" w:cs="宋体"/>
          <w:color w:val="auto"/>
          <w:highlight w:val="none"/>
        </w:rPr>
      </w:pPr>
    </w:p>
    <w:p w14:paraId="72BA6090">
      <w:pPr>
        <w:pStyle w:val="21"/>
        <w:rPr>
          <w:rFonts w:ascii="宋体" w:hAnsi="宋体" w:cs="宋体"/>
          <w:color w:val="auto"/>
          <w:highlight w:val="none"/>
        </w:rPr>
      </w:pPr>
    </w:p>
    <w:p w14:paraId="6B8F6494">
      <w:pPr>
        <w:snapToGrid w:val="0"/>
        <w:spacing w:before="50" w:after="50" w:line="360" w:lineRule="auto"/>
        <w:ind w:right="-817" w:rightChars="-389"/>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六、供应商认为需要提供的其他有关资料</w:t>
      </w:r>
    </w:p>
    <w:p w14:paraId="51290D74">
      <w:pPr>
        <w:spacing w:line="360" w:lineRule="auto"/>
        <w:ind w:firstLine="5760" w:firstLineChars="1600"/>
        <w:rPr>
          <w:rFonts w:ascii="宋体" w:hAnsi="宋体" w:cs="宋体"/>
          <w:color w:val="auto"/>
          <w:sz w:val="36"/>
          <w:szCs w:val="36"/>
          <w:highlight w:val="none"/>
        </w:rPr>
      </w:pPr>
    </w:p>
    <w:p w14:paraId="08AD3EB6">
      <w:pPr>
        <w:spacing w:line="360" w:lineRule="auto"/>
        <w:ind w:firstLine="5760" w:firstLineChars="1600"/>
        <w:rPr>
          <w:rFonts w:ascii="宋体" w:hAnsi="宋体" w:cs="宋体"/>
          <w:color w:val="auto"/>
          <w:sz w:val="36"/>
          <w:szCs w:val="36"/>
          <w:highlight w:val="none"/>
        </w:rPr>
      </w:pPr>
    </w:p>
    <w:p w14:paraId="5726717A">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4DEA93E">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0B77F788">
      <w:pPr>
        <w:pStyle w:val="21"/>
        <w:rPr>
          <w:rFonts w:ascii="宋体" w:hAnsi="宋体" w:cs="宋体"/>
          <w:color w:val="auto"/>
          <w:highlight w:val="none"/>
        </w:rPr>
      </w:pPr>
    </w:p>
    <w:p w14:paraId="5B0615BE">
      <w:pPr>
        <w:pStyle w:val="21"/>
        <w:rPr>
          <w:rFonts w:ascii="宋体" w:hAnsi="宋体" w:cs="宋体"/>
          <w:color w:val="auto"/>
          <w:highlight w:val="none"/>
        </w:rPr>
      </w:pPr>
    </w:p>
    <w:p w14:paraId="3102F543">
      <w:pPr>
        <w:pStyle w:val="21"/>
        <w:rPr>
          <w:rFonts w:ascii="宋体" w:hAnsi="宋体" w:cs="宋体"/>
          <w:color w:val="auto"/>
          <w:highlight w:val="none"/>
        </w:rPr>
      </w:pPr>
    </w:p>
    <w:p w14:paraId="6CE8519A">
      <w:pPr>
        <w:pStyle w:val="21"/>
        <w:rPr>
          <w:rFonts w:ascii="宋体" w:hAnsi="宋体" w:cs="宋体"/>
          <w:color w:val="auto"/>
          <w:highlight w:val="none"/>
        </w:rPr>
      </w:pPr>
    </w:p>
    <w:p w14:paraId="0E942C4C">
      <w:pPr>
        <w:pStyle w:val="21"/>
        <w:rPr>
          <w:rFonts w:ascii="宋体" w:hAnsi="宋体" w:cs="宋体"/>
          <w:color w:val="auto"/>
          <w:highlight w:val="none"/>
        </w:rPr>
      </w:pPr>
    </w:p>
    <w:p w14:paraId="38DE117A">
      <w:pPr>
        <w:pStyle w:val="21"/>
        <w:rPr>
          <w:rFonts w:ascii="宋体" w:hAnsi="宋体" w:cs="宋体"/>
          <w:color w:val="auto"/>
          <w:highlight w:val="none"/>
        </w:rPr>
      </w:pPr>
    </w:p>
    <w:p w14:paraId="2F0D47D7">
      <w:pPr>
        <w:pStyle w:val="21"/>
        <w:rPr>
          <w:rFonts w:ascii="宋体" w:hAnsi="宋体" w:cs="宋体"/>
          <w:color w:val="auto"/>
          <w:highlight w:val="none"/>
        </w:rPr>
      </w:pPr>
    </w:p>
    <w:p w14:paraId="4118A92A">
      <w:pPr>
        <w:pStyle w:val="21"/>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技术文件</w:t>
      </w:r>
    </w:p>
    <w:p w14:paraId="0EAA92E0">
      <w:pPr>
        <w:pStyle w:val="21"/>
        <w:rPr>
          <w:rFonts w:ascii="宋体" w:hAnsi="宋体" w:cs="宋体"/>
          <w:color w:val="auto"/>
          <w:highlight w:val="none"/>
        </w:rPr>
      </w:pPr>
    </w:p>
    <w:p w14:paraId="1C2BAFD1">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w:t>
      </w:r>
      <w:r>
        <w:rPr>
          <w:rFonts w:hint="eastAsia" w:ascii="宋体" w:hAnsi="宋体" w:cs="宋体"/>
          <w:b/>
          <w:bCs/>
          <w:color w:val="auto"/>
          <w:sz w:val="32"/>
          <w:szCs w:val="32"/>
          <w:highlight w:val="none"/>
          <w:lang w:eastAsia="zh-CN"/>
        </w:rPr>
        <w:t>服务需求</w:t>
      </w:r>
      <w:r>
        <w:rPr>
          <w:rFonts w:hint="eastAsia" w:ascii="宋体" w:hAnsi="宋体" w:cs="宋体"/>
          <w:b/>
          <w:bCs/>
          <w:color w:val="auto"/>
          <w:sz w:val="32"/>
          <w:szCs w:val="32"/>
          <w:highlight w:val="none"/>
        </w:rPr>
        <w:t>偏离表</w:t>
      </w:r>
    </w:p>
    <w:p w14:paraId="7A3198F7">
      <w:pPr>
        <w:spacing w:line="520" w:lineRule="exact"/>
        <w:rPr>
          <w:rFonts w:ascii="宋体" w:hAnsi="宋体" w:cs="宋体"/>
          <w:color w:val="auto"/>
          <w:sz w:val="32"/>
          <w:szCs w:val="32"/>
          <w:highlight w:val="none"/>
        </w:rPr>
      </w:pPr>
    </w:p>
    <w:p w14:paraId="26B43B5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2E4DE37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采购项目名称：</w:t>
      </w:r>
    </w:p>
    <w:p w14:paraId="0EA881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p>
    <w:p w14:paraId="513EFFDF">
      <w:pPr>
        <w:pStyle w:val="21"/>
        <w:rPr>
          <w:rFonts w:ascii="宋体" w:hAnsi="宋体" w:cs="宋体"/>
          <w:color w:val="auto"/>
          <w:sz w:val="24"/>
          <w:szCs w:val="24"/>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915"/>
        <w:gridCol w:w="3038"/>
        <w:gridCol w:w="2735"/>
        <w:gridCol w:w="1492"/>
      </w:tblGrid>
      <w:tr w14:paraId="7346D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494397A">
            <w:pPr>
              <w:pStyle w:val="16"/>
              <w:spacing w:line="360" w:lineRule="auto"/>
              <w:ind w:firstLine="0" w:firstLineChars="0"/>
              <w:jc w:val="center"/>
              <w:rPr>
                <w:rFonts w:ascii="宋体" w:hAnsi="宋体" w:eastAsia="宋体" w:cs="宋体"/>
                <w:color w:val="auto"/>
                <w:kern w:val="2"/>
                <w:sz w:val="24"/>
                <w:szCs w:val="24"/>
                <w:highlight w:val="none"/>
              </w:rPr>
            </w:pPr>
            <w:bookmarkStart w:id="77" w:name="_Toc373333689"/>
            <w:bookmarkStart w:id="78" w:name="_Toc254970588"/>
            <w:bookmarkStart w:id="79" w:name="_Toc254970729"/>
            <w:bookmarkStart w:id="80" w:name="_Toc295404981"/>
            <w:bookmarkStart w:id="81" w:name="_Toc383699906"/>
            <w:bookmarkStart w:id="82" w:name="_Toc297193185"/>
            <w:bookmarkStart w:id="83" w:name="_Toc173066401"/>
            <w:bookmarkStart w:id="84" w:name="_Toc173211900"/>
            <w:bookmarkStart w:id="85" w:name="_Toc301781611"/>
            <w:r>
              <w:rPr>
                <w:rFonts w:hint="eastAsia" w:ascii="宋体" w:hAnsi="宋体" w:eastAsia="宋体" w:cs="宋体"/>
                <w:color w:val="auto"/>
                <w:kern w:val="2"/>
                <w:sz w:val="24"/>
                <w:szCs w:val="24"/>
                <w:highlight w:val="none"/>
              </w:rPr>
              <w:t>序号</w:t>
            </w:r>
            <w:bookmarkEnd w:id="77"/>
            <w:bookmarkEnd w:id="78"/>
            <w:bookmarkEnd w:id="79"/>
            <w:bookmarkEnd w:id="80"/>
            <w:bookmarkEnd w:id="81"/>
            <w:bookmarkEnd w:id="82"/>
            <w:bookmarkEnd w:id="83"/>
            <w:bookmarkEnd w:id="84"/>
            <w:bookmarkEnd w:id="85"/>
          </w:p>
        </w:tc>
        <w:tc>
          <w:tcPr>
            <w:tcW w:w="503" w:type="pct"/>
            <w:tcBorders>
              <w:right w:val="single" w:color="auto" w:sz="4" w:space="0"/>
            </w:tcBorders>
            <w:vAlign w:val="center"/>
          </w:tcPr>
          <w:p w14:paraId="0845E57F">
            <w:pPr>
              <w:pStyle w:val="16"/>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1670" w:type="pct"/>
            <w:tcBorders>
              <w:left w:val="single" w:color="auto" w:sz="4" w:space="0"/>
            </w:tcBorders>
            <w:vAlign w:val="center"/>
          </w:tcPr>
          <w:p w14:paraId="554E3A42">
            <w:pPr>
              <w:pStyle w:val="16"/>
              <w:spacing w:line="360" w:lineRule="auto"/>
              <w:ind w:firstLine="0" w:firstLine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eastAsia="zh-CN"/>
              </w:rPr>
              <w:t>服务需求</w:t>
            </w:r>
          </w:p>
        </w:tc>
        <w:tc>
          <w:tcPr>
            <w:tcW w:w="1503" w:type="pct"/>
            <w:vAlign w:val="center"/>
          </w:tcPr>
          <w:p w14:paraId="61612E7E">
            <w:pPr>
              <w:pStyle w:val="16"/>
              <w:spacing w:line="360" w:lineRule="auto"/>
              <w:ind w:firstLine="0" w:firstLineChars="0"/>
              <w:jc w:val="center"/>
              <w:rPr>
                <w:rFonts w:ascii="宋体" w:hAnsi="宋体" w:eastAsia="宋体" w:cs="宋体"/>
                <w:color w:val="auto"/>
                <w:kern w:val="2"/>
                <w:sz w:val="24"/>
                <w:szCs w:val="24"/>
                <w:highlight w:val="none"/>
              </w:rPr>
            </w:pPr>
            <w:bookmarkStart w:id="86" w:name="_Toc173066403"/>
            <w:bookmarkStart w:id="87" w:name="_Toc173211902"/>
            <w:bookmarkStart w:id="88" w:name="_Toc383699908"/>
            <w:bookmarkStart w:id="89" w:name="_Toc373333691"/>
            <w:bookmarkStart w:id="90" w:name="_Toc301781613"/>
            <w:bookmarkStart w:id="91" w:name="_Toc254970731"/>
            <w:bookmarkStart w:id="92" w:name="_Toc254970590"/>
            <w:bookmarkStart w:id="93" w:name="_Toc295404983"/>
            <w:bookmarkStart w:id="94" w:name="_Toc297193187"/>
            <w:r>
              <w:rPr>
                <w:rFonts w:hint="eastAsia" w:ascii="宋体" w:hAnsi="宋体" w:eastAsia="宋体" w:cs="宋体"/>
                <w:color w:val="auto"/>
                <w:kern w:val="2"/>
                <w:sz w:val="24"/>
                <w:szCs w:val="24"/>
                <w:highlight w:val="none"/>
              </w:rPr>
              <w:t>竞标响应</w:t>
            </w:r>
            <w:bookmarkEnd w:id="86"/>
            <w:bookmarkEnd w:id="87"/>
            <w:bookmarkEnd w:id="88"/>
            <w:bookmarkEnd w:id="89"/>
            <w:bookmarkEnd w:id="90"/>
            <w:bookmarkEnd w:id="91"/>
            <w:bookmarkEnd w:id="92"/>
            <w:bookmarkEnd w:id="93"/>
            <w:bookmarkEnd w:id="94"/>
          </w:p>
        </w:tc>
        <w:tc>
          <w:tcPr>
            <w:tcW w:w="820" w:type="pct"/>
            <w:vAlign w:val="center"/>
          </w:tcPr>
          <w:p w14:paraId="1AE027CB">
            <w:pPr>
              <w:pStyle w:val="16"/>
              <w:spacing w:line="360" w:lineRule="auto"/>
              <w:ind w:firstLine="0" w:firstLineChars="0"/>
              <w:jc w:val="center"/>
              <w:rPr>
                <w:rFonts w:ascii="宋体" w:hAnsi="宋体" w:eastAsia="宋体" w:cs="宋体"/>
                <w:color w:val="auto"/>
                <w:kern w:val="2"/>
                <w:sz w:val="24"/>
                <w:szCs w:val="24"/>
                <w:highlight w:val="none"/>
              </w:rPr>
            </w:pPr>
            <w:bookmarkStart w:id="95" w:name="_Toc383699909"/>
            <w:bookmarkStart w:id="96" w:name="_Toc301781614"/>
            <w:bookmarkStart w:id="97" w:name="_Toc297193188"/>
            <w:bookmarkStart w:id="98" w:name="_Toc373333692"/>
            <w:bookmarkStart w:id="99" w:name="_Toc173211903"/>
            <w:bookmarkStart w:id="100" w:name="_Toc254970591"/>
            <w:bookmarkStart w:id="101" w:name="_Toc173066404"/>
            <w:bookmarkStart w:id="102" w:name="_Toc254970732"/>
            <w:bookmarkStart w:id="103" w:name="_Toc295404984"/>
            <w:r>
              <w:rPr>
                <w:rFonts w:hint="eastAsia" w:ascii="宋体" w:hAnsi="宋体" w:eastAsia="宋体" w:cs="宋体"/>
                <w:color w:val="auto"/>
                <w:kern w:val="2"/>
                <w:sz w:val="24"/>
                <w:szCs w:val="24"/>
                <w:highlight w:val="none"/>
              </w:rPr>
              <w:t>偏离</w:t>
            </w:r>
            <w:bookmarkEnd w:id="95"/>
            <w:bookmarkEnd w:id="96"/>
            <w:bookmarkEnd w:id="97"/>
            <w:bookmarkEnd w:id="98"/>
            <w:bookmarkEnd w:id="99"/>
            <w:bookmarkEnd w:id="100"/>
            <w:bookmarkEnd w:id="101"/>
            <w:bookmarkEnd w:id="102"/>
            <w:bookmarkEnd w:id="103"/>
            <w:bookmarkStart w:id="104" w:name="_Toc173066405"/>
            <w:bookmarkStart w:id="105" w:name="_Toc383699910"/>
            <w:bookmarkStart w:id="106" w:name="_Toc173211904"/>
            <w:bookmarkStart w:id="107" w:name="_Toc301781615"/>
            <w:bookmarkStart w:id="108" w:name="_Toc297193189"/>
            <w:bookmarkStart w:id="109" w:name="_Toc254970733"/>
            <w:bookmarkStart w:id="110" w:name="_Toc373333693"/>
            <w:bookmarkStart w:id="111" w:name="_Toc295404985"/>
            <w:bookmarkStart w:id="112" w:name="_Toc254970592"/>
            <w:r>
              <w:rPr>
                <w:rFonts w:hint="eastAsia" w:ascii="宋体" w:hAnsi="宋体" w:eastAsia="宋体" w:cs="宋体"/>
                <w:color w:val="auto"/>
                <w:kern w:val="2"/>
                <w:sz w:val="24"/>
                <w:szCs w:val="24"/>
                <w:highlight w:val="none"/>
              </w:rPr>
              <w:t>说明</w:t>
            </w:r>
            <w:bookmarkEnd w:id="104"/>
            <w:bookmarkEnd w:id="105"/>
            <w:bookmarkEnd w:id="106"/>
            <w:bookmarkEnd w:id="107"/>
            <w:bookmarkEnd w:id="108"/>
            <w:bookmarkEnd w:id="109"/>
            <w:bookmarkEnd w:id="110"/>
            <w:bookmarkEnd w:id="111"/>
            <w:bookmarkEnd w:id="112"/>
          </w:p>
        </w:tc>
      </w:tr>
      <w:tr w14:paraId="37EAC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A9C7387">
            <w:pPr>
              <w:pStyle w:val="16"/>
              <w:spacing w:line="360" w:lineRule="auto"/>
              <w:ind w:firstLine="0" w:firstLineChars="0"/>
              <w:jc w:val="center"/>
              <w:rPr>
                <w:rFonts w:ascii="宋体" w:hAnsi="宋体" w:eastAsia="宋体" w:cs="宋体"/>
                <w:color w:val="auto"/>
                <w:kern w:val="2"/>
                <w:sz w:val="24"/>
                <w:szCs w:val="24"/>
                <w:highlight w:val="none"/>
              </w:rPr>
            </w:pPr>
            <w:bookmarkStart w:id="113" w:name="_Toc383699911"/>
            <w:bookmarkStart w:id="114" w:name="_Toc173211905"/>
            <w:bookmarkStart w:id="115" w:name="_Toc301781616"/>
            <w:bookmarkStart w:id="116" w:name="_Toc295404986"/>
            <w:bookmarkStart w:id="117" w:name="_Toc297193190"/>
            <w:bookmarkStart w:id="118" w:name="_Toc373333694"/>
            <w:bookmarkStart w:id="119" w:name="_Toc254970593"/>
            <w:bookmarkStart w:id="120" w:name="_Toc254970734"/>
            <w:bookmarkStart w:id="121" w:name="_Toc173066406"/>
            <w:r>
              <w:rPr>
                <w:rFonts w:hint="eastAsia" w:ascii="宋体" w:hAnsi="宋体" w:eastAsia="宋体" w:cs="宋体"/>
                <w:color w:val="auto"/>
                <w:kern w:val="2"/>
                <w:sz w:val="24"/>
                <w:szCs w:val="24"/>
                <w:highlight w:val="none"/>
              </w:rPr>
              <w:t>1</w:t>
            </w:r>
            <w:bookmarkEnd w:id="113"/>
            <w:bookmarkEnd w:id="114"/>
            <w:bookmarkEnd w:id="115"/>
            <w:bookmarkEnd w:id="116"/>
            <w:bookmarkEnd w:id="117"/>
            <w:bookmarkEnd w:id="118"/>
            <w:bookmarkEnd w:id="119"/>
            <w:bookmarkEnd w:id="120"/>
            <w:bookmarkEnd w:id="121"/>
          </w:p>
        </w:tc>
        <w:tc>
          <w:tcPr>
            <w:tcW w:w="503" w:type="pct"/>
            <w:tcBorders>
              <w:right w:val="single" w:color="auto" w:sz="4" w:space="0"/>
            </w:tcBorders>
            <w:vAlign w:val="center"/>
          </w:tcPr>
          <w:p w14:paraId="0F4F76F0">
            <w:pPr>
              <w:pStyle w:val="16"/>
              <w:spacing w:line="360" w:lineRule="auto"/>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6322246">
            <w:pPr>
              <w:pStyle w:val="16"/>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781B7C72">
            <w:pPr>
              <w:pStyle w:val="16"/>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0A8ECFB0">
            <w:pPr>
              <w:pStyle w:val="16"/>
              <w:spacing w:line="360" w:lineRule="auto"/>
              <w:ind w:firstLine="0" w:firstLineChars="0"/>
              <w:jc w:val="center"/>
              <w:rPr>
                <w:rFonts w:ascii="宋体" w:hAnsi="宋体" w:eastAsia="宋体" w:cs="宋体"/>
                <w:color w:val="auto"/>
                <w:kern w:val="2"/>
                <w:sz w:val="24"/>
                <w:szCs w:val="24"/>
                <w:highlight w:val="none"/>
              </w:rPr>
            </w:pPr>
          </w:p>
        </w:tc>
      </w:tr>
      <w:tr w14:paraId="676ED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18262C0">
            <w:pPr>
              <w:pStyle w:val="16"/>
              <w:spacing w:line="360" w:lineRule="auto"/>
              <w:ind w:firstLine="0" w:firstLineChars="0"/>
              <w:jc w:val="center"/>
              <w:rPr>
                <w:rFonts w:ascii="宋体" w:hAnsi="宋体" w:eastAsia="宋体" w:cs="宋体"/>
                <w:color w:val="auto"/>
                <w:kern w:val="2"/>
                <w:sz w:val="24"/>
                <w:szCs w:val="24"/>
                <w:highlight w:val="none"/>
              </w:rPr>
            </w:pPr>
            <w:bookmarkStart w:id="122" w:name="_Toc173211906"/>
            <w:bookmarkStart w:id="123" w:name="_Toc383699912"/>
            <w:bookmarkStart w:id="124" w:name="_Toc254970594"/>
            <w:bookmarkStart w:id="125" w:name="_Toc297193191"/>
            <w:bookmarkStart w:id="126" w:name="_Toc295404987"/>
            <w:bookmarkStart w:id="127" w:name="_Toc301781617"/>
            <w:bookmarkStart w:id="128" w:name="_Toc373333695"/>
            <w:bookmarkStart w:id="129" w:name="_Toc254970735"/>
            <w:bookmarkStart w:id="130" w:name="_Toc173066407"/>
            <w:r>
              <w:rPr>
                <w:rFonts w:hint="eastAsia" w:ascii="宋体" w:hAnsi="宋体" w:eastAsia="宋体" w:cs="宋体"/>
                <w:color w:val="auto"/>
                <w:kern w:val="2"/>
                <w:sz w:val="24"/>
                <w:szCs w:val="24"/>
                <w:highlight w:val="none"/>
              </w:rPr>
              <w:t>2</w:t>
            </w:r>
            <w:bookmarkEnd w:id="122"/>
            <w:bookmarkEnd w:id="123"/>
            <w:bookmarkEnd w:id="124"/>
            <w:bookmarkEnd w:id="125"/>
            <w:bookmarkEnd w:id="126"/>
            <w:bookmarkEnd w:id="127"/>
            <w:bookmarkEnd w:id="128"/>
            <w:bookmarkEnd w:id="129"/>
            <w:bookmarkEnd w:id="130"/>
          </w:p>
        </w:tc>
        <w:tc>
          <w:tcPr>
            <w:tcW w:w="503" w:type="pct"/>
            <w:tcBorders>
              <w:right w:val="single" w:color="auto" w:sz="4" w:space="0"/>
            </w:tcBorders>
            <w:vAlign w:val="center"/>
          </w:tcPr>
          <w:p w14:paraId="17D88382">
            <w:pPr>
              <w:pStyle w:val="16"/>
              <w:spacing w:line="360" w:lineRule="auto"/>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06F3E00">
            <w:pPr>
              <w:pStyle w:val="16"/>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06C0D2DA">
            <w:pPr>
              <w:pStyle w:val="16"/>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1EC95D59">
            <w:pPr>
              <w:pStyle w:val="16"/>
              <w:spacing w:line="360" w:lineRule="auto"/>
              <w:ind w:firstLine="0" w:firstLineChars="0"/>
              <w:jc w:val="center"/>
              <w:rPr>
                <w:rFonts w:ascii="宋体" w:hAnsi="宋体" w:eastAsia="宋体" w:cs="宋体"/>
                <w:color w:val="auto"/>
                <w:kern w:val="2"/>
                <w:sz w:val="24"/>
                <w:szCs w:val="24"/>
                <w:highlight w:val="none"/>
              </w:rPr>
            </w:pPr>
          </w:p>
        </w:tc>
      </w:tr>
      <w:tr w14:paraId="56CAEC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FCFCA35">
            <w:pPr>
              <w:pStyle w:val="16"/>
              <w:spacing w:line="360" w:lineRule="auto"/>
              <w:ind w:firstLine="0" w:firstLineChars="0"/>
              <w:jc w:val="center"/>
              <w:rPr>
                <w:rFonts w:ascii="宋体" w:hAnsi="宋体" w:eastAsia="宋体" w:cs="宋体"/>
                <w:color w:val="auto"/>
                <w:kern w:val="2"/>
                <w:sz w:val="24"/>
                <w:szCs w:val="24"/>
                <w:highlight w:val="none"/>
              </w:rPr>
            </w:pPr>
            <w:bookmarkStart w:id="131" w:name="_Toc301781618"/>
            <w:bookmarkStart w:id="132" w:name="_Toc383699913"/>
            <w:bookmarkStart w:id="133" w:name="_Toc297193192"/>
            <w:bookmarkStart w:id="134" w:name="_Toc254970736"/>
            <w:bookmarkStart w:id="135" w:name="_Toc254970595"/>
            <w:bookmarkStart w:id="136" w:name="_Toc173066408"/>
            <w:bookmarkStart w:id="137" w:name="_Toc373333696"/>
            <w:bookmarkStart w:id="138" w:name="_Toc295404988"/>
            <w:bookmarkStart w:id="139" w:name="_Toc173211907"/>
            <w:r>
              <w:rPr>
                <w:rFonts w:hint="eastAsia" w:ascii="宋体" w:hAnsi="宋体" w:eastAsia="宋体" w:cs="宋体"/>
                <w:color w:val="auto"/>
                <w:kern w:val="2"/>
                <w:sz w:val="24"/>
                <w:szCs w:val="24"/>
                <w:highlight w:val="none"/>
              </w:rPr>
              <w:t>3</w:t>
            </w:r>
            <w:bookmarkEnd w:id="131"/>
            <w:bookmarkEnd w:id="132"/>
            <w:bookmarkEnd w:id="133"/>
            <w:bookmarkEnd w:id="134"/>
            <w:bookmarkEnd w:id="135"/>
            <w:bookmarkEnd w:id="136"/>
            <w:bookmarkEnd w:id="137"/>
            <w:bookmarkEnd w:id="138"/>
            <w:bookmarkEnd w:id="139"/>
          </w:p>
        </w:tc>
        <w:tc>
          <w:tcPr>
            <w:tcW w:w="503" w:type="pct"/>
            <w:tcBorders>
              <w:right w:val="single" w:color="auto" w:sz="4" w:space="0"/>
            </w:tcBorders>
            <w:vAlign w:val="center"/>
          </w:tcPr>
          <w:p w14:paraId="46421BD5">
            <w:pPr>
              <w:pStyle w:val="16"/>
              <w:spacing w:line="360" w:lineRule="auto"/>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0EB086C7">
            <w:pPr>
              <w:pStyle w:val="16"/>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0B71086D">
            <w:pPr>
              <w:pStyle w:val="16"/>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3D40BA3E">
            <w:pPr>
              <w:pStyle w:val="16"/>
              <w:spacing w:line="360" w:lineRule="auto"/>
              <w:ind w:firstLine="0" w:firstLineChars="0"/>
              <w:jc w:val="center"/>
              <w:rPr>
                <w:rFonts w:ascii="宋体" w:hAnsi="宋体" w:eastAsia="宋体" w:cs="宋体"/>
                <w:color w:val="auto"/>
                <w:kern w:val="2"/>
                <w:sz w:val="24"/>
                <w:szCs w:val="24"/>
                <w:highlight w:val="none"/>
              </w:rPr>
            </w:pPr>
          </w:p>
        </w:tc>
      </w:tr>
      <w:tr w14:paraId="709E6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83C2FDE">
            <w:pPr>
              <w:pStyle w:val="16"/>
              <w:spacing w:line="360" w:lineRule="auto"/>
              <w:ind w:firstLine="0" w:firstLineChars="0"/>
              <w:jc w:val="center"/>
              <w:rPr>
                <w:rFonts w:ascii="宋体" w:hAnsi="宋体" w:eastAsia="宋体" w:cs="宋体"/>
                <w:color w:val="auto"/>
                <w:kern w:val="2"/>
                <w:sz w:val="24"/>
                <w:szCs w:val="24"/>
                <w:highlight w:val="none"/>
              </w:rPr>
            </w:pPr>
            <w:bookmarkStart w:id="140" w:name="_Toc173211908"/>
            <w:bookmarkStart w:id="141" w:name="_Toc383699914"/>
            <w:bookmarkStart w:id="142" w:name="_Toc254970737"/>
            <w:bookmarkStart w:id="143" w:name="_Toc295404989"/>
            <w:bookmarkStart w:id="144" w:name="_Toc301781619"/>
            <w:bookmarkStart w:id="145" w:name="_Toc173066409"/>
            <w:bookmarkStart w:id="146" w:name="_Toc254970596"/>
            <w:bookmarkStart w:id="147" w:name="_Toc297193193"/>
            <w:bookmarkStart w:id="148" w:name="_Toc373333697"/>
            <w:r>
              <w:rPr>
                <w:rFonts w:hint="eastAsia" w:ascii="宋体" w:hAnsi="宋体" w:eastAsia="宋体" w:cs="宋体"/>
                <w:color w:val="auto"/>
                <w:kern w:val="2"/>
                <w:sz w:val="24"/>
                <w:szCs w:val="24"/>
                <w:highlight w:val="none"/>
              </w:rPr>
              <w:t>4</w:t>
            </w:r>
            <w:bookmarkEnd w:id="140"/>
            <w:bookmarkEnd w:id="141"/>
            <w:bookmarkEnd w:id="142"/>
            <w:bookmarkEnd w:id="143"/>
            <w:bookmarkEnd w:id="144"/>
            <w:bookmarkEnd w:id="145"/>
            <w:bookmarkEnd w:id="146"/>
            <w:bookmarkEnd w:id="147"/>
            <w:bookmarkEnd w:id="148"/>
          </w:p>
        </w:tc>
        <w:tc>
          <w:tcPr>
            <w:tcW w:w="503" w:type="pct"/>
            <w:tcBorders>
              <w:right w:val="single" w:color="auto" w:sz="4" w:space="0"/>
            </w:tcBorders>
            <w:vAlign w:val="center"/>
          </w:tcPr>
          <w:p w14:paraId="1872D024">
            <w:pPr>
              <w:pStyle w:val="16"/>
              <w:spacing w:line="360" w:lineRule="auto"/>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1FF4AAB">
            <w:pPr>
              <w:pStyle w:val="16"/>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6128E43B">
            <w:pPr>
              <w:pStyle w:val="16"/>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374EF093">
            <w:pPr>
              <w:pStyle w:val="16"/>
              <w:spacing w:line="360" w:lineRule="auto"/>
              <w:ind w:firstLine="0" w:firstLineChars="0"/>
              <w:jc w:val="center"/>
              <w:rPr>
                <w:rFonts w:ascii="宋体" w:hAnsi="宋体" w:eastAsia="宋体" w:cs="宋体"/>
                <w:color w:val="auto"/>
                <w:kern w:val="2"/>
                <w:sz w:val="24"/>
                <w:szCs w:val="24"/>
                <w:highlight w:val="none"/>
              </w:rPr>
            </w:pPr>
          </w:p>
        </w:tc>
      </w:tr>
      <w:tr w14:paraId="752D6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7DD01E1">
            <w:pPr>
              <w:pStyle w:val="16"/>
              <w:spacing w:line="360" w:lineRule="auto"/>
              <w:ind w:firstLine="0" w:firstLineChars="0"/>
              <w:jc w:val="center"/>
              <w:rPr>
                <w:rFonts w:ascii="宋体" w:hAnsi="宋体" w:eastAsia="宋体" w:cs="宋体"/>
                <w:color w:val="auto"/>
                <w:kern w:val="2"/>
                <w:sz w:val="24"/>
                <w:szCs w:val="24"/>
                <w:highlight w:val="none"/>
              </w:rPr>
            </w:pPr>
            <w:bookmarkStart w:id="149" w:name="_Toc254970597"/>
            <w:bookmarkStart w:id="150" w:name="_Toc383699915"/>
            <w:bookmarkStart w:id="151" w:name="_Toc373333698"/>
            <w:bookmarkStart w:id="152" w:name="_Toc295404990"/>
            <w:bookmarkStart w:id="153" w:name="_Toc297193194"/>
            <w:bookmarkStart w:id="154" w:name="_Toc254970738"/>
            <w:bookmarkStart w:id="155" w:name="_Toc301781620"/>
            <w:bookmarkStart w:id="156" w:name="_Toc173211909"/>
            <w:bookmarkStart w:id="157" w:name="_Toc173066410"/>
            <w:r>
              <w:rPr>
                <w:rFonts w:hint="eastAsia" w:ascii="宋体" w:hAnsi="宋体" w:eastAsia="宋体" w:cs="宋体"/>
                <w:color w:val="auto"/>
                <w:kern w:val="2"/>
                <w:sz w:val="24"/>
                <w:szCs w:val="24"/>
                <w:highlight w:val="none"/>
              </w:rPr>
              <w:t>5</w:t>
            </w:r>
            <w:bookmarkEnd w:id="149"/>
            <w:bookmarkEnd w:id="150"/>
            <w:bookmarkEnd w:id="151"/>
            <w:bookmarkEnd w:id="152"/>
            <w:bookmarkEnd w:id="153"/>
            <w:bookmarkEnd w:id="154"/>
            <w:bookmarkEnd w:id="155"/>
            <w:bookmarkEnd w:id="156"/>
            <w:bookmarkEnd w:id="157"/>
          </w:p>
        </w:tc>
        <w:tc>
          <w:tcPr>
            <w:tcW w:w="503" w:type="pct"/>
            <w:tcBorders>
              <w:right w:val="single" w:color="auto" w:sz="4" w:space="0"/>
            </w:tcBorders>
            <w:vAlign w:val="center"/>
          </w:tcPr>
          <w:p w14:paraId="0ABBE444">
            <w:pPr>
              <w:pStyle w:val="16"/>
              <w:spacing w:line="360" w:lineRule="auto"/>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519BCABB">
            <w:pPr>
              <w:pStyle w:val="16"/>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5F2A0989">
            <w:pPr>
              <w:pStyle w:val="16"/>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1409FC3D">
            <w:pPr>
              <w:pStyle w:val="16"/>
              <w:spacing w:line="360" w:lineRule="auto"/>
              <w:ind w:firstLine="0" w:firstLineChars="0"/>
              <w:jc w:val="center"/>
              <w:rPr>
                <w:rFonts w:ascii="宋体" w:hAnsi="宋体" w:eastAsia="宋体" w:cs="宋体"/>
                <w:color w:val="auto"/>
                <w:kern w:val="2"/>
                <w:sz w:val="24"/>
                <w:szCs w:val="24"/>
                <w:highlight w:val="none"/>
              </w:rPr>
            </w:pPr>
          </w:p>
        </w:tc>
      </w:tr>
      <w:tr w14:paraId="388F6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638A997F">
            <w:pPr>
              <w:pStyle w:val="16"/>
              <w:spacing w:line="360" w:lineRule="auto"/>
              <w:ind w:firstLine="0" w:firstLineChars="0"/>
              <w:jc w:val="center"/>
              <w:rPr>
                <w:rFonts w:ascii="宋体" w:hAnsi="宋体" w:eastAsia="宋体" w:cs="宋体"/>
                <w:color w:val="auto"/>
                <w:kern w:val="2"/>
                <w:sz w:val="24"/>
                <w:szCs w:val="24"/>
                <w:highlight w:val="none"/>
              </w:rPr>
            </w:pPr>
            <w:bookmarkStart w:id="158" w:name="_Toc254970743"/>
            <w:bookmarkStart w:id="159" w:name="_Toc297193195"/>
            <w:bookmarkStart w:id="160" w:name="_Toc295404991"/>
            <w:bookmarkStart w:id="161" w:name="_Toc173066415"/>
            <w:bookmarkStart w:id="162" w:name="_Toc383699916"/>
            <w:bookmarkStart w:id="163" w:name="_Toc301781621"/>
            <w:bookmarkStart w:id="164" w:name="_Toc254970602"/>
            <w:bookmarkStart w:id="165" w:name="_Toc373333699"/>
            <w:bookmarkStart w:id="166" w:name="_Toc173211914"/>
            <w:r>
              <w:rPr>
                <w:rFonts w:hint="eastAsia" w:ascii="宋体" w:hAnsi="宋体" w:eastAsia="宋体" w:cs="宋体"/>
                <w:color w:val="auto"/>
                <w:kern w:val="2"/>
                <w:sz w:val="24"/>
                <w:szCs w:val="24"/>
                <w:highlight w:val="none"/>
              </w:rPr>
              <w:t>…</w:t>
            </w:r>
            <w:bookmarkEnd w:id="158"/>
            <w:bookmarkEnd w:id="159"/>
            <w:bookmarkEnd w:id="160"/>
            <w:bookmarkEnd w:id="161"/>
            <w:bookmarkEnd w:id="162"/>
            <w:bookmarkEnd w:id="163"/>
            <w:bookmarkEnd w:id="164"/>
            <w:bookmarkEnd w:id="165"/>
            <w:bookmarkEnd w:id="166"/>
          </w:p>
        </w:tc>
        <w:tc>
          <w:tcPr>
            <w:tcW w:w="503" w:type="pct"/>
            <w:tcBorders>
              <w:right w:val="single" w:color="auto" w:sz="4" w:space="0"/>
            </w:tcBorders>
            <w:vAlign w:val="center"/>
          </w:tcPr>
          <w:p w14:paraId="302F9326">
            <w:pPr>
              <w:pStyle w:val="16"/>
              <w:spacing w:line="360" w:lineRule="auto"/>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912A810">
            <w:pPr>
              <w:pStyle w:val="16"/>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3CA03F73">
            <w:pPr>
              <w:pStyle w:val="16"/>
              <w:spacing w:line="360" w:lineRule="auto"/>
              <w:ind w:firstLine="0" w:firstLineChars="0"/>
              <w:jc w:val="center"/>
              <w:rPr>
                <w:rFonts w:ascii="宋体" w:hAnsi="宋体" w:eastAsia="宋体" w:cs="宋体"/>
                <w:color w:val="auto"/>
                <w:kern w:val="2"/>
                <w:sz w:val="24"/>
                <w:szCs w:val="24"/>
                <w:highlight w:val="none"/>
              </w:rPr>
            </w:pPr>
          </w:p>
        </w:tc>
        <w:tc>
          <w:tcPr>
            <w:tcW w:w="820" w:type="pct"/>
            <w:tcBorders>
              <w:right w:val="single" w:color="auto" w:sz="4" w:space="0"/>
            </w:tcBorders>
            <w:vAlign w:val="center"/>
          </w:tcPr>
          <w:p w14:paraId="51FB13E5">
            <w:pPr>
              <w:pStyle w:val="16"/>
              <w:spacing w:line="360" w:lineRule="auto"/>
              <w:ind w:firstLine="0" w:firstLineChars="0"/>
              <w:jc w:val="center"/>
              <w:rPr>
                <w:rFonts w:ascii="宋体" w:hAnsi="宋体" w:eastAsia="宋体" w:cs="宋体"/>
                <w:color w:val="auto"/>
                <w:kern w:val="2"/>
                <w:sz w:val="24"/>
                <w:szCs w:val="24"/>
                <w:highlight w:val="none"/>
              </w:rPr>
            </w:pPr>
          </w:p>
        </w:tc>
      </w:tr>
    </w:tbl>
    <w:p w14:paraId="67E64E4B">
      <w:pPr>
        <w:adjustRightInd w:val="0"/>
        <w:snapToGrid w:val="0"/>
        <w:spacing w:line="360" w:lineRule="auto"/>
        <w:rPr>
          <w:rFonts w:ascii="宋体" w:hAnsi="宋体" w:cs="宋体"/>
          <w:color w:val="auto"/>
          <w:sz w:val="24"/>
          <w:highlight w:val="none"/>
        </w:rPr>
      </w:pPr>
    </w:p>
    <w:p w14:paraId="4001F8DA">
      <w:pPr>
        <w:pStyle w:val="16"/>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A9AC504">
      <w:pPr>
        <w:pStyle w:val="16"/>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1.说明：应对照磋商文件“第三章采购需求”中的</w:t>
      </w:r>
      <w:r>
        <w:rPr>
          <w:rFonts w:hint="eastAsia" w:ascii="宋体" w:hAnsi="宋体" w:eastAsia="宋体" w:cs="宋体"/>
          <w:color w:val="auto"/>
          <w:sz w:val="24"/>
          <w:szCs w:val="24"/>
          <w:highlight w:val="none"/>
          <w:lang w:eastAsia="zh-CN"/>
        </w:rPr>
        <w:t>服务需求</w:t>
      </w:r>
      <w:r>
        <w:rPr>
          <w:rFonts w:hint="eastAsia" w:ascii="宋体" w:hAnsi="宋体" w:eastAsia="宋体" w:cs="宋体"/>
          <w:color w:val="auto"/>
          <w:sz w:val="24"/>
          <w:szCs w:val="24"/>
          <w:highlight w:val="none"/>
        </w:rPr>
        <w:t>逐条实质性响应，并作出偏离说明。</w:t>
      </w:r>
    </w:p>
    <w:p w14:paraId="4C0FA6AE">
      <w:pPr>
        <w:pStyle w:val="16"/>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10F97152">
      <w:pPr>
        <w:pStyle w:val="18"/>
        <w:spacing w:line="360" w:lineRule="auto"/>
        <w:rPr>
          <w:rFonts w:hAnsi="宋体" w:cs="宋体"/>
          <w:color w:val="auto"/>
          <w:sz w:val="24"/>
          <w:szCs w:val="24"/>
          <w:highlight w:val="none"/>
        </w:rPr>
      </w:pPr>
    </w:p>
    <w:p w14:paraId="0AF43B37">
      <w:pPr>
        <w:spacing w:line="360" w:lineRule="auto"/>
        <w:ind w:firstLine="3840" w:firstLineChars="1600"/>
        <w:rPr>
          <w:rFonts w:ascii="宋体" w:hAnsi="宋体" w:cs="宋体"/>
          <w:color w:val="auto"/>
          <w:sz w:val="24"/>
          <w:highlight w:val="none"/>
        </w:rPr>
      </w:pPr>
    </w:p>
    <w:p w14:paraId="5E15BD7C">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13127339">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0FAFC060">
      <w:pPr>
        <w:snapToGrid w:val="0"/>
        <w:spacing w:before="156" w:beforeLines="50" w:after="50"/>
        <w:ind w:left="142"/>
        <w:jc w:val="left"/>
        <w:rPr>
          <w:rFonts w:ascii="宋体" w:hAnsi="宋体" w:cs="宋体"/>
          <w:color w:val="auto"/>
          <w:sz w:val="24"/>
          <w:highlight w:val="none"/>
        </w:rPr>
      </w:pPr>
    </w:p>
    <w:p w14:paraId="42A96C5A">
      <w:pPr>
        <w:snapToGrid w:val="0"/>
        <w:spacing w:before="156" w:beforeLines="50" w:after="50"/>
        <w:ind w:left="142"/>
        <w:jc w:val="left"/>
        <w:rPr>
          <w:rFonts w:ascii="宋体" w:hAnsi="宋体" w:cs="宋体"/>
          <w:color w:val="auto"/>
          <w:sz w:val="24"/>
          <w:highlight w:val="none"/>
        </w:rPr>
      </w:pPr>
    </w:p>
    <w:p w14:paraId="1402AA32">
      <w:pPr>
        <w:jc w:val="center"/>
        <w:rPr>
          <w:rFonts w:ascii="宋体" w:hAnsi="宋体" w:cs="宋体"/>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二、服务方案</w:t>
      </w:r>
    </w:p>
    <w:p w14:paraId="6656AE6B">
      <w:pPr>
        <w:pStyle w:val="21"/>
        <w:rPr>
          <w:rFonts w:ascii="宋体" w:hAnsi="宋体" w:cs="宋体"/>
          <w:color w:val="auto"/>
          <w:highlight w:val="none"/>
        </w:rPr>
      </w:pPr>
    </w:p>
    <w:p w14:paraId="464B4243">
      <w:pPr>
        <w:pStyle w:val="21"/>
        <w:rPr>
          <w:rFonts w:ascii="宋体" w:hAnsi="宋体" w:cs="宋体"/>
          <w:color w:val="auto"/>
          <w:highlight w:val="none"/>
        </w:rPr>
      </w:pPr>
    </w:p>
    <w:p w14:paraId="37DD24B1">
      <w:pPr>
        <w:snapToGrid w:val="0"/>
        <w:spacing w:before="50" w:after="50" w:line="360" w:lineRule="auto"/>
        <w:ind w:right="-817" w:rightChars="-389"/>
        <w:rPr>
          <w:rFonts w:ascii="宋体" w:hAnsi="宋体" w:cs="宋体"/>
          <w:color w:val="auto"/>
          <w:sz w:val="24"/>
          <w:highlight w:val="none"/>
        </w:rPr>
      </w:pPr>
    </w:p>
    <w:p w14:paraId="70DBE3E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BB66C5">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14AE2A62">
      <w:pPr>
        <w:pStyle w:val="21"/>
        <w:rPr>
          <w:rFonts w:ascii="宋体" w:hAnsi="宋体" w:cs="宋体"/>
          <w:color w:val="auto"/>
          <w:highlight w:val="none"/>
        </w:rPr>
      </w:pPr>
    </w:p>
    <w:p w14:paraId="72D6271A">
      <w:pPr>
        <w:pStyle w:val="21"/>
        <w:rPr>
          <w:rFonts w:ascii="宋体" w:hAnsi="宋体" w:cs="宋体"/>
          <w:color w:val="auto"/>
          <w:highlight w:val="none"/>
        </w:rPr>
      </w:pPr>
    </w:p>
    <w:p w14:paraId="3983E26D">
      <w:pPr>
        <w:pStyle w:val="21"/>
        <w:rPr>
          <w:rFonts w:ascii="宋体" w:hAnsi="宋体" w:cs="宋体"/>
          <w:color w:val="auto"/>
          <w:highlight w:val="none"/>
        </w:rPr>
      </w:pPr>
    </w:p>
    <w:p w14:paraId="05938DFA">
      <w:pPr>
        <w:pStyle w:val="21"/>
        <w:rPr>
          <w:rFonts w:ascii="宋体" w:hAnsi="宋体" w:cs="宋体"/>
          <w:color w:val="auto"/>
          <w:highlight w:val="none"/>
        </w:rPr>
      </w:pPr>
    </w:p>
    <w:p w14:paraId="5106F951">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三、项目实施人员一览表</w:t>
      </w:r>
    </w:p>
    <w:p w14:paraId="703DC673">
      <w:pPr>
        <w:rPr>
          <w:rFonts w:ascii="宋体" w:hAnsi="宋体" w:cs="宋体"/>
          <w:color w:val="auto"/>
          <w:highlight w:val="none"/>
        </w:rPr>
      </w:pPr>
    </w:p>
    <w:p w14:paraId="2900473A">
      <w:pPr>
        <w:rPr>
          <w:rFonts w:ascii="宋体" w:hAnsi="宋体" w:cs="宋体"/>
          <w:color w:val="auto"/>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2ACB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56F801B6">
            <w:pPr>
              <w:snapToGrid w:val="0"/>
              <w:spacing w:before="50" w:after="156" w:afterLines="50"/>
              <w:jc w:val="center"/>
              <w:rPr>
                <w:rFonts w:ascii="宋体" w:hAnsi="宋体" w:cs="宋体"/>
                <w:color w:val="auto"/>
                <w:sz w:val="24"/>
                <w:szCs w:val="20"/>
                <w:highlight w:val="none"/>
              </w:rPr>
            </w:pPr>
          </w:p>
          <w:p w14:paraId="6B07D26E">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66" w:type="dxa"/>
            <w:vAlign w:val="center"/>
          </w:tcPr>
          <w:p w14:paraId="4FB6A41E">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837" w:type="dxa"/>
            <w:vAlign w:val="center"/>
          </w:tcPr>
          <w:p w14:paraId="52DA39ED">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33" w:type="dxa"/>
            <w:vAlign w:val="center"/>
          </w:tcPr>
          <w:p w14:paraId="20B4D6FE">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833" w:type="dxa"/>
            <w:vAlign w:val="center"/>
          </w:tcPr>
          <w:p w14:paraId="1B34903D">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F328A3E">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990" w:type="dxa"/>
            <w:vAlign w:val="center"/>
          </w:tcPr>
          <w:p w14:paraId="65FFD282">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44D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137FAD6">
            <w:pPr>
              <w:snapToGrid w:val="0"/>
              <w:spacing w:before="50" w:after="156" w:afterLines="50"/>
              <w:jc w:val="center"/>
              <w:rPr>
                <w:rFonts w:ascii="宋体" w:hAnsi="宋体" w:cs="宋体"/>
                <w:color w:val="auto"/>
                <w:sz w:val="24"/>
                <w:szCs w:val="20"/>
                <w:highlight w:val="none"/>
              </w:rPr>
            </w:pPr>
          </w:p>
        </w:tc>
        <w:tc>
          <w:tcPr>
            <w:tcW w:w="766" w:type="dxa"/>
            <w:vAlign w:val="center"/>
          </w:tcPr>
          <w:p w14:paraId="1AABBA34">
            <w:pPr>
              <w:snapToGrid w:val="0"/>
              <w:spacing w:before="50" w:after="156" w:afterLines="50"/>
              <w:jc w:val="center"/>
              <w:rPr>
                <w:rFonts w:ascii="宋体" w:hAnsi="宋体" w:cs="宋体"/>
                <w:color w:val="auto"/>
                <w:sz w:val="24"/>
                <w:szCs w:val="20"/>
                <w:highlight w:val="none"/>
              </w:rPr>
            </w:pPr>
          </w:p>
        </w:tc>
        <w:tc>
          <w:tcPr>
            <w:tcW w:w="1837" w:type="dxa"/>
            <w:vAlign w:val="center"/>
          </w:tcPr>
          <w:p w14:paraId="4EE409E0">
            <w:pPr>
              <w:snapToGrid w:val="0"/>
              <w:spacing w:before="50" w:after="156" w:afterLines="50"/>
              <w:jc w:val="center"/>
              <w:rPr>
                <w:rFonts w:ascii="宋体" w:hAnsi="宋体" w:cs="宋体"/>
                <w:color w:val="auto"/>
                <w:sz w:val="24"/>
                <w:szCs w:val="20"/>
                <w:highlight w:val="none"/>
              </w:rPr>
            </w:pPr>
          </w:p>
        </w:tc>
        <w:tc>
          <w:tcPr>
            <w:tcW w:w="1533" w:type="dxa"/>
            <w:vAlign w:val="center"/>
          </w:tcPr>
          <w:p w14:paraId="62E9F274">
            <w:pPr>
              <w:snapToGrid w:val="0"/>
              <w:spacing w:before="50" w:after="156" w:afterLines="50"/>
              <w:jc w:val="center"/>
              <w:rPr>
                <w:rFonts w:ascii="宋体" w:hAnsi="宋体" w:cs="宋体"/>
                <w:color w:val="auto"/>
                <w:sz w:val="24"/>
                <w:szCs w:val="20"/>
                <w:highlight w:val="none"/>
              </w:rPr>
            </w:pPr>
          </w:p>
        </w:tc>
        <w:tc>
          <w:tcPr>
            <w:tcW w:w="1833" w:type="dxa"/>
            <w:vAlign w:val="center"/>
          </w:tcPr>
          <w:p w14:paraId="2EABBCFE">
            <w:pPr>
              <w:snapToGrid w:val="0"/>
              <w:spacing w:before="50" w:after="156" w:afterLines="50"/>
              <w:jc w:val="center"/>
              <w:rPr>
                <w:rFonts w:ascii="宋体" w:hAnsi="宋体" w:cs="宋体"/>
                <w:color w:val="auto"/>
                <w:sz w:val="24"/>
                <w:szCs w:val="20"/>
                <w:highlight w:val="none"/>
              </w:rPr>
            </w:pPr>
          </w:p>
        </w:tc>
        <w:tc>
          <w:tcPr>
            <w:tcW w:w="1990" w:type="dxa"/>
            <w:vAlign w:val="center"/>
          </w:tcPr>
          <w:p w14:paraId="1E42B1D9">
            <w:pPr>
              <w:snapToGrid w:val="0"/>
              <w:spacing w:before="50" w:after="156" w:afterLines="50"/>
              <w:jc w:val="center"/>
              <w:rPr>
                <w:rFonts w:ascii="宋体" w:hAnsi="宋体" w:cs="宋体"/>
                <w:color w:val="auto"/>
                <w:sz w:val="24"/>
                <w:szCs w:val="20"/>
                <w:highlight w:val="none"/>
              </w:rPr>
            </w:pPr>
          </w:p>
        </w:tc>
      </w:tr>
      <w:tr w14:paraId="0BAC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6E05CD30">
            <w:pPr>
              <w:snapToGrid w:val="0"/>
              <w:spacing w:before="50" w:after="156" w:afterLines="50"/>
              <w:jc w:val="center"/>
              <w:rPr>
                <w:rFonts w:ascii="宋体" w:hAnsi="宋体" w:cs="宋体"/>
                <w:color w:val="auto"/>
                <w:sz w:val="24"/>
                <w:szCs w:val="20"/>
                <w:highlight w:val="none"/>
              </w:rPr>
            </w:pPr>
          </w:p>
        </w:tc>
        <w:tc>
          <w:tcPr>
            <w:tcW w:w="766" w:type="dxa"/>
            <w:vAlign w:val="center"/>
          </w:tcPr>
          <w:p w14:paraId="1B8720B3">
            <w:pPr>
              <w:snapToGrid w:val="0"/>
              <w:spacing w:before="50" w:after="156" w:afterLines="50"/>
              <w:jc w:val="center"/>
              <w:rPr>
                <w:rFonts w:ascii="宋体" w:hAnsi="宋体" w:cs="宋体"/>
                <w:color w:val="auto"/>
                <w:sz w:val="24"/>
                <w:szCs w:val="20"/>
                <w:highlight w:val="none"/>
              </w:rPr>
            </w:pPr>
          </w:p>
        </w:tc>
        <w:tc>
          <w:tcPr>
            <w:tcW w:w="1837" w:type="dxa"/>
            <w:vAlign w:val="center"/>
          </w:tcPr>
          <w:p w14:paraId="251E9557">
            <w:pPr>
              <w:snapToGrid w:val="0"/>
              <w:spacing w:before="50" w:after="156" w:afterLines="50"/>
              <w:jc w:val="center"/>
              <w:rPr>
                <w:rFonts w:ascii="宋体" w:hAnsi="宋体" w:cs="宋体"/>
                <w:color w:val="auto"/>
                <w:sz w:val="24"/>
                <w:szCs w:val="20"/>
                <w:highlight w:val="none"/>
              </w:rPr>
            </w:pPr>
          </w:p>
        </w:tc>
        <w:tc>
          <w:tcPr>
            <w:tcW w:w="1533" w:type="dxa"/>
            <w:vAlign w:val="center"/>
          </w:tcPr>
          <w:p w14:paraId="3BF08CDE">
            <w:pPr>
              <w:snapToGrid w:val="0"/>
              <w:spacing w:before="50" w:after="156" w:afterLines="50"/>
              <w:jc w:val="center"/>
              <w:rPr>
                <w:rFonts w:ascii="宋体" w:hAnsi="宋体" w:cs="宋体"/>
                <w:color w:val="auto"/>
                <w:sz w:val="24"/>
                <w:szCs w:val="20"/>
                <w:highlight w:val="none"/>
              </w:rPr>
            </w:pPr>
          </w:p>
        </w:tc>
        <w:tc>
          <w:tcPr>
            <w:tcW w:w="1833" w:type="dxa"/>
            <w:vAlign w:val="center"/>
          </w:tcPr>
          <w:p w14:paraId="0E386629">
            <w:pPr>
              <w:snapToGrid w:val="0"/>
              <w:spacing w:before="50" w:after="156" w:afterLines="50"/>
              <w:jc w:val="center"/>
              <w:rPr>
                <w:rFonts w:ascii="宋体" w:hAnsi="宋体" w:cs="宋体"/>
                <w:color w:val="auto"/>
                <w:sz w:val="24"/>
                <w:szCs w:val="20"/>
                <w:highlight w:val="none"/>
              </w:rPr>
            </w:pPr>
          </w:p>
        </w:tc>
        <w:tc>
          <w:tcPr>
            <w:tcW w:w="1990" w:type="dxa"/>
            <w:vAlign w:val="center"/>
          </w:tcPr>
          <w:p w14:paraId="7825FCCF">
            <w:pPr>
              <w:snapToGrid w:val="0"/>
              <w:spacing w:before="50" w:after="156" w:afterLines="50"/>
              <w:jc w:val="center"/>
              <w:rPr>
                <w:rFonts w:ascii="宋体" w:hAnsi="宋体" w:cs="宋体"/>
                <w:color w:val="auto"/>
                <w:sz w:val="24"/>
                <w:szCs w:val="20"/>
                <w:highlight w:val="none"/>
              </w:rPr>
            </w:pPr>
          </w:p>
        </w:tc>
      </w:tr>
      <w:tr w14:paraId="1BB4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1070CCB2">
            <w:pPr>
              <w:snapToGrid w:val="0"/>
              <w:spacing w:before="50" w:after="156" w:afterLines="50"/>
              <w:jc w:val="center"/>
              <w:rPr>
                <w:rFonts w:ascii="宋体" w:hAnsi="宋体" w:cs="宋体"/>
                <w:color w:val="auto"/>
                <w:sz w:val="24"/>
                <w:szCs w:val="20"/>
                <w:highlight w:val="none"/>
              </w:rPr>
            </w:pPr>
          </w:p>
        </w:tc>
        <w:tc>
          <w:tcPr>
            <w:tcW w:w="766" w:type="dxa"/>
            <w:vAlign w:val="center"/>
          </w:tcPr>
          <w:p w14:paraId="60C0E1E4">
            <w:pPr>
              <w:snapToGrid w:val="0"/>
              <w:spacing w:before="50" w:after="156" w:afterLines="50"/>
              <w:jc w:val="center"/>
              <w:rPr>
                <w:rFonts w:ascii="宋体" w:hAnsi="宋体" w:cs="宋体"/>
                <w:color w:val="auto"/>
                <w:sz w:val="24"/>
                <w:szCs w:val="20"/>
                <w:highlight w:val="none"/>
              </w:rPr>
            </w:pPr>
          </w:p>
        </w:tc>
        <w:tc>
          <w:tcPr>
            <w:tcW w:w="1837" w:type="dxa"/>
            <w:vAlign w:val="center"/>
          </w:tcPr>
          <w:p w14:paraId="1C0D934B">
            <w:pPr>
              <w:snapToGrid w:val="0"/>
              <w:spacing w:before="50" w:after="156" w:afterLines="50"/>
              <w:jc w:val="center"/>
              <w:rPr>
                <w:rFonts w:ascii="宋体" w:hAnsi="宋体" w:cs="宋体"/>
                <w:color w:val="auto"/>
                <w:sz w:val="24"/>
                <w:szCs w:val="20"/>
                <w:highlight w:val="none"/>
              </w:rPr>
            </w:pPr>
          </w:p>
        </w:tc>
        <w:tc>
          <w:tcPr>
            <w:tcW w:w="1533" w:type="dxa"/>
            <w:vAlign w:val="center"/>
          </w:tcPr>
          <w:p w14:paraId="281A820A">
            <w:pPr>
              <w:snapToGrid w:val="0"/>
              <w:spacing w:before="50" w:after="156" w:afterLines="50"/>
              <w:jc w:val="center"/>
              <w:rPr>
                <w:rFonts w:ascii="宋体" w:hAnsi="宋体" w:cs="宋体"/>
                <w:color w:val="auto"/>
                <w:sz w:val="24"/>
                <w:szCs w:val="20"/>
                <w:highlight w:val="none"/>
              </w:rPr>
            </w:pPr>
          </w:p>
        </w:tc>
        <w:tc>
          <w:tcPr>
            <w:tcW w:w="1833" w:type="dxa"/>
            <w:vAlign w:val="center"/>
          </w:tcPr>
          <w:p w14:paraId="000AC4F8">
            <w:pPr>
              <w:snapToGrid w:val="0"/>
              <w:spacing w:before="50" w:after="156" w:afterLines="50"/>
              <w:jc w:val="center"/>
              <w:rPr>
                <w:rFonts w:ascii="宋体" w:hAnsi="宋体" w:cs="宋体"/>
                <w:color w:val="auto"/>
                <w:sz w:val="24"/>
                <w:szCs w:val="20"/>
                <w:highlight w:val="none"/>
              </w:rPr>
            </w:pPr>
          </w:p>
        </w:tc>
        <w:tc>
          <w:tcPr>
            <w:tcW w:w="1990" w:type="dxa"/>
            <w:vAlign w:val="center"/>
          </w:tcPr>
          <w:p w14:paraId="174F53ED">
            <w:pPr>
              <w:snapToGrid w:val="0"/>
              <w:spacing w:before="50" w:after="156" w:afterLines="50"/>
              <w:jc w:val="center"/>
              <w:rPr>
                <w:rFonts w:ascii="宋体" w:hAnsi="宋体" w:cs="宋体"/>
                <w:color w:val="auto"/>
                <w:sz w:val="24"/>
                <w:szCs w:val="20"/>
                <w:highlight w:val="none"/>
              </w:rPr>
            </w:pPr>
          </w:p>
        </w:tc>
      </w:tr>
    </w:tbl>
    <w:p w14:paraId="56CF9A3E">
      <w:pPr>
        <w:snapToGrid w:val="0"/>
        <w:spacing w:before="50" w:after="156" w:afterLines="50"/>
        <w:jc w:val="left"/>
        <w:rPr>
          <w:rFonts w:ascii="宋体" w:hAnsi="宋体" w:cs="宋体"/>
          <w:color w:val="auto"/>
          <w:sz w:val="24"/>
          <w:szCs w:val="20"/>
          <w:highlight w:val="none"/>
        </w:rPr>
      </w:pPr>
      <w:r>
        <w:rPr>
          <w:rFonts w:hint="eastAsia" w:ascii="宋体" w:hAnsi="宋体" w:cs="宋体"/>
          <w:color w:val="auto"/>
          <w:sz w:val="24"/>
          <w:szCs w:val="20"/>
          <w:highlight w:val="none"/>
        </w:rPr>
        <w:t>注：在填写时，如本表格不适合供应商的实际情况，可根据本表格式自行制表填写。</w:t>
      </w:r>
    </w:p>
    <w:p w14:paraId="3F8704D9">
      <w:pPr>
        <w:spacing w:line="360" w:lineRule="auto"/>
        <w:ind w:firstLine="3840" w:firstLineChars="1600"/>
        <w:rPr>
          <w:rFonts w:ascii="宋体" w:hAnsi="宋体" w:cs="宋体"/>
          <w:color w:val="auto"/>
          <w:kern w:val="0"/>
          <w:sz w:val="24"/>
          <w:highlight w:val="none"/>
        </w:rPr>
      </w:pPr>
    </w:p>
    <w:p w14:paraId="733A517A">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1CC5C491">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343EC222">
      <w:pPr>
        <w:pStyle w:val="27"/>
        <w:ind w:firstLine="210"/>
        <w:rPr>
          <w:rFonts w:ascii="宋体" w:hAnsi="宋体" w:cs="宋体"/>
          <w:color w:val="auto"/>
          <w:highlight w:val="none"/>
        </w:rPr>
      </w:pPr>
    </w:p>
    <w:p w14:paraId="703BE580">
      <w:pPr>
        <w:pStyle w:val="21"/>
        <w:rPr>
          <w:rFonts w:ascii="宋体" w:hAnsi="宋体" w:cs="宋体"/>
          <w:color w:val="auto"/>
          <w:highlight w:val="none"/>
        </w:rPr>
      </w:pPr>
    </w:p>
    <w:p w14:paraId="4154A587">
      <w:pPr>
        <w:pStyle w:val="21"/>
        <w:rPr>
          <w:rFonts w:ascii="宋体" w:hAnsi="宋体" w:cs="宋体"/>
          <w:color w:val="auto"/>
          <w:highlight w:val="none"/>
        </w:rPr>
      </w:pPr>
    </w:p>
    <w:p w14:paraId="100F0674">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四、供应商认为需要提供的其他有关资料</w:t>
      </w:r>
    </w:p>
    <w:p w14:paraId="7DB4BD84">
      <w:pPr>
        <w:spacing w:line="360" w:lineRule="auto"/>
        <w:ind w:firstLine="5760" w:firstLineChars="1600"/>
        <w:rPr>
          <w:rFonts w:ascii="宋体" w:hAnsi="宋体" w:cs="宋体"/>
          <w:color w:val="auto"/>
          <w:sz w:val="36"/>
          <w:szCs w:val="36"/>
          <w:highlight w:val="none"/>
        </w:rPr>
      </w:pPr>
    </w:p>
    <w:p w14:paraId="3650CF3D">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4287776A">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日期：年月日</w:t>
      </w:r>
    </w:p>
    <w:p w14:paraId="7DF55E65">
      <w:pPr>
        <w:pStyle w:val="5"/>
        <w:rPr>
          <w:rFonts w:ascii="宋体" w:hAnsi="宋体" w:cs="宋体"/>
          <w:color w:val="auto"/>
          <w:highlight w:val="none"/>
        </w:rPr>
      </w:pPr>
      <w:r>
        <w:rPr>
          <w:rFonts w:hint="eastAsia" w:ascii="宋体" w:hAnsi="宋体" w:cs="宋体"/>
          <w:color w:val="auto"/>
          <w:highlight w:val="none"/>
        </w:rPr>
        <w:br w:type="page"/>
      </w:r>
      <w:bookmarkStart w:id="167" w:name="_Toc15904"/>
      <w:bookmarkStart w:id="168" w:name="_Toc17854"/>
      <w:r>
        <w:rPr>
          <w:rFonts w:hint="eastAsia" w:ascii="宋体" w:hAnsi="宋体" w:cs="宋体"/>
          <w:color w:val="auto"/>
          <w:highlight w:val="none"/>
        </w:rPr>
        <w:t>三、报价文件格式</w:t>
      </w:r>
      <w:bookmarkEnd w:id="167"/>
      <w:bookmarkEnd w:id="168"/>
    </w:p>
    <w:p w14:paraId="250AA275">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1.报价文件封面格式：</w:t>
      </w:r>
    </w:p>
    <w:p w14:paraId="71E355B7">
      <w:pPr>
        <w:snapToGrid w:val="0"/>
        <w:spacing w:before="156" w:beforeLines="50" w:after="50"/>
        <w:rPr>
          <w:rFonts w:ascii="宋体" w:hAnsi="宋体" w:cs="宋体"/>
          <w:bCs/>
          <w:color w:val="auto"/>
          <w:sz w:val="32"/>
          <w:szCs w:val="20"/>
          <w:highlight w:val="none"/>
        </w:rPr>
      </w:pPr>
      <w:r>
        <w:rPr>
          <w:rFonts w:hint="eastAsia" w:ascii="宋体" w:hAnsi="宋体" w:cs="宋体"/>
          <w:bCs/>
          <w:color w:val="auto"/>
          <w:sz w:val="24"/>
          <w:highlight w:val="none"/>
        </w:rPr>
        <w:t>电子响应文件</w:t>
      </w:r>
    </w:p>
    <w:p w14:paraId="40241672">
      <w:pPr>
        <w:snapToGrid w:val="0"/>
        <w:spacing w:before="156" w:beforeLines="50" w:after="50"/>
        <w:rPr>
          <w:rFonts w:ascii="宋体" w:hAnsi="宋体" w:cs="宋体"/>
          <w:color w:val="auto"/>
          <w:sz w:val="24"/>
          <w:szCs w:val="20"/>
          <w:highlight w:val="none"/>
        </w:rPr>
      </w:pPr>
    </w:p>
    <w:p w14:paraId="4B381AE3">
      <w:pPr>
        <w:snapToGrid w:val="0"/>
        <w:spacing w:before="156" w:beforeLines="50" w:after="50"/>
        <w:rPr>
          <w:rFonts w:ascii="宋体" w:hAnsi="宋体" w:cs="宋体"/>
          <w:color w:val="auto"/>
          <w:sz w:val="24"/>
          <w:szCs w:val="20"/>
          <w:highlight w:val="none"/>
        </w:rPr>
      </w:pPr>
    </w:p>
    <w:p w14:paraId="14069F21">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报价文件</w:t>
      </w:r>
    </w:p>
    <w:p w14:paraId="156FC6C0">
      <w:pPr>
        <w:snapToGrid w:val="0"/>
        <w:spacing w:before="156" w:beforeLines="50" w:after="50"/>
        <w:rPr>
          <w:rFonts w:ascii="宋体" w:hAnsi="宋体" w:cs="宋体"/>
          <w:bCs/>
          <w:color w:val="auto"/>
          <w:sz w:val="24"/>
          <w:szCs w:val="20"/>
          <w:highlight w:val="none"/>
        </w:rPr>
      </w:pPr>
    </w:p>
    <w:p w14:paraId="1E00B8AB">
      <w:pPr>
        <w:snapToGrid w:val="0"/>
        <w:spacing w:before="156" w:beforeLines="50" w:after="50"/>
        <w:rPr>
          <w:rFonts w:ascii="宋体" w:hAnsi="宋体" w:cs="宋体"/>
          <w:bCs/>
          <w:color w:val="auto"/>
          <w:sz w:val="24"/>
          <w:szCs w:val="20"/>
          <w:highlight w:val="none"/>
        </w:rPr>
      </w:pPr>
    </w:p>
    <w:p w14:paraId="4FCACBE7">
      <w:pPr>
        <w:snapToGrid w:val="0"/>
        <w:spacing w:before="156" w:beforeLines="50" w:after="50"/>
        <w:rPr>
          <w:rFonts w:ascii="宋体" w:hAnsi="宋体" w:cs="宋体"/>
          <w:bCs/>
          <w:color w:val="auto"/>
          <w:sz w:val="24"/>
          <w:szCs w:val="20"/>
          <w:highlight w:val="none"/>
        </w:rPr>
      </w:pPr>
    </w:p>
    <w:p w14:paraId="42779417">
      <w:pPr>
        <w:snapToGrid w:val="0"/>
        <w:spacing w:before="156" w:beforeLines="50" w:after="50"/>
        <w:rPr>
          <w:rFonts w:ascii="宋体" w:hAnsi="宋体" w:cs="宋体"/>
          <w:bCs/>
          <w:color w:val="auto"/>
          <w:sz w:val="24"/>
          <w:szCs w:val="20"/>
          <w:highlight w:val="none"/>
        </w:rPr>
      </w:pPr>
    </w:p>
    <w:p w14:paraId="77D763F7">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B6524A5">
      <w:pPr>
        <w:snapToGrid w:val="0"/>
        <w:spacing w:before="156" w:beforeLines="50" w:after="50"/>
        <w:ind w:firstLine="720" w:firstLineChars="225"/>
        <w:rPr>
          <w:rFonts w:ascii="宋体" w:hAnsi="宋体" w:cs="宋体"/>
          <w:bCs/>
          <w:color w:val="auto"/>
          <w:sz w:val="32"/>
          <w:szCs w:val="32"/>
          <w:highlight w:val="none"/>
        </w:rPr>
      </w:pPr>
    </w:p>
    <w:p w14:paraId="4E21F8BC">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4ACBC28">
      <w:pPr>
        <w:snapToGrid w:val="0"/>
        <w:spacing w:before="156" w:beforeLines="50" w:after="50"/>
        <w:ind w:firstLine="720" w:firstLineChars="225"/>
        <w:rPr>
          <w:rFonts w:ascii="宋体" w:hAnsi="宋体" w:cs="宋体"/>
          <w:bCs/>
          <w:color w:val="auto"/>
          <w:sz w:val="32"/>
          <w:szCs w:val="32"/>
          <w:highlight w:val="none"/>
        </w:rPr>
      </w:pPr>
    </w:p>
    <w:p w14:paraId="03DDD607">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CE6EEF9">
      <w:pPr>
        <w:snapToGrid w:val="0"/>
        <w:spacing w:before="156" w:beforeLines="50" w:after="50"/>
        <w:ind w:firstLine="720" w:firstLineChars="225"/>
        <w:rPr>
          <w:rFonts w:ascii="宋体" w:hAnsi="宋体" w:cs="宋体"/>
          <w:bCs/>
          <w:color w:val="auto"/>
          <w:sz w:val="32"/>
          <w:szCs w:val="32"/>
          <w:highlight w:val="none"/>
        </w:rPr>
      </w:pPr>
    </w:p>
    <w:p w14:paraId="7E6C23AD">
      <w:pPr>
        <w:pStyle w:val="11"/>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7FA418">
      <w:pPr>
        <w:pStyle w:val="11"/>
        <w:snapToGrid w:val="0"/>
        <w:spacing w:before="50" w:after="50"/>
        <w:ind w:firstLine="1280" w:firstLineChars="400"/>
        <w:rPr>
          <w:rFonts w:ascii="宋体" w:hAnsi="宋体" w:cs="宋体"/>
          <w:bCs/>
          <w:color w:val="auto"/>
          <w:sz w:val="32"/>
          <w:szCs w:val="32"/>
          <w:highlight w:val="none"/>
        </w:rPr>
      </w:pPr>
    </w:p>
    <w:p w14:paraId="7F1679E2">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年月日</w:t>
      </w:r>
    </w:p>
    <w:p w14:paraId="5B9BA069">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2.报价文件目录</w:t>
      </w:r>
    </w:p>
    <w:p w14:paraId="65FBB3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响应函</w:t>
      </w:r>
      <w:r>
        <w:rPr>
          <w:rFonts w:hint="eastAsia" w:ascii="宋体" w:hAnsi="宋体" w:cs="宋体"/>
          <w:color w:val="auto"/>
          <w:kern w:val="0"/>
          <w:sz w:val="24"/>
          <w:highlight w:val="none"/>
        </w:rPr>
        <w:t>…………………………………………………………………………（页码）</w:t>
      </w:r>
    </w:p>
    <w:p w14:paraId="0B65673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500B3C6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三、中小企业声明函或者残疾人福利性单位声明函或者供应商属于监狱企业的证明材料</w:t>
      </w:r>
      <w:r>
        <w:rPr>
          <w:rFonts w:hint="eastAsia" w:ascii="宋体" w:hAnsi="宋体" w:cs="宋体"/>
          <w:color w:val="auto"/>
          <w:kern w:val="0"/>
          <w:sz w:val="24"/>
          <w:highlight w:val="none"/>
        </w:rPr>
        <w:t>……………………………………………………………………………………（页码）</w:t>
      </w:r>
    </w:p>
    <w:p w14:paraId="61DE251A">
      <w:pPr>
        <w:snapToGrid w:val="0"/>
        <w:spacing w:line="360" w:lineRule="auto"/>
        <w:rPr>
          <w:rFonts w:ascii="宋体" w:hAnsi="宋体" w:cs="宋体"/>
          <w:color w:val="auto"/>
          <w:kern w:val="0"/>
          <w:sz w:val="24"/>
          <w:highlight w:val="none"/>
        </w:rPr>
      </w:pPr>
    </w:p>
    <w:p w14:paraId="68A7BDD6">
      <w:pPr>
        <w:rPr>
          <w:rFonts w:ascii="宋体" w:hAnsi="宋体" w:cs="宋体"/>
          <w:color w:val="auto"/>
          <w:sz w:val="24"/>
          <w:highlight w:val="none"/>
        </w:rPr>
      </w:pPr>
    </w:p>
    <w:p w14:paraId="2D8C48F1">
      <w:pPr>
        <w:snapToGrid w:val="0"/>
        <w:spacing w:before="156" w:beforeLines="50" w:after="50" w:line="360" w:lineRule="auto"/>
        <w:ind w:firstLine="645"/>
        <w:rPr>
          <w:rFonts w:ascii="宋体" w:hAnsi="宋体" w:cs="宋体"/>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r>
        <w:rPr>
          <w:rFonts w:hint="eastAsia" w:ascii="宋体" w:hAnsi="宋体" w:cs="宋体"/>
          <w:color w:val="auto"/>
          <w:sz w:val="24"/>
          <w:highlight w:val="none"/>
        </w:rPr>
        <w:t>。</w:t>
      </w:r>
    </w:p>
    <w:p w14:paraId="29292FEF">
      <w:pPr>
        <w:pStyle w:val="21"/>
        <w:rPr>
          <w:rFonts w:ascii="宋体" w:hAnsi="宋体" w:cs="宋体"/>
          <w:color w:val="auto"/>
          <w:highlight w:val="none"/>
        </w:rPr>
      </w:pPr>
    </w:p>
    <w:p w14:paraId="43D82FCD">
      <w:pPr>
        <w:spacing w:line="52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一、响应函</w:t>
      </w:r>
    </w:p>
    <w:p w14:paraId="6A29EF80">
      <w:pPr>
        <w:rPr>
          <w:rFonts w:ascii="宋体" w:hAnsi="宋体" w:cs="宋体"/>
          <w:color w:val="auto"/>
          <w:highlight w:val="none"/>
        </w:rPr>
      </w:pPr>
    </w:p>
    <w:p w14:paraId="21D23D6D">
      <w:pPr>
        <w:pStyle w:val="18"/>
        <w:spacing w:line="440" w:lineRule="exact"/>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（采购人名称）</w:t>
      </w:r>
    </w:p>
    <w:p w14:paraId="6C200362">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项目名称</w:t>
      </w:r>
      <w:r>
        <w:rPr>
          <w:rFonts w:hint="eastAsia" w:hAnsi="宋体" w:cs="宋体"/>
          <w:color w:val="auto"/>
          <w:sz w:val="24"/>
          <w:szCs w:val="24"/>
          <w:highlight w:val="none"/>
        </w:rPr>
        <w:t>项目（项目编号：）的采购文件的全部内容，授权(全权代表姓名</w:t>
      </w:r>
      <w:r>
        <w:rPr>
          <w:rFonts w:hint="eastAsia" w:hAnsi="宋体" w:cs="宋体"/>
          <w:color w:val="auto"/>
          <w:sz w:val="24"/>
          <w:szCs w:val="24"/>
          <w:highlight w:val="none"/>
          <w:lang w:eastAsia="zh-CN"/>
        </w:rPr>
        <w:t>）</w:t>
      </w:r>
      <w:r>
        <w:rPr>
          <w:rFonts w:hint="eastAsia" w:hAnsi="宋体" w:cs="宋体"/>
          <w:color w:val="auto"/>
          <w:sz w:val="24"/>
          <w:szCs w:val="24"/>
          <w:highlight w:val="none"/>
        </w:rPr>
        <w:t>(职务、职称</w:t>
      </w:r>
      <w:r>
        <w:rPr>
          <w:rFonts w:hint="eastAsia" w:hAnsi="宋体" w:cs="宋体"/>
          <w:color w:val="auto"/>
          <w:sz w:val="24"/>
          <w:szCs w:val="24"/>
          <w:highlight w:val="none"/>
          <w:lang w:eastAsia="zh-CN"/>
        </w:rPr>
        <w:t>）</w:t>
      </w:r>
      <w:r>
        <w:rPr>
          <w:rFonts w:hint="eastAsia" w:hAnsi="宋体" w:cs="宋体"/>
          <w:color w:val="auto"/>
          <w:sz w:val="24"/>
          <w:szCs w:val="24"/>
          <w:highlight w:val="none"/>
        </w:rPr>
        <w:t>为全权代表，现正式递交下述文件参加贵方组织的本次政府采购活动：</w:t>
      </w:r>
    </w:p>
    <w:p w14:paraId="358CFB98">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一、报价文件电子版一份（包含按供应商须知前附表要求提交的全部文件）；</w:t>
      </w:r>
    </w:p>
    <w:p w14:paraId="0CEBD68A">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二、资格文件电子版一份（包含按供应商须知前附表要求提交的全部文件）；</w:t>
      </w:r>
    </w:p>
    <w:p w14:paraId="082D8216">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三、技术文件电子版一份（包含按供应商须知前附表要求提交的全部文件）；</w:t>
      </w:r>
    </w:p>
    <w:p w14:paraId="0951836D">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四、商务文件电子版一份（包含按供应商须知前附表要求提交的全部文件）；</w:t>
      </w:r>
    </w:p>
    <w:p w14:paraId="7DCB887D">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7B763126">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1、我方愿意以（大写）人民币元(</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元</w:t>
      </w:r>
      <w:r>
        <w:rPr>
          <w:rFonts w:hint="eastAsia" w:hAnsi="宋体" w:cs="宋体"/>
          <w:color w:val="auto"/>
          <w:sz w:val="24"/>
          <w:szCs w:val="24"/>
          <w:highlight w:val="none"/>
          <w:lang w:eastAsia="zh-CN"/>
        </w:rPr>
        <w:t>）</w:t>
      </w:r>
      <w:r>
        <w:rPr>
          <w:rFonts w:hint="eastAsia" w:hAnsi="宋体" w:cs="宋体"/>
          <w:color w:val="auto"/>
          <w:sz w:val="24"/>
          <w:szCs w:val="24"/>
          <w:highlight w:val="none"/>
        </w:rPr>
        <w:t>的总报价，服务期限，提供本项目</w:t>
      </w:r>
      <w:r>
        <w:rPr>
          <w:rFonts w:hint="eastAsia" w:hAnsi="宋体" w:cs="宋体"/>
          <w:color w:val="auto"/>
          <w:sz w:val="24"/>
          <w:szCs w:val="24"/>
          <w:highlight w:val="none"/>
          <w:lang w:val="en-US" w:eastAsia="zh-CN"/>
        </w:rPr>
        <w:t>采购</w:t>
      </w:r>
      <w:r>
        <w:rPr>
          <w:rFonts w:hint="eastAsia" w:hAnsi="宋体" w:cs="宋体"/>
          <w:color w:val="auto"/>
          <w:sz w:val="24"/>
          <w:szCs w:val="24"/>
          <w:highlight w:val="none"/>
        </w:rPr>
        <w:t>文件第三章“采购需求”中的相应的采购内容。</w:t>
      </w:r>
    </w:p>
    <w:p w14:paraId="3BD7E207">
      <w:pPr>
        <w:pStyle w:val="18"/>
        <w:spacing w:line="360" w:lineRule="exact"/>
        <w:ind w:firstLine="480" w:firstLineChars="200"/>
        <w:rPr>
          <w:rFonts w:hAnsi="宋体" w:cs="宋体"/>
          <w:color w:val="auto"/>
          <w:sz w:val="24"/>
          <w:szCs w:val="24"/>
          <w:highlight w:val="none"/>
          <w:u w:val="single"/>
        </w:rPr>
      </w:pPr>
      <w:r>
        <w:rPr>
          <w:rFonts w:hint="eastAsia" w:hAnsi="宋体" w:cs="宋体"/>
          <w:color w:val="auto"/>
          <w:sz w:val="24"/>
          <w:szCs w:val="24"/>
          <w:highlight w:val="none"/>
        </w:rPr>
        <w:t>2、我方同意自本项目</w:t>
      </w:r>
      <w:r>
        <w:rPr>
          <w:rFonts w:hint="eastAsia" w:hAnsi="宋体" w:cs="宋体"/>
          <w:color w:val="auto"/>
          <w:sz w:val="24"/>
          <w:szCs w:val="24"/>
          <w:highlight w:val="none"/>
          <w:lang w:eastAsia="zh-CN"/>
        </w:rPr>
        <w:t>采购文件</w:t>
      </w:r>
      <w:r>
        <w:rPr>
          <w:rFonts w:hint="eastAsia" w:hAnsi="宋体" w:cs="宋体"/>
          <w:color w:val="auto"/>
          <w:sz w:val="24"/>
          <w:szCs w:val="24"/>
          <w:highlight w:val="none"/>
        </w:rPr>
        <w:t>“第二章供应商须知”第一节供应商须知前附表第21.2项规定的截止时间（开标时间）起遵循本响应函，并承诺在“供应商须知前附表”第17.2项规定的响应有效期内不修改、撤销响应文件。</w:t>
      </w:r>
    </w:p>
    <w:p w14:paraId="7D6AA536">
      <w:pPr>
        <w:pStyle w:val="18"/>
        <w:spacing w:line="360" w:lineRule="exact"/>
        <w:ind w:firstLine="480" w:firstLineChars="200"/>
        <w:rPr>
          <w:rFonts w:hAnsi="宋体" w:cs="宋体"/>
          <w:color w:val="auto"/>
          <w:sz w:val="24"/>
          <w:szCs w:val="24"/>
          <w:highlight w:val="none"/>
          <w:u w:val="single"/>
        </w:rPr>
      </w:pPr>
      <w:r>
        <w:rPr>
          <w:rFonts w:hint="eastAsia" w:hAnsi="宋体" w:cs="宋体"/>
          <w:color w:val="auto"/>
          <w:sz w:val="24"/>
          <w:szCs w:val="24"/>
          <w:highlight w:val="none"/>
        </w:rPr>
        <w:t>3、我方所递交的响应文件及有关资料都是内容完整、真实和准确的。</w:t>
      </w:r>
    </w:p>
    <w:p w14:paraId="1832AAD6">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w:t>
      </w:r>
      <w:r>
        <w:rPr>
          <w:rFonts w:hint="eastAsia" w:hAnsi="宋体" w:cs="宋体"/>
          <w:color w:val="auto"/>
          <w:sz w:val="24"/>
          <w:szCs w:val="24"/>
          <w:highlight w:val="none"/>
          <w:lang w:val="en-US" w:eastAsia="zh-CN"/>
        </w:rPr>
        <w:t>竞标</w:t>
      </w:r>
      <w:r>
        <w:rPr>
          <w:rFonts w:hint="eastAsia" w:hAnsi="宋体" w:cs="宋体"/>
          <w:color w:val="auto"/>
          <w:sz w:val="24"/>
          <w:szCs w:val="24"/>
          <w:highlight w:val="none"/>
        </w:rPr>
        <w:t>均符合国家有关强制规定。</w:t>
      </w:r>
    </w:p>
    <w:p w14:paraId="180C4D56">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5、如我方</w:t>
      </w:r>
      <w:r>
        <w:rPr>
          <w:rFonts w:hint="eastAsia" w:hAnsi="宋体" w:cs="宋体"/>
          <w:color w:val="auto"/>
          <w:sz w:val="24"/>
          <w:szCs w:val="24"/>
          <w:highlight w:val="none"/>
          <w:lang w:val="en-US" w:eastAsia="zh-CN"/>
        </w:rPr>
        <w:t>成交</w:t>
      </w:r>
      <w:r>
        <w:rPr>
          <w:rFonts w:hint="eastAsia" w:hAnsi="宋体" w:cs="宋体"/>
          <w:color w:val="auto"/>
          <w:sz w:val="24"/>
          <w:szCs w:val="24"/>
          <w:highlight w:val="none"/>
        </w:rPr>
        <w:t>，我方承诺在收到成交通知书后，在成交通知书规定的期限内，根据采购文件、我方的响应文件及有关澄清承诺书的要求按第六章“合同文本”与采购人订立书面合同，并按照合同约定承担完成合同的责任和义务。</w:t>
      </w:r>
    </w:p>
    <w:p w14:paraId="29CF2C1D">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6、我方已详细审核采购文件，我方知道必须放弃提出含糊不清或误解问题的权利。</w:t>
      </w:r>
    </w:p>
    <w:p w14:paraId="0D9B4F20">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7、我方同意应贵方要求提供与本响应有关的任何数据或资料。若贵方需要，我方愿意提供我方作出的一切承诺的证明材料。</w:t>
      </w:r>
    </w:p>
    <w:p w14:paraId="17B6E500">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8、我方完全理解贵方不一定接受响应报价最低的供应商为成交供应商的行为。</w:t>
      </w:r>
    </w:p>
    <w:p w14:paraId="072F6423">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FCA6FE">
      <w:pPr>
        <w:pStyle w:val="18"/>
        <w:numPr>
          <w:ilvl w:val="0"/>
          <w:numId w:val="3"/>
        </w:numPr>
        <w:spacing w:line="440" w:lineRule="exact"/>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35321C51">
      <w:pPr>
        <w:pStyle w:val="18"/>
        <w:numPr>
          <w:ilvl w:val="0"/>
          <w:numId w:val="3"/>
        </w:numPr>
        <w:spacing w:line="440" w:lineRule="exact"/>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528DDA93">
      <w:pPr>
        <w:pStyle w:val="18"/>
        <w:numPr>
          <w:ilvl w:val="0"/>
          <w:numId w:val="3"/>
        </w:numPr>
        <w:spacing w:line="440" w:lineRule="exact"/>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169D05D8">
      <w:pPr>
        <w:pStyle w:val="18"/>
        <w:numPr>
          <w:ilvl w:val="0"/>
          <w:numId w:val="3"/>
        </w:numPr>
        <w:spacing w:line="440" w:lineRule="exact"/>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4D424309">
      <w:pPr>
        <w:pStyle w:val="18"/>
        <w:numPr>
          <w:ilvl w:val="0"/>
          <w:numId w:val="3"/>
        </w:numPr>
        <w:spacing w:line="440" w:lineRule="exact"/>
        <w:rPr>
          <w:rFonts w:hAnsi="宋体" w:cs="宋体"/>
          <w:color w:val="auto"/>
          <w:sz w:val="24"/>
          <w:szCs w:val="24"/>
          <w:highlight w:val="none"/>
        </w:rPr>
      </w:pPr>
      <w:r>
        <w:rPr>
          <w:rFonts w:hint="eastAsia" w:hAnsi="宋体" w:cs="宋体"/>
          <w:color w:val="auto"/>
          <w:sz w:val="24"/>
          <w:szCs w:val="24"/>
          <w:highlight w:val="none"/>
        </w:rPr>
        <w:t>在招标采购过程中与采购人进行协商磋商的；</w:t>
      </w:r>
    </w:p>
    <w:p w14:paraId="369BCE8F">
      <w:pPr>
        <w:pStyle w:val="18"/>
        <w:numPr>
          <w:ilvl w:val="0"/>
          <w:numId w:val="3"/>
        </w:numPr>
        <w:spacing w:line="440" w:lineRule="exact"/>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0671D807">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10</w:t>
      </w:r>
      <w:r>
        <w:rPr>
          <w:rFonts w:hint="eastAsia" w:hAnsi="宋体" w:cs="宋体"/>
          <w:color w:val="auto"/>
          <w:sz w:val="24"/>
          <w:szCs w:val="24"/>
          <w:highlight w:val="none"/>
          <w:lang w:eastAsia="zh-CN"/>
        </w:rPr>
        <w:t>、</w:t>
      </w:r>
      <w:r>
        <w:rPr>
          <w:rFonts w:hint="eastAsia" w:hAnsi="宋体" w:cs="宋体"/>
          <w:color w:val="auto"/>
          <w:sz w:val="24"/>
          <w:szCs w:val="24"/>
          <w:highlight w:val="none"/>
        </w:rPr>
        <w:t>以上事项如有虚假或隐瞒，我方愿意承担一切后果，并不再寻求任何旨在减轻或免除法律责任的辩解。</w:t>
      </w:r>
    </w:p>
    <w:p w14:paraId="7FC75719">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、与本响应有关的一切正式往来信函请寄：</w:t>
      </w:r>
    </w:p>
    <w:p w14:paraId="07E022CB">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p>
    <w:p w14:paraId="73CEC31D">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p>
    <w:p w14:paraId="4516DAFC">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p>
    <w:p w14:paraId="48FA195C">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p>
    <w:p w14:paraId="27FF74E2">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p>
    <w:p w14:paraId="101CA027">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p>
    <w:p w14:paraId="610CC7DA">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p>
    <w:p w14:paraId="406B7B9C">
      <w:pPr>
        <w:snapToGrid w:val="0"/>
        <w:spacing w:line="360" w:lineRule="auto"/>
        <w:ind w:firstLine="5040" w:firstLineChars="2100"/>
        <w:rPr>
          <w:rFonts w:ascii="宋体" w:hAnsi="宋体" w:cs="宋体"/>
          <w:color w:val="auto"/>
          <w:kern w:val="0"/>
          <w:sz w:val="24"/>
          <w:highlight w:val="none"/>
          <w:lang w:val="zh-CN"/>
        </w:rPr>
      </w:pPr>
    </w:p>
    <w:p w14:paraId="22778C66">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74ED481C">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zh-CN"/>
        </w:rPr>
        <w:t>月日</w:t>
      </w:r>
    </w:p>
    <w:p w14:paraId="50C696AB">
      <w:pPr>
        <w:snapToGrid w:val="0"/>
        <w:spacing w:line="360" w:lineRule="auto"/>
        <w:ind w:firstLine="5160" w:firstLineChars="2150"/>
        <w:rPr>
          <w:rFonts w:ascii="宋体" w:hAnsi="宋体" w:cs="宋体"/>
          <w:color w:val="auto"/>
          <w:kern w:val="0"/>
          <w:sz w:val="24"/>
          <w:highlight w:val="none"/>
          <w:lang w:val="zh-CN"/>
        </w:rPr>
      </w:pPr>
    </w:p>
    <w:p w14:paraId="31377EBB">
      <w:pPr>
        <w:spacing w:line="520" w:lineRule="exact"/>
        <w:jc w:val="center"/>
        <w:rPr>
          <w:rFonts w:ascii="宋体" w:hAnsi="宋体" w:cs="宋体"/>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二、响应报价表</w:t>
      </w:r>
    </w:p>
    <w:p w14:paraId="4ABC136C">
      <w:pPr>
        <w:spacing w:line="440" w:lineRule="exact"/>
        <w:jc w:val="center"/>
        <w:rPr>
          <w:rFonts w:ascii="宋体" w:hAnsi="宋体" w:cs="宋体"/>
          <w:bCs/>
          <w:color w:val="auto"/>
          <w:sz w:val="32"/>
          <w:szCs w:val="32"/>
          <w:highlight w:val="none"/>
        </w:rPr>
      </w:pPr>
    </w:p>
    <w:p w14:paraId="2F109ACB">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16D5EC2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采购项目名称：</w:t>
      </w:r>
    </w:p>
    <w:p w14:paraId="122DE57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p>
    <w:p w14:paraId="2674C162">
      <w:pPr>
        <w:snapToGrid w:val="0"/>
        <w:spacing w:before="50" w:after="50" w:line="360" w:lineRule="auto"/>
        <w:rPr>
          <w:rFonts w:ascii="宋体" w:hAnsi="宋体" w:cs="宋体"/>
          <w:color w:val="auto"/>
          <w:sz w:val="24"/>
          <w:highlight w:val="none"/>
        </w:rPr>
      </w:pPr>
    </w:p>
    <w:p w14:paraId="072446C3">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单位：元</w:t>
      </w:r>
    </w:p>
    <w:tbl>
      <w:tblPr>
        <w:tblStyle w:val="2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406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D85C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F34C59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617" w:type="dxa"/>
            <w:tcBorders>
              <w:top w:val="single" w:color="auto" w:sz="4" w:space="0"/>
              <w:left w:val="single" w:color="auto" w:sz="4" w:space="0"/>
              <w:bottom w:val="single" w:color="auto" w:sz="4" w:space="0"/>
              <w:right w:val="single" w:color="auto" w:sz="4" w:space="0"/>
            </w:tcBorders>
            <w:vAlign w:val="center"/>
          </w:tcPr>
          <w:p w14:paraId="44BAB6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597365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2F58FC2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84B1B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7D8F9A2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C13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05E0D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3E1290F5">
            <w:pPr>
              <w:spacing w:line="360" w:lineRule="auto"/>
              <w:jc w:val="center"/>
              <w:rPr>
                <w:rFonts w:ascii="宋体" w:hAnsi="宋体" w:cs="宋体"/>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4A262BE2">
            <w:pPr>
              <w:spacing w:line="360" w:lineRule="auto"/>
              <w:jc w:val="center"/>
              <w:rPr>
                <w:rFonts w:ascii="宋体" w:hAnsi="宋体" w:cs="宋体"/>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1543494B">
            <w:pPr>
              <w:spacing w:line="360" w:lineRule="auto"/>
              <w:rPr>
                <w:rFonts w:ascii="宋体" w:hAnsi="宋体" w:cs="宋体"/>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598D71F7">
            <w:pPr>
              <w:spacing w:line="360" w:lineRule="auto"/>
              <w:rPr>
                <w:rFonts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1ED874E6">
            <w:pPr>
              <w:spacing w:line="360" w:lineRule="auto"/>
              <w:rPr>
                <w:rFonts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26A9961">
            <w:pPr>
              <w:spacing w:line="360" w:lineRule="auto"/>
              <w:rPr>
                <w:rFonts w:ascii="宋体" w:hAnsi="宋体" w:cs="宋体"/>
                <w:color w:val="auto"/>
                <w:sz w:val="24"/>
                <w:highlight w:val="none"/>
              </w:rPr>
            </w:pPr>
          </w:p>
        </w:tc>
      </w:tr>
      <w:tr w14:paraId="0843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E131E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4CF4237E">
            <w:pPr>
              <w:spacing w:line="360" w:lineRule="auto"/>
              <w:jc w:val="center"/>
              <w:rPr>
                <w:rFonts w:ascii="宋体" w:hAnsi="宋体" w:cs="宋体"/>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4E9160C1">
            <w:pPr>
              <w:spacing w:line="360" w:lineRule="auto"/>
              <w:jc w:val="center"/>
              <w:rPr>
                <w:rFonts w:ascii="宋体" w:hAnsi="宋体" w:cs="宋体"/>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1876FB05">
            <w:pPr>
              <w:spacing w:line="360" w:lineRule="auto"/>
              <w:rPr>
                <w:rFonts w:ascii="宋体" w:hAnsi="宋体" w:cs="宋体"/>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36ABD43E">
            <w:pPr>
              <w:spacing w:line="360" w:lineRule="auto"/>
              <w:rPr>
                <w:rFonts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77049EFF">
            <w:pPr>
              <w:spacing w:line="360" w:lineRule="auto"/>
              <w:rPr>
                <w:rFonts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27C17A4">
            <w:pPr>
              <w:spacing w:line="360" w:lineRule="auto"/>
              <w:rPr>
                <w:rFonts w:ascii="宋体" w:hAnsi="宋体" w:cs="宋体"/>
                <w:color w:val="auto"/>
                <w:sz w:val="24"/>
                <w:highlight w:val="none"/>
              </w:rPr>
            </w:pPr>
          </w:p>
        </w:tc>
      </w:tr>
      <w:tr w14:paraId="6B45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0FC96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F300ECF">
            <w:pPr>
              <w:spacing w:line="360" w:lineRule="auto"/>
              <w:jc w:val="center"/>
              <w:rPr>
                <w:rFonts w:ascii="宋体" w:hAnsi="宋体" w:cs="宋体"/>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6B1592C3">
            <w:pPr>
              <w:spacing w:line="360" w:lineRule="auto"/>
              <w:jc w:val="center"/>
              <w:rPr>
                <w:rFonts w:ascii="宋体" w:hAnsi="宋体" w:cs="宋体"/>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53918505">
            <w:pPr>
              <w:spacing w:line="360" w:lineRule="auto"/>
              <w:rPr>
                <w:rFonts w:ascii="宋体" w:hAnsi="宋体" w:cs="宋体"/>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0F6BC654">
            <w:pPr>
              <w:spacing w:line="360" w:lineRule="auto"/>
              <w:rPr>
                <w:rFonts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7BB32E2A">
            <w:pPr>
              <w:spacing w:line="360" w:lineRule="auto"/>
              <w:rPr>
                <w:rFonts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84609DE">
            <w:pPr>
              <w:spacing w:line="360" w:lineRule="auto"/>
              <w:rPr>
                <w:rFonts w:ascii="宋体" w:hAnsi="宋体" w:cs="宋体"/>
                <w:color w:val="auto"/>
                <w:sz w:val="24"/>
                <w:highlight w:val="none"/>
              </w:rPr>
            </w:pPr>
          </w:p>
        </w:tc>
      </w:tr>
      <w:tr w14:paraId="20B3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4499F1FB">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hAnsi="宋体" w:cs="宋体"/>
                <w:color w:val="auto"/>
                <w:sz w:val="24"/>
                <w:szCs w:val="24"/>
                <w:highlight w:val="none"/>
                <w:lang w:val="en-US" w:eastAsia="zh-CN"/>
              </w:rPr>
              <w:t>¥</w:t>
            </w:r>
            <w:r>
              <w:rPr>
                <w:rFonts w:hint="eastAsia" w:ascii="宋体" w:hAnsi="宋体" w:cs="宋体"/>
                <w:color w:val="auto"/>
                <w:sz w:val="24"/>
                <w:highlight w:val="none"/>
              </w:rPr>
              <w:t>）</w:t>
            </w:r>
          </w:p>
        </w:tc>
      </w:tr>
    </w:tbl>
    <w:p w14:paraId="4571B077">
      <w:pPr>
        <w:rPr>
          <w:rFonts w:ascii="宋体" w:hAnsi="宋体" w:cs="宋体"/>
          <w:color w:val="auto"/>
          <w:sz w:val="24"/>
          <w:highlight w:val="none"/>
        </w:rPr>
      </w:pPr>
    </w:p>
    <w:p w14:paraId="3855A03B">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p>
    <w:p w14:paraId="5D0101C1">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1.供应商的报价表必须加盖供应商电子公章，</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7848D2CA">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1B2F59F3">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3.如为联合体竞标，盖章处须加盖联合体各方电子公章，</w:t>
      </w:r>
      <w:r>
        <w:rPr>
          <w:rFonts w:hint="eastAsia" w:ascii="宋体" w:hAnsi="宋体" w:cs="宋体"/>
          <w:b/>
          <w:color w:val="auto"/>
          <w:sz w:val="24"/>
          <w:highlight w:val="none"/>
        </w:rPr>
        <w:t>否则其响应文件按无效响应处理。</w:t>
      </w:r>
    </w:p>
    <w:p w14:paraId="1A44D4AB">
      <w:pPr>
        <w:snapToGrid w:val="0"/>
        <w:spacing w:before="50" w:after="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4426A013">
      <w:pPr>
        <w:snapToGrid w:val="0"/>
        <w:spacing w:line="360" w:lineRule="auto"/>
        <w:ind w:firstLine="5040" w:firstLineChars="2100"/>
        <w:rPr>
          <w:rFonts w:ascii="宋体" w:hAnsi="宋体" w:cs="宋体"/>
          <w:color w:val="auto"/>
          <w:kern w:val="0"/>
          <w:sz w:val="24"/>
          <w:highlight w:val="none"/>
          <w:lang w:val="zh-CN"/>
        </w:rPr>
      </w:pPr>
    </w:p>
    <w:p w14:paraId="3E187453">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273119D9">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zh-CN"/>
        </w:rPr>
        <w:t>月日</w:t>
      </w:r>
    </w:p>
    <w:p w14:paraId="19B30C89">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0933E695">
      <w:pPr>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三</w:t>
      </w:r>
      <w:r>
        <w:rPr>
          <w:rFonts w:hint="eastAsia" w:ascii="宋体" w:hAnsi="宋体" w:cs="宋体"/>
          <w:b/>
          <w:color w:val="auto"/>
          <w:sz w:val="32"/>
          <w:szCs w:val="32"/>
          <w:highlight w:val="none"/>
        </w:rPr>
        <w:t>、中小企业声明函或者残疾人福利性单位声明函或者供应商属于监狱企业的证明材料</w:t>
      </w:r>
    </w:p>
    <w:p w14:paraId="0B2584E0">
      <w:pPr>
        <w:pStyle w:val="21"/>
        <w:rPr>
          <w:rFonts w:ascii="宋体" w:hAnsi="宋体" w:cs="宋体"/>
          <w:color w:val="auto"/>
          <w:highlight w:val="none"/>
        </w:rPr>
      </w:pPr>
    </w:p>
    <w:p w14:paraId="74FAFB01">
      <w:pPr>
        <w:pStyle w:val="21"/>
        <w:rPr>
          <w:rFonts w:ascii="宋体" w:hAnsi="宋体" w:cs="宋体"/>
          <w:color w:val="auto"/>
          <w:highlight w:val="none"/>
        </w:rPr>
      </w:pPr>
    </w:p>
    <w:p w14:paraId="1C981338">
      <w:pPr>
        <w:pStyle w:val="21"/>
        <w:rPr>
          <w:rFonts w:ascii="宋体" w:hAnsi="宋体" w:cs="宋体"/>
          <w:color w:val="auto"/>
          <w:highlight w:val="none"/>
        </w:rPr>
      </w:pPr>
    </w:p>
    <w:p w14:paraId="04D4C3B0">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w:t>
      </w:r>
    </w:p>
    <w:p w14:paraId="4D1755F3">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本公司(联合体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郑重声明，根据“政府采购促进中小企业发展管理办法”(财库〔2020〕46号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的规定，本公司(联合体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的具体情况如下</w:t>
      </w:r>
      <w:r>
        <w:rPr>
          <w:rFonts w:hint="eastAsia" w:ascii="宋体" w:hAnsi="宋体" w:cs="宋体"/>
          <w:color w:val="auto"/>
          <w:sz w:val="24"/>
          <w:szCs w:val="24"/>
          <w:highlight w:val="none"/>
          <w:lang w:eastAsia="zh-CN"/>
        </w:rPr>
        <w:t>：</w:t>
      </w:r>
    </w:p>
    <w:p w14:paraId="0F06DD90">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w:t>
      </w:r>
    </w:p>
    <w:p w14:paraId="5A7DC19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lang w:eastAsia="zh-CN"/>
        </w:rPr>
        <w:t>；</w:t>
      </w:r>
    </w:p>
    <w:p w14:paraId="478566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4C14D3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727DF6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61DAE0D8">
      <w:pPr>
        <w:spacing w:line="360" w:lineRule="auto"/>
        <w:ind w:firstLine="4320" w:firstLineChars="1800"/>
        <w:rPr>
          <w:rFonts w:ascii="宋体" w:hAnsi="宋体" w:cs="宋体"/>
          <w:color w:val="auto"/>
          <w:sz w:val="24"/>
          <w:highlight w:val="none"/>
        </w:rPr>
      </w:pPr>
    </w:p>
    <w:p w14:paraId="2DC23841">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23729658">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日期：年月日</w:t>
      </w:r>
    </w:p>
    <w:p w14:paraId="0D43F8F3">
      <w:pPr>
        <w:spacing w:line="360" w:lineRule="auto"/>
        <w:ind w:firstLine="4320" w:firstLineChars="1800"/>
        <w:rPr>
          <w:rFonts w:ascii="宋体" w:hAnsi="宋体" w:cs="宋体"/>
          <w:color w:val="auto"/>
          <w:sz w:val="24"/>
          <w:highlight w:val="none"/>
        </w:rPr>
      </w:pPr>
    </w:p>
    <w:p w14:paraId="336DE3F7">
      <w:pPr>
        <w:spacing w:line="360" w:lineRule="auto"/>
        <w:rPr>
          <w:rFonts w:ascii="宋体" w:hAnsi="宋体" w:cs="宋体"/>
          <w:b/>
          <w:bCs/>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结果公开</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供应商的《中小企业声明函》。从业人员、营业收入、资产总额填报上一年度数据，无上一年度数据的新成立企业可不填报。</w:t>
      </w:r>
    </w:p>
    <w:p w14:paraId="6A05E336">
      <w:pPr>
        <w:pStyle w:val="21"/>
        <w:spacing w:line="276" w:lineRule="auto"/>
        <w:rPr>
          <w:rFonts w:ascii="宋体" w:hAnsi="宋体" w:cs="宋体"/>
          <w:color w:val="auto"/>
          <w:sz w:val="24"/>
          <w:szCs w:val="24"/>
          <w:highlight w:val="none"/>
        </w:rPr>
      </w:pPr>
    </w:p>
    <w:p w14:paraId="2E7552C3">
      <w:pPr>
        <w:pStyle w:val="21"/>
        <w:spacing w:line="276" w:lineRule="auto"/>
        <w:rPr>
          <w:rFonts w:ascii="宋体" w:hAnsi="宋体" w:cs="宋体"/>
          <w:color w:val="auto"/>
          <w:sz w:val="24"/>
          <w:szCs w:val="24"/>
          <w:highlight w:val="none"/>
        </w:rPr>
      </w:pPr>
    </w:p>
    <w:p w14:paraId="12545E5B">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残疾人福利性单位声明函</w:t>
      </w:r>
    </w:p>
    <w:p w14:paraId="46C4A23B">
      <w:pPr>
        <w:spacing w:line="520" w:lineRule="exact"/>
        <w:rPr>
          <w:rFonts w:ascii="宋体" w:hAnsi="宋体" w:cs="宋体"/>
          <w:color w:val="auto"/>
          <w:sz w:val="24"/>
          <w:szCs w:val="24"/>
          <w:highlight w:val="none"/>
        </w:rPr>
      </w:pPr>
    </w:p>
    <w:p w14:paraId="69D690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单位的项目采购活动由本单位提供服务。</w:t>
      </w:r>
    </w:p>
    <w:p w14:paraId="56191F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6233947D">
      <w:pPr>
        <w:spacing w:line="360" w:lineRule="auto"/>
        <w:rPr>
          <w:rFonts w:ascii="宋体" w:hAnsi="宋体" w:cs="宋体"/>
          <w:color w:val="auto"/>
          <w:sz w:val="24"/>
          <w:szCs w:val="24"/>
          <w:highlight w:val="none"/>
        </w:rPr>
      </w:pPr>
    </w:p>
    <w:p w14:paraId="19405FD3">
      <w:pPr>
        <w:spacing w:line="360" w:lineRule="auto"/>
        <w:rPr>
          <w:rFonts w:ascii="宋体" w:hAnsi="宋体" w:cs="宋体"/>
          <w:color w:val="auto"/>
          <w:sz w:val="24"/>
          <w:szCs w:val="24"/>
          <w:highlight w:val="none"/>
        </w:rPr>
      </w:pPr>
    </w:p>
    <w:p w14:paraId="40365E3D">
      <w:pPr>
        <w:spacing w:line="276" w:lineRule="auto"/>
        <w:ind w:firstLine="4320" w:firstLineChars="1800"/>
        <w:rPr>
          <w:rFonts w:ascii="宋体" w:hAnsi="宋体" w:cs="宋体"/>
          <w:color w:val="auto"/>
          <w:sz w:val="24"/>
          <w:szCs w:val="24"/>
          <w:highlight w:val="none"/>
        </w:rPr>
      </w:pPr>
    </w:p>
    <w:p w14:paraId="2CC296C9">
      <w:pPr>
        <w:spacing w:line="276" w:lineRule="auto"/>
        <w:ind w:firstLine="4320" w:firstLineChars="1800"/>
        <w:rPr>
          <w:rFonts w:ascii="宋体" w:hAnsi="宋体" w:cs="宋体"/>
          <w:color w:val="auto"/>
          <w:sz w:val="24"/>
          <w:szCs w:val="24"/>
          <w:highlight w:val="none"/>
        </w:rPr>
      </w:pPr>
      <w:r>
        <w:rPr>
          <w:rFonts w:hint="eastAsia" w:ascii="宋体" w:hAnsi="宋体" w:cs="宋体"/>
          <w:color w:val="auto"/>
          <w:sz w:val="24"/>
          <w:szCs w:val="24"/>
          <w:highlight w:val="none"/>
        </w:rPr>
        <w:t>供应商名称（电子签章）：</w:t>
      </w:r>
    </w:p>
    <w:p w14:paraId="4A52A2F8">
      <w:pPr>
        <w:spacing w:line="276" w:lineRule="auto"/>
        <w:ind w:firstLine="4320" w:firstLineChars="1800"/>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14:paraId="4B8D8451">
      <w:pPr>
        <w:spacing w:line="360" w:lineRule="auto"/>
        <w:rPr>
          <w:rFonts w:ascii="宋体" w:hAnsi="宋体" w:cs="宋体"/>
          <w:color w:val="auto"/>
          <w:sz w:val="24"/>
          <w:szCs w:val="24"/>
          <w:highlight w:val="none"/>
        </w:rPr>
      </w:pPr>
    </w:p>
    <w:p w14:paraId="530DFDBB">
      <w:pPr>
        <w:spacing w:line="360" w:lineRule="auto"/>
        <w:rPr>
          <w:rFonts w:ascii="宋体" w:hAnsi="宋体" w:cs="宋体"/>
          <w:color w:val="auto"/>
          <w:sz w:val="24"/>
          <w:szCs w:val="24"/>
          <w:highlight w:val="none"/>
        </w:rPr>
      </w:pPr>
    </w:p>
    <w:p w14:paraId="22301867">
      <w:pPr>
        <w:spacing w:line="360" w:lineRule="auto"/>
        <w:rPr>
          <w:rFonts w:ascii="宋体" w:hAnsi="宋体" w:cs="宋体"/>
          <w:color w:val="auto"/>
          <w:sz w:val="24"/>
          <w:szCs w:val="24"/>
          <w:highlight w:val="none"/>
        </w:rPr>
      </w:pPr>
    </w:p>
    <w:p w14:paraId="07C8F25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1F14681">
      <w:pPr>
        <w:pStyle w:val="21"/>
        <w:spacing w:line="276" w:lineRule="auto"/>
        <w:rPr>
          <w:rFonts w:ascii="宋体" w:hAnsi="宋体" w:cs="宋体"/>
          <w:color w:val="auto"/>
          <w:sz w:val="24"/>
          <w:szCs w:val="24"/>
          <w:highlight w:val="none"/>
        </w:rPr>
      </w:pPr>
    </w:p>
    <w:p w14:paraId="0EFE6C43">
      <w:pPr>
        <w:snapToGrid w:val="0"/>
        <w:spacing w:line="360" w:lineRule="auto"/>
        <w:ind w:firstLine="5160" w:firstLineChars="2150"/>
        <w:rPr>
          <w:rFonts w:hint="eastAsia" w:ascii="宋体" w:hAnsi="宋体" w:cs="宋体"/>
          <w:color w:val="auto"/>
          <w:kern w:val="0"/>
          <w:sz w:val="24"/>
          <w:highlight w:val="none"/>
          <w:lang w:val="zh-CN"/>
        </w:rPr>
      </w:pPr>
    </w:p>
    <w:p w14:paraId="426A2D3F">
      <w:pPr>
        <w:spacing w:line="300" w:lineRule="auto"/>
        <w:rPr>
          <w:rFonts w:ascii="宋体" w:hAnsi="宋体" w:cs="宋体"/>
          <w:color w:val="auto"/>
          <w:sz w:val="24"/>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24"/>
          <w:highlight w:val="none"/>
        </w:rPr>
        <w:t>其他文书、文件格式</w:t>
      </w:r>
    </w:p>
    <w:p w14:paraId="65C92783">
      <w:pPr>
        <w:spacing w:line="360" w:lineRule="auto"/>
        <w:jc w:val="center"/>
        <w:rPr>
          <w:rFonts w:ascii="宋体" w:hAnsi="宋体" w:cs="宋体"/>
          <w:b/>
          <w:bCs/>
          <w:color w:val="auto"/>
          <w:sz w:val="32"/>
          <w:szCs w:val="32"/>
          <w:highlight w:val="none"/>
        </w:rPr>
      </w:pPr>
    </w:p>
    <w:p w14:paraId="55CA0FEA">
      <w:pPr>
        <w:pStyle w:val="21"/>
        <w:rPr>
          <w:rFonts w:ascii="宋体" w:hAnsi="宋体" w:cs="宋体"/>
          <w:color w:val="auto"/>
          <w:highlight w:val="none"/>
        </w:rPr>
      </w:pPr>
    </w:p>
    <w:p w14:paraId="46270384">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2D2ABA68">
      <w:pPr>
        <w:rPr>
          <w:rFonts w:ascii="宋体" w:hAnsi="宋体" w:cs="宋体"/>
          <w:color w:val="auto"/>
          <w:sz w:val="30"/>
          <w:szCs w:val="30"/>
          <w:highlight w:val="none"/>
        </w:rPr>
      </w:pPr>
    </w:p>
    <w:p w14:paraId="607E5E3C">
      <w:pPr>
        <w:rPr>
          <w:rFonts w:ascii="宋体" w:hAnsi="宋体" w:cs="宋体"/>
          <w:color w:val="auto"/>
          <w:sz w:val="28"/>
          <w:szCs w:val="28"/>
          <w:highlight w:val="none"/>
          <w:lang w:val="en"/>
        </w:rPr>
      </w:pPr>
      <w:r>
        <w:rPr>
          <w:rFonts w:hint="eastAsia" w:ascii="宋体" w:hAnsi="宋体" w:cs="宋体"/>
          <w:color w:val="auto"/>
          <w:sz w:val="28"/>
          <w:szCs w:val="28"/>
          <w:highlight w:val="none"/>
        </w:rPr>
        <w:t>本</w:t>
      </w:r>
      <w:r>
        <w:rPr>
          <w:rFonts w:hint="eastAsia" w:ascii="宋体" w:hAnsi="宋体" w:cs="宋体"/>
          <w:color w:val="auto"/>
          <w:sz w:val="28"/>
          <w:szCs w:val="28"/>
          <w:highlight w:val="none"/>
          <w:lang w:val="en"/>
        </w:rPr>
        <w:t>企业（单位）自愿参与政府投资政府采购的</w:t>
      </w:r>
      <w:r>
        <w:rPr>
          <w:rFonts w:hint="eastAsia" w:ascii="宋体" w:hAnsi="宋体" w:cs="宋体"/>
          <w:color w:val="auto"/>
          <w:sz w:val="28"/>
          <w:szCs w:val="28"/>
          <w:highlight w:val="none"/>
          <w:u w:val="single"/>
          <w:lang w:val="en-US" w:eastAsia="zh-CN"/>
        </w:rPr>
        <w:t>（项目名称）</w:t>
      </w:r>
      <w:r>
        <w:rPr>
          <w:rFonts w:hint="eastAsia" w:ascii="宋体" w:hAnsi="宋体" w:cs="宋体"/>
          <w:color w:val="auto"/>
          <w:sz w:val="28"/>
          <w:szCs w:val="28"/>
          <w:highlight w:val="none"/>
          <w:lang w:val="en"/>
        </w:rPr>
        <w:t>，</w:t>
      </w:r>
      <w:r>
        <w:rPr>
          <w:rFonts w:hint="eastAsia" w:ascii="宋体" w:hAnsi="宋体" w:cs="宋体"/>
          <w:b/>
          <w:bCs/>
          <w:color w:val="auto"/>
          <w:sz w:val="28"/>
          <w:szCs w:val="28"/>
          <w:highlight w:val="none"/>
          <w:lang w:val="en"/>
        </w:rPr>
        <w:t>在此郑重承诺：</w:t>
      </w:r>
      <w:r>
        <w:rPr>
          <w:rFonts w:hint="eastAsia" w:ascii="宋体" w:hAnsi="宋体" w:cs="宋体"/>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3743236">
      <w:pPr>
        <w:snapToGrid w:val="0"/>
        <w:spacing w:line="360" w:lineRule="auto"/>
        <w:ind w:left="5956" w:leftChars="1736" w:hanging="2310" w:hangingChars="825"/>
        <w:jc w:val="right"/>
        <w:rPr>
          <w:rFonts w:ascii="宋体" w:hAnsi="宋体" w:cs="宋体"/>
          <w:color w:val="auto"/>
          <w:sz w:val="28"/>
          <w:szCs w:val="28"/>
          <w:highlight w:val="none"/>
        </w:rPr>
      </w:pPr>
    </w:p>
    <w:p w14:paraId="0378D78B">
      <w:pPr>
        <w:pStyle w:val="21"/>
        <w:spacing w:line="360" w:lineRule="auto"/>
        <w:jc w:val="right"/>
        <w:rPr>
          <w:rFonts w:ascii="宋体" w:hAnsi="宋体" w:cs="宋体"/>
          <w:color w:val="auto"/>
          <w:sz w:val="28"/>
          <w:szCs w:val="28"/>
          <w:highlight w:val="none"/>
        </w:rPr>
      </w:pPr>
      <w:r>
        <w:rPr>
          <w:rFonts w:hint="eastAsia" w:ascii="宋体" w:hAnsi="宋体" w:cs="宋体"/>
          <w:color w:val="auto"/>
          <w:sz w:val="28"/>
          <w:szCs w:val="28"/>
          <w:highlight w:val="none"/>
        </w:rPr>
        <w:t>供应商名称（电子签章）：</w:t>
      </w:r>
    </w:p>
    <w:p w14:paraId="10520391">
      <w:pPr>
        <w:pStyle w:val="21"/>
        <w:spacing w:line="360" w:lineRule="auto"/>
        <w:jc w:val="right"/>
        <w:rPr>
          <w:rFonts w:ascii="宋体" w:hAnsi="宋体" w:cs="宋体"/>
          <w:color w:val="auto"/>
          <w:sz w:val="28"/>
          <w:szCs w:val="28"/>
          <w:highlight w:val="none"/>
        </w:rPr>
      </w:pPr>
      <w:r>
        <w:rPr>
          <w:rFonts w:hint="eastAsia" w:ascii="宋体" w:hAnsi="宋体" w:cs="宋体"/>
          <w:color w:val="auto"/>
          <w:sz w:val="28"/>
          <w:szCs w:val="28"/>
          <w:highlight w:val="none"/>
        </w:rPr>
        <w:t>日期：年月日</w:t>
      </w:r>
    </w:p>
    <w:p w14:paraId="0FEE9379">
      <w:pPr>
        <w:pStyle w:val="21"/>
        <w:jc w:val="right"/>
        <w:rPr>
          <w:rFonts w:ascii="宋体" w:hAnsi="宋体" w:cs="宋体"/>
          <w:color w:val="auto"/>
          <w:sz w:val="28"/>
          <w:szCs w:val="28"/>
          <w:highlight w:val="none"/>
        </w:rPr>
      </w:pPr>
    </w:p>
    <w:p w14:paraId="237BCC36">
      <w:pPr>
        <w:pStyle w:val="21"/>
        <w:jc w:val="right"/>
        <w:rPr>
          <w:rFonts w:ascii="宋体" w:hAnsi="宋体" w:cs="宋体"/>
          <w:color w:val="auto"/>
          <w:sz w:val="28"/>
          <w:szCs w:val="28"/>
          <w:highlight w:val="none"/>
        </w:rPr>
      </w:pPr>
    </w:p>
    <w:p w14:paraId="5E2CC8C2">
      <w:pPr>
        <w:pStyle w:val="21"/>
        <w:jc w:val="right"/>
        <w:rPr>
          <w:rFonts w:ascii="宋体" w:hAnsi="宋体" w:cs="宋体"/>
          <w:color w:val="auto"/>
          <w:sz w:val="28"/>
          <w:szCs w:val="28"/>
          <w:highlight w:val="none"/>
        </w:rPr>
      </w:pPr>
    </w:p>
    <w:p w14:paraId="377E3569">
      <w:pPr>
        <w:pStyle w:val="21"/>
        <w:jc w:val="right"/>
        <w:rPr>
          <w:rFonts w:ascii="宋体" w:hAnsi="宋体" w:cs="宋体"/>
          <w:color w:val="auto"/>
          <w:highlight w:val="none"/>
        </w:rPr>
      </w:pPr>
    </w:p>
    <w:p w14:paraId="2820B7B9">
      <w:pPr>
        <w:spacing w:line="360" w:lineRule="auto"/>
        <w:jc w:val="center"/>
        <w:rPr>
          <w:rFonts w:ascii="宋体" w:hAnsi="宋体" w:cs="宋体"/>
          <w:b/>
          <w:bCs/>
          <w:color w:val="auto"/>
          <w:sz w:val="32"/>
          <w:szCs w:val="32"/>
          <w:highlight w:val="none"/>
        </w:rPr>
      </w:pPr>
      <w:r>
        <w:rPr>
          <w:rFonts w:hint="eastAsia" w:ascii="宋体" w:hAnsi="宋体" w:cs="宋体"/>
          <w:bCs/>
          <w:color w:val="auto"/>
          <w:sz w:val="32"/>
          <w:szCs w:val="32"/>
          <w:highlight w:val="none"/>
        </w:rPr>
        <w:br w:type="page"/>
      </w:r>
      <w:r>
        <w:rPr>
          <w:rFonts w:hint="eastAsia" w:ascii="宋体" w:hAnsi="宋体" w:cs="宋体"/>
          <w:b/>
          <w:bCs/>
          <w:color w:val="auto"/>
          <w:sz w:val="32"/>
          <w:szCs w:val="32"/>
          <w:highlight w:val="none"/>
        </w:rPr>
        <w:t>质疑函（格式）</w:t>
      </w:r>
    </w:p>
    <w:p w14:paraId="760B3904">
      <w:pPr>
        <w:pStyle w:val="18"/>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6AF2AEC">
      <w:pPr>
        <w:pStyle w:val="18"/>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p>
    <w:p w14:paraId="7E3FF101">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328596B9">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联系人：联系电话：</w:t>
      </w:r>
    </w:p>
    <w:p w14:paraId="0CF0E023">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p>
    <w:p w14:paraId="22CDABC4">
      <w:pPr>
        <w:pStyle w:val="18"/>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p>
    <w:p w14:paraId="1554AAF2">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2DA0877A">
      <w:pPr>
        <w:pStyle w:val="18"/>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64B6BD6">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6E8DE1AC">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1A2210D9">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p>
    <w:p w14:paraId="5B610EE3">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3933685A">
      <w:pPr>
        <w:pStyle w:val="18"/>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□采购文件获取日期：</w:t>
      </w:r>
    </w:p>
    <w:p w14:paraId="445EA828">
      <w:pPr>
        <w:pStyle w:val="18"/>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□采购过程</w:t>
      </w:r>
    </w:p>
    <w:p w14:paraId="0C4322C0">
      <w:pPr>
        <w:pStyle w:val="18"/>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□成交结果</w:t>
      </w:r>
    </w:p>
    <w:p w14:paraId="410FB9CC">
      <w:pPr>
        <w:pStyle w:val="18"/>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E972945">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p>
    <w:p w14:paraId="395FE728">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p>
    <w:p w14:paraId="788EDDC6">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p>
    <w:p w14:paraId="7BD7CE61">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2219915">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0B8013E9">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53E3B7B8">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p>
    <w:p w14:paraId="6D0C3371">
      <w:pPr>
        <w:rPr>
          <w:rFonts w:ascii="宋体" w:hAnsi="宋体" w:cs="宋体"/>
          <w:color w:val="auto"/>
          <w:highlight w:val="none"/>
        </w:rPr>
      </w:pPr>
    </w:p>
    <w:p w14:paraId="5AD3A4D2">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签字（签章）：公章：</w:t>
      </w:r>
    </w:p>
    <w:p w14:paraId="14277EF3">
      <w:pPr>
        <w:rPr>
          <w:rFonts w:ascii="宋体" w:hAnsi="宋体" w:cs="宋体"/>
          <w:color w:val="auto"/>
          <w:highlight w:val="none"/>
        </w:rPr>
      </w:pPr>
    </w:p>
    <w:p w14:paraId="196577B1">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5F8EF1B2">
      <w:pPr>
        <w:pStyle w:val="18"/>
        <w:spacing w:line="360" w:lineRule="auto"/>
        <w:contextualSpacing/>
        <w:rPr>
          <w:rFonts w:hAnsi="宋体" w:cs="宋体"/>
          <w:b/>
          <w:color w:val="auto"/>
          <w:sz w:val="24"/>
          <w:szCs w:val="24"/>
          <w:highlight w:val="none"/>
        </w:rPr>
      </w:pPr>
    </w:p>
    <w:p w14:paraId="0C960EFF">
      <w:pPr>
        <w:pStyle w:val="18"/>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说明：</w:t>
      </w:r>
    </w:p>
    <w:p w14:paraId="372EFC78">
      <w:pPr>
        <w:pStyle w:val="18"/>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F3AF9F0">
      <w:pPr>
        <w:pStyle w:val="18"/>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DD1C1D">
      <w:pPr>
        <w:pStyle w:val="18"/>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901BE2D">
      <w:pPr>
        <w:pStyle w:val="18"/>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73EC0109">
      <w:pPr>
        <w:pStyle w:val="18"/>
        <w:spacing w:line="360" w:lineRule="auto"/>
        <w:ind w:left="25" w:leftChars="12" w:firstLine="354" w:firstLineChars="147"/>
        <w:contextualSpacing/>
        <w:rPr>
          <w:rFonts w:hAnsi="宋体" w:cs="宋体"/>
          <w:b/>
          <w:color w:val="auto"/>
          <w:szCs w:val="20"/>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E282061">
      <w:pPr>
        <w:pStyle w:val="18"/>
        <w:snapToGrid w:val="0"/>
        <w:rPr>
          <w:rFonts w:hAnsi="宋体" w:cs="宋体"/>
          <w:b/>
          <w:color w:val="auto"/>
          <w:sz w:val="24"/>
          <w:szCs w:val="24"/>
          <w:highlight w:val="none"/>
        </w:rPr>
      </w:pPr>
    </w:p>
    <w:p w14:paraId="122FF328">
      <w:pPr>
        <w:spacing w:line="4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4686245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50ECC14">
      <w:pPr>
        <w:pStyle w:val="1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9FB11A7">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p>
    <w:p w14:paraId="5AE9ECC0">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2F638DCB">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43821163">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p>
    <w:p w14:paraId="25035E3D">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03BB4984">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6952C94A">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165D4620">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1A03D3E2">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5523440B">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25D1B27E">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5B5AEA13">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698DBE74">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9B5ECDA">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p>
    <w:p w14:paraId="48B07F0C">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地址：邮编：</w:t>
      </w:r>
    </w:p>
    <w:p w14:paraId="059BA056">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联系人：联系电话：</w:t>
      </w:r>
    </w:p>
    <w:p w14:paraId="15358E9D">
      <w:pPr>
        <w:pStyle w:val="1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1A9748E0">
      <w:pPr>
        <w:pStyle w:val="1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51B29431">
      <w:pPr>
        <w:pStyle w:val="1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bookmarkStart w:id="169" w:name="PO_3000001871_PM001_10"/>
      <w:bookmarkEnd w:id="169"/>
    </w:p>
    <w:p w14:paraId="4CFD60D2">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p>
    <w:p w14:paraId="7DB91048">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bookmarkStart w:id="170" w:name="PO_3000001871_PM031_5"/>
      <w:bookmarkEnd w:id="170"/>
    </w:p>
    <w:p w14:paraId="61A2D94A">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lang w:eastAsia="zh-CN"/>
        </w:rPr>
        <w:t>采购文件</w:t>
      </w:r>
      <w:r>
        <w:rPr>
          <w:rFonts w:hint="eastAsia" w:hAnsi="宋体" w:cs="宋体"/>
          <w:bCs/>
          <w:color w:val="auto"/>
          <w:sz w:val="24"/>
          <w:szCs w:val="24"/>
          <w:highlight w:val="none"/>
        </w:rPr>
        <w:t>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40B421CE">
      <w:pPr>
        <w:pStyle w:val="18"/>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5661187C">
      <w:pPr>
        <w:pStyle w:val="1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916D408">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C281143">
      <w:pPr>
        <w:pStyle w:val="18"/>
        <w:spacing w:line="360" w:lineRule="auto"/>
        <w:ind w:firstLine="241"/>
        <w:rPr>
          <w:rFonts w:hAnsi="宋体" w:cs="宋体"/>
          <w:bCs/>
          <w:color w:val="auto"/>
          <w:sz w:val="24"/>
          <w:szCs w:val="24"/>
          <w:highlight w:val="none"/>
          <w:u w:val="single"/>
        </w:rPr>
      </w:pPr>
    </w:p>
    <w:p w14:paraId="4B7C1B64">
      <w:pPr>
        <w:pStyle w:val="18"/>
        <w:spacing w:line="360" w:lineRule="auto"/>
        <w:ind w:firstLine="241"/>
        <w:rPr>
          <w:rFonts w:hAnsi="宋体" w:cs="宋体"/>
          <w:bCs/>
          <w:color w:val="auto"/>
          <w:sz w:val="24"/>
          <w:szCs w:val="24"/>
          <w:highlight w:val="none"/>
          <w:u w:val="single"/>
        </w:rPr>
      </w:pPr>
    </w:p>
    <w:p w14:paraId="1D87D7FA">
      <w:pPr>
        <w:pStyle w:val="18"/>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就质疑事项作出了答复/没有在法定期限内作出答复。</w:t>
      </w:r>
    </w:p>
    <w:p w14:paraId="47C7D4C1">
      <w:pPr>
        <w:pStyle w:val="1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08149D6">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2A81B2FA">
      <w:pPr>
        <w:pStyle w:val="18"/>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731017D2">
      <w:pPr>
        <w:pStyle w:val="18"/>
        <w:spacing w:line="360" w:lineRule="auto"/>
        <w:ind w:left="25" w:leftChars="12" w:firstLine="472" w:firstLineChars="197"/>
        <w:rPr>
          <w:rFonts w:hAnsi="宋体" w:cs="宋体"/>
          <w:color w:val="auto"/>
          <w:sz w:val="24"/>
          <w:szCs w:val="24"/>
          <w:highlight w:val="none"/>
        </w:rPr>
      </w:pPr>
    </w:p>
    <w:p w14:paraId="33EA9E40">
      <w:pPr>
        <w:pStyle w:val="18"/>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0FD6CB4B">
      <w:pPr>
        <w:pStyle w:val="18"/>
        <w:spacing w:line="360" w:lineRule="auto"/>
        <w:ind w:left="25" w:leftChars="12" w:firstLine="352" w:firstLineChars="147"/>
        <w:rPr>
          <w:rFonts w:hAnsi="宋体" w:cs="宋体"/>
          <w:bCs/>
          <w:color w:val="auto"/>
          <w:sz w:val="24"/>
          <w:szCs w:val="24"/>
          <w:highlight w:val="none"/>
          <w:u w:val="single"/>
        </w:rPr>
      </w:pPr>
    </w:p>
    <w:p w14:paraId="7AA4D9E7">
      <w:pPr>
        <w:pStyle w:val="18"/>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投诉事项2</w:t>
      </w:r>
    </w:p>
    <w:p w14:paraId="09AFB0D7">
      <w:pPr>
        <w:pStyle w:val="18"/>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22193238">
      <w:pPr>
        <w:pStyle w:val="1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FFAF649">
      <w:pPr>
        <w:pStyle w:val="1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6D8B0D81">
      <w:pPr>
        <w:rPr>
          <w:rFonts w:ascii="宋体" w:hAnsi="宋体" w:cs="宋体"/>
          <w:color w:val="auto"/>
          <w:highlight w:val="none"/>
        </w:rPr>
      </w:pPr>
    </w:p>
    <w:p w14:paraId="6C920874">
      <w:pPr>
        <w:pStyle w:val="1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签字（签章）：公章：</w:t>
      </w:r>
    </w:p>
    <w:p w14:paraId="4DEA6762">
      <w:pPr>
        <w:rPr>
          <w:rFonts w:ascii="宋体" w:hAnsi="宋体" w:cs="宋体"/>
          <w:color w:val="auto"/>
          <w:highlight w:val="none"/>
        </w:rPr>
      </w:pPr>
    </w:p>
    <w:p w14:paraId="5435AEED">
      <w:pPr>
        <w:pStyle w:val="1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F8B30F7">
      <w:pPr>
        <w:rPr>
          <w:rFonts w:ascii="宋体" w:hAnsi="宋体" w:cs="宋体"/>
          <w:color w:val="auto"/>
          <w:highlight w:val="none"/>
        </w:rPr>
      </w:pPr>
    </w:p>
    <w:p w14:paraId="3DDFD2AE">
      <w:pPr>
        <w:pStyle w:val="18"/>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838DA5">
      <w:pPr>
        <w:pStyle w:val="18"/>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70AE088">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E7B5CBC">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9227B33">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83D1B0F">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471709A">
      <w:pPr>
        <w:pStyle w:val="18"/>
        <w:spacing w:line="360" w:lineRule="auto"/>
        <w:ind w:left="25" w:leftChars="12" w:firstLine="354" w:firstLineChars="147"/>
        <w:rPr>
          <w:rFonts w:hAnsi="宋体" w:cs="宋体"/>
          <w:b/>
          <w:color w:val="auto"/>
          <w:szCs w:val="20"/>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27F732E">
      <w:pPr>
        <w:pStyle w:val="18"/>
        <w:snapToGrid w:val="0"/>
        <w:rPr>
          <w:rFonts w:hAnsi="宋体" w:cs="宋体"/>
          <w:b/>
          <w:color w:val="auto"/>
          <w:sz w:val="24"/>
          <w:szCs w:val="24"/>
          <w:highlight w:val="none"/>
        </w:rPr>
      </w:pPr>
    </w:p>
    <w:p w14:paraId="08B166C6">
      <w:pPr>
        <w:rPr>
          <w:rFonts w:ascii="宋体" w:hAnsi="宋体" w:cs="宋体"/>
          <w:color w:val="auto"/>
          <w:highlight w:val="none"/>
        </w:rPr>
      </w:pPr>
      <w:r>
        <w:rPr>
          <w:rFonts w:hint="eastAsia" w:ascii="宋体" w:hAnsi="宋体" w:cs="宋体"/>
          <w:b/>
          <w:bCs/>
          <w:color w:val="auto"/>
          <w:sz w:val="28"/>
          <w:szCs w:val="28"/>
          <w:highlight w:val="none"/>
        </w:rPr>
        <w:t>磋商保证金退还申请（格式）</w:t>
      </w:r>
      <w:r>
        <w:rPr>
          <w:rFonts w:hint="eastAsia" w:ascii="宋体" w:hAnsi="宋体" w:cs="宋体"/>
          <w:b/>
          <w:bCs/>
          <w:color w:val="auto"/>
          <w:highlight w:val="none"/>
        </w:rPr>
        <w:t>：</w:t>
      </w:r>
      <w:r>
        <w:rPr>
          <w:rFonts w:hint="eastAsia" w:ascii="宋体" w:hAnsi="宋体" w:cs="宋体"/>
          <w:color w:val="auto"/>
          <w:sz w:val="28"/>
          <w:szCs w:val="28"/>
          <w:highlight w:val="none"/>
        </w:rPr>
        <w:t>供参考</w:t>
      </w:r>
    </w:p>
    <w:p w14:paraId="52F024F9">
      <w:pPr>
        <w:jc w:val="center"/>
        <w:rPr>
          <w:rFonts w:ascii="宋体" w:hAnsi="宋体" w:cs="宋体"/>
          <w:color w:val="auto"/>
          <w:sz w:val="32"/>
          <w:szCs w:val="32"/>
          <w:highlight w:val="none"/>
        </w:rPr>
      </w:pPr>
    </w:p>
    <w:p w14:paraId="602DAEE7">
      <w:pPr>
        <w:jc w:val="center"/>
        <w:rPr>
          <w:rFonts w:ascii="宋体" w:hAnsi="宋体" w:cs="宋体"/>
          <w:color w:val="auto"/>
          <w:sz w:val="32"/>
          <w:szCs w:val="32"/>
          <w:highlight w:val="none"/>
        </w:rPr>
      </w:pPr>
      <w:r>
        <w:rPr>
          <w:rFonts w:hint="eastAsia" w:ascii="宋体" w:hAnsi="宋体" w:cs="宋体"/>
          <w:color w:val="auto"/>
          <w:sz w:val="32"/>
          <w:szCs w:val="32"/>
          <w:highlight w:val="none"/>
        </w:rPr>
        <w:t>退磋商保证金申请函</w:t>
      </w:r>
    </w:p>
    <w:p w14:paraId="3455A7F2">
      <w:pPr>
        <w:rPr>
          <w:rFonts w:ascii="宋体" w:hAnsi="宋体" w:cs="宋体"/>
          <w:color w:val="auto"/>
          <w:highlight w:val="none"/>
        </w:rPr>
      </w:pPr>
    </w:p>
    <w:p w14:paraId="26BFC1FC">
      <w:pPr>
        <w:spacing w:line="360" w:lineRule="auto"/>
        <w:rPr>
          <w:rFonts w:ascii="宋体" w:hAnsi="宋体" w:cs="宋体"/>
          <w:color w:val="auto"/>
          <w:szCs w:val="21"/>
          <w:highlight w:val="none"/>
        </w:rPr>
      </w:pPr>
      <w:r>
        <w:rPr>
          <w:rFonts w:hint="eastAsia" w:ascii="宋体" w:hAnsi="宋体" w:cs="宋体"/>
          <w:color w:val="auto"/>
          <w:szCs w:val="21"/>
          <w:highlight w:val="none"/>
        </w:rPr>
        <w:t>广西中信恒泰工程顾问有限公司：</w:t>
      </w:r>
    </w:p>
    <w:p w14:paraId="796C6D86">
      <w:pPr>
        <w:spacing w:line="360" w:lineRule="auto"/>
        <w:ind w:firstLine="660"/>
        <w:rPr>
          <w:rFonts w:ascii="宋体" w:hAnsi="宋体" w:cs="宋体"/>
          <w:color w:val="auto"/>
          <w:szCs w:val="21"/>
          <w:highlight w:val="none"/>
        </w:rPr>
      </w:pPr>
      <w:r>
        <w:rPr>
          <w:rFonts w:hint="eastAsia" w:ascii="宋体" w:hAnsi="宋体" w:cs="宋体"/>
          <w:color w:val="auto"/>
          <w:szCs w:val="21"/>
          <w:highlight w:val="none"/>
        </w:rPr>
        <w:t>兹有我单位参加贵公司组织采购的</w:t>
      </w:r>
      <w:r>
        <w:rPr>
          <w:rFonts w:hint="eastAsia" w:ascii="宋体" w:hAnsi="宋体" w:cs="宋体"/>
          <w:color w:val="auto"/>
          <w:szCs w:val="21"/>
          <w:highlight w:val="none"/>
          <w:u w:val="single"/>
        </w:rPr>
        <w:t>项目（项目编号：）</w:t>
      </w:r>
      <w:r>
        <w:rPr>
          <w:rFonts w:hint="eastAsia" w:ascii="宋体" w:hAnsi="宋体" w:cs="宋体"/>
          <w:color w:val="auto"/>
          <w:szCs w:val="21"/>
          <w:highlight w:val="none"/>
        </w:rPr>
        <w:t>的磋商，于年月日以</w:t>
      </w:r>
      <w:r>
        <w:rPr>
          <w:rFonts w:hint="eastAsia" w:ascii="宋体" w:hAnsi="宋体" w:cs="宋体"/>
          <w:color w:val="auto"/>
          <w:szCs w:val="21"/>
          <w:highlight w:val="none"/>
          <w:u w:val="single"/>
        </w:rPr>
        <w:t>转账</w:t>
      </w:r>
      <w:r>
        <w:rPr>
          <w:rFonts w:hint="eastAsia" w:ascii="宋体" w:hAnsi="宋体" w:cs="宋体"/>
          <w:color w:val="auto"/>
          <w:szCs w:val="21"/>
          <w:highlight w:val="none"/>
        </w:rPr>
        <w:t>形式缴纳磋商保证金</w:t>
      </w:r>
      <w:r>
        <w:rPr>
          <w:rFonts w:hint="eastAsia" w:ascii="宋体" w:hAnsi="宋体" w:cs="宋体"/>
          <w:color w:val="auto"/>
          <w:szCs w:val="21"/>
          <w:highlight w:val="none"/>
          <w:u w:val="single"/>
        </w:rPr>
        <w:t>元整（¥）</w:t>
      </w:r>
      <w:r>
        <w:rPr>
          <w:rFonts w:hint="eastAsia" w:ascii="宋体" w:hAnsi="宋体" w:cs="宋体"/>
          <w:color w:val="auto"/>
          <w:szCs w:val="21"/>
          <w:highlight w:val="none"/>
        </w:rPr>
        <w:t>，该项目于年月日开标，本单位</w:t>
      </w:r>
      <w:r>
        <w:rPr>
          <w:rFonts w:hint="eastAsia" w:ascii="宋体" w:hAnsi="宋体" w:cs="宋体"/>
          <w:color w:val="auto"/>
          <w:szCs w:val="21"/>
          <w:highlight w:val="none"/>
          <w:u w:val="single"/>
        </w:rPr>
        <w:t>中标/不中标</w:t>
      </w:r>
      <w:r>
        <w:rPr>
          <w:rFonts w:hint="eastAsia" w:ascii="宋体" w:hAnsi="宋体" w:cs="宋体"/>
          <w:color w:val="auto"/>
          <w:szCs w:val="21"/>
          <w:highlight w:val="none"/>
        </w:rPr>
        <w:t>，且对此次采购的结果无任何异议，请贵公司将该项磋商保证金给予办理退还，并退还到我单位以下账户中：</w:t>
      </w:r>
    </w:p>
    <w:p w14:paraId="2E365E28">
      <w:pPr>
        <w:spacing w:line="360" w:lineRule="auto"/>
        <w:ind w:firstLine="660"/>
        <w:rPr>
          <w:rFonts w:ascii="宋体" w:hAnsi="宋体" w:cs="宋体"/>
          <w:color w:val="auto"/>
          <w:szCs w:val="21"/>
          <w:highlight w:val="none"/>
        </w:rPr>
      </w:pPr>
      <w:r>
        <w:rPr>
          <w:rFonts w:hint="eastAsia" w:ascii="宋体" w:hAnsi="宋体" w:cs="宋体"/>
          <w:b/>
          <w:color w:val="auto"/>
          <w:szCs w:val="21"/>
          <w:highlight w:val="none"/>
        </w:rPr>
        <w:t>单位名称：</w:t>
      </w:r>
    </w:p>
    <w:p w14:paraId="4F38D1D3">
      <w:pPr>
        <w:spacing w:line="360" w:lineRule="auto"/>
        <w:ind w:firstLine="660"/>
        <w:rPr>
          <w:rFonts w:ascii="宋体" w:hAnsi="宋体" w:cs="宋体"/>
          <w:color w:val="auto"/>
          <w:szCs w:val="21"/>
          <w:highlight w:val="none"/>
        </w:rPr>
      </w:pPr>
      <w:r>
        <w:rPr>
          <w:rFonts w:hint="eastAsia" w:ascii="宋体" w:hAnsi="宋体" w:cs="宋体"/>
          <w:b/>
          <w:color w:val="auto"/>
          <w:szCs w:val="21"/>
          <w:highlight w:val="none"/>
        </w:rPr>
        <w:t>开户银行：</w:t>
      </w:r>
    </w:p>
    <w:p w14:paraId="413CE287">
      <w:pPr>
        <w:spacing w:line="360" w:lineRule="auto"/>
        <w:ind w:firstLine="660"/>
        <w:rPr>
          <w:rFonts w:ascii="宋体" w:hAnsi="宋体" w:cs="宋体"/>
          <w:color w:val="auto"/>
          <w:szCs w:val="21"/>
          <w:highlight w:val="none"/>
        </w:rPr>
      </w:pPr>
      <w:r>
        <w:rPr>
          <w:rFonts w:hint="eastAsia" w:ascii="宋体" w:hAnsi="宋体" w:cs="宋体"/>
          <w:b/>
          <w:color w:val="auto"/>
          <w:szCs w:val="21"/>
          <w:highlight w:val="none"/>
        </w:rPr>
        <w:t>银行账号：</w:t>
      </w:r>
    </w:p>
    <w:p w14:paraId="2755A6A9">
      <w:pPr>
        <w:spacing w:line="360" w:lineRule="auto"/>
        <w:ind w:firstLine="660"/>
        <w:rPr>
          <w:rFonts w:ascii="宋体" w:hAnsi="宋体" w:cs="宋体"/>
          <w:color w:val="auto"/>
          <w:szCs w:val="21"/>
          <w:highlight w:val="none"/>
        </w:rPr>
      </w:pPr>
      <w:r>
        <w:rPr>
          <w:rFonts w:hint="eastAsia" w:ascii="宋体" w:hAnsi="宋体" w:cs="宋体"/>
          <w:b/>
          <w:color w:val="auto"/>
          <w:szCs w:val="21"/>
          <w:highlight w:val="none"/>
        </w:rPr>
        <w:t>开户地所属省份、市县</w:t>
      </w:r>
      <w:r>
        <w:rPr>
          <w:rFonts w:hint="eastAsia" w:ascii="宋体" w:hAnsi="宋体" w:cs="宋体"/>
          <w:color w:val="auto"/>
          <w:szCs w:val="21"/>
          <w:highlight w:val="none"/>
        </w:rPr>
        <w:t>：</w:t>
      </w:r>
    </w:p>
    <w:p w14:paraId="00EC25F2">
      <w:pPr>
        <w:spacing w:line="360" w:lineRule="auto"/>
        <w:rPr>
          <w:rFonts w:ascii="宋体" w:hAnsi="宋体" w:cs="宋体"/>
          <w:color w:val="auto"/>
          <w:szCs w:val="21"/>
          <w:highlight w:val="none"/>
        </w:rPr>
      </w:pPr>
    </w:p>
    <w:p w14:paraId="3765560F">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p w14:paraId="7CD42C56">
      <w:pPr>
        <w:spacing w:line="360" w:lineRule="auto"/>
        <w:rPr>
          <w:rFonts w:ascii="宋体" w:hAnsi="宋体" w:cs="宋体"/>
          <w:color w:val="auto"/>
          <w:szCs w:val="21"/>
          <w:highlight w:val="none"/>
        </w:rPr>
      </w:pPr>
      <w:r>
        <w:rPr>
          <w:rFonts w:hint="eastAsia" w:ascii="宋体" w:hAnsi="宋体" w:cs="宋体"/>
          <w:color w:val="auto"/>
          <w:szCs w:val="21"/>
          <w:highlight w:val="none"/>
        </w:rPr>
        <w:t>时间：年月日</w:t>
      </w:r>
    </w:p>
    <w:p w14:paraId="307FE4EC">
      <w:pPr>
        <w:spacing w:line="360" w:lineRule="auto"/>
        <w:rPr>
          <w:rFonts w:ascii="宋体" w:hAnsi="宋体" w:cs="宋体"/>
          <w:color w:val="auto"/>
          <w:szCs w:val="21"/>
          <w:highlight w:val="none"/>
        </w:rPr>
      </w:pPr>
    </w:p>
    <w:p w14:paraId="5B71A22C">
      <w:pPr>
        <w:spacing w:line="360" w:lineRule="auto"/>
        <w:rPr>
          <w:rFonts w:ascii="宋体" w:hAnsi="宋体" w:cs="宋体"/>
          <w:color w:val="auto"/>
          <w:szCs w:val="21"/>
          <w:highlight w:val="none"/>
        </w:rPr>
      </w:pPr>
      <w:r>
        <w:rPr>
          <w:rFonts w:hint="eastAsia" w:ascii="宋体" w:hAnsi="宋体" w:cs="宋体"/>
          <w:b/>
          <w:bCs/>
          <w:color w:val="auto"/>
          <w:szCs w:val="21"/>
          <w:highlight w:val="none"/>
        </w:rPr>
        <w:t>说明</w:t>
      </w:r>
      <w:r>
        <w:rPr>
          <w:rFonts w:hint="eastAsia" w:ascii="宋体" w:hAnsi="宋体" w:cs="宋体"/>
          <w:color w:val="auto"/>
          <w:szCs w:val="21"/>
          <w:highlight w:val="none"/>
        </w:rPr>
        <w:t>：退磋商保证金申请函可提前做出，并在开标当天递交</w:t>
      </w:r>
      <w:r>
        <w:rPr>
          <w:rFonts w:hint="eastAsia" w:ascii="宋体" w:hAnsi="宋体" w:cs="宋体"/>
          <w:color w:val="auto"/>
          <w:szCs w:val="21"/>
          <w:highlight w:val="none"/>
          <w:lang w:val="en-US" w:eastAsia="zh-CN"/>
        </w:rPr>
        <w:t>(或邮寄）</w:t>
      </w:r>
      <w:r>
        <w:rPr>
          <w:rFonts w:hint="eastAsia" w:ascii="宋体" w:hAnsi="宋体" w:cs="宋体"/>
          <w:color w:val="auto"/>
          <w:szCs w:val="21"/>
          <w:highlight w:val="none"/>
        </w:rPr>
        <w:t>给采购代理机构工作人员，以便发布成交通知书后退还，也可在成交通知书发布后递交。</w:t>
      </w:r>
    </w:p>
    <w:p w14:paraId="4B3508DD">
      <w:pPr>
        <w:spacing w:line="360" w:lineRule="auto"/>
        <w:rPr>
          <w:rFonts w:ascii="宋体" w:hAnsi="宋体" w:cs="宋体"/>
          <w:color w:val="auto"/>
          <w:szCs w:val="21"/>
          <w:highlight w:val="none"/>
        </w:rPr>
      </w:pPr>
      <w:r>
        <w:rPr>
          <w:rFonts w:hint="eastAsia" w:ascii="宋体" w:hAnsi="宋体" w:cs="宋体"/>
          <w:color w:val="auto"/>
          <w:szCs w:val="21"/>
          <w:highlight w:val="none"/>
        </w:rPr>
        <w:t>未成交的供应商的磋商保证金于成交通知书发出后退回（无息）；成交供应商按要求与采购人签署合同并将合同交采购代理机构后可申请退回其磋商保证金（无息）；成交供应商需提交成交合同原件或复印件（复印件须加盖公章）。</w:t>
      </w:r>
    </w:p>
    <w:p w14:paraId="335A0D35">
      <w:pPr>
        <w:spacing w:line="360" w:lineRule="auto"/>
        <w:rPr>
          <w:rFonts w:ascii="宋体" w:hAnsi="宋体" w:cs="宋体"/>
          <w:color w:val="auto"/>
          <w:sz w:val="32"/>
          <w:szCs w:val="32"/>
          <w:highlight w:val="none"/>
        </w:rPr>
      </w:pPr>
    </w:p>
    <w:p w14:paraId="0D0FDB89">
      <w:pPr>
        <w:spacing w:line="520" w:lineRule="exact"/>
        <w:rPr>
          <w:rFonts w:ascii="宋体" w:hAnsi="宋体" w:cs="宋体"/>
          <w:color w:val="auto"/>
          <w:sz w:val="32"/>
          <w:szCs w:val="32"/>
          <w:highlight w:val="none"/>
        </w:rPr>
      </w:pPr>
    </w:p>
    <w:p w14:paraId="580E5AF3">
      <w:pPr>
        <w:spacing w:line="520" w:lineRule="exact"/>
        <w:rPr>
          <w:rFonts w:ascii="宋体" w:hAnsi="宋体" w:cs="宋体"/>
          <w:color w:val="auto"/>
          <w:sz w:val="32"/>
          <w:szCs w:val="32"/>
          <w:highlight w:val="none"/>
        </w:rPr>
      </w:pPr>
    </w:p>
    <w:p w14:paraId="2643D41B">
      <w:pPr>
        <w:spacing w:line="520" w:lineRule="exact"/>
        <w:rPr>
          <w:rFonts w:ascii="宋体" w:hAnsi="宋体" w:cs="宋体"/>
          <w:color w:val="auto"/>
          <w:sz w:val="32"/>
          <w:szCs w:val="32"/>
          <w:highlight w:val="none"/>
        </w:rPr>
      </w:pPr>
    </w:p>
    <w:p w14:paraId="5585C302">
      <w:pPr>
        <w:autoSpaceDE w:val="0"/>
        <w:autoSpaceDN w:val="0"/>
        <w:spacing w:line="300" w:lineRule="auto"/>
        <w:rPr>
          <w:rFonts w:ascii="宋体" w:hAnsi="宋体" w:cs="宋体"/>
          <w:color w:val="auto"/>
          <w:szCs w:val="21"/>
          <w:highlight w:val="none"/>
        </w:rPr>
      </w:pPr>
    </w:p>
    <w:p w14:paraId="58292C44">
      <w:pPr>
        <w:pStyle w:val="5"/>
        <w:numPr>
          <w:ilvl w:val="0"/>
          <w:numId w:val="4"/>
        </w:numPr>
        <w:spacing w:line="520" w:lineRule="exact"/>
        <w:jc w:val="center"/>
        <w:rPr>
          <w:rFonts w:ascii="宋体" w:hAnsi="宋体" w:cs="宋体"/>
          <w:color w:val="auto"/>
          <w:highlight w:val="none"/>
        </w:rPr>
      </w:pPr>
      <w:r>
        <w:rPr>
          <w:rFonts w:hint="eastAsia" w:ascii="宋体" w:hAnsi="宋体" w:cs="宋体"/>
          <w:color w:val="auto"/>
          <w:highlight w:val="none"/>
        </w:rPr>
        <w:br w:type="page"/>
      </w:r>
      <w:bookmarkStart w:id="171" w:name="_Toc19781"/>
      <w:bookmarkStart w:id="172" w:name="_Toc6703"/>
      <w:r>
        <w:rPr>
          <w:rFonts w:hint="eastAsia" w:ascii="宋体" w:hAnsi="宋体" w:cs="宋体"/>
          <w:color w:val="auto"/>
          <w:highlight w:val="none"/>
        </w:rPr>
        <w:t>合同文本</w:t>
      </w:r>
      <w:bookmarkEnd w:id="171"/>
      <w:bookmarkEnd w:id="172"/>
    </w:p>
    <w:p w14:paraId="5F712591">
      <w:pPr>
        <w:pStyle w:val="5"/>
        <w:numPr>
          <w:ilvl w:val="-1"/>
          <w:numId w:val="0"/>
        </w:numPr>
        <w:spacing w:line="520" w:lineRule="exact"/>
        <w:jc w:val="center"/>
        <w:rPr>
          <w:rFonts w:ascii="宋体" w:hAnsi="宋体" w:cs="宋体"/>
          <w:color w:val="auto"/>
          <w:sz w:val="21"/>
          <w:szCs w:val="21"/>
          <w:highlight w:val="none"/>
        </w:rPr>
      </w:pPr>
      <w:bookmarkStart w:id="173" w:name="_Toc8729"/>
      <w:r>
        <w:rPr>
          <w:rFonts w:hint="eastAsia" w:ascii="宋体" w:hAnsi="宋体" w:cs="宋体"/>
          <w:color w:val="auto"/>
          <w:sz w:val="21"/>
          <w:szCs w:val="21"/>
          <w:highlight w:val="none"/>
          <w:lang w:eastAsia="zh-CN"/>
        </w:rPr>
        <w:t>（该合同签订时，按成交供应商响应文件修订）</w:t>
      </w:r>
      <w:bookmarkEnd w:id="173"/>
    </w:p>
    <w:p w14:paraId="5A0D0D2F">
      <w:pPr>
        <w:rPr>
          <w:rFonts w:ascii="宋体" w:hAnsi="宋体" w:cs="宋体"/>
          <w:color w:val="auto"/>
          <w:highlight w:val="none"/>
        </w:rPr>
      </w:pPr>
    </w:p>
    <w:p w14:paraId="686B50FD">
      <w:pPr>
        <w:pStyle w:val="3"/>
        <w:rPr>
          <w:rFonts w:ascii="宋体" w:hAnsi="宋体" w:cs="宋体"/>
          <w:color w:val="auto"/>
          <w:highlight w:val="none"/>
        </w:rPr>
      </w:pPr>
    </w:p>
    <w:p w14:paraId="70071BAA">
      <w:pPr>
        <w:pStyle w:val="3"/>
        <w:rPr>
          <w:rFonts w:ascii="宋体" w:hAnsi="宋体" w:cs="宋体"/>
          <w:color w:val="auto"/>
          <w:highlight w:val="none"/>
        </w:rPr>
      </w:pPr>
    </w:p>
    <w:p w14:paraId="7926E0CD">
      <w:pPr>
        <w:pStyle w:val="3"/>
        <w:rPr>
          <w:rFonts w:ascii="宋体" w:hAnsi="宋体" w:cs="宋体"/>
          <w:color w:val="auto"/>
          <w:highlight w:val="none"/>
        </w:rPr>
      </w:pPr>
    </w:p>
    <w:p w14:paraId="054B9075">
      <w:pPr>
        <w:pStyle w:val="18"/>
        <w:jc w:val="center"/>
        <w:rPr>
          <w:rFonts w:ascii="微软雅黑" w:hAnsi="微软雅黑" w:eastAsia="微软雅黑" w:cs="微软雅黑"/>
          <w:bCs/>
          <w:color w:val="auto"/>
          <w:sz w:val="72"/>
          <w:szCs w:val="72"/>
          <w:highlight w:val="none"/>
        </w:rPr>
      </w:pPr>
      <w:r>
        <w:rPr>
          <w:rFonts w:hint="eastAsia" w:ascii="微软雅黑" w:hAnsi="微软雅黑" w:eastAsia="微软雅黑" w:cs="微软雅黑"/>
          <w:bCs/>
          <w:color w:val="auto"/>
          <w:sz w:val="72"/>
          <w:szCs w:val="72"/>
          <w:highlight w:val="none"/>
        </w:rPr>
        <w:t>采购合同</w:t>
      </w:r>
    </w:p>
    <w:p w14:paraId="48F36F53">
      <w:pPr>
        <w:pStyle w:val="18"/>
        <w:rPr>
          <w:rFonts w:hAnsi="宋体"/>
          <w:color w:val="auto"/>
          <w:highlight w:val="none"/>
        </w:rPr>
      </w:pPr>
    </w:p>
    <w:p w14:paraId="71D68A25">
      <w:pPr>
        <w:pStyle w:val="18"/>
        <w:rPr>
          <w:rFonts w:hAnsi="宋体"/>
          <w:color w:val="auto"/>
          <w:highlight w:val="none"/>
        </w:rPr>
      </w:pPr>
    </w:p>
    <w:p w14:paraId="280E25E6">
      <w:pPr>
        <w:pStyle w:val="18"/>
        <w:rPr>
          <w:rFonts w:hAnsi="宋体"/>
          <w:color w:val="auto"/>
          <w:highlight w:val="none"/>
        </w:rPr>
      </w:pPr>
    </w:p>
    <w:p w14:paraId="26F81945">
      <w:pPr>
        <w:pStyle w:val="18"/>
        <w:rPr>
          <w:rFonts w:hAnsi="宋体"/>
          <w:color w:val="auto"/>
          <w:highlight w:val="none"/>
        </w:rPr>
      </w:pPr>
    </w:p>
    <w:p w14:paraId="4714D9A0">
      <w:pPr>
        <w:pStyle w:val="18"/>
        <w:rPr>
          <w:rFonts w:hAnsi="宋体"/>
          <w:color w:val="auto"/>
          <w:highlight w:val="none"/>
        </w:rPr>
      </w:pPr>
    </w:p>
    <w:p w14:paraId="0CA341EF">
      <w:pPr>
        <w:pStyle w:val="18"/>
        <w:rPr>
          <w:rFonts w:hAnsi="宋体"/>
          <w:color w:val="auto"/>
          <w:highlight w:val="none"/>
        </w:rPr>
      </w:pPr>
    </w:p>
    <w:p w14:paraId="44A6B49C">
      <w:pPr>
        <w:pStyle w:val="18"/>
        <w:rPr>
          <w:rFonts w:hAnsi="宋体" w:cs="宋体"/>
          <w:color w:val="auto"/>
          <w:highlight w:val="none"/>
        </w:rPr>
      </w:pPr>
    </w:p>
    <w:p w14:paraId="53257F4F">
      <w:pPr>
        <w:pStyle w:val="18"/>
        <w:ind w:firstLine="1386" w:firstLineChars="495"/>
        <w:rPr>
          <w:rFonts w:hAnsi="宋体" w:cs="宋体"/>
          <w:bCs/>
          <w:color w:val="auto"/>
          <w:sz w:val="28"/>
          <w:szCs w:val="28"/>
          <w:highlight w:val="none"/>
          <w:u w:val="single"/>
        </w:rPr>
      </w:pPr>
      <w:r>
        <w:rPr>
          <w:rFonts w:hint="eastAsia" w:hAnsi="宋体" w:cs="宋体"/>
          <w:bCs/>
          <w:color w:val="auto"/>
          <w:sz w:val="28"/>
          <w:szCs w:val="28"/>
          <w:highlight w:val="none"/>
        </w:rPr>
        <w:t>合同名称：</w:t>
      </w:r>
    </w:p>
    <w:p w14:paraId="5DA5BA5D">
      <w:pPr>
        <w:pStyle w:val="18"/>
        <w:ind w:firstLine="1386" w:firstLineChars="495"/>
        <w:rPr>
          <w:rFonts w:hAnsi="宋体" w:cs="宋体"/>
          <w:bCs/>
          <w:color w:val="auto"/>
          <w:sz w:val="28"/>
          <w:szCs w:val="28"/>
          <w:highlight w:val="none"/>
          <w:u w:val="single"/>
        </w:rPr>
      </w:pPr>
    </w:p>
    <w:p w14:paraId="4193B6F8">
      <w:pPr>
        <w:pStyle w:val="18"/>
        <w:ind w:firstLine="1386" w:firstLineChars="495"/>
        <w:rPr>
          <w:rFonts w:hAnsi="宋体" w:cs="宋体"/>
          <w:bCs/>
          <w:color w:val="auto"/>
          <w:sz w:val="28"/>
          <w:szCs w:val="28"/>
          <w:highlight w:val="none"/>
          <w:u w:val="single"/>
        </w:rPr>
      </w:pPr>
      <w:r>
        <w:rPr>
          <w:rFonts w:hint="eastAsia" w:hAnsi="宋体" w:cs="宋体"/>
          <w:bCs/>
          <w:color w:val="auto"/>
          <w:sz w:val="28"/>
          <w:szCs w:val="28"/>
          <w:highlight w:val="none"/>
        </w:rPr>
        <w:t>合同编号：</w:t>
      </w:r>
    </w:p>
    <w:p w14:paraId="5838759F">
      <w:pPr>
        <w:pStyle w:val="18"/>
        <w:jc w:val="center"/>
        <w:rPr>
          <w:rFonts w:hAnsi="宋体" w:cs="宋体"/>
          <w:bCs/>
          <w:color w:val="auto"/>
          <w:sz w:val="28"/>
          <w:szCs w:val="28"/>
          <w:highlight w:val="none"/>
        </w:rPr>
      </w:pPr>
    </w:p>
    <w:p w14:paraId="67909A70">
      <w:pPr>
        <w:pStyle w:val="18"/>
        <w:jc w:val="both"/>
        <w:rPr>
          <w:rFonts w:hAnsi="宋体" w:cs="宋体"/>
          <w:bCs/>
          <w:color w:val="auto"/>
          <w:sz w:val="28"/>
          <w:szCs w:val="28"/>
          <w:highlight w:val="none"/>
        </w:rPr>
      </w:pPr>
    </w:p>
    <w:p w14:paraId="2C7B19D8">
      <w:pPr>
        <w:pStyle w:val="18"/>
        <w:jc w:val="center"/>
        <w:rPr>
          <w:rFonts w:hAnsi="宋体" w:cs="宋体"/>
          <w:bCs/>
          <w:color w:val="auto"/>
          <w:sz w:val="28"/>
          <w:szCs w:val="28"/>
          <w:highlight w:val="none"/>
        </w:rPr>
      </w:pPr>
    </w:p>
    <w:p w14:paraId="52123243">
      <w:pPr>
        <w:pStyle w:val="18"/>
        <w:jc w:val="center"/>
        <w:rPr>
          <w:rFonts w:hAnsi="宋体" w:cs="宋体"/>
          <w:bCs/>
          <w:color w:val="auto"/>
          <w:sz w:val="28"/>
          <w:szCs w:val="28"/>
          <w:highlight w:val="none"/>
        </w:rPr>
      </w:pPr>
    </w:p>
    <w:p w14:paraId="12C49CC5">
      <w:pPr>
        <w:pStyle w:val="18"/>
        <w:spacing w:line="340" w:lineRule="exact"/>
        <w:ind w:firstLine="1386" w:firstLineChars="495"/>
        <w:rPr>
          <w:rFonts w:hAnsi="宋体" w:cs="宋体"/>
          <w:bCs/>
          <w:color w:val="auto"/>
          <w:sz w:val="28"/>
          <w:szCs w:val="28"/>
          <w:highlight w:val="none"/>
        </w:rPr>
      </w:pPr>
      <w:r>
        <w:rPr>
          <w:rFonts w:hint="eastAsia" w:hAnsi="宋体" w:cs="宋体"/>
          <w:bCs/>
          <w:color w:val="auto"/>
          <w:sz w:val="28"/>
          <w:szCs w:val="28"/>
          <w:highlight w:val="none"/>
        </w:rPr>
        <w:t>采购单位（甲方）</w:t>
      </w:r>
    </w:p>
    <w:p w14:paraId="767EA1BF">
      <w:pPr>
        <w:pStyle w:val="18"/>
        <w:spacing w:line="340" w:lineRule="exact"/>
        <w:ind w:firstLine="1386" w:firstLineChars="495"/>
        <w:rPr>
          <w:rFonts w:hAnsi="宋体" w:cs="宋体"/>
          <w:bCs/>
          <w:color w:val="auto"/>
          <w:sz w:val="28"/>
          <w:szCs w:val="28"/>
          <w:highlight w:val="none"/>
        </w:rPr>
      </w:pPr>
    </w:p>
    <w:p w14:paraId="733C3065">
      <w:pPr>
        <w:pStyle w:val="18"/>
        <w:spacing w:line="340" w:lineRule="exact"/>
        <w:rPr>
          <w:rFonts w:hAnsi="宋体" w:cs="宋体"/>
          <w:bCs/>
          <w:color w:val="auto"/>
          <w:sz w:val="28"/>
          <w:szCs w:val="28"/>
          <w:highlight w:val="none"/>
        </w:rPr>
      </w:pPr>
    </w:p>
    <w:p w14:paraId="6AFE7CD4">
      <w:pPr>
        <w:pStyle w:val="18"/>
        <w:spacing w:line="340" w:lineRule="exact"/>
        <w:ind w:firstLine="1386" w:firstLineChars="495"/>
        <w:rPr>
          <w:rFonts w:hAnsi="宋体" w:cs="宋体"/>
          <w:bCs/>
          <w:color w:val="auto"/>
          <w:sz w:val="28"/>
          <w:szCs w:val="28"/>
          <w:highlight w:val="none"/>
        </w:rPr>
      </w:pPr>
      <w:r>
        <w:rPr>
          <w:rFonts w:hint="eastAsia" w:hAnsi="宋体" w:cs="宋体"/>
          <w:bCs/>
          <w:color w:val="auto"/>
          <w:sz w:val="28"/>
          <w:szCs w:val="28"/>
          <w:highlight w:val="none"/>
        </w:rPr>
        <w:t>供应商（乙方）</w:t>
      </w:r>
    </w:p>
    <w:p w14:paraId="2B92F54A">
      <w:pPr>
        <w:pStyle w:val="18"/>
        <w:spacing w:line="340" w:lineRule="exact"/>
        <w:ind w:firstLine="990" w:firstLineChars="495"/>
        <w:rPr>
          <w:rFonts w:ascii="方正公文小标宋" w:hAnsi="方正公文小标宋" w:eastAsia="方正公文小标宋" w:cs="方正公文小标宋"/>
          <w:bCs/>
          <w:color w:val="auto"/>
          <w:highlight w:val="none"/>
        </w:rPr>
      </w:pPr>
    </w:p>
    <w:p w14:paraId="3CCF907A">
      <w:pPr>
        <w:keepNext w:val="0"/>
        <w:keepLines w:val="0"/>
        <w:pageBreakBefore w:val="0"/>
        <w:wordWrap/>
        <w:overflowPunct/>
        <w:topLinePunct w:val="0"/>
        <w:bidi w:val="0"/>
        <w:snapToGrid w:val="0"/>
        <w:spacing w:line="320" w:lineRule="exact"/>
        <w:jc w:val="center"/>
        <w:rPr>
          <w:rFonts w:hint="eastAsia" w:ascii="宋体" w:hAnsi="宋体" w:eastAsia="宋体" w:cs="宋体"/>
          <w:color w:val="auto"/>
          <w:sz w:val="32"/>
          <w:szCs w:val="32"/>
          <w:highlight w:val="none"/>
          <w:lang w:eastAsia="zh-CN"/>
        </w:rPr>
      </w:pPr>
      <w:r>
        <w:rPr>
          <w:rFonts w:hint="eastAsia" w:ascii="宋体" w:hAnsi="宋体" w:cs="宋体"/>
          <w:b/>
          <w:bCs/>
          <w:color w:val="auto"/>
          <w:sz w:val="44"/>
          <w:highlight w:val="none"/>
        </w:rPr>
        <w:br w:type="page"/>
      </w:r>
      <w:r>
        <w:rPr>
          <w:rFonts w:hint="eastAsia"/>
          <w:b/>
          <w:bCs/>
          <w:color w:val="auto"/>
          <w:sz w:val="28"/>
          <w:szCs w:val="28"/>
          <w:highlight w:val="none"/>
        </w:rPr>
        <w:t>《</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采购合同</w:t>
      </w:r>
      <w:r>
        <w:rPr>
          <w:rFonts w:hint="eastAsia" w:ascii="宋体" w:hAnsi="宋体" w:eastAsia="宋体" w:cs="宋体"/>
          <w:b/>
          <w:bCs/>
          <w:color w:val="auto"/>
          <w:sz w:val="32"/>
          <w:szCs w:val="32"/>
          <w:highlight w:val="none"/>
          <w:lang w:eastAsia="zh-CN"/>
        </w:rPr>
        <w:t>》</w:t>
      </w:r>
    </w:p>
    <w:p w14:paraId="1633B855">
      <w:pPr>
        <w:keepNext w:val="0"/>
        <w:keepLines w:val="0"/>
        <w:pageBreakBefore w:val="0"/>
        <w:widowControl w:val="0"/>
        <w:kinsoku/>
        <w:wordWrap/>
        <w:overflowPunct/>
        <w:topLinePunct w:val="0"/>
        <w:autoSpaceDE/>
        <w:autoSpaceDN/>
        <w:bidi w:val="0"/>
        <w:adjustRightInd/>
        <w:snapToGrid/>
        <w:spacing w:line="320" w:lineRule="exact"/>
        <w:ind w:right="480" w:firstLine="6000" w:firstLineChars="2500"/>
        <w:textAlignment w:val="auto"/>
        <w:rPr>
          <w:rFonts w:hint="eastAsia" w:ascii="宋体" w:hAnsi="宋体" w:eastAsia="宋体" w:cs="宋体"/>
          <w:bCs/>
          <w:color w:val="auto"/>
          <w:sz w:val="24"/>
          <w:szCs w:val="24"/>
          <w:highlight w:val="none"/>
        </w:rPr>
      </w:pPr>
    </w:p>
    <w:p w14:paraId="6CFF91B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color w:val="auto"/>
          <w:sz w:val="21"/>
          <w:szCs w:val="21"/>
          <w:highlight w:val="none"/>
          <w:u w:val="single"/>
          <w:lang w:val="en-US" w:eastAsia="zh-CN"/>
        </w:rPr>
      </w:pPr>
      <w:r>
        <w:rPr>
          <w:rFonts w:hint="eastAsia" w:asciiTheme="minorEastAsia" w:hAnsiTheme="minorEastAsia" w:eastAsiaTheme="minorEastAsia" w:cstheme="minorEastAsia"/>
          <w:b w:val="0"/>
          <w:bCs/>
          <w:color w:val="auto"/>
          <w:sz w:val="21"/>
          <w:szCs w:val="21"/>
          <w:highlight w:val="none"/>
        </w:rPr>
        <w:t>合同名称：</w:t>
      </w:r>
    </w:p>
    <w:p w14:paraId="386C0F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color w:val="auto"/>
          <w:sz w:val="21"/>
          <w:szCs w:val="21"/>
          <w:highlight w:val="none"/>
          <w:u w:val="singl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 xml:space="preserve">合同编号：                   </w:t>
      </w:r>
      <w:r>
        <w:rPr>
          <w:rFonts w:hint="eastAsia" w:asciiTheme="minorEastAsia" w:hAnsiTheme="minorEastAsia" w:eastAsiaTheme="minorEastAsia" w:cstheme="minorEastAsia"/>
          <w:b w:val="0"/>
          <w:bCs/>
          <w:color w:val="auto"/>
          <w:sz w:val="21"/>
          <w:szCs w:val="21"/>
          <w:highlight w:val="none"/>
          <w:lang w:val="en-US" w:eastAsia="zh-CN"/>
        </w:rPr>
        <w:t>采购申请编号：</w:t>
      </w:r>
    </w:p>
    <w:p w14:paraId="0C0653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甲方(采购方)：</w:t>
      </w:r>
      <w:r>
        <w:rPr>
          <w:rFonts w:hint="eastAsia" w:asciiTheme="minorEastAsia" w:hAnsiTheme="minorEastAsia" w:eastAsiaTheme="minorEastAsia" w:cstheme="minorEastAsia"/>
          <w:b w:val="0"/>
          <w:bCs/>
          <w:color w:val="auto"/>
          <w:sz w:val="21"/>
          <w:szCs w:val="21"/>
          <w:highlight w:val="none"/>
          <w:u w:val="single"/>
        </w:rPr>
        <w:t>广西医科大学</w:t>
      </w:r>
      <w:r>
        <w:rPr>
          <w:rFonts w:hint="eastAsia" w:asciiTheme="minorEastAsia" w:hAnsiTheme="minorEastAsia" w:eastAsiaTheme="minorEastAsia" w:cstheme="minorEastAsia"/>
          <w:b w:val="0"/>
          <w:bCs/>
          <w:color w:val="auto"/>
          <w:sz w:val="21"/>
          <w:szCs w:val="21"/>
          <w:highlight w:val="none"/>
          <w:u w:val="single"/>
          <w:lang w:val="en-US" w:eastAsia="zh-CN"/>
        </w:rPr>
        <w:t>第二附属医院</w:t>
      </w:r>
    </w:p>
    <w:p w14:paraId="4EAC65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color w:val="auto"/>
          <w:sz w:val="21"/>
          <w:szCs w:val="21"/>
          <w:highlight w:val="none"/>
          <w:u w:val="single"/>
          <w:lang w:val="en-US" w:eastAsia="zh-CN"/>
        </w:rPr>
      </w:pPr>
      <w:r>
        <w:rPr>
          <w:rFonts w:hint="eastAsia" w:asciiTheme="minorEastAsia" w:hAnsiTheme="minorEastAsia" w:eastAsiaTheme="minorEastAsia" w:cstheme="minorEastAsia"/>
          <w:b w:val="0"/>
          <w:bCs/>
          <w:color w:val="auto"/>
          <w:sz w:val="21"/>
          <w:szCs w:val="21"/>
          <w:highlight w:val="none"/>
        </w:rPr>
        <w:t>乙方(供应方)：</w:t>
      </w:r>
    </w:p>
    <w:p w14:paraId="3F9BF3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签订地点：</w:t>
      </w:r>
      <w:r>
        <w:rPr>
          <w:rFonts w:hint="eastAsia" w:asciiTheme="minorEastAsia" w:hAnsiTheme="minorEastAsia" w:eastAsiaTheme="minorEastAsia" w:cstheme="minorEastAsia"/>
          <w:b w:val="0"/>
          <w:bCs/>
          <w:color w:val="auto"/>
          <w:sz w:val="21"/>
          <w:szCs w:val="21"/>
          <w:highlight w:val="none"/>
          <w:u w:val="single"/>
          <w:lang w:val="en-US" w:eastAsia="zh-CN"/>
        </w:rPr>
        <w:t xml:space="preserve">广西南宁市            </w:t>
      </w:r>
      <w:r>
        <w:rPr>
          <w:rFonts w:hint="eastAsia" w:asciiTheme="minorEastAsia" w:hAnsiTheme="minorEastAsia" w:eastAsiaTheme="minorEastAsia" w:cstheme="minorEastAsia"/>
          <w:b w:val="0"/>
          <w:bCs/>
          <w:color w:val="auto"/>
          <w:sz w:val="21"/>
          <w:szCs w:val="21"/>
          <w:highlight w:val="none"/>
          <w:lang w:val="en-US" w:eastAsia="zh-CN"/>
        </w:rPr>
        <w:t>签订时间：</w:t>
      </w:r>
    </w:p>
    <w:p w14:paraId="0C44FC7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snapToGrid/>
          <w:color w:val="auto"/>
          <w:kern w:val="2"/>
          <w:sz w:val="21"/>
          <w:szCs w:val="21"/>
          <w:highlight w:val="none"/>
          <w:lang w:eastAsia="zh-CN"/>
        </w:rPr>
      </w:pPr>
    </w:p>
    <w:p w14:paraId="1064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color w:val="auto"/>
          <w:sz w:val="21"/>
          <w:szCs w:val="21"/>
          <w:highlight w:val="none"/>
        </w:rPr>
      </w:pPr>
      <w:bookmarkStart w:id="174" w:name="_Toc8967"/>
      <w:r>
        <w:rPr>
          <w:rFonts w:hint="eastAsia" w:asciiTheme="minorEastAsia" w:hAnsiTheme="minorEastAsia" w:eastAsiaTheme="minorEastAsia" w:cstheme="minorEastAsia"/>
          <w:color w:val="auto"/>
          <w:sz w:val="21"/>
          <w:szCs w:val="21"/>
          <w:highlight w:val="none"/>
        </w:rPr>
        <w:t>根据《中华人民共和国民法典》</w:t>
      </w:r>
      <w:r>
        <w:rPr>
          <w:rFonts w:hint="eastAsia" w:asciiTheme="minorEastAsia" w:hAnsiTheme="minorEastAsia" w:eastAsiaTheme="minorEastAsia" w:cstheme="minorEastAsia"/>
          <w:color w:val="auto"/>
          <w:sz w:val="21"/>
          <w:szCs w:val="21"/>
          <w:highlight w:val="none"/>
          <w:lang w:eastAsia="zh-CN"/>
        </w:rPr>
        <w:t>、《中华人民共和国政府采购法》、《中华人民共和国政府采购法实施条例》</w:t>
      </w:r>
      <w:r>
        <w:rPr>
          <w:rFonts w:hint="eastAsia" w:asciiTheme="minorEastAsia" w:hAnsiTheme="minorEastAsia" w:eastAsiaTheme="minorEastAsia" w:cstheme="minorEastAsia"/>
          <w:color w:val="auto"/>
          <w:sz w:val="21"/>
          <w:szCs w:val="21"/>
          <w:highlight w:val="none"/>
        </w:rPr>
        <w:t>等法律、法规规定，按照相关规定条款和</w:t>
      </w:r>
      <w:r>
        <w:rPr>
          <w:rFonts w:hint="eastAsia" w:asciiTheme="minorEastAsia" w:hAnsiTheme="minorEastAsia" w:eastAsiaTheme="minorEastAsia" w:cstheme="minorEastAsia"/>
          <w:color w:val="auto"/>
          <w:sz w:val="21"/>
          <w:szCs w:val="21"/>
          <w:highlight w:val="none"/>
          <w:lang w:val="en-US" w:eastAsia="zh-CN"/>
        </w:rPr>
        <w:t>双方</w:t>
      </w:r>
      <w:r>
        <w:rPr>
          <w:rFonts w:hint="eastAsia" w:asciiTheme="minorEastAsia" w:hAnsiTheme="minorEastAsia" w:eastAsiaTheme="minorEastAsia" w:cstheme="minorEastAsia"/>
          <w:color w:val="auto"/>
          <w:sz w:val="21"/>
          <w:szCs w:val="21"/>
          <w:highlight w:val="none"/>
        </w:rPr>
        <w:t>承诺，按照平等自愿原则</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甲乙双方签订本合同。</w:t>
      </w:r>
      <w:bookmarkEnd w:id="174"/>
    </w:p>
    <w:p w14:paraId="3A5CCB1F">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bookmarkStart w:id="175" w:name="_Toc20328"/>
      <w:r>
        <w:rPr>
          <w:rFonts w:hint="eastAsia" w:asciiTheme="minorEastAsia" w:hAnsiTheme="minorEastAsia" w:eastAsiaTheme="minorEastAsia" w:cstheme="minorEastAsia"/>
          <w:b/>
          <w:bCs/>
          <w:color w:val="auto"/>
          <w:sz w:val="21"/>
          <w:szCs w:val="21"/>
          <w:highlight w:val="none"/>
        </w:rPr>
        <w:t>合同标的</w:t>
      </w:r>
      <w:bookmarkEnd w:id="175"/>
    </w:p>
    <w:p w14:paraId="1E4CB9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color w:val="auto"/>
          <w:kern w:val="2"/>
          <w:sz w:val="21"/>
          <w:szCs w:val="21"/>
          <w:highlight w:val="none"/>
          <w:lang w:val="en-US" w:eastAsia="zh-CN"/>
        </w:rPr>
        <w:t>1.服务一览表</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586"/>
        <w:gridCol w:w="592"/>
        <w:gridCol w:w="576"/>
        <w:gridCol w:w="1153"/>
        <w:gridCol w:w="1377"/>
        <w:gridCol w:w="1208"/>
      </w:tblGrid>
      <w:tr w14:paraId="15B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328" w:type="pct"/>
            <w:noWrap w:val="0"/>
            <w:vAlign w:val="center"/>
          </w:tcPr>
          <w:p w14:paraId="4C8D6F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972" w:type="pct"/>
            <w:noWrap w:val="0"/>
            <w:vAlign w:val="center"/>
          </w:tcPr>
          <w:p w14:paraId="458CC7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服务名称</w:t>
            </w:r>
          </w:p>
        </w:tc>
        <w:tc>
          <w:tcPr>
            <w:tcW w:w="325" w:type="pct"/>
            <w:shd w:val="clear" w:color="auto" w:fill="auto"/>
            <w:noWrap w:val="0"/>
            <w:vAlign w:val="center"/>
          </w:tcPr>
          <w:p w14:paraId="59CA1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数量</w:t>
            </w:r>
          </w:p>
        </w:tc>
        <w:tc>
          <w:tcPr>
            <w:tcW w:w="317" w:type="pct"/>
            <w:shd w:val="clear" w:color="auto" w:fill="auto"/>
            <w:noWrap w:val="0"/>
            <w:vAlign w:val="center"/>
          </w:tcPr>
          <w:p w14:paraId="57A693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Cs w:val="21"/>
                <w:highlight w:val="none"/>
              </w:rPr>
              <w:t>单位</w:t>
            </w:r>
          </w:p>
        </w:tc>
        <w:tc>
          <w:tcPr>
            <w:tcW w:w="634" w:type="pct"/>
            <w:shd w:val="clear" w:color="auto" w:fill="auto"/>
            <w:noWrap w:val="0"/>
            <w:vAlign w:val="center"/>
          </w:tcPr>
          <w:p w14:paraId="4ACD75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w:t>
            </w:r>
          </w:p>
          <w:p w14:paraId="6351C6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（元）</w:t>
            </w:r>
          </w:p>
        </w:tc>
        <w:tc>
          <w:tcPr>
            <w:tcW w:w="757" w:type="pct"/>
            <w:shd w:val="clear" w:color="auto" w:fill="auto"/>
            <w:noWrap w:val="0"/>
            <w:vAlign w:val="center"/>
          </w:tcPr>
          <w:p w14:paraId="017B93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p w14:paraId="708117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Cs w:val="21"/>
                <w:highlight w:val="none"/>
              </w:rPr>
              <w:t>（元）</w:t>
            </w:r>
          </w:p>
        </w:tc>
        <w:tc>
          <w:tcPr>
            <w:tcW w:w="664" w:type="pct"/>
            <w:noWrap w:val="0"/>
            <w:vAlign w:val="center"/>
          </w:tcPr>
          <w:p w14:paraId="7A04AD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备注</w:t>
            </w:r>
          </w:p>
        </w:tc>
      </w:tr>
      <w:tr w14:paraId="755B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328" w:type="pct"/>
            <w:noWrap w:val="0"/>
            <w:vAlign w:val="center"/>
          </w:tcPr>
          <w:p w14:paraId="6045DF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972" w:type="pct"/>
            <w:noWrap w:val="0"/>
            <w:vAlign w:val="center"/>
          </w:tcPr>
          <w:p w14:paraId="5E370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p>
        </w:tc>
        <w:tc>
          <w:tcPr>
            <w:tcW w:w="325" w:type="pct"/>
            <w:noWrap w:val="0"/>
            <w:vAlign w:val="center"/>
          </w:tcPr>
          <w:p w14:paraId="798448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p>
        </w:tc>
        <w:tc>
          <w:tcPr>
            <w:tcW w:w="317" w:type="pct"/>
            <w:noWrap w:val="0"/>
            <w:vAlign w:val="center"/>
          </w:tcPr>
          <w:p w14:paraId="54CFE1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p>
        </w:tc>
        <w:tc>
          <w:tcPr>
            <w:tcW w:w="634" w:type="pct"/>
            <w:noWrap w:val="0"/>
            <w:vAlign w:val="center"/>
          </w:tcPr>
          <w:p w14:paraId="4DE98A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p>
        </w:tc>
        <w:tc>
          <w:tcPr>
            <w:tcW w:w="757" w:type="pct"/>
            <w:noWrap w:val="0"/>
            <w:vAlign w:val="center"/>
          </w:tcPr>
          <w:p w14:paraId="0EDDC8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p>
        </w:tc>
        <w:tc>
          <w:tcPr>
            <w:tcW w:w="664" w:type="pct"/>
            <w:noWrap w:val="0"/>
            <w:vAlign w:val="center"/>
          </w:tcPr>
          <w:p w14:paraId="412B6E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1"/>
                <w:highlight w:val="none"/>
                <w:lang w:val="en-US" w:eastAsia="zh-CN"/>
              </w:rPr>
            </w:pPr>
          </w:p>
        </w:tc>
      </w:tr>
      <w:tr w14:paraId="7765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5000" w:type="pct"/>
            <w:gridSpan w:val="7"/>
            <w:noWrap w:val="0"/>
            <w:vAlign w:val="center"/>
          </w:tcPr>
          <w:p w14:paraId="457F8C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人民币合计金额：¥元（大写：）</w:t>
            </w:r>
          </w:p>
        </w:tc>
      </w:tr>
    </w:tbl>
    <w:p w14:paraId="053C65D5">
      <w:pPr>
        <w:numPr>
          <w:ilvl w:val="0"/>
          <w:numId w:val="0"/>
        </w:numPr>
        <w:spacing w:line="320" w:lineRule="exact"/>
        <w:ind w:firstLine="420" w:firstLineChars="200"/>
        <w:rPr>
          <w:rFonts w:hint="eastAsia"/>
          <w:lang w:val="en-US" w:eastAsia="zh-CN"/>
        </w:rPr>
      </w:pPr>
      <w:r>
        <w:rPr>
          <w:rFonts w:hint="eastAsia" w:asciiTheme="minorEastAsia" w:hAnsiTheme="minorEastAsia" w:eastAsiaTheme="minorEastAsia" w:cstheme="minorEastAsia"/>
          <w:snapToGrid/>
          <w:color w:val="auto"/>
          <w:kern w:val="2"/>
          <w:sz w:val="21"/>
          <w:szCs w:val="21"/>
          <w:highlight w:val="none"/>
          <w:lang w:val="en-US" w:eastAsia="zh-CN" w:bidi="ar-SA"/>
        </w:rPr>
        <w:t>2.</w:t>
      </w:r>
      <w:r>
        <w:rPr>
          <w:rFonts w:hint="eastAsia" w:asciiTheme="minorEastAsia" w:hAnsiTheme="minorEastAsia" w:eastAsiaTheme="minorEastAsia" w:cstheme="minorEastAsia"/>
          <w:snapToGrid/>
          <w:color w:val="auto"/>
          <w:kern w:val="2"/>
          <w:sz w:val="21"/>
          <w:szCs w:val="21"/>
          <w:highlight w:val="none"/>
          <w:lang w:val="en-US" w:eastAsia="zh-CN"/>
        </w:rPr>
        <w:t>合同合计金额包括乙方为完成本服务项目需求所应提供的服务，以及伴随的货物等所需的一切税金和费用的总和，包括但不限于：</w:t>
      </w:r>
      <w:r>
        <w:rPr>
          <w:rFonts w:hint="eastAsia" w:ascii="宋体" w:hAnsi="宋体" w:eastAsia="宋体" w:cs="宋体"/>
          <w:color w:val="auto"/>
          <w:sz w:val="21"/>
          <w:szCs w:val="21"/>
          <w:highlight w:val="none"/>
          <w:lang w:eastAsia="zh-CN"/>
        </w:rPr>
        <w:t>提供本次</w:t>
      </w:r>
      <w:r>
        <w:rPr>
          <w:rFonts w:hint="eastAsia" w:ascii="宋体" w:hAnsi="宋体" w:eastAsia="宋体" w:cs="宋体"/>
          <w:color w:val="auto"/>
          <w:sz w:val="21"/>
          <w:szCs w:val="21"/>
          <w:highlight w:val="none"/>
          <w:lang w:val="en-US" w:eastAsia="zh-CN"/>
        </w:rPr>
        <w:t>服务内容的价格、测试、技术支持等以及</w:t>
      </w:r>
      <w:r>
        <w:rPr>
          <w:rFonts w:hint="eastAsia" w:ascii="宋体" w:hAnsi="宋体" w:eastAsia="宋体" w:cs="宋体"/>
          <w:color w:val="auto"/>
          <w:sz w:val="21"/>
          <w:szCs w:val="21"/>
          <w:highlight w:val="none"/>
          <w:lang w:eastAsia="zh-CN"/>
        </w:rPr>
        <w:t>服务范围的人员的工资、交通差旅、餐饮住宿，福利、利润、培训、运营服务、</w:t>
      </w:r>
      <w:r>
        <w:rPr>
          <w:rFonts w:hint="eastAsia" w:ascii="宋体" w:hAnsi="宋体" w:cs="宋体"/>
          <w:color w:val="auto"/>
          <w:sz w:val="21"/>
          <w:szCs w:val="21"/>
          <w:highlight w:val="none"/>
          <w:lang w:val="en-US" w:eastAsia="zh-CN"/>
        </w:rPr>
        <w:t>安装调试、保险、检测、验收、</w:t>
      </w:r>
      <w:r>
        <w:rPr>
          <w:rFonts w:hint="eastAsia" w:ascii="宋体" w:hAnsi="宋体" w:eastAsia="宋体" w:cs="宋体"/>
          <w:color w:val="auto"/>
          <w:sz w:val="21"/>
          <w:szCs w:val="21"/>
          <w:highlight w:val="none"/>
          <w:lang w:eastAsia="zh-CN"/>
        </w:rPr>
        <w:t>售后服务、更新升级</w:t>
      </w:r>
      <w:r>
        <w:rPr>
          <w:rFonts w:hint="eastAsia" w:ascii="宋体" w:hAnsi="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项目需要的接口费用</w:t>
      </w:r>
      <w:r>
        <w:rPr>
          <w:rFonts w:hint="eastAsia" w:ascii="宋体" w:hAnsi="宋体" w:cs="宋体"/>
          <w:color w:val="auto"/>
          <w:kern w:val="2"/>
          <w:sz w:val="21"/>
          <w:szCs w:val="21"/>
          <w:highlight w:val="none"/>
          <w:lang w:val="en-US" w:eastAsia="zh-CN" w:bidi="ar"/>
        </w:rPr>
        <w:t>等</w:t>
      </w:r>
      <w:r>
        <w:rPr>
          <w:rFonts w:hint="eastAsia" w:ascii="宋体" w:hAnsi="宋体" w:eastAsia="宋体" w:cs="宋体"/>
          <w:color w:val="auto"/>
          <w:sz w:val="21"/>
          <w:szCs w:val="21"/>
          <w:highlight w:val="none"/>
          <w:lang w:eastAsia="zh-CN"/>
        </w:rPr>
        <w:t>费用</w:t>
      </w:r>
      <w:r>
        <w:rPr>
          <w:rFonts w:hint="eastAsia" w:asciiTheme="minorEastAsia" w:hAnsiTheme="minorEastAsia" w:eastAsiaTheme="minorEastAsia" w:cstheme="minorEastAsia"/>
          <w:snapToGrid/>
          <w:color w:val="auto"/>
          <w:kern w:val="2"/>
          <w:sz w:val="21"/>
          <w:szCs w:val="21"/>
          <w:highlight w:val="none"/>
          <w:lang w:val="en-US" w:eastAsia="zh-CN"/>
        </w:rPr>
        <w:t>，乙方不得以任何理由要求增加服务费或要求甲方另行支付其他任何费用。</w:t>
      </w:r>
    </w:p>
    <w:p w14:paraId="517F0EB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color w:val="auto"/>
          <w:kern w:val="2"/>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合同价款的调整方式：因国家政策方向变化引起工作量或工作内容变化的，合同当事人双方可根据市场价格协商确定变更合同价款，但所有补充合同的采购金额不得超过原合同采购金额的百分之十。</w:t>
      </w:r>
    </w:p>
    <w:p w14:paraId="0366CCFF">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76" w:name="_Toc4405"/>
      <w:r>
        <w:rPr>
          <w:rFonts w:hint="eastAsia" w:asciiTheme="minorEastAsia" w:hAnsiTheme="minorEastAsia" w:eastAsiaTheme="minorEastAsia" w:cstheme="minorEastAsia"/>
          <w:b/>
          <w:bCs/>
          <w:color w:val="auto"/>
          <w:sz w:val="21"/>
          <w:szCs w:val="21"/>
          <w:highlight w:val="none"/>
          <w:lang w:val="en-US" w:eastAsia="zh-CN"/>
        </w:rPr>
        <w:t>质量保证</w:t>
      </w:r>
      <w:bookmarkEnd w:id="176"/>
    </w:p>
    <w:p w14:paraId="31116DD3">
      <w:pPr>
        <w:pStyle w:val="21"/>
        <w:keepNext w:val="0"/>
        <w:keepLines w:val="0"/>
        <w:pageBreakBefore w:val="0"/>
        <w:numPr>
          <w:ilvl w:val="0"/>
          <w:numId w:val="0"/>
        </w:numPr>
        <w:wordWrap/>
        <w:overflowPunct/>
        <w:topLinePunct w:val="0"/>
        <w:bidi w:val="0"/>
        <w:spacing w:line="320" w:lineRule="exact"/>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bidi="ar-SA"/>
        </w:rPr>
        <w:t>乙方所提供的服务质量标准按国家和地方政府的规定及</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SA"/>
        </w:rPr>
        <w:sym w:font="Wingdings" w:char="00FE"/>
      </w:r>
      <w:r>
        <w:rPr>
          <w:rFonts w:hint="eastAsia" w:asciiTheme="minorEastAsia" w:hAnsiTheme="minorEastAsia" w:eastAsiaTheme="minorEastAsia" w:cstheme="minorEastAsia"/>
          <w:bCs/>
          <w:snapToGrid w:val="0"/>
          <w:color w:val="auto"/>
          <w:kern w:val="0"/>
          <w:sz w:val="21"/>
          <w:szCs w:val="21"/>
          <w:highlight w:val="none"/>
          <w:u w:val="single"/>
          <w:lang w:val="en-US" w:eastAsia="zh-CN" w:bidi="ar-SA"/>
        </w:rPr>
        <w:t>1.采购文件；</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SA"/>
        </w:rPr>
        <w:sym w:font="Wingdings" w:char="00FE"/>
      </w:r>
      <w:r>
        <w:rPr>
          <w:rFonts w:hint="eastAsia" w:asciiTheme="minorEastAsia" w:hAnsiTheme="minorEastAsia" w:eastAsiaTheme="minorEastAsia" w:cstheme="minorEastAsia"/>
          <w:bCs/>
          <w:snapToGrid w:val="0"/>
          <w:color w:val="auto"/>
          <w:kern w:val="0"/>
          <w:sz w:val="21"/>
          <w:szCs w:val="21"/>
          <w:highlight w:val="none"/>
          <w:u w:val="single"/>
          <w:lang w:val="en-US" w:eastAsia="zh-CN" w:bidi="ar-SA"/>
        </w:rPr>
        <w:t>2.乙方承诺（见合同附件）</w:t>
      </w:r>
      <w:r>
        <w:rPr>
          <w:rFonts w:hint="eastAsia" w:asciiTheme="minorEastAsia" w:hAnsiTheme="minorEastAsia" w:eastAsiaTheme="minorEastAsia" w:cstheme="minorEastAsia"/>
          <w:bCs/>
          <w:snapToGrid w:val="0"/>
          <w:color w:val="auto"/>
          <w:kern w:val="0"/>
          <w:sz w:val="21"/>
          <w:szCs w:val="21"/>
          <w:highlight w:val="none"/>
          <w:lang w:val="en-US" w:eastAsia="zh-CN" w:bidi="ar-SA"/>
        </w:rPr>
        <w:t>执行。</w:t>
      </w:r>
    </w:p>
    <w:p w14:paraId="76DDF0A2">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77" w:name="_Toc14764"/>
      <w:r>
        <w:rPr>
          <w:rFonts w:hint="eastAsia" w:asciiTheme="minorEastAsia" w:hAnsiTheme="minorEastAsia" w:eastAsiaTheme="minorEastAsia" w:cstheme="minorEastAsia"/>
          <w:b/>
          <w:bCs/>
          <w:color w:val="auto"/>
          <w:sz w:val="21"/>
          <w:szCs w:val="21"/>
          <w:highlight w:val="none"/>
          <w:lang w:val="en-US" w:eastAsia="zh-CN"/>
        </w:rPr>
        <w:t>双方权利和义务</w:t>
      </w:r>
      <w:bookmarkEnd w:id="177"/>
    </w:p>
    <w:p w14:paraId="3E387BD3">
      <w:pPr>
        <w:keepNext w:val="0"/>
        <w:keepLines w:val="0"/>
        <w:pageBreakBefore w:val="0"/>
        <w:numPr>
          <w:ilvl w:val="0"/>
          <w:numId w:val="6"/>
        </w:numPr>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甲方的权利和义务：</w:t>
      </w:r>
    </w:p>
    <w:p w14:paraId="1C5A08AC">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（1）在实施过程中甲方根据需要及时向乙方提供项目有关背景资料。</w:t>
      </w:r>
    </w:p>
    <w:p w14:paraId="1BD68C32">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（2）甲方应选派人员参加项目的全过程，配合乙方人员进行项目实施（3）甲方指派的项目负责人，全权代表甲方进行项目实施协调工作，并对乙方提交的项目过程文档进行签字确认。</w:t>
      </w:r>
    </w:p>
    <w:p w14:paraId="252CB222">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（4）按照合同约定向乙方支付合同款项。</w:t>
      </w:r>
    </w:p>
    <w:p w14:paraId="69D367D3">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（5）甲方负责组织项目验收。</w:t>
      </w:r>
    </w:p>
    <w:p w14:paraId="18E453D7">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2.乙方的权利和义务：</w:t>
      </w:r>
    </w:p>
    <w:p w14:paraId="71BF5AA2">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乙方应保证所提供服务在使用时不会侵犯任何第三方的专利权、商标权、工业设计权或其他权利。</w:t>
      </w:r>
    </w:p>
    <w:p w14:paraId="467C84CF">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乙方应按</w:t>
      </w:r>
      <w:r>
        <w:rPr>
          <w:rFonts w:hint="eastAsia" w:asciiTheme="minorEastAsia" w:hAnsiTheme="minorEastAsia" w:eastAsiaTheme="minorEastAsia" w:cstheme="minorEastAsia"/>
          <w:color w:val="auto"/>
          <w:sz w:val="21"/>
          <w:szCs w:val="21"/>
          <w:highlight w:val="none"/>
          <w:lang w:val="en-US" w:eastAsia="zh-CN"/>
        </w:rPr>
        <w:t>合同</w:t>
      </w:r>
      <w:r>
        <w:rPr>
          <w:rFonts w:hint="eastAsia" w:asciiTheme="minorEastAsia" w:hAnsiTheme="minorEastAsia" w:eastAsiaTheme="minorEastAsia" w:cstheme="minorEastAsia"/>
          <w:color w:val="auto"/>
          <w:sz w:val="21"/>
          <w:szCs w:val="21"/>
          <w:highlight w:val="none"/>
        </w:rPr>
        <w:t>规定的时间向甲方提供服务的有关技术资料。</w:t>
      </w:r>
    </w:p>
    <w:p w14:paraId="18235133">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没有甲方事先书面同意，乙方不得将由甲方提供的有关合同或任何合同条文、资料提供给与履行本合同无关的任何其他人。即使向履行本合同有关的人员提供，也应注意保密并限于履行合同的必需范围。乙方因泄密造成甲方损失的，赔偿甲方损失的同时还应当支付合同</w:t>
      </w:r>
      <w:r>
        <w:rPr>
          <w:rFonts w:hint="eastAsia" w:asciiTheme="minorEastAsia" w:hAnsiTheme="minorEastAsia" w:eastAsiaTheme="minorEastAsia" w:cstheme="minorEastAsia"/>
          <w:color w:val="auto"/>
          <w:sz w:val="21"/>
          <w:szCs w:val="21"/>
          <w:highlight w:val="none"/>
          <w:lang w:val="en-US" w:eastAsia="zh-CN"/>
        </w:rPr>
        <w:t>总金额</w:t>
      </w:r>
      <w:r>
        <w:rPr>
          <w:rFonts w:hint="eastAsia" w:asciiTheme="minorEastAsia" w:hAnsiTheme="minorEastAsia" w:eastAsiaTheme="minorEastAsia" w:cstheme="minorEastAsia"/>
          <w:color w:val="auto"/>
          <w:sz w:val="21"/>
          <w:szCs w:val="21"/>
          <w:highlight w:val="none"/>
          <w:u w:val="single"/>
        </w:rPr>
        <w:t>20%</w:t>
      </w:r>
      <w:r>
        <w:rPr>
          <w:rFonts w:hint="eastAsia" w:asciiTheme="minorEastAsia" w:hAnsiTheme="minorEastAsia" w:eastAsiaTheme="minorEastAsia" w:cstheme="minorEastAsia"/>
          <w:color w:val="auto"/>
          <w:sz w:val="21"/>
          <w:szCs w:val="21"/>
          <w:highlight w:val="none"/>
        </w:rPr>
        <w:t>的违约金。</w:t>
      </w:r>
    </w:p>
    <w:p w14:paraId="17A0CE6C">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乙方保证所交付的服务</w:t>
      </w:r>
      <w:r>
        <w:rPr>
          <w:rFonts w:hint="eastAsia" w:asciiTheme="minorEastAsia" w:hAnsiTheme="minorEastAsia" w:eastAsiaTheme="minorEastAsia" w:cstheme="minorEastAsia"/>
          <w:color w:val="auto"/>
          <w:sz w:val="21"/>
          <w:szCs w:val="21"/>
          <w:highlight w:val="none"/>
          <w:lang w:val="en-US" w:eastAsia="zh-CN"/>
        </w:rPr>
        <w:t>及货物</w:t>
      </w:r>
      <w:r>
        <w:rPr>
          <w:rFonts w:hint="eastAsia" w:asciiTheme="minorEastAsia" w:hAnsiTheme="minorEastAsia" w:eastAsiaTheme="minorEastAsia" w:cstheme="minorEastAsia"/>
          <w:color w:val="auto"/>
          <w:sz w:val="21"/>
          <w:szCs w:val="21"/>
          <w:highlight w:val="none"/>
        </w:rPr>
        <w:t>的所有权完全属于乙方且无任何抵押、质押、查封等产权瑕疵。</w:t>
      </w:r>
    </w:p>
    <w:p w14:paraId="2463D959">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78" w:name="_Toc28321"/>
      <w:r>
        <w:rPr>
          <w:rFonts w:hint="eastAsia" w:asciiTheme="minorEastAsia" w:hAnsiTheme="minorEastAsia" w:eastAsiaTheme="minorEastAsia" w:cstheme="minorEastAsia"/>
          <w:b/>
          <w:bCs/>
          <w:color w:val="auto"/>
          <w:sz w:val="21"/>
          <w:szCs w:val="21"/>
          <w:highlight w:val="none"/>
          <w:lang w:val="en-US" w:eastAsia="zh-CN"/>
        </w:rPr>
        <w:t>包装和运输</w:t>
      </w:r>
      <w:r>
        <w:rPr>
          <w:rFonts w:hint="eastAsia" w:asciiTheme="minorEastAsia" w:hAnsiTheme="minorEastAsia" w:eastAsiaTheme="minorEastAsia" w:cstheme="minorEastAsia"/>
          <w:b w:val="0"/>
          <w:bCs w:val="0"/>
          <w:color w:val="auto"/>
          <w:sz w:val="21"/>
          <w:szCs w:val="21"/>
          <w:highlight w:val="none"/>
          <w:lang w:val="en-US" w:eastAsia="zh-CN"/>
        </w:rPr>
        <w:t>（如合同内容涉及货物供应的，按以下要求执行）</w:t>
      </w:r>
      <w:bookmarkEnd w:id="178"/>
    </w:p>
    <w:p w14:paraId="77E24430">
      <w:pPr>
        <w:keepNext w:val="0"/>
        <w:keepLines w:val="0"/>
        <w:pageBreakBefore w:val="0"/>
        <w:numPr>
          <w:ilvl w:val="0"/>
          <w:numId w:val="0"/>
        </w:numPr>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eastAsia="zh-CN"/>
        </w:rPr>
        <w:t>货物的包装应符合国家或行业包装标准，如没有国家或行业包装标准，应当采取足以保护货物的包装方式。货物</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lang w:val="en-US" w:eastAsia="zh-CN"/>
        </w:rPr>
        <w:t>验收合格</w:t>
      </w:r>
      <w:r>
        <w:rPr>
          <w:rFonts w:hint="eastAsia" w:asciiTheme="minorEastAsia" w:hAnsiTheme="minorEastAsia" w:eastAsiaTheme="minorEastAsia" w:cstheme="minorEastAsia"/>
          <w:color w:val="auto"/>
          <w:sz w:val="21"/>
          <w:szCs w:val="21"/>
          <w:highlight w:val="none"/>
          <w:lang w:eastAsia="zh-CN"/>
        </w:rPr>
        <w:t>前发生的风险均由乙方负责。</w:t>
      </w:r>
    </w:p>
    <w:p w14:paraId="0B805540">
      <w:pPr>
        <w:keepNext w:val="0"/>
        <w:keepLines w:val="0"/>
        <w:pageBreakBefore w:val="0"/>
        <w:numPr>
          <w:ilvl w:val="0"/>
          <w:numId w:val="0"/>
        </w:numPr>
        <w:wordWrap/>
        <w:overflowPunct/>
        <w:topLinePunct w:val="0"/>
        <w:bidi w:val="0"/>
        <w:snapToGrid w:val="0"/>
        <w:spacing w:line="320" w:lineRule="exact"/>
        <w:ind w:firstLine="420" w:firstLineChars="200"/>
        <w:rPr>
          <w:rFonts w:hint="eastAsia" w:asciiTheme="minorEastAsia" w:hAnsiTheme="minorEastAsia" w:eastAsiaTheme="minorEastAsia" w:cstheme="minorEastAsia"/>
          <w:snapToGrid/>
          <w:color w:val="auto"/>
          <w:kern w:val="2"/>
          <w:sz w:val="21"/>
          <w:szCs w:val="21"/>
          <w:highlight w:val="none"/>
          <w:lang w:val="en-US" w:eastAsia="zh-CN" w:bidi="ar-SA"/>
        </w:rPr>
      </w:pPr>
      <w:r>
        <w:rPr>
          <w:rFonts w:hint="eastAsia" w:asciiTheme="minorEastAsia" w:hAnsiTheme="minorEastAsia" w:eastAsiaTheme="minorEastAsia" w:cstheme="minorEastAsia"/>
          <w:snapToGrid/>
          <w:color w:val="auto"/>
          <w:kern w:val="2"/>
          <w:sz w:val="21"/>
          <w:szCs w:val="21"/>
          <w:highlight w:val="none"/>
          <w:lang w:val="en-US" w:eastAsia="zh-CN" w:bidi="ar-SA"/>
        </w:rPr>
        <w:t>2.货物的运输方式：</w:t>
      </w:r>
      <w:r>
        <w:rPr>
          <w:rFonts w:hint="eastAsia" w:asciiTheme="minorEastAsia" w:hAnsiTheme="minorEastAsia" w:eastAsiaTheme="minorEastAsia" w:cstheme="minorEastAsia"/>
          <w:snapToGrid/>
          <w:color w:val="auto"/>
          <w:kern w:val="2"/>
          <w:sz w:val="21"/>
          <w:szCs w:val="21"/>
          <w:highlight w:val="none"/>
          <w:u w:val="none"/>
          <w:lang w:val="en-US" w:eastAsia="zh-CN" w:bidi="ar-SA"/>
        </w:rPr>
        <w:t>乙方自定，采购文件或需求文件中另有规定的，从其规定</w:t>
      </w:r>
      <w:r>
        <w:rPr>
          <w:rFonts w:hint="eastAsia" w:asciiTheme="minorEastAsia" w:hAnsiTheme="minorEastAsia" w:eastAsiaTheme="minorEastAsia" w:cstheme="minorEastAsia"/>
          <w:snapToGrid/>
          <w:color w:val="auto"/>
          <w:kern w:val="2"/>
          <w:sz w:val="21"/>
          <w:szCs w:val="21"/>
          <w:highlight w:val="none"/>
          <w:lang w:val="en-US" w:eastAsia="zh-CN" w:bidi="ar-SA"/>
        </w:rPr>
        <w:t>。</w:t>
      </w:r>
    </w:p>
    <w:p w14:paraId="6D41432E">
      <w:pPr>
        <w:keepNext w:val="0"/>
        <w:keepLines w:val="0"/>
        <w:pageBreakBefore w:val="0"/>
        <w:wordWrap/>
        <w:overflowPunct/>
        <w:topLinePunct w:val="0"/>
        <w:bidi w:val="0"/>
        <w:snapToGrid w:val="0"/>
        <w:spacing w:line="32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3.货物需按甲方要求送至指定地点。</w:t>
      </w:r>
    </w:p>
    <w:p w14:paraId="674E687E">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79" w:name="_Toc7400"/>
      <w:r>
        <w:rPr>
          <w:rFonts w:hint="eastAsia" w:asciiTheme="minorEastAsia" w:hAnsiTheme="minorEastAsia" w:eastAsiaTheme="minorEastAsia" w:cstheme="minorEastAsia"/>
          <w:b/>
          <w:bCs/>
          <w:color w:val="auto"/>
          <w:sz w:val="21"/>
          <w:szCs w:val="21"/>
          <w:highlight w:val="none"/>
          <w:lang w:val="en-US" w:eastAsia="zh-CN"/>
        </w:rPr>
        <w:t>交付和验收</w:t>
      </w:r>
      <w:bookmarkEnd w:id="179"/>
    </w:p>
    <w:p w14:paraId="3504B8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lang w:val="en-US" w:eastAsia="zh-CN"/>
        </w:rPr>
      </w:pPr>
      <w:bookmarkStart w:id="180" w:name="_Toc25103"/>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1.交付时间</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宋体" w:hAnsi="宋体" w:eastAsia="宋体" w:cs="宋体"/>
          <w:color w:val="auto"/>
          <w:kern w:val="2"/>
          <w:sz w:val="21"/>
          <w:szCs w:val="21"/>
          <w:highlight w:val="none"/>
          <w:u w:val="none"/>
          <w:shd w:val="clear"/>
          <w:lang w:val="en-US" w:eastAsia="zh-CN" w:bidi="ar"/>
        </w:rPr>
        <w:t>合同签订后12个月内完成本项目所有系统的上线及验收工作</w:t>
      </w:r>
      <w:bookmarkEnd w:id="180"/>
    </w:p>
    <w:p w14:paraId="7592DAB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1" w:name="_Toc15449"/>
      <w:r>
        <w:rPr>
          <w:rFonts w:hint="eastAsia" w:asciiTheme="minorEastAsia" w:hAnsiTheme="minorEastAsia" w:eastAsiaTheme="minorEastAsia" w:cstheme="minorEastAsia"/>
          <w:b w:val="0"/>
          <w:bCs w:val="0"/>
          <w:color w:val="auto"/>
          <w:sz w:val="21"/>
          <w:szCs w:val="21"/>
          <w:highlight w:val="none"/>
          <w:lang w:val="en-US" w:eastAsia="zh-CN"/>
        </w:rPr>
        <w:t>2.服务地点：</w:t>
      </w: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广西南宁市内</w:t>
      </w:r>
      <w:r>
        <w:rPr>
          <w:rFonts w:hint="eastAsia" w:ascii="宋体" w:hAnsi="宋体" w:cs="宋体"/>
          <w:i w:val="0"/>
          <w:iCs w:val="0"/>
          <w:color w:val="auto"/>
          <w:spacing w:val="0"/>
          <w:w w:val="100"/>
          <w:kern w:val="2"/>
          <w:position w:val="0"/>
          <w:sz w:val="21"/>
          <w:szCs w:val="21"/>
          <w:highlight w:val="none"/>
          <w:u w:val="none"/>
          <w:shd w:val="clear"/>
          <w:lang w:val="en-US" w:eastAsia="zh-CN" w:bidi="ar"/>
        </w:rPr>
        <w:t>甲方</w:t>
      </w:r>
      <w:r>
        <w:rPr>
          <w:rFonts w:hint="eastAsia" w:ascii="宋体" w:hAnsi="宋体" w:eastAsia="宋体" w:cs="宋体"/>
          <w:i w:val="0"/>
          <w:iCs w:val="0"/>
          <w:color w:val="auto"/>
          <w:spacing w:val="0"/>
          <w:w w:val="100"/>
          <w:kern w:val="2"/>
          <w:position w:val="0"/>
          <w:sz w:val="21"/>
          <w:szCs w:val="21"/>
          <w:highlight w:val="none"/>
          <w:u w:val="none"/>
          <w:shd w:val="clear"/>
          <w:lang w:val="en-US" w:eastAsia="zh-CN" w:bidi="ar"/>
        </w:rPr>
        <w:t>指定地点</w:t>
      </w:r>
      <w:r>
        <w:rPr>
          <w:rFonts w:hint="eastAsia" w:asciiTheme="minorEastAsia" w:hAnsiTheme="minorEastAsia" w:eastAsiaTheme="minorEastAsia" w:cstheme="minorEastAsia"/>
          <w:b w:val="0"/>
          <w:bCs w:val="0"/>
          <w:color w:val="auto"/>
          <w:sz w:val="21"/>
          <w:szCs w:val="21"/>
          <w:highlight w:val="none"/>
          <w:u w:val="none"/>
          <w:lang w:val="en-US" w:eastAsia="zh-CN"/>
        </w:rPr>
        <w:t>。</w:t>
      </w:r>
      <w:bookmarkEnd w:id="181"/>
    </w:p>
    <w:p w14:paraId="6FA6494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2" w:name="_Toc9001"/>
      <w:r>
        <w:rPr>
          <w:rFonts w:hint="eastAsia" w:asciiTheme="minorEastAsia" w:hAnsiTheme="minorEastAsia" w:eastAsiaTheme="minorEastAsia" w:cstheme="minorEastAsia"/>
          <w:b w:val="0"/>
          <w:bCs w:val="0"/>
          <w:color w:val="auto"/>
          <w:sz w:val="21"/>
          <w:szCs w:val="21"/>
          <w:highlight w:val="none"/>
          <w:u w:val="none"/>
          <w:lang w:val="en-US" w:eastAsia="zh-CN"/>
        </w:rPr>
        <w:t>3.乙方应按本合同约定的要求向甲方提供相应的服务，并提供所服务内容的相关技术资料。乙方提供不符合本合同约定的服务，甲方有权拒绝接受。</w:t>
      </w:r>
      <w:bookmarkEnd w:id="182"/>
    </w:p>
    <w:p w14:paraId="440A92B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3" w:name="_Toc29913"/>
      <w:r>
        <w:rPr>
          <w:rFonts w:hint="eastAsia" w:asciiTheme="minorEastAsia" w:hAnsiTheme="minorEastAsia" w:eastAsiaTheme="minorEastAsia" w:cstheme="minorEastAsia"/>
          <w:b w:val="0"/>
          <w:bCs w:val="0"/>
          <w:color w:val="auto"/>
          <w:sz w:val="21"/>
          <w:szCs w:val="21"/>
          <w:highlight w:val="none"/>
          <w:u w:val="none"/>
          <w:lang w:val="en-US" w:eastAsia="zh-CN"/>
        </w:rPr>
        <w:t>4.甲乙双方应按照本合同约定内容进行验收。</w:t>
      </w:r>
      <w:bookmarkEnd w:id="183"/>
    </w:p>
    <w:p w14:paraId="10F9F1A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strike/>
          <w:color w:val="auto"/>
          <w:sz w:val="21"/>
          <w:szCs w:val="21"/>
          <w:highlight w:val="none"/>
          <w:u w:val="single"/>
          <w:lang w:val="en-US" w:eastAsia="zh-CN"/>
        </w:rPr>
      </w:pPr>
      <w:bookmarkStart w:id="184" w:name="_Toc30682"/>
      <w:r>
        <w:rPr>
          <w:rFonts w:hint="eastAsia" w:asciiTheme="minorEastAsia" w:hAnsiTheme="minorEastAsia" w:eastAsiaTheme="minorEastAsia" w:cstheme="minorEastAsia"/>
          <w:b w:val="0"/>
          <w:bCs w:val="0"/>
          <w:color w:val="auto"/>
          <w:sz w:val="21"/>
          <w:szCs w:val="21"/>
          <w:highlight w:val="none"/>
          <w:u w:val="none"/>
          <w:lang w:val="en-US" w:eastAsia="zh-CN"/>
        </w:rPr>
        <w:t>5.验收时间以该项目验收方案（待符合验收条件由甲方成立验收小组拟定）确定的验收时间为准，验收结果以该项目验收报告结论为准。在验收过程中发现乙方有违约问题，可暂缓验收，违约问题须在10个工作日内解决，待违约问题解决后方可重新开展验收事宜，期限内未解决的按逾期处理。</w:t>
      </w:r>
      <w:bookmarkEnd w:id="184"/>
    </w:p>
    <w:p w14:paraId="5DF8F1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5" w:name="_Toc10072"/>
      <w:r>
        <w:rPr>
          <w:rFonts w:hint="eastAsia" w:asciiTheme="minorEastAsia" w:hAnsiTheme="minorEastAsia" w:eastAsiaTheme="minorEastAsia" w:cstheme="minorEastAsia"/>
          <w:b w:val="0"/>
          <w:bCs w:val="0"/>
          <w:color w:val="auto"/>
          <w:sz w:val="21"/>
          <w:szCs w:val="21"/>
          <w:highlight w:val="none"/>
          <w:u w:val="none"/>
          <w:lang w:val="en-US" w:eastAsia="zh-CN"/>
        </w:rPr>
        <w:t>6.甲方对验收有异议的，在验收后</w:t>
      </w:r>
      <w:r>
        <w:rPr>
          <w:rFonts w:hint="eastAsia" w:asciiTheme="minorEastAsia" w:hAnsiTheme="minorEastAsia" w:eastAsiaTheme="minorEastAsia" w:cstheme="minorEastAsia"/>
          <w:b w:val="0"/>
          <w:bCs w:val="0"/>
          <w:color w:val="auto"/>
          <w:sz w:val="21"/>
          <w:szCs w:val="21"/>
          <w:highlight w:val="none"/>
          <w:u w:val="single"/>
          <w:lang w:val="en-US" w:eastAsia="zh-CN"/>
        </w:rPr>
        <w:t>10个工作</w:t>
      </w:r>
      <w:r>
        <w:rPr>
          <w:rFonts w:hint="eastAsia" w:asciiTheme="minorEastAsia" w:hAnsiTheme="minorEastAsia" w:eastAsiaTheme="minorEastAsia" w:cstheme="minorEastAsia"/>
          <w:b w:val="0"/>
          <w:bCs w:val="0"/>
          <w:color w:val="auto"/>
          <w:sz w:val="21"/>
          <w:szCs w:val="21"/>
          <w:highlight w:val="none"/>
          <w:u w:val="none"/>
          <w:lang w:val="en-US" w:eastAsia="zh-CN"/>
        </w:rPr>
        <w:t>日内以书面形式向乙方提出，乙方应自收到甲方书面异议后</w:t>
      </w:r>
      <w:r>
        <w:rPr>
          <w:rFonts w:hint="eastAsia" w:asciiTheme="minorEastAsia" w:hAnsiTheme="minorEastAsia" w:eastAsiaTheme="minorEastAsia" w:cstheme="minorEastAsia"/>
          <w:b w:val="0"/>
          <w:bCs w:val="0"/>
          <w:color w:val="auto"/>
          <w:sz w:val="21"/>
          <w:szCs w:val="21"/>
          <w:highlight w:val="none"/>
          <w:u w:val="single"/>
          <w:lang w:val="en-US" w:eastAsia="zh-CN"/>
        </w:rPr>
        <w:t>10个工作</w:t>
      </w:r>
      <w:r>
        <w:rPr>
          <w:rFonts w:hint="eastAsia" w:asciiTheme="minorEastAsia" w:hAnsiTheme="minorEastAsia" w:eastAsiaTheme="minorEastAsia" w:cstheme="minorEastAsia"/>
          <w:b w:val="0"/>
          <w:bCs w:val="0"/>
          <w:color w:val="auto"/>
          <w:sz w:val="21"/>
          <w:szCs w:val="21"/>
          <w:highlight w:val="none"/>
          <w:u w:val="none"/>
          <w:lang w:val="en-US" w:eastAsia="zh-CN"/>
        </w:rPr>
        <w:t>日内及时予以答复。</w:t>
      </w:r>
      <w:bookmarkEnd w:id="185"/>
    </w:p>
    <w:p w14:paraId="3A35139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6" w:name="_Toc19793"/>
      <w:r>
        <w:rPr>
          <w:rFonts w:hint="eastAsia" w:asciiTheme="minorEastAsia" w:hAnsiTheme="minorEastAsia" w:eastAsiaTheme="minorEastAsia" w:cstheme="minorEastAsia"/>
          <w:b w:val="0"/>
          <w:bCs w:val="0"/>
          <w:color w:val="auto"/>
          <w:sz w:val="21"/>
          <w:szCs w:val="21"/>
          <w:highlight w:val="none"/>
          <w:u w:val="none"/>
          <w:lang w:val="en-US" w:eastAsia="zh-CN"/>
        </w:rPr>
        <w:t>7.验收时乙方必须在现场，验收完毕后作出验收结果报告（验收书）。</w:t>
      </w:r>
      <w:bookmarkEnd w:id="186"/>
    </w:p>
    <w:p w14:paraId="074EB2D3">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87" w:name="_Toc25657"/>
      <w:r>
        <w:rPr>
          <w:rFonts w:hint="eastAsia" w:asciiTheme="minorEastAsia" w:hAnsiTheme="minorEastAsia" w:eastAsiaTheme="minorEastAsia" w:cstheme="minorEastAsia"/>
          <w:b/>
          <w:bCs/>
          <w:color w:val="auto"/>
          <w:sz w:val="21"/>
          <w:szCs w:val="21"/>
          <w:highlight w:val="none"/>
          <w:lang w:val="en-US" w:eastAsia="zh-CN"/>
        </w:rPr>
        <w:t>实施和培训</w:t>
      </w:r>
      <w:bookmarkEnd w:id="187"/>
    </w:p>
    <w:p w14:paraId="2698303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8" w:name="_Toc21108"/>
      <w:r>
        <w:rPr>
          <w:rFonts w:hint="eastAsia" w:asciiTheme="minorEastAsia" w:hAnsiTheme="minorEastAsia" w:eastAsiaTheme="minorEastAsia" w:cstheme="minorEastAsia"/>
          <w:b w:val="0"/>
          <w:bCs w:val="0"/>
          <w:color w:val="auto"/>
          <w:sz w:val="21"/>
          <w:szCs w:val="21"/>
          <w:highlight w:val="none"/>
          <w:u w:val="none"/>
          <w:lang w:val="en-US" w:eastAsia="zh-CN"/>
        </w:rPr>
        <w:t>1.甲方应提供必要实施条件（如场地、电源、水源等）。</w:t>
      </w:r>
      <w:bookmarkEnd w:id="188"/>
    </w:p>
    <w:p w14:paraId="591435B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u w:val="none"/>
          <w:lang w:val="en-US" w:eastAsia="zh-CN"/>
        </w:rPr>
      </w:pPr>
      <w:bookmarkStart w:id="189" w:name="_Toc18078"/>
      <w:r>
        <w:rPr>
          <w:rFonts w:hint="eastAsia" w:asciiTheme="minorEastAsia" w:hAnsiTheme="minorEastAsia" w:eastAsiaTheme="minorEastAsia" w:cstheme="minorEastAsia"/>
          <w:b w:val="0"/>
          <w:bCs w:val="0"/>
          <w:color w:val="auto"/>
          <w:sz w:val="21"/>
          <w:szCs w:val="21"/>
          <w:highlight w:val="none"/>
          <w:u w:val="none"/>
          <w:lang w:val="en-US" w:eastAsia="zh-CN"/>
        </w:rPr>
        <w:t>2.乙方负责甲方有关人员的培训。培训时间、地点：</w:t>
      </w:r>
      <w:r>
        <w:rPr>
          <w:rFonts w:hint="eastAsia" w:asciiTheme="minorEastAsia" w:hAnsiTheme="minorEastAsia" w:eastAsiaTheme="minorEastAsia" w:cstheme="minorEastAsia"/>
          <w:b w:val="0"/>
          <w:bCs w:val="0"/>
          <w:color w:val="auto"/>
          <w:sz w:val="21"/>
          <w:szCs w:val="21"/>
          <w:highlight w:val="none"/>
          <w:u w:val="single"/>
          <w:lang w:val="en-US" w:eastAsia="zh-CN"/>
        </w:rPr>
        <w:t>由甲方指定。</w:t>
      </w:r>
      <w:bookmarkEnd w:id="189"/>
    </w:p>
    <w:p w14:paraId="31B7B8BB">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90" w:name="_Toc26244"/>
      <w:r>
        <w:rPr>
          <w:rFonts w:hint="eastAsia" w:asciiTheme="minorEastAsia" w:hAnsiTheme="minorEastAsia" w:eastAsiaTheme="minorEastAsia" w:cstheme="minorEastAsia"/>
          <w:b/>
          <w:bCs/>
          <w:color w:val="auto"/>
          <w:sz w:val="21"/>
          <w:szCs w:val="21"/>
          <w:highlight w:val="none"/>
          <w:lang w:val="en-US" w:eastAsia="zh-CN"/>
        </w:rPr>
        <w:t>售后服务</w:t>
      </w:r>
      <w:bookmarkEnd w:id="190"/>
    </w:p>
    <w:p w14:paraId="37DCC75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lang w:val="en-US" w:eastAsia="zh-CN"/>
        </w:rPr>
      </w:pPr>
      <w:bookmarkStart w:id="191" w:name="_Toc9943"/>
      <w:r>
        <w:rPr>
          <w:rFonts w:hint="eastAsia" w:asciiTheme="minorEastAsia" w:hAnsiTheme="minorEastAsia" w:eastAsiaTheme="minorEastAsia" w:cstheme="minorEastAsia"/>
          <w:b w:val="0"/>
          <w:bCs w:val="0"/>
          <w:color w:val="auto"/>
          <w:sz w:val="21"/>
          <w:szCs w:val="21"/>
          <w:highlight w:val="none"/>
          <w:lang w:val="en-US" w:eastAsia="zh-CN"/>
        </w:rPr>
        <w:t>乙方应按照国家有关法律法规和“三包”规定以及</w:t>
      </w:r>
      <w:r>
        <w:rPr>
          <w:rFonts w:hint="eastAsia" w:asciiTheme="minorEastAsia" w:hAnsiTheme="minorEastAsia" w:eastAsiaTheme="minorEastAsia" w:cstheme="minorEastAsia"/>
          <w:b w:val="0"/>
          <w:bCs w:val="0"/>
          <w:strike w:val="0"/>
          <w:color w:val="auto"/>
          <w:sz w:val="21"/>
          <w:szCs w:val="21"/>
          <w:highlight w:val="none"/>
          <w:u w:val="none"/>
          <w:lang w:val="en-US" w:eastAsia="zh-CN"/>
        </w:rPr>
        <w:t>本合同约定</w:t>
      </w:r>
      <w:r>
        <w:rPr>
          <w:rFonts w:hint="eastAsia" w:asciiTheme="minorEastAsia" w:hAnsiTheme="minorEastAsia" w:eastAsiaTheme="minorEastAsia" w:cstheme="minorEastAsia"/>
          <w:b w:val="0"/>
          <w:bCs w:val="0"/>
          <w:color w:val="auto"/>
          <w:sz w:val="21"/>
          <w:szCs w:val="21"/>
          <w:highlight w:val="none"/>
          <w:lang w:val="en-US" w:eastAsia="zh-CN"/>
        </w:rPr>
        <w:t>，为甲方提供售后服务。</w:t>
      </w:r>
      <w:bookmarkEnd w:id="191"/>
    </w:p>
    <w:p w14:paraId="767B600F">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92" w:name="_Toc1598"/>
      <w:r>
        <w:rPr>
          <w:rFonts w:hint="eastAsia" w:asciiTheme="minorEastAsia" w:hAnsiTheme="minorEastAsia" w:eastAsiaTheme="minorEastAsia" w:cstheme="minorEastAsia"/>
          <w:b/>
          <w:bCs/>
          <w:color w:val="auto"/>
          <w:sz w:val="21"/>
          <w:szCs w:val="21"/>
          <w:highlight w:val="none"/>
          <w:lang w:val="en-US" w:eastAsia="zh-CN"/>
        </w:rPr>
        <w:t>付款方式</w:t>
      </w:r>
      <w:bookmarkEnd w:id="192"/>
    </w:p>
    <w:p w14:paraId="651D9DC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lang w:val="en-US" w:eastAsia="zh-CN"/>
        </w:rPr>
      </w:pPr>
      <w:bookmarkStart w:id="193" w:name="_Toc17816"/>
      <w:r>
        <w:rPr>
          <w:rFonts w:hint="eastAsia" w:asciiTheme="minorEastAsia" w:hAnsiTheme="minorEastAsia" w:eastAsiaTheme="minorEastAsia" w:cstheme="minorEastAsia"/>
          <w:b w:val="0"/>
          <w:bCs w:val="0"/>
          <w:color w:val="auto"/>
          <w:sz w:val="21"/>
          <w:szCs w:val="21"/>
          <w:highlight w:val="none"/>
          <w:lang w:val="en-US" w:eastAsia="zh-CN"/>
        </w:rPr>
        <w:t>本合同款项采用以下方式支付。付款前乙方需提供全额发票，如乙方未按照要求提供发票，甲方有权暂不予支付货款，并不视为违约。</w:t>
      </w:r>
      <w:bookmarkEnd w:id="193"/>
    </w:p>
    <w:p w14:paraId="614B89E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lang w:val="en-US" w:eastAsia="zh-CN"/>
        </w:rPr>
      </w:pPr>
      <w:bookmarkStart w:id="194" w:name="_Toc26912"/>
      <w:r>
        <w:rPr>
          <w:rFonts w:hint="eastAsia" w:asciiTheme="minorEastAsia" w:hAnsiTheme="minorEastAsia" w:eastAsiaTheme="minorEastAsia" w:cstheme="minorEastAsia"/>
          <w:b w:val="0"/>
          <w:bCs w:val="0"/>
          <w:color w:val="auto"/>
          <w:sz w:val="21"/>
          <w:szCs w:val="21"/>
          <w:highlight w:val="none"/>
          <w:lang w:val="en-US" w:eastAsia="zh-CN"/>
        </w:rPr>
        <w:t>分</w:t>
      </w:r>
      <w:r>
        <w:rPr>
          <w:rFonts w:hint="eastAsia" w:asciiTheme="minorEastAsia" w:hAnsiTheme="minorEastAsia" w:eastAsiaTheme="minorEastAsia" w:cstheme="minorEastAsia"/>
          <w:b w:val="0"/>
          <w:bCs w:val="0"/>
          <w:color w:val="auto"/>
          <w:sz w:val="21"/>
          <w:szCs w:val="21"/>
          <w:highlight w:val="none"/>
          <w:u w:val="single"/>
          <w:lang w:val="en-US" w:eastAsia="zh-CN"/>
        </w:rPr>
        <w:t>两</w:t>
      </w:r>
      <w:r>
        <w:rPr>
          <w:rFonts w:hint="eastAsia" w:asciiTheme="minorEastAsia" w:hAnsiTheme="minorEastAsia" w:eastAsiaTheme="minorEastAsia" w:cstheme="minorEastAsia"/>
          <w:b w:val="0"/>
          <w:bCs w:val="0"/>
          <w:color w:val="auto"/>
          <w:sz w:val="21"/>
          <w:szCs w:val="21"/>
          <w:highlight w:val="none"/>
          <w:lang w:val="en-US" w:eastAsia="zh-CN"/>
        </w:rPr>
        <w:t>期付款：</w:t>
      </w:r>
      <w:bookmarkEnd w:id="194"/>
    </w:p>
    <w:p w14:paraId="309C0553">
      <w:pPr>
        <w:numPr>
          <w:ilvl w:val="0"/>
          <w:numId w:val="0"/>
        </w:numPr>
        <w:spacing w:line="320" w:lineRule="exact"/>
        <w:ind w:firstLine="420" w:firstLineChars="200"/>
        <w:outlineLvl w:val="0"/>
        <w:rPr>
          <w:rFonts w:hint="eastAsia" w:asciiTheme="minorEastAsia" w:hAnsiTheme="minorEastAsia" w:eastAsiaTheme="minorEastAsia" w:cstheme="minorEastAsia"/>
          <w:color w:val="auto"/>
          <w:szCs w:val="21"/>
          <w:highlight w:val="none"/>
          <w:lang w:val="en-US" w:eastAsia="zh-CN"/>
        </w:rPr>
      </w:pPr>
      <w:bookmarkStart w:id="195" w:name="_Toc14367"/>
      <w:r>
        <w:rPr>
          <w:rFonts w:hint="eastAsia" w:asciiTheme="minorEastAsia" w:hAnsiTheme="minorEastAsia" w:eastAsiaTheme="minorEastAsia" w:cstheme="minorEastAsia"/>
          <w:color w:val="auto"/>
          <w:szCs w:val="21"/>
          <w:highlight w:val="none"/>
          <w:lang w:val="en-US" w:eastAsia="zh-CN"/>
        </w:rPr>
        <w:t>本项目合同签订生效后，乙方向甲方提供合同金额20%的正规发票及请款函材料（格式自拟），甲方审核材料无误后10个工作日内向乙方支付合同金额的 20% ；乙方的服务成果经验收合格后，乙方向甲方提交付款所需的所有材料，甲方对付款材料审核无误后的 10 个工作日内支付全部剩余合同款。</w:t>
      </w:r>
    </w:p>
    <w:bookmarkEnd w:id="195"/>
    <w:p w14:paraId="4CBF402E">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96" w:name="_Toc4302"/>
      <w:r>
        <w:rPr>
          <w:rFonts w:hint="eastAsia" w:asciiTheme="minorEastAsia" w:hAnsiTheme="minorEastAsia" w:eastAsiaTheme="minorEastAsia" w:cstheme="minorEastAsia"/>
          <w:b/>
          <w:bCs/>
          <w:color w:val="auto"/>
          <w:sz w:val="21"/>
          <w:szCs w:val="21"/>
          <w:highlight w:val="none"/>
          <w:lang w:val="en-US" w:eastAsia="zh-CN"/>
        </w:rPr>
        <w:t>履约保证金</w:t>
      </w:r>
      <w:bookmarkEnd w:id="196"/>
    </w:p>
    <w:p w14:paraId="3F52483E">
      <w:pPr>
        <w:numPr>
          <w:ilvl w:val="0"/>
          <w:numId w:val="0"/>
        </w:numPr>
        <w:spacing w:line="320" w:lineRule="exact"/>
        <w:ind w:firstLine="420" w:firstLineChars="200"/>
        <w:outlineLvl w:val="0"/>
        <w:rPr>
          <w:rFonts w:hint="eastAsia" w:asciiTheme="minorEastAsia" w:hAnsiTheme="minorEastAsia" w:eastAsiaTheme="minorEastAsia" w:cstheme="minorEastAsia"/>
          <w:color w:val="auto"/>
          <w:szCs w:val="21"/>
          <w:highlight w:val="none"/>
          <w:lang w:val="en-US" w:eastAsia="zh-CN"/>
        </w:rPr>
      </w:pPr>
      <w:bookmarkStart w:id="197" w:name="_Toc12201"/>
      <w:r>
        <w:rPr>
          <w:rFonts w:hint="eastAsia" w:asciiTheme="minorEastAsia" w:hAnsiTheme="minorEastAsia" w:eastAsiaTheme="minorEastAsia" w:cstheme="minorEastAsia"/>
          <w:color w:val="auto"/>
          <w:szCs w:val="21"/>
          <w:highlight w:val="none"/>
          <w:lang w:val="en-US" w:eastAsia="zh-CN"/>
        </w:rPr>
        <w:t>1.本项目签订合同前，乙方按成交金额的3%向甲方支付履约保证金（中小企业缴纳数额为成交金额的2%）。</w:t>
      </w:r>
    </w:p>
    <w:p w14:paraId="6BF52140">
      <w:pPr>
        <w:numPr>
          <w:ilvl w:val="0"/>
          <w:numId w:val="0"/>
        </w:numPr>
        <w:spacing w:line="320" w:lineRule="exact"/>
        <w:ind w:firstLine="420" w:firstLineChars="200"/>
        <w:outlineLvl w:val="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2.履约保证金递交方式：转账或电汇形式或政府采购规定允许的其他方式。</w:t>
      </w:r>
    </w:p>
    <w:p w14:paraId="34B7821D">
      <w:pPr>
        <w:spacing w:line="320" w:lineRule="exact"/>
        <w:ind w:firstLine="420" w:firstLineChars="200"/>
        <w:jc w:val="left"/>
        <w:outlineLvl w:val="0"/>
        <w:rPr>
          <w:rFonts w:hint="eastAsia" w:asciiTheme="minorEastAsia" w:hAnsiTheme="minorEastAsia" w:eastAsiaTheme="minorEastAsia" w:cstheme="minorEastAsia"/>
          <w:b w:val="0"/>
          <w:bCs w:val="0"/>
          <w:snapToGrid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t>3.履约保证金退付方式、时间及条件：</w:t>
      </w:r>
      <w:r>
        <w:rPr>
          <w:rFonts w:hint="eastAsia" w:asciiTheme="minorEastAsia" w:hAnsiTheme="minorEastAsia" w:eastAsiaTheme="minorEastAsia" w:cstheme="minorEastAsia"/>
          <w:bCs w:val="0"/>
          <w:snapToGrid w:val="0"/>
          <w:color w:val="auto"/>
          <w:szCs w:val="21"/>
          <w:highlight w:val="none"/>
          <w:u w:val="none"/>
        </w:rPr>
        <w:t>待验收合格满一年后无质量问题及违约问题，由乙方向甲方提供项目履约保证金退付申请，甲方在收到合格材料后进行核对并转账退还（无息）；如有违约或赔偿的，涉及违约的违约金和损失赔偿从履约保证金中扣减后，甲方审核后转账退还（无息）</w:t>
      </w:r>
      <w:bookmarkStart w:id="198" w:name="_Toc207620865"/>
      <w:r>
        <w:rPr>
          <w:rFonts w:hint="eastAsia" w:asciiTheme="minorEastAsia" w:hAnsiTheme="minorEastAsia" w:eastAsiaTheme="minorEastAsia" w:cstheme="minorEastAsia"/>
          <w:bCs w:val="0"/>
          <w:snapToGrid w:val="0"/>
          <w:color w:val="auto"/>
          <w:szCs w:val="21"/>
          <w:highlight w:val="none"/>
          <w:u w:val="none"/>
        </w:rPr>
        <w:t>；如不足以扣除的，甲方有权继续向乙方追索。</w:t>
      </w:r>
      <w:bookmarkEnd w:id="198"/>
    </w:p>
    <w:p w14:paraId="5DD164F8">
      <w:pPr>
        <w:numPr>
          <w:ilvl w:val="0"/>
          <w:numId w:val="0"/>
        </w:numPr>
        <w:spacing w:line="320" w:lineRule="exact"/>
        <w:ind w:firstLine="420" w:firstLineChars="200"/>
        <w:outlineLvl w:val="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4.采购人收取履约保证金账户：</w:t>
      </w:r>
    </w:p>
    <w:p w14:paraId="47A678DD">
      <w:pPr>
        <w:numPr>
          <w:ilvl w:val="0"/>
          <w:numId w:val="0"/>
        </w:numPr>
        <w:spacing w:line="320" w:lineRule="exact"/>
        <w:ind w:firstLine="420" w:firstLineChars="200"/>
        <w:outlineLvl w:val="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开户名称：广西医科大学第二附属医院</w:t>
      </w:r>
    </w:p>
    <w:p w14:paraId="1EE7FED7">
      <w:pPr>
        <w:numPr>
          <w:ilvl w:val="0"/>
          <w:numId w:val="0"/>
        </w:numPr>
        <w:spacing w:line="320" w:lineRule="exact"/>
        <w:ind w:firstLine="420" w:firstLineChars="200"/>
        <w:outlineLvl w:val="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开户银行：中国建设银行南宁医科大支行</w:t>
      </w:r>
    </w:p>
    <w:p w14:paraId="42D8D18E">
      <w:pPr>
        <w:numPr>
          <w:ilvl w:val="0"/>
          <w:numId w:val="0"/>
        </w:numPr>
        <w:snapToGrid/>
        <w:spacing w:line="320" w:lineRule="exact"/>
        <w:ind w:firstLine="420" w:firstLineChars="200"/>
        <w:outlineLvl w:val="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银行账号：45050160456009666888</w:t>
      </w:r>
    </w:p>
    <w:bookmarkEnd w:id="197"/>
    <w:p w14:paraId="6A756E2B">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99" w:name="_Toc17364"/>
      <w:r>
        <w:rPr>
          <w:rFonts w:hint="eastAsia" w:asciiTheme="minorEastAsia" w:hAnsiTheme="minorEastAsia" w:eastAsiaTheme="minorEastAsia" w:cstheme="minorEastAsia"/>
          <w:b/>
          <w:bCs/>
          <w:color w:val="auto"/>
          <w:sz w:val="21"/>
          <w:szCs w:val="21"/>
          <w:highlight w:val="none"/>
          <w:lang w:val="en-US" w:eastAsia="zh-CN"/>
        </w:rPr>
        <w:t>税费</w:t>
      </w:r>
      <w:bookmarkEnd w:id="199"/>
    </w:p>
    <w:p w14:paraId="7E9ADF5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lang w:val="en-US" w:eastAsia="zh-CN"/>
        </w:rPr>
      </w:pPr>
      <w:bookmarkStart w:id="200" w:name="_Toc14161"/>
      <w:r>
        <w:rPr>
          <w:rFonts w:hint="eastAsia" w:asciiTheme="minorEastAsia" w:hAnsiTheme="minorEastAsia" w:eastAsiaTheme="minorEastAsia" w:cstheme="minorEastAsia"/>
          <w:b w:val="0"/>
          <w:bCs w:val="0"/>
          <w:color w:val="auto"/>
          <w:sz w:val="21"/>
          <w:szCs w:val="21"/>
          <w:highlight w:val="none"/>
          <w:lang w:val="en-US" w:eastAsia="zh-CN"/>
        </w:rPr>
        <w:t>本合同执行中相关的一切税费均由乙方负担。</w:t>
      </w:r>
      <w:bookmarkEnd w:id="200"/>
    </w:p>
    <w:p w14:paraId="077CBCD0">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201" w:name="_Toc1610"/>
      <w:r>
        <w:rPr>
          <w:rFonts w:hint="eastAsia" w:asciiTheme="minorEastAsia" w:hAnsiTheme="minorEastAsia" w:eastAsiaTheme="minorEastAsia" w:cstheme="minorEastAsia"/>
          <w:b/>
          <w:bCs/>
          <w:color w:val="auto"/>
          <w:sz w:val="21"/>
          <w:szCs w:val="21"/>
          <w:highlight w:val="none"/>
          <w:lang w:val="en-US" w:eastAsia="zh-CN"/>
        </w:rPr>
        <w:t>违约责任</w:t>
      </w:r>
      <w:bookmarkEnd w:id="201"/>
    </w:p>
    <w:p w14:paraId="7D8DC3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sz w:val="21"/>
          <w:szCs w:val="21"/>
          <w:highlight w:val="none"/>
          <w:u w:val="none"/>
          <w:lang w:val="en-US" w:eastAsia="zh-CN"/>
        </w:rPr>
        <w:t>乙方未能按本合同约定的要求向甲方提供相应服务的，甲方有权要求乙方整改，乙方应在收到甲方整改通知之日起的7日内完成整改，逾期未整改完毕的，按本条第2项的约定处理</w:t>
      </w:r>
      <w:r>
        <w:rPr>
          <w:rFonts w:hint="eastAsia" w:asciiTheme="minorEastAsia" w:hAnsiTheme="minorEastAsia" w:eastAsiaTheme="minorEastAsia" w:cstheme="minorEastAsia"/>
          <w:color w:val="auto"/>
          <w:kern w:val="2"/>
          <w:sz w:val="21"/>
          <w:szCs w:val="21"/>
          <w:highlight w:val="none"/>
          <w:lang w:val="en-US" w:eastAsia="zh-CN" w:bidi="ar-SA"/>
        </w:rPr>
        <w:t>。</w:t>
      </w:r>
    </w:p>
    <w:p w14:paraId="271B6A8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snapToGrid w:val="0"/>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2"/>
          <w:sz w:val="21"/>
          <w:szCs w:val="21"/>
          <w:highlight w:val="none"/>
          <w:lang w:val="en-US" w:eastAsia="zh-CN" w:bidi="ar-SA"/>
        </w:rPr>
        <w:t>2.乙方未能按本合同约定的服务期间完成服务的，自逾期之日起，每日按合同总金额的</w:t>
      </w:r>
      <w:r>
        <w:rPr>
          <w:rFonts w:hint="eastAsia" w:asciiTheme="minorEastAsia" w:hAnsiTheme="minorEastAsia" w:eastAsiaTheme="minorEastAsia" w:cstheme="minorEastAsia"/>
          <w:snapToGrid w:val="0"/>
          <w:color w:val="auto"/>
          <w:kern w:val="2"/>
          <w:sz w:val="21"/>
          <w:szCs w:val="21"/>
          <w:highlight w:val="none"/>
          <w:u w:val="single"/>
          <w:lang w:val="en-US" w:eastAsia="zh-CN" w:bidi="ar-SA"/>
        </w:rPr>
        <w:t>3‰</w:t>
      </w:r>
      <w:r>
        <w:rPr>
          <w:rFonts w:hint="eastAsia" w:asciiTheme="minorEastAsia" w:hAnsiTheme="minorEastAsia" w:eastAsiaTheme="minorEastAsia" w:cstheme="minorEastAsia"/>
          <w:snapToGrid w:val="0"/>
          <w:color w:val="auto"/>
          <w:kern w:val="2"/>
          <w:sz w:val="21"/>
          <w:szCs w:val="21"/>
          <w:highlight w:val="none"/>
          <w:lang w:val="en-US" w:eastAsia="zh-CN" w:bidi="ar-SA"/>
        </w:rPr>
        <w:t>向甲方支付逾期违约金；逾期15日以上（含15日）的，甲方有权解除本合同，履约保证金不予退回，乙方应全额退还甲方已付服务费（如有）并向</w:t>
      </w:r>
      <w:r>
        <w:rPr>
          <w:rFonts w:hint="eastAsia" w:asciiTheme="minorEastAsia" w:hAnsiTheme="minorEastAsia" w:eastAsiaTheme="minorEastAsia" w:cstheme="minorEastAsia"/>
          <w:snapToGrid w:val="0"/>
          <w:color w:val="auto"/>
          <w:kern w:val="2"/>
          <w:sz w:val="21"/>
          <w:szCs w:val="21"/>
          <w:highlight w:val="none"/>
          <w:u w:val="none"/>
          <w:lang w:val="en-US" w:eastAsia="zh-CN" w:bidi="ar-SA"/>
        </w:rPr>
        <w:t>甲方支付合同总金</w:t>
      </w:r>
      <w:r>
        <w:rPr>
          <w:rFonts w:hint="eastAsia" w:asciiTheme="minorEastAsia" w:hAnsiTheme="minorEastAsia" w:eastAsiaTheme="minorEastAsia" w:cstheme="minorEastAsia"/>
          <w:snapToGrid w:val="0"/>
          <w:color w:val="auto"/>
          <w:kern w:val="2"/>
          <w:sz w:val="21"/>
          <w:szCs w:val="21"/>
          <w:highlight w:val="none"/>
          <w:lang w:val="en-US" w:eastAsia="zh-CN" w:bidi="ar-SA"/>
        </w:rPr>
        <w:t>额</w:t>
      </w:r>
      <w:r>
        <w:rPr>
          <w:rFonts w:hint="eastAsia" w:asciiTheme="minorEastAsia" w:hAnsiTheme="minorEastAsia" w:eastAsiaTheme="minorEastAsia" w:cstheme="minorEastAsia"/>
          <w:snapToGrid w:val="0"/>
          <w:color w:val="auto"/>
          <w:kern w:val="2"/>
          <w:sz w:val="21"/>
          <w:szCs w:val="21"/>
          <w:highlight w:val="none"/>
          <w:u w:val="single"/>
          <w:lang w:val="en-US" w:eastAsia="zh-CN" w:bidi="ar-SA"/>
        </w:rPr>
        <w:t>5%</w:t>
      </w:r>
      <w:r>
        <w:rPr>
          <w:rFonts w:hint="eastAsia" w:asciiTheme="minorEastAsia" w:hAnsiTheme="minorEastAsia" w:eastAsiaTheme="minorEastAsia" w:cstheme="minorEastAsia"/>
          <w:snapToGrid w:val="0"/>
          <w:color w:val="auto"/>
          <w:kern w:val="2"/>
          <w:sz w:val="21"/>
          <w:szCs w:val="21"/>
          <w:highlight w:val="none"/>
          <w:lang w:val="en-US" w:eastAsia="zh-CN" w:bidi="ar-SA"/>
        </w:rPr>
        <w:t>的违约金，若由此造成的甲方遭受经济损失的，乙方还应承担赔偿责任。</w:t>
      </w:r>
    </w:p>
    <w:p w14:paraId="2AC884F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3.乙方提供的服务如侵犯了第三方合法权益而引发的任何纠纷或诉讼，均由乙方负责交涉并承担全部责任。</w:t>
      </w:r>
      <w:r>
        <w:rPr>
          <w:rFonts w:hint="eastAsia" w:asciiTheme="minorEastAsia" w:hAnsiTheme="minorEastAsia" w:eastAsiaTheme="minorEastAsia" w:cstheme="minorEastAsia"/>
          <w:b w:val="0"/>
          <w:bCs w:val="0"/>
          <w:color w:val="auto"/>
          <w:sz w:val="21"/>
          <w:szCs w:val="21"/>
          <w:highlight w:val="none"/>
          <w:u w:val="none"/>
          <w:lang w:val="en-US" w:eastAsia="zh-CN"/>
        </w:rPr>
        <w:t>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造成本合同无法继续履行的，甲方有权解除合同，</w:t>
      </w:r>
      <w:r>
        <w:rPr>
          <w:rFonts w:hint="eastAsia" w:asciiTheme="minorEastAsia" w:hAnsiTheme="minorEastAsia" w:eastAsiaTheme="minorEastAsia" w:cstheme="minorEastAsia"/>
          <w:snapToGrid w:val="0"/>
          <w:color w:val="auto"/>
          <w:kern w:val="2"/>
          <w:sz w:val="21"/>
          <w:szCs w:val="21"/>
          <w:highlight w:val="none"/>
          <w:lang w:val="en-US" w:eastAsia="zh-CN" w:bidi="ar-SA"/>
        </w:rPr>
        <w:t>履约保证金不予退回，乙方应全额退还甲方已付服务费（如有）并向</w:t>
      </w:r>
      <w:r>
        <w:rPr>
          <w:rFonts w:hint="eastAsia" w:asciiTheme="minorEastAsia" w:hAnsiTheme="minorEastAsia" w:eastAsiaTheme="minorEastAsia" w:cstheme="minorEastAsia"/>
          <w:snapToGrid w:val="0"/>
          <w:color w:val="auto"/>
          <w:kern w:val="2"/>
          <w:sz w:val="21"/>
          <w:szCs w:val="21"/>
          <w:highlight w:val="none"/>
          <w:u w:val="none"/>
          <w:lang w:val="en-US" w:eastAsia="zh-CN" w:bidi="ar-SA"/>
        </w:rPr>
        <w:t>甲方支付合同总金</w:t>
      </w:r>
      <w:r>
        <w:rPr>
          <w:rFonts w:hint="eastAsia" w:asciiTheme="minorEastAsia" w:hAnsiTheme="minorEastAsia" w:eastAsiaTheme="minorEastAsia" w:cstheme="minorEastAsia"/>
          <w:snapToGrid w:val="0"/>
          <w:color w:val="auto"/>
          <w:kern w:val="2"/>
          <w:sz w:val="21"/>
          <w:szCs w:val="21"/>
          <w:highlight w:val="none"/>
          <w:lang w:val="en-US" w:eastAsia="zh-CN" w:bidi="ar-SA"/>
        </w:rPr>
        <w:t>额</w:t>
      </w:r>
      <w:r>
        <w:rPr>
          <w:rFonts w:hint="eastAsia" w:asciiTheme="minorEastAsia" w:hAnsiTheme="minorEastAsia" w:eastAsiaTheme="minorEastAsia" w:cstheme="minorEastAsia"/>
          <w:snapToGrid w:val="0"/>
          <w:color w:val="auto"/>
          <w:kern w:val="2"/>
          <w:sz w:val="21"/>
          <w:szCs w:val="21"/>
          <w:highlight w:val="none"/>
          <w:u w:val="single"/>
          <w:lang w:val="en-US" w:eastAsia="zh-CN" w:bidi="ar-SA"/>
        </w:rPr>
        <w:t>5%</w:t>
      </w:r>
      <w:r>
        <w:rPr>
          <w:rFonts w:hint="eastAsia" w:asciiTheme="minorEastAsia" w:hAnsiTheme="minorEastAsia" w:eastAsiaTheme="minorEastAsia" w:cstheme="minorEastAsia"/>
          <w:snapToGrid w:val="0"/>
          <w:color w:val="auto"/>
          <w:kern w:val="2"/>
          <w:sz w:val="21"/>
          <w:szCs w:val="21"/>
          <w:highlight w:val="none"/>
          <w:lang w:val="en-US" w:eastAsia="zh-CN" w:bidi="ar-SA"/>
        </w:rPr>
        <w:t>的违约金，若由此造成的甲方遭受经济损失的，乙方还应承担赔偿责任。</w:t>
      </w:r>
    </w:p>
    <w:p w14:paraId="5E6E17A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4.甲方无正当理由拒收或终止服务的，甲方应按本合同总金额的</w:t>
      </w:r>
      <w:r>
        <w:rPr>
          <w:rFonts w:hint="eastAsia" w:asciiTheme="minorEastAsia" w:hAnsiTheme="minorEastAsia" w:eastAsiaTheme="minorEastAsia" w:cstheme="minorEastAsia"/>
          <w:color w:val="auto"/>
          <w:kern w:val="2"/>
          <w:sz w:val="21"/>
          <w:szCs w:val="21"/>
          <w:highlight w:val="none"/>
          <w:u w:val="single"/>
          <w:lang w:val="en-US" w:eastAsia="zh-CN" w:bidi="ar-SA"/>
        </w:rPr>
        <w:t>5%</w:t>
      </w:r>
      <w:r>
        <w:rPr>
          <w:rFonts w:hint="eastAsia" w:asciiTheme="minorEastAsia" w:hAnsiTheme="minorEastAsia" w:eastAsiaTheme="minorEastAsia" w:cstheme="minorEastAsia"/>
          <w:color w:val="auto"/>
          <w:kern w:val="2"/>
          <w:sz w:val="21"/>
          <w:szCs w:val="21"/>
          <w:highlight w:val="none"/>
          <w:lang w:val="en-US" w:eastAsia="zh-CN" w:bidi="ar-SA"/>
        </w:rPr>
        <w:t>向乙方支付违约金。</w:t>
      </w:r>
    </w:p>
    <w:p w14:paraId="5B4460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5.其他：</w:t>
      </w:r>
    </w:p>
    <w:p w14:paraId="3B3994A3">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202" w:name="_Toc12476"/>
      <w:r>
        <w:rPr>
          <w:rFonts w:hint="eastAsia" w:asciiTheme="minorEastAsia" w:hAnsiTheme="minorEastAsia" w:eastAsiaTheme="minorEastAsia" w:cstheme="minorEastAsia"/>
          <w:b/>
          <w:bCs/>
          <w:color w:val="auto"/>
          <w:sz w:val="21"/>
          <w:szCs w:val="21"/>
          <w:highlight w:val="none"/>
          <w:lang w:val="en-US" w:eastAsia="zh-CN"/>
        </w:rPr>
        <w:t>不可抗力事件处理</w:t>
      </w:r>
      <w:bookmarkEnd w:id="202"/>
    </w:p>
    <w:p w14:paraId="3478F73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1.在合同有效期内，任何一方因不可抗力事件导致不能履行合同，则合同履行期可延长，其延长期与不可抗力影响期相同。</w:t>
      </w:r>
    </w:p>
    <w:p w14:paraId="7B44AA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2.不可抗力事件发生后，应立即通知对方，并寄送有关权威机构出具的证明。</w:t>
      </w:r>
    </w:p>
    <w:p w14:paraId="5F8BAE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3.不可抗力事件累计120天以上，双方应通过友好协商，确定是否继续履行合同。</w:t>
      </w:r>
    </w:p>
    <w:p w14:paraId="4D6F998A">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203" w:name="_Toc28737"/>
      <w:r>
        <w:rPr>
          <w:rFonts w:hint="eastAsia" w:asciiTheme="minorEastAsia" w:hAnsiTheme="minorEastAsia" w:eastAsiaTheme="minorEastAsia" w:cstheme="minorEastAsia"/>
          <w:b/>
          <w:bCs/>
          <w:color w:val="auto"/>
          <w:sz w:val="21"/>
          <w:szCs w:val="21"/>
          <w:highlight w:val="none"/>
          <w:lang w:val="en-US" w:eastAsia="zh-CN"/>
        </w:rPr>
        <w:t>合同争议解决</w:t>
      </w:r>
      <w:bookmarkEnd w:id="203"/>
    </w:p>
    <w:p w14:paraId="42467C12">
      <w:pPr>
        <w:keepNext w:val="0"/>
        <w:keepLines w:val="0"/>
        <w:pageBreakBefore w:val="0"/>
        <w:widowControl w:val="0"/>
        <w:kinsoku/>
        <w:wordWrap/>
        <w:overflowPunct/>
        <w:topLinePunct w:val="0"/>
        <w:autoSpaceDE/>
        <w:autoSpaceDN/>
        <w:bidi w:val="0"/>
        <w:adjustRightInd/>
        <w:snapToGrid/>
        <w:spacing w:line="320" w:lineRule="exact"/>
        <w:ind w:left="-61" w:firstLine="514"/>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color w:val="auto"/>
          <w:kern w:val="2"/>
          <w:sz w:val="21"/>
          <w:szCs w:val="21"/>
          <w:highlight w:val="none"/>
          <w:lang w:val="en-US" w:eastAsia="zh-CN"/>
        </w:rPr>
        <w:t>1.因服务成果质量问题发生争议的，应邀请国家认定的质量检测机构按照国家标准对服务成果质量进行验收。服务成果符合国家标准的，鉴定费由甲方承担；服务成果不符合国家标准的，鉴定费由乙方承担。</w:t>
      </w:r>
    </w:p>
    <w:p w14:paraId="0297FAE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val="en-US" w:eastAsia="zh-CN"/>
        </w:rPr>
        <w:t>2</w:t>
      </w:r>
      <w:r>
        <w:rPr>
          <w:rFonts w:hint="eastAsia" w:asciiTheme="minorEastAsia" w:hAnsiTheme="minorEastAsia" w:eastAsiaTheme="minorEastAsia" w:cstheme="minorEastAsia"/>
          <w:snapToGrid/>
          <w:color w:val="auto"/>
          <w:kern w:val="2"/>
          <w:sz w:val="21"/>
          <w:szCs w:val="21"/>
          <w:highlight w:val="none"/>
          <w:lang w:eastAsia="zh-CN"/>
        </w:rPr>
        <w:t>.因履行本合同引起的或与本合同有关的争议，甲乙双方应首先通过友好协商解决，如果协商不能解决，可向甲方所在地人民法院提起诉讼。因</w:t>
      </w:r>
      <w:r>
        <w:rPr>
          <w:rFonts w:hint="eastAsia" w:asciiTheme="minorEastAsia" w:hAnsiTheme="minorEastAsia" w:eastAsiaTheme="minorEastAsia" w:cstheme="minorEastAsia"/>
          <w:snapToGrid/>
          <w:color w:val="auto"/>
          <w:kern w:val="2"/>
          <w:sz w:val="21"/>
          <w:szCs w:val="21"/>
          <w:highlight w:val="none"/>
          <w:lang w:val="en-US" w:eastAsia="zh-CN"/>
        </w:rPr>
        <w:t>争议</w:t>
      </w:r>
      <w:r>
        <w:rPr>
          <w:rFonts w:hint="eastAsia" w:asciiTheme="minorEastAsia" w:hAnsiTheme="minorEastAsia" w:eastAsiaTheme="minorEastAsia" w:cstheme="minorEastAsia"/>
          <w:snapToGrid/>
          <w:color w:val="auto"/>
          <w:kern w:val="2"/>
          <w:sz w:val="21"/>
          <w:szCs w:val="21"/>
          <w:highlight w:val="none"/>
          <w:lang w:eastAsia="zh-CN"/>
        </w:rPr>
        <w:t>产生的诉讼费、律师费、</w:t>
      </w:r>
      <w:r>
        <w:rPr>
          <w:rFonts w:hint="eastAsia" w:asciiTheme="minorEastAsia" w:hAnsiTheme="minorEastAsia" w:eastAsiaTheme="minorEastAsia" w:cstheme="minorEastAsia"/>
          <w:snapToGrid/>
          <w:color w:val="auto"/>
          <w:kern w:val="2"/>
          <w:sz w:val="21"/>
          <w:szCs w:val="21"/>
          <w:highlight w:val="none"/>
          <w:lang w:val="en-US" w:eastAsia="zh-CN"/>
        </w:rPr>
        <w:t>鉴定费、</w:t>
      </w:r>
      <w:r>
        <w:rPr>
          <w:rFonts w:hint="eastAsia" w:asciiTheme="minorEastAsia" w:hAnsiTheme="minorEastAsia" w:eastAsiaTheme="minorEastAsia" w:cstheme="minorEastAsia"/>
          <w:snapToGrid/>
          <w:color w:val="auto"/>
          <w:kern w:val="2"/>
          <w:sz w:val="21"/>
          <w:szCs w:val="21"/>
          <w:highlight w:val="none"/>
          <w:lang w:eastAsia="zh-CN"/>
        </w:rPr>
        <w:t>保全费、</w:t>
      </w:r>
      <w:r>
        <w:rPr>
          <w:rFonts w:hint="eastAsia" w:asciiTheme="minorEastAsia" w:hAnsiTheme="minorEastAsia" w:eastAsiaTheme="minorEastAsia" w:cstheme="minorEastAsia"/>
          <w:snapToGrid/>
          <w:color w:val="auto"/>
          <w:kern w:val="2"/>
          <w:sz w:val="21"/>
          <w:szCs w:val="21"/>
          <w:highlight w:val="none"/>
          <w:lang w:val="en-US" w:eastAsia="zh-CN"/>
        </w:rPr>
        <w:t>保险费、</w:t>
      </w:r>
      <w:r>
        <w:rPr>
          <w:rFonts w:hint="eastAsia" w:asciiTheme="minorEastAsia" w:hAnsiTheme="minorEastAsia" w:eastAsiaTheme="minorEastAsia" w:cstheme="minorEastAsia"/>
          <w:snapToGrid/>
          <w:color w:val="auto"/>
          <w:kern w:val="2"/>
          <w:sz w:val="21"/>
          <w:szCs w:val="21"/>
          <w:highlight w:val="none"/>
          <w:lang w:eastAsia="zh-CN"/>
        </w:rPr>
        <w:t>担保费，调查费、交通费、差旅费等所有费</w:t>
      </w:r>
      <w:r>
        <w:rPr>
          <w:rFonts w:hint="eastAsia" w:asciiTheme="minorEastAsia" w:hAnsiTheme="minorEastAsia" w:eastAsiaTheme="minorEastAsia" w:cstheme="minorEastAsia"/>
          <w:snapToGrid/>
          <w:color w:val="auto"/>
          <w:kern w:val="2"/>
          <w:sz w:val="21"/>
          <w:szCs w:val="21"/>
          <w:highlight w:val="none"/>
          <w:lang w:val="en-US" w:eastAsia="zh-CN"/>
        </w:rPr>
        <w:t>用</w:t>
      </w:r>
      <w:r>
        <w:rPr>
          <w:rFonts w:hint="eastAsia" w:asciiTheme="minorEastAsia" w:hAnsiTheme="minorEastAsia" w:eastAsiaTheme="minorEastAsia" w:cstheme="minorEastAsia"/>
          <w:snapToGrid/>
          <w:color w:val="auto"/>
          <w:kern w:val="2"/>
          <w:sz w:val="21"/>
          <w:szCs w:val="21"/>
          <w:highlight w:val="none"/>
          <w:lang w:eastAsia="zh-CN"/>
        </w:rPr>
        <w:t>，均由</w:t>
      </w:r>
      <w:r>
        <w:rPr>
          <w:rFonts w:hint="eastAsia" w:asciiTheme="minorEastAsia" w:hAnsiTheme="minorEastAsia" w:eastAsiaTheme="minorEastAsia" w:cstheme="minorEastAsia"/>
          <w:snapToGrid/>
          <w:color w:val="auto"/>
          <w:kern w:val="2"/>
          <w:sz w:val="21"/>
          <w:szCs w:val="21"/>
          <w:highlight w:val="none"/>
          <w:lang w:val="en-US" w:eastAsia="zh-CN"/>
        </w:rPr>
        <w:t>违约方</w:t>
      </w:r>
      <w:r>
        <w:rPr>
          <w:rFonts w:hint="eastAsia" w:asciiTheme="minorEastAsia" w:hAnsiTheme="minorEastAsia" w:eastAsiaTheme="minorEastAsia" w:cstheme="minorEastAsia"/>
          <w:snapToGrid/>
          <w:color w:val="auto"/>
          <w:kern w:val="2"/>
          <w:sz w:val="21"/>
          <w:szCs w:val="21"/>
          <w:highlight w:val="none"/>
          <w:lang w:eastAsia="zh-CN"/>
        </w:rPr>
        <w:t>承担。</w:t>
      </w:r>
    </w:p>
    <w:p w14:paraId="1536A6B4">
      <w:pPr>
        <w:keepNext w:val="0"/>
        <w:keepLines w:val="0"/>
        <w:pageBreakBefore w:val="0"/>
        <w:widowControl w:val="0"/>
        <w:kinsoku/>
        <w:wordWrap/>
        <w:overflowPunct/>
        <w:topLinePunct w:val="0"/>
        <w:autoSpaceDE/>
        <w:autoSpaceDN/>
        <w:bidi w:val="0"/>
        <w:adjustRightInd/>
        <w:snapToGrid/>
        <w:spacing w:line="320" w:lineRule="exact"/>
        <w:ind w:left="-61" w:firstLine="514"/>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val="en-US" w:eastAsia="zh-CN"/>
        </w:rPr>
        <w:t>3.</w:t>
      </w:r>
      <w:r>
        <w:rPr>
          <w:rFonts w:hint="eastAsia" w:asciiTheme="minorEastAsia" w:hAnsiTheme="minorEastAsia" w:eastAsiaTheme="minorEastAsia" w:cstheme="minorEastAsia"/>
          <w:snapToGrid/>
          <w:color w:val="auto"/>
          <w:kern w:val="2"/>
          <w:sz w:val="21"/>
          <w:szCs w:val="21"/>
          <w:highlight w:val="none"/>
          <w:lang w:eastAsia="zh-CN"/>
        </w:rPr>
        <w:t>诉讼期间，本合同是否继续履行，由甲方决定。</w:t>
      </w:r>
    </w:p>
    <w:p w14:paraId="3A70FC00">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204" w:name="_Toc9811"/>
      <w:r>
        <w:rPr>
          <w:rFonts w:hint="eastAsia" w:asciiTheme="minorEastAsia" w:hAnsiTheme="minorEastAsia" w:eastAsiaTheme="minorEastAsia" w:cstheme="minorEastAsia"/>
          <w:b/>
          <w:bCs/>
          <w:color w:val="auto"/>
          <w:sz w:val="21"/>
          <w:szCs w:val="21"/>
          <w:highlight w:val="none"/>
          <w:lang w:val="en-US" w:eastAsia="zh-CN"/>
        </w:rPr>
        <w:t>合同生效及其他</w:t>
      </w:r>
      <w:bookmarkEnd w:id="204"/>
    </w:p>
    <w:p w14:paraId="717A6C3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1.合同经双方法定代表人或被授权代表签字并加盖单位公章后生效。</w:t>
      </w:r>
    </w:p>
    <w:p w14:paraId="5C0610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2.合同执行中涉及采购资金和采购内容修改或补充的，在法规范围内，须双方签书面补充协议确认，补充协议方可作为主合同不可分割的一部分。</w:t>
      </w:r>
    </w:p>
    <w:p w14:paraId="75010DD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3.本合同未尽事宜，遵照《</w:t>
      </w:r>
      <w:r>
        <w:rPr>
          <w:rFonts w:hint="eastAsia" w:asciiTheme="minorEastAsia" w:hAnsiTheme="minorEastAsia" w:eastAsiaTheme="minorEastAsia" w:cstheme="minorEastAsia"/>
          <w:color w:val="auto"/>
          <w:kern w:val="0"/>
          <w:sz w:val="21"/>
          <w:szCs w:val="21"/>
          <w:highlight w:val="none"/>
          <w:lang w:val="en-US" w:eastAsia="zh-CN" w:bidi="ar-SA"/>
        </w:rPr>
        <w:t>中华人民共和国民法典</w:t>
      </w:r>
      <w:r>
        <w:rPr>
          <w:rFonts w:hint="eastAsia" w:asciiTheme="minorEastAsia" w:hAnsiTheme="minorEastAsia" w:eastAsiaTheme="minorEastAsia" w:cstheme="minorEastAsia"/>
          <w:color w:val="auto"/>
          <w:kern w:val="2"/>
          <w:sz w:val="21"/>
          <w:szCs w:val="21"/>
          <w:highlight w:val="none"/>
          <w:lang w:val="en-US" w:eastAsia="zh-CN" w:bidi="ar-SA"/>
        </w:rPr>
        <w:t>》有关条文执行。</w:t>
      </w:r>
    </w:p>
    <w:p w14:paraId="1D0ECDF5">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205" w:name="_Toc21163"/>
      <w:r>
        <w:rPr>
          <w:rFonts w:hint="eastAsia" w:asciiTheme="minorEastAsia" w:hAnsiTheme="minorEastAsia" w:eastAsiaTheme="minorEastAsia" w:cstheme="minorEastAsia"/>
          <w:b/>
          <w:bCs/>
          <w:color w:val="auto"/>
          <w:sz w:val="21"/>
          <w:szCs w:val="21"/>
          <w:highlight w:val="none"/>
          <w:lang w:val="en-US" w:eastAsia="zh-CN"/>
        </w:rPr>
        <w:t>合同变更、终止与转让</w:t>
      </w:r>
      <w:bookmarkEnd w:id="205"/>
    </w:p>
    <w:p w14:paraId="763F010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1.除《中华人民共和国政府采购法》第五十条规定的情形外，本合同一经签订，甲乙双方不得擅自变更、中止或终止。</w:t>
      </w:r>
    </w:p>
    <w:p w14:paraId="05E0FF7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b w:val="0"/>
          <w:bCs w:val="0"/>
          <w:color w:val="auto"/>
          <w:sz w:val="21"/>
          <w:szCs w:val="21"/>
          <w:highlight w:val="none"/>
          <w:lang w:val="en-US" w:eastAsia="zh-CN"/>
        </w:rPr>
      </w:pPr>
      <w:bookmarkStart w:id="206" w:name="_Toc7337"/>
      <w:r>
        <w:rPr>
          <w:rFonts w:hint="eastAsia" w:asciiTheme="minorEastAsia" w:hAnsiTheme="minorEastAsia" w:eastAsiaTheme="minorEastAsia" w:cstheme="minorEastAsia"/>
          <w:b w:val="0"/>
          <w:bCs w:val="0"/>
          <w:color w:val="auto"/>
          <w:sz w:val="21"/>
          <w:szCs w:val="21"/>
          <w:highlight w:val="none"/>
          <w:lang w:val="en-US" w:eastAsia="zh-CN"/>
        </w:rPr>
        <w:t>2.未经甲方书面同意，乙方不得擅自转让（无进口资格的供应商委托进口货物除外）其应履行的合同义务。一经发现，乙方应退回甲方已支付的合同款项，并向甲方支付合同总金额</w:t>
      </w:r>
      <w:r>
        <w:rPr>
          <w:rFonts w:hint="eastAsia" w:asciiTheme="minorEastAsia" w:hAnsiTheme="minorEastAsia" w:eastAsiaTheme="minorEastAsia" w:cstheme="minorEastAsia"/>
          <w:b w:val="0"/>
          <w:bCs w:val="0"/>
          <w:color w:val="auto"/>
          <w:sz w:val="21"/>
          <w:szCs w:val="21"/>
          <w:highlight w:val="none"/>
          <w:u w:val="singl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的违约金，若由此造成的甲方遭受经济损失的，乙方还应承担赔偿责任。</w:t>
      </w:r>
      <w:bookmarkEnd w:id="206"/>
    </w:p>
    <w:p w14:paraId="4AF04796">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207" w:name="_Toc24981"/>
      <w:r>
        <w:rPr>
          <w:rFonts w:hint="eastAsia" w:asciiTheme="minorEastAsia" w:hAnsiTheme="minorEastAsia" w:eastAsiaTheme="minorEastAsia" w:cstheme="minorEastAsia"/>
          <w:b/>
          <w:bCs/>
          <w:color w:val="auto"/>
          <w:sz w:val="21"/>
          <w:szCs w:val="21"/>
          <w:highlight w:val="none"/>
          <w:lang w:val="en-US" w:eastAsia="zh-CN"/>
        </w:rPr>
        <w:t>附件</w:t>
      </w:r>
      <w:bookmarkEnd w:id="207"/>
    </w:p>
    <w:p w14:paraId="4904C4A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1.采购文件</w:t>
      </w:r>
    </w:p>
    <w:p w14:paraId="0E813D8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2.乙方提供的响应文件</w:t>
      </w:r>
    </w:p>
    <w:p w14:paraId="1FF8C3F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3.竞标/投标承诺书</w:t>
      </w:r>
    </w:p>
    <w:p w14:paraId="2376DAC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4.成交通知书</w:t>
      </w:r>
    </w:p>
    <w:p w14:paraId="42C0995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5.售后服务承诺书</w:t>
      </w:r>
    </w:p>
    <w:p w14:paraId="416ADF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6.廉洁供销、不提供“回扣”承诺书</w:t>
      </w:r>
    </w:p>
    <w:p w14:paraId="5C0A5E0E">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20" w:firstLineChars="200"/>
        <w:textAlignment w:val="auto"/>
        <w:outlineLvl w:val="0"/>
        <w:rPr>
          <w:rFonts w:hint="eastAsia" w:asciiTheme="minorEastAsia" w:hAnsiTheme="minorEastAsia" w:eastAsiaTheme="minorEastAsia" w:cstheme="minorEastAsia"/>
          <w:color w:val="auto"/>
          <w:sz w:val="21"/>
          <w:szCs w:val="21"/>
          <w:highlight w:val="none"/>
        </w:rPr>
      </w:pPr>
      <w:bookmarkStart w:id="208" w:name="_Toc14925"/>
      <w:r>
        <w:rPr>
          <w:rFonts w:hint="eastAsia" w:asciiTheme="minorEastAsia" w:hAnsiTheme="minorEastAsia" w:eastAsiaTheme="minorEastAsia" w:cstheme="minorEastAsia"/>
          <w:b w:val="0"/>
          <w:bCs w:val="0"/>
          <w:color w:val="auto"/>
          <w:sz w:val="21"/>
          <w:szCs w:val="21"/>
          <w:highlight w:val="none"/>
          <w:lang w:val="en-US" w:eastAsia="zh-CN"/>
        </w:rPr>
        <w:t>本合同一式</w:t>
      </w:r>
      <w:r>
        <w:rPr>
          <w:rFonts w:hint="eastAsia" w:asciiTheme="minorEastAsia" w:hAnsiTheme="minorEastAsia" w:eastAsiaTheme="minorEastAsia" w:cstheme="minorEastAsia"/>
          <w:b w:val="0"/>
          <w:bCs w:val="0"/>
          <w:color w:val="auto"/>
          <w:sz w:val="21"/>
          <w:szCs w:val="21"/>
          <w:highlight w:val="none"/>
          <w:u w:val="single"/>
          <w:lang w:val="en-US" w:eastAsia="zh-CN"/>
        </w:rPr>
        <w:t>八</w:t>
      </w:r>
      <w:r>
        <w:rPr>
          <w:rFonts w:hint="eastAsia" w:asciiTheme="minorEastAsia" w:hAnsiTheme="minorEastAsia" w:eastAsiaTheme="minorEastAsia" w:cstheme="minorEastAsia"/>
          <w:b w:val="0"/>
          <w:bCs w:val="0"/>
          <w:color w:val="auto"/>
          <w:sz w:val="21"/>
          <w:szCs w:val="21"/>
          <w:highlight w:val="none"/>
          <w:lang w:val="en-US" w:eastAsia="zh-CN"/>
        </w:rPr>
        <w:t>份，具有同等法律效力，甲方执</w:t>
      </w:r>
      <w:r>
        <w:rPr>
          <w:rFonts w:hint="eastAsia" w:asciiTheme="minorEastAsia" w:hAnsiTheme="minorEastAsia" w:eastAsiaTheme="minorEastAsia" w:cstheme="minorEastAsia"/>
          <w:b w:val="0"/>
          <w:bCs w:val="0"/>
          <w:color w:val="auto"/>
          <w:sz w:val="21"/>
          <w:szCs w:val="21"/>
          <w:highlight w:val="none"/>
          <w:u w:val="single"/>
          <w:lang w:val="en-US" w:eastAsia="zh-CN"/>
        </w:rPr>
        <w:t>六</w:t>
      </w:r>
      <w:r>
        <w:rPr>
          <w:rFonts w:hint="eastAsia" w:asciiTheme="minorEastAsia" w:hAnsiTheme="minorEastAsia" w:eastAsiaTheme="minorEastAsia" w:cstheme="minorEastAsia"/>
          <w:b w:val="0"/>
          <w:bCs w:val="0"/>
          <w:color w:val="auto"/>
          <w:sz w:val="21"/>
          <w:szCs w:val="21"/>
          <w:highlight w:val="none"/>
          <w:lang w:val="en-US" w:eastAsia="zh-CN"/>
        </w:rPr>
        <w:t>份，乙方执一份，采购代理机构执一份。</w:t>
      </w:r>
      <w:bookmarkEnd w:id="208"/>
    </w:p>
    <w:tbl>
      <w:tblPr>
        <w:tblStyle w:val="29"/>
        <w:tblpPr w:leftFromText="180" w:rightFromText="180" w:vertAnchor="text" w:horzAnchor="page" w:tblpX="1800" w:tblpY="337"/>
        <w:tblOverlap w:val="never"/>
        <w:tblW w:w="50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8"/>
        <w:gridCol w:w="4601"/>
      </w:tblGrid>
      <w:tr w14:paraId="2402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51D5566">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甲方（章）</w:t>
            </w:r>
          </w:p>
          <w:p w14:paraId="01931DE9">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广西医科大学第二附属医院</w:t>
            </w:r>
          </w:p>
          <w:p w14:paraId="62269ED5">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p>
          <w:p w14:paraId="294AA9F4">
            <w:pPr>
              <w:keepNext w:val="0"/>
              <w:keepLines w:val="0"/>
              <w:pageBreakBefore w:val="0"/>
              <w:widowControl w:val="0"/>
              <w:kinsoku/>
              <w:wordWrap/>
              <w:overflowPunct/>
              <w:topLinePunct w:val="0"/>
              <w:autoSpaceDE/>
              <w:autoSpaceDN/>
              <w:bidi w:val="0"/>
              <w:adjustRightInd/>
              <w:snapToGrid w:val="0"/>
              <w:spacing w:line="320" w:lineRule="exact"/>
              <w:ind w:firstLine="1155" w:firstLineChars="55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6D0C55">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乙方（章）</w:t>
            </w:r>
          </w:p>
          <w:p w14:paraId="66226A29">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（乙方公司名称）</w:t>
            </w:r>
          </w:p>
          <w:p w14:paraId="6A4F8C16">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14:paraId="0CF19F27">
            <w:pPr>
              <w:keepNext w:val="0"/>
              <w:keepLines w:val="0"/>
              <w:pageBreakBefore w:val="0"/>
              <w:widowControl w:val="0"/>
              <w:kinsoku/>
              <w:wordWrap/>
              <w:overflowPunct/>
              <w:topLinePunct w:val="0"/>
              <w:autoSpaceDE/>
              <w:autoSpaceDN/>
              <w:bidi w:val="0"/>
              <w:adjustRightInd/>
              <w:snapToGrid w:val="0"/>
              <w:spacing w:line="320" w:lineRule="exact"/>
              <w:ind w:firstLine="1050" w:firstLineChars="5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tc>
      </w:tr>
      <w:tr w14:paraId="0A85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1F325EC">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单位地址：</w:t>
            </w:r>
            <w:r>
              <w:rPr>
                <w:rFonts w:hint="eastAsia" w:asciiTheme="minorEastAsia" w:hAnsiTheme="minorEastAsia" w:eastAsiaTheme="minorEastAsia" w:cstheme="minorEastAsia"/>
                <w:color w:val="auto"/>
                <w:sz w:val="21"/>
                <w:szCs w:val="21"/>
                <w:highlight w:val="none"/>
                <w:lang w:val="en-US" w:eastAsia="zh-CN"/>
              </w:rPr>
              <w:t>广西南宁市大学东路166号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C49569">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单位地址：</w:t>
            </w:r>
          </w:p>
        </w:tc>
      </w:tr>
      <w:tr w14:paraId="01D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040749D">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5CB2BC0">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r>
      <w:tr w14:paraId="32F7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3EF4465">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8115ACD">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委托代理人</w:t>
            </w:r>
            <w:r>
              <w:rPr>
                <w:rFonts w:hint="eastAsia" w:asciiTheme="minorEastAsia" w:hAnsiTheme="minorEastAsia" w:eastAsiaTheme="minorEastAsia" w:cstheme="minorEastAsia"/>
                <w:color w:val="auto"/>
                <w:sz w:val="21"/>
                <w:szCs w:val="21"/>
                <w:highlight w:val="none"/>
                <w:lang w:eastAsia="zh-CN"/>
              </w:rPr>
              <w:t>：</w:t>
            </w:r>
          </w:p>
        </w:tc>
      </w:tr>
      <w:tr w14:paraId="70C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A35A258">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电话：0771-3277155</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D1151A1">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r>
      <w:tr w14:paraId="1B8D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E0E146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电子邮箱：</w:t>
            </w:r>
            <w:r>
              <w:rPr>
                <w:rFonts w:hint="eastAsia" w:asciiTheme="minorEastAsia" w:hAnsiTheme="minorEastAsia" w:eastAsiaTheme="minorEastAsia" w:cstheme="minorEastAsia"/>
                <w:color w:val="auto"/>
                <w:sz w:val="21"/>
                <w:szCs w:val="21"/>
                <w:highlight w:val="none"/>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5DC6EEB">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电子邮箱：</w:t>
            </w:r>
          </w:p>
        </w:tc>
      </w:tr>
      <w:tr w14:paraId="0EFB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7840571">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开户银行：建行南宁医科大支行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5E29253">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r>
      <w:tr w14:paraId="12A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9F1FD72">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账号：45050160456009666888</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988E93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r>
      <w:tr w14:paraId="1929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0F0FABEF">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纳税人识别号或统一社会信用代码：</w:t>
            </w:r>
          </w:p>
          <w:p w14:paraId="78C7BAEC">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12450000MB0514976U</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2EC87E8">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纳税人识别号或统一社会信用代码：</w:t>
            </w:r>
          </w:p>
          <w:p w14:paraId="293C4FC4">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r>
      <w:tr w14:paraId="68B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01A47087">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38DAF53">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r>
    </w:tbl>
    <w:p w14:paraId="781E786D">
      <w:pPr>
        <w:keepNext w:val="0"/>
        <w:keepLines w:val="0"/>
        <w:pageBreakBefore w:val="0"/>
        <w:wordWrap/>
        <w:overflowPunct/>
        <w:topLinePunct w:val="0"/>
        <w:bidi w:val="0"/>
        <w:spacing w:line="320" w:lineRule="exact"/>
        <w:rPr>
          <w:rFonts w:hint="eastAsia" w:asciiTheme="minorEastAsia" w:hAnsiTheme="minorEastAsia" w:eastAsiaTheme="minorEastAsia" w:cstheme="minorEastAsia"/>
          <w:color w:val="auto"/>
          <w:sz w:val="21"/>
          <w:szCs w:val="21"/>
          <w:highlight w:val="none"/>
        </w:rPr>
      </w:pPr>
    </w:p>
    <w:p w14:paraId="40C0F4B8">
      <w:pPr>
        <w:keepNext w:val="0"/>
        <w:keepLines w:val="0"/>
        <w:pageBreakBefore w:val="0"/>
        <w:wordWrap/>
        <w:overflowPunct/>
        <w:topLinePunct w:val="0"/>
        <w:bidi w:val="0"/>
        <w:spacing w:line="320" w:lineRule="exact"/>
        <w:rPr>
          <w:rFonts w:hint="eastAsia" w:asciiTheme="minorEastAsia" w:hAnsiTheme="minorEastAsia" w:eastAsiaTheme="minorEastAsia" w:cstheme="minorEastAsia"/>
          <w:color w:val="auto"/>
          <w:sz w:val="21"/>
          <w:szCs w:val="21"/>
          <w:highlight w:val="none"/>
        </w:rPr>
      </w:pPr>
    </w:p>
    <w:p w14:paraId="46C11255">
      <w:pPr>
        <w:spacing w:line="360" w:lineRule="auto"/>
        <w:ind w:firstLine="420" w:firstLineChars="200"/>
        <w:rPr>
          <w:rFonts w:hint="eastAsia" w:asciiTheme="minorEastAsia" w:hAnsiTheme="minorEastAsia" w:eastAsiaTheme="minorEastAsia" w:cstheme="minorEastAsia"/>
          <w:color w:val="auto"/>
          <w:szCs w:val="21"/>
          <w:highlight w:val="none"/>
        </w:rPr>
      </w:pPr>
    </w:p>
    <w:p w14:paraId="554A1900">
      <w:pPr>
        <w:spacing w:line="360" w:lineRule="auto"/>
        <w:ind w:firstLine="420" w:firstLineChars="200"/>
        <w:rPr>
          <w:rFonts w:hint="eastAsia" w:asciiTheme="minorEastAsia" w:hAnsiTheme="minorEastAsia" w:eastAsiaTheme="minorEastAsia" w:cstheme="minorEastAsia"/>
          <w:color w:val="auto"/>
          <w:szCs w:val="21"/>
          <w:highlight w:val="none"/>
        </w:rPr>
      </w:pPr>
    </w:p>
    <w:p w14:paraId="69174430">
      <w:pPr>
        <w:spacing w:line="360" w:lineRule="auto"/>
        <w:ind w:firstLine="420" w:firstLineChars="200"/>
        <w:rPr>
          <w:rFonts w:hint="eastAsia" w:asciiTheme="minorEastAsia" w:hAnsiTheme="minorEastAsia" w:eastAsiaTheme="minorEastAsia" w:cstheme="minorEastAsia"/>
          <w:color w:val="auto"/>
          <w:szCs w:val="21"/>
          <w:highlight w:val="none"/>
        </w:rPr>
      </w:pPr>
    </w:p>
    <w:p w14:paraId="08F27DC4">
      <w:pPr>
        <w:spacing w:line="360" w:lineRule="auto"/>
        <w:ind w:firstLine="0" w:firstLineChars="0"/>
        <w:rPr>
          <w:rFonts w:hint="eastAsia" w:ascii="宋体" w:hAnsi="宋体" w:cs="宋体"/>
          <w:color w:val="auto"/>
          <w:highlight w:val="none"/>
        </w:rPr>
      </w:pPr>
    </w:p>
    <w:p w14:paraId="44094B58">
      <w:pPr>
        <w:spacing w:line="360" w:lineRule="auto"/>
        <w:ind w:firstLine="0" w:firstLineChars="0"/>
        <w:rPr>
          <w:rFonts w:hint="eastAsia" w:ascii="宋体" w:hAnsi="宋体" w:cs="宋体"/>
          <w:color w:val="auto"/>
          <w:highlight w:val="none"/>
        </w:rPr>
      </w:pPr>
    </w:p>
    <w:p w14:paraId="2C46190D">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z w:val="21"/>
          <w:szCs w:val="21"/>
          <w:highlight w:val="none"/>
          <w:lang w:val="en-US" w:eastAsia="zh-CN"/>
        </w:rPr>
      </w:pPr>
    </w:p>
    <w:p w14:paraId="75C0D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val="0"/>
          <w:color w:val="auto"/>
          <w:kern w:val="0"/>
          <w:sz w:val="24"/>
          <w:szCs w:val="24"/>
          <w:highlight w:val="none"/>
        </w:rPr>
      </w:pPr>
    </w:p>
    <w:p w14:paraId="4ED167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t>广西医科大学第二附属医院</w:t>
      </w:r>
    </w:p>
    <w:p w14:paraId="3ABEF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t>药品、医疗设备、医用耗材</w:t>
      </w:r>
      <w:r>
        <w:rPr>
          <w:rFonts w:hint="eastAsia" w:asciiTheme="minorEastAsia" w:hAnsiTheme="minorEastAsia" w:eastAsiaTheme="minorEastAsia" w:cstheme="minorEastAsia"/>
          <w:b/>
          <w:bCs w:val="0"/>
          <w:color w:val="auto"/>
          <w:kern w:val="0"/>
          <w:sz w:val="32"/>
          <w:szCs w:val="32"/>
          <w:highlight w:val="none"/>
          <w:lang w:eastAsia="zh-CN"/>
        </w:rPr>
        <w:t>、</w:t>
      </w:r>
      <w:r>
        <w:rPr>
          <w:rFonts w:hint="eastAsia" w:asciiTheme="minorEastAsia" w:hAnsiTheme="minorEastAsia" w:eastAsiaTheme="minorEastAsia" w:cstheme="minorEastAsia"/>
          <w:b/>
          <w:bCs w:val="0"/>
          <w:color w:val="auto"/>
          <w:kern w:val="0"/>
          <w:sz w:val="32"/>
          <w:szCs w:val="32"/>
          <w:highlight w:val="none"/>
          <w:lang w:val="en-US" w:eastAsia="zh-CN"/>
        </w:rPr>
        <w:t>服务</w:t>
      </w:r>
      <w:r>
        <w:rPr>
          <w:rFonts w:hint="eastAsia" w:asciiTheme="minorEastAsia" w:hAnsiTheme="minorEastAsia" w:eastAsiaTheme="minorEastAsia" w:cstheme="minorEastAsia"/>
          <w:b/>
          <w:bCs w:val="0"/>
          <w:color w:val="auto"/>
          <w:kern w:val="0"/>
          <w:sz w:val="32"/>
          <w:szCs w:val="32"/>
          <w:highlight w:val="none"/>
        </w:rPr>
        <w:t>供应商（经销商）廉洁供销、不提供“回扣”</w:t>
      </w:r>
    </w:p>
    <w:p w14:paraId="3520BB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t>承诺书</w:t>
      </w:r>
    </w:p>
    <w:p w14:paraId="09AB3A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Cs/>
          <w:color w:val="auto"/>
          <w:kern w:val="0"/>
          <w:sz w:val="21"/>
          <w:szCs w:val="21"/>
          <w:highlight w:val="none"/>
        </w:rPr>
      </w:pPr>
    </w:p>
    <w:p w14:paraId="29103E5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积极配合医院开展医药购销和医疗服务中不正之风专项整治工作，规范医院及从业人员执业行为，杜绝医药购销领域中的“回扣”和“提成”等不正之风，树立医院良好的服务品牌，维护本企业的信誉和形象，我单位和所属工作人员郑重承诺如下：</w:t>
      </w:r>
    </w:p>
    <w:p w14:paraId="1EFA70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一、遵守国家的法律法规，依法办理医药购销业务，保证不搞违法乱纪活动，自觉接受执法执纪部门的监督检查。</w:t>
      </w:r>
    </w:p>
    <w:p w14:paraId="5F22F1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二、在医药购销活动中，不以任何形式给予医院医药“回扣”等商业贿赂。</w:t>
      </w:r>
    </w:p>
    <w:p w14:paraId="43184B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三、在与医院正常业务交往中，不赠送各种礼金、有价证券和贵重物品，不给对方报销应由个人支付的费用，不以旅游、考察、宴请等各种名义和形式进行促销。</w:t>
      </w:r>
    </w:p>
    <w:p w14:paraId="46BCBE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四、配合医院维护正常的医疗秩序，营销人员不进入医院诊疗区域从事药品、器械等商品推销活动。不向医院工作人员查询药品耗材的进、销、存量和使用情况，不以任何形式和方式统计处方。</w:t>
      </w:r>
    </w:p>
    <w:p w14:paraId="501F4E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五、我单位给医院的捐赠款物，保证严格按照《中华人民共和国</w:t>
      </w:r>
      <w:r>
        <w:rPr>
          <w:rFonts w:hint="eastAsia" w:asciiTheme="minorEastAsia" w:hAnsiTheme="minorEastAsia" w:eastAsiaTheme="minorEastAsia" w:cstheme="minorEastAsia"/>
          <w:color w:val="auto"/>
          <w:sz w:val="21"/>
          <w:szCs w:val="21"/>
          <w:highlight w:val="none"/>
          <w:lang w:val="en-US" w:eastAsia="zh-CN"/>
        </w:rPr>
        <w:t>公益事业</w:t>
      </w:r>
      <w:r>
        <w:rPr>
          <w:rFonts w:hint="eastAsia" w:asciiTheme="minorEastAsia" w:hAnsiTheme="minorEastAsia" w:eastAsiaTheme="minorEastAsia" w:cstheme="minorEastAsia"/>
          <w:color w:val="auto"/>
          <w:sz w:val="21"/>
          <w:szCs w:val="21"/>
          <w:highlight w:val="none"/>
        </w:rPr>
        <w:t>捐赠法》的有关规定执行。</w:t>
      </w:r>
    </w:p>
    <w:p w14:paraId="2AD0D2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以上承诺如有违反，我们接受停药、取消中标资格、记入不良行为数据库等处理，以及执法执纪部门的其他处理。</w:t>
      </w:r>
    </w:p>
    <w:p w14:paraId="70D39D1A">
      <w:pPr>
        <w:keepNext w:val="0"/>
        <w:keepLines w:val="0"/>
        <w:pageBreakBefore w:val="0"/>
        <w:widowControl w:val="0"/>
        <w:kinsoku/>
        <w:wordWrap/>
        <w:overflowPunct/>
        <w:topLinePunct w:val="0"/>
        <w:autoSpaceDE/>
        <w:autoSpaceDN/>
        <w:bidi w:val="0"/>
        <w:adjustRightInd/>
        <w:snapToGrid/>
        <w:spacing w:line="440" w:lineRule="exact"/>
        <w:ind w:firstLine="645"/>
        <w:textAlignment w:val="auto"/>
        <w:rPr>
          <w:rFonts w:hint="eastAsia" w:asciiTheme="minorEastAsia" w:hAnsiTheme="minorEastAsia" w:eastAsiaTheme="minorEastAsia" w:cstheme="minorEastAsia"/>
          <w:color w:val="auto"/>
          <w:sz w:val="21"/>
          <w:szCs w:val="21"/>
          <w:highlight w:val="none"/>
        </w:rPr>
      </w:pPr>
    </w:p>
    <w:p w14:paraId="71072F0D">
      <w:pPr>
        <w:keepNext w:val="0"/>
        <w:keepLines w:val="0"/>
        <w:pageBreakBefore w:val="0"/>
        <w:widowControl w:val="0"/>
        <w:kinsoku/>
        <w:wordWrap/>
        <w:overflowPunct/>
        <w:topLinePunct w:val="0"/>
        <w:autoSpaceDE/>
        <w:autoSpaceDN/>
        <w:bidi w:val="0"/>
        <w:adjustRightInd/>
        <w:snapToGrid/>
        <w:spacing w:line="440" w:lineRule="exact"/>
        <w:ind w:firstLine="4410" w:firstLineChars="2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承诺单位(盖章)：</w:t>
      </w:r>
    </w:p>
    <w:p w14:paraId="1B9B8BC6">
      <w:pPr>
        <w:keepNext w:val="0"/>
        <w:keepLines w:val="0"/>
        <w:pageBreakBefore w:val="0"/>
        <w:widowControl w:val="0"/>
        <w:kinsoku/>
        <w:wordWrap/>
        <w:overflowPunct/>
        <w:topLinePunct w:val="0"/>
        <w:autoSpaceDE/>
        <w:autoSpaceDN/>
        <w:bidi w:val="0"/>
        <w:adjustRightInd/>
        <w:snapToGrid/>
        <w:spacing w:line="440" w:lineRule="exact"/>
        <w:ind w:firstLine="4410" w:firstLineChars="2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承诺单位代表（签字）：</w:t>
      </w:r>
    </w:p>
    <w:p w14:paraId="4C261905">
      <w:pPr>
        <w:keepNext w:val="0"/>
        <w:keepLines w:val="0"/>
        <w:pageBreakBefore w:val="0"/>
        <w:widowControl w:val="0"/>
        <w:kinsoku/>
        <w:wordWrap/>
        <w:overflowPunct/>
        <w:topLinePunct w:val="0"/>
        <w:autoSpaceDE/>
        <w:autoSpaceDN/>
        <w:bidi w:val="0"/>
        <w:adjustRightInd/>
        <w:snapToGrid/>
        <w:spacing w:line="440" w:lineRule="exact"/>
        <w:ind w:firstLine="4410" w:firstLineChars="2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79425E43">
      <w:pPr>
        <w:keepNext w:val="0"/>
        <w:keepLines w:val="0"/>
        <w:pageBreakBefore w:val="0"/>
        <w:widowControl w:val="0"/>
        <w:kinsoku/>
        <w:wordWrap/>
        <w:overflowPunct/>
        <w:topLinePunct w:val="0"/>
        <w:autoSpaceDE/>
        <w:autoSpaceDN/>
        <w:bidi w:val="0"/>
        <w:adjustRightInd/>
        <w:snapToGrid/>
        <w:spacing w:line="440" w:lineRule="exact"/>
        <w:ind w:firstLine="645"/>
        <w:textAlignment w:val="auto"/>
        <w:rPr>
          <w:rFonts w:hint="eastAsia" w:asciiTheme="minorEastAsia" w:hAnsiTheme="minorEastAsia" w:eastAsiaTheme="minorEastAsia" w:cstheme="minorEastAsia"/>
          <w:color w:val="auto"/>
          <w:sz w:val="21"/>
          <w:szCs w:val="21"/>
        </w:rPr>
      </w:pPr>
    </w:p>
    <w:p w14:paraId="574A11C8">
      <w:pPr>
        <w:rPr>
          <w:color w:val="auto"/>
          <w:highlight w:val="none"/>
        </w:rPr>
      </w:pPr>
    </w:p>
    <w:sectPr>
      <w:headerReference r:id="rId5" w:type="first"/>
      <w:footerReference r:id="rId7" w:type="first"/>
      <w:headerReference r:id="rId4" w:type="default"/>
      <w:footerReference r:id="rId6"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1F65E5-B8FB-4884-8C55-2AA33E267C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embedRegular r:id="rId2" w:fontKey="{5BAAF002-A925-46DE-A167-A2AD210D25E8}"/>
  </w:font>
  <w:font w:name="微软雅黑">
    <w:panose1 w:val="020B0503020204020204"/>
    <w:charset w:val="86"/>
    <w:family w:val="auto"/>
    <w:pitch w:val="default"/>
    <w:sig w:usb0="80000287" w:usb1="2ACF3C50" w:usb2="00000016" w:usb3="00000000" w:csb0="0004001F" w:csb1="00000000"/>
    <w:embedRegular r:id="rId3" w:fontKey="{101CDE86-8BF2-4BE1-AA97-F83A44044960}"/>
  </w:font>
  <w:font w:name="方正公文小标宋">
    <w:panose1 w:val="02000500000000000000"/>
    <w:charset w:val="86"/>
    <w:family w:val="auto"/>
    <w:pitch w:val="default"/>
    <w:sig w:usb0="A00002BF" w:usb1="38CF7CFA" w:usb2="00000016" w:usb3="00000000" w:csb0="00040001" w:csb1="00000000"/>
    <w:embedRegular r:id="rId4" w:fontKey="{47CA0E1B-0D49-4819-8E6D-F1699CC5A0AA}"/>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651D">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E43B56">
                          <w:pPr>
                            <w:pStyle w:val="21"/>
                            <w:jc w:val="center"/>
                          </w:pPr>
                          <w:r>
                            <w:fldChar w:fldCharType="begin"/>
                          </w:r>
                          <w:r>
                            <w:instrText xml:space="preserve"> PAGE   \* MERGEFORMAT </w:instrText>
                          </w:r>
                          <w:r>
                            <w:fldChar w:fldCharType="separate"/>
                          </w:r>
                          <w:r>
                            <w:rPr>
                              <w:lang w:val="zh-CN"/>
                            </w:rPr>
                            <w:t>33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70E43B56">
                    <w:pPr>
                      <w:pStyle w:val="21"/>
                      <w:jc w:val="center"/>
                    </w:pPr>
                    <w:r>
                      <w:fldChar w:fldCharType="begin"/>
                    </w:r>
                    <w:r>
                      <w:instrText xml:space="preserve"> PAGE   \* MERGEFORMAT </w:instrText>
                    </w:r>
                    <w:r>
                      <w:fldChar w:fldCharType="separate"/>
                    </w:r>
                    <w:r>
                      <w:rPr>
                        <w:lang w:val="zh-CN"/>
                      </w:rPr>
                      <w:t>33</w:t>
                    </w:r>
                    <w:r>
                      <w:fldChar w:fldCharType="end"/>
                    </w:r>
                  </w:p>
                </w:txbxContent>
              </v:textbox>
            </v:shape>
          </w:pict>
        </mc:Fallback>
      </mc:AlternateContent>
    </w:r>
  </w:p>
  <w:p w14:paraId="03137429">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A649">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47A62">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14:paraId="34147A62">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1D40">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EC9F">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4D15">
    <w:pPr>
      <w:pStyle w:val="2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8664"/>
    <w:multiLevelType w:val="singleLevel"/>
    <w:tmpl w:val="AFB28664"/>
    <w:lvl w:ilvl="0" w:tentative="0">
      <w:start w:val="1"/>
      <w:numFmt w:val="decimal"/>
      <w:lvlText w:val="(%1)"/>
      <w:lvlJc w:val="left"/>
      <w:pPr>
        <w:tabs>
          <w:tab w:val="left" w:pos="312"/>
        </w:tabs>
      </w:pPr>
    </w:lvl>
  </w:abstractNum>
  <w:abstractNum w:abstractNumId="1">
    <w:nsid w:val="BD0D3E3A"/>
    <w:multiLevelType w:val="singleLevel"/>
    <w:tmpl w:val="BD0D3E3A"/>
    <w:lvl w:ilvl="0" w:tentative="0">
      <w:start w:val="2"/>
      <w:numFmt w:val="decimal"/>
      <w:lvlText w:val="%1."/>
      <w:lvlJc w:val="left"/>
      <w:pPr>
        <w:tabs>
          <w:tab w:val="left" w:pos="312"/>
        </w:tabs>
      </w:pPr>
    </w:lvl>
  </w:abstractNum>
  <w:abstractNum w:abstractNumId="2">
    <w:nsid w:val="C417A35B"/>
    <w:multiLevelType w:val="singleLevel"/>
    <w:tmpl w:val="C417A35B"/>
    <w:lvl w:ilvl="0" w:tentative="0">
      <w:start w:val="1"/>
      <w:numFmt w:val="chineseCounting"/>
      <w:suff w:val="nothing"/>
      <w:lvlText w:val="第%1条　"/>
      <w:lvlJc w:val="left"/>
      <w:rPr>
        <w:rFonts w:hint="eastAsia"/>
        <w:b/>
        <w:bCs/>
      </w:rPr>
    </w:lvl>
  </w:abstractNum>
  <w:abstractNum w:abstractNumId="3">
    <w:nsid w:val="E6449FCA"/>
    <w:multiLevelType w:val="singleLevel"/>
    <w:tmpl w:val="E6449FCA"/>
    <w:lvl w:ilvl="0" w:tentative="0">
      <w:start w:val="6"/>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46602EB"/>
    <w:multiLevelType w:val="singleLevel"/>
    <w:tmpl w:val="346602EB"/>
    <w:lvl w:ilvl="0" w:tentative="0">
      <w:start w:val="1"/>
      <w:numFmt w:val="decimal"/>
      <w:lvlText w:val="%1."/>
      <w:lvlJc w:val="left"/>
      <w:pPr>
        <w:tabs>
          <w:tab w:val="left" w:pos="312"/>
        </w:tabs>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1" w:cryptProviderType="rsaFull" w:cryptAlgorithmClass="hash" w:cryptAlgorithmType="typeAny" w:cryptAlgorithmSid="4" w:cryptSpinCount="0" w:hash="5yDs01VRBsr9L/t28Qr8cf8RPUU=" w:salt="siiIXKTNvoEayl0yRZnhNw=="/>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IwMGZmYmMxMmExNTYzZTg0ZjM0ZTg3YzMzNmQ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F47"/>
    <w:rsid w:val="00075B7E"/>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704B"/>
    <w:rsid w:val="002F72C3"/>
    <w:rsid w:val="002F768C"/>
    <w:rsid w:val="002F7D1E"/>
    <w:rsid w:val="00302F0F"/>
    <w:rsid w:val="00303243"/>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3733"/>
    <w:rsid w:val="00574554"/>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E73"/>
    <w:rsid w:val="00BD0014"/>
    <w:rsid w:val="00BD01D8"/>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E0A"/>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0966"/>
    <w:rsid w:val="00EB1D49"/>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4F8"/>
    <w:rsid w:val="00F14DF8"/>
    <w:rsid w:val="00F164A3"/>
    <w:rsid w:val="00F17AD9"/>
    <w:rsid w:val="00F17F74"/>
    <w:rsid w:val="00F202C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DF7"/>
    <w:rsid w:val="00FE5F72"/>
    <w:rsid w:val="00FF0231"/>
    <w:rsid w:val="00FF1C9B"/>
    <w:rsid w:val="00FF1D49"/>
    <w:rsid w:val="00FF2562"/>
    <w:rsid w:val="00FF3A41"/>
    <w:rsid w:val="00FF3E5B"/>
    <w:rsid w:val="00FF544F"/>
    <w:rsid w:val="00FF57E4"/>
    <w:rsid w:val="00FF7038"/>
    <w:rsid w:val="00FF78E5"/>
    <w:rsid w:val="010A6AC2"/>
    <w:rsid w:val="016C11F8"/>
    <w:rsid w:val="01A56261"/>
    <w:rsid w:val="01AC3A93"/>
    <w:rsid w:val="01B31C9D"/>
    <w:rsid w:val="01CE3A0A"/>
    <w:rsid w:val="01E21263"/>
    <w:rsid w:val="021A09FD"/>
    <w:rsid w:val="024141DC"/>
    <w:rsid w:val="02511F9D"/>
    <w:rsid w:val="02692B05"/>
    <w:rsid w:val="027A6905"/>
    <w:rsid w:val="02A33EF4"/>
    <w:rsid w:val="0313544C"/>
    <w:rsid w:val="03454B13"/>
    <w:rsid w:val="03660873"/>
    <w:rsid w:val="036A7FAB"/>
    <w:rsid w:val="03A314B8"/>
    <w:rsid w:val="03B9447C"/>
    <w:rsid w:val="03D320BD"/>
    <w:rsid w:val="03D62253"/>
    <w:rsid w:val="03D82B98"/>
    <w:rsid w:val="03E6079F"/>
    <w:rsid w:val="03F5648C"/>
    <w:rsid w:val="03F83E8B"/>
    <w:rsid w:val="044C6E68"/>
    <w:rsid w:val="04555962"/>
    <w:rsid w:val="04684BB5"/>
    <w:rsid w:val="049C7345"/>
    <w:rsid w:val="04AA0A87"/>
    <w:rsid w:val="04E452F2"/>
    <w:rsid w:val="05D72378"/>
    <w:rsid w:val="05E76E48"/>
    <w:rsid w:val="060B65E0"/>
    <w:rsid w:val="061130E9"/>
    <w:rsid w:val="065B08F4"/>
    <w:rsid w:val="06AC6438"/>
    <w:rsid w:val="06DE61B0"/>
    <w:rsid w:val="079A4081"/>
    <w:rsid w:val="079C1E7E"/>
    <w:rsid w:val="079E0178"/>
    <w:rsid w:val="079E79DA"/>
    <w:rsid w:val="07B72767"/>
    <w:rsid w:val="07EB0753"/>
    <w:rsid w:val="08077E72"/>
    <w:rsid w:val="08341AFF"/>
    <w:rsid w:val="083566D7"/>
    <w:rsid w:val="087D239C"/>
    <w:rsid w:val="08CF1E16"/>
    <w:rsid w:val="095F3DEF"/>
    <w:rsid w:val="09896FC8"/>
    <w:rsid w:val="09CC2AAC"/>
    <w:rsid w:val="0A0A4C7F"/>
    <w:rsid w:val="0A652D3E"/>
    <w:rsid w:val="0A6F59CB"/>
    <w:rsid w:val="0A796F3D"/>
    <w:rsid w:val="0A994290"/>
    <w:rsid w:val="0A9F4195"/>
    <w:rsid w:val="0AC06C8F"/>
    <w:rsid w:val="0B2A43EE"/>
    <w:rsid w:val="0B512DDC"/>
    <w:rsid w:val="0BC83318"/>
    <w:rsid w:val="0BF864C3"/>
    <w:rsid w:val="0BFE5DDD"/>
    <w:rsid w:val="0C1E10EA"/>
    <w:rsid w:val="0C2506CA"/>
    <w:rsid w:val="0C2D3729"/>
    <w:rsid w:val="0C92213C"/>
    <w:rsid w:val="0CA35A93"/>
    <w:rsid w:val="0CFB142B"/>
    <w:rsid w:val="0D537A7F"/>
    <w:rsid w:val="0D7C0282"/>
    <w:rsid w:val="0D84032B"/>
    <w:rsid w:val="0E943A2C"/>
    <w:rsid w:val="0EA36BA7"/>
    <w:rsid w:val="0ED76940"/>
    <w:rsid w:val="0F5B2655"/>
    <w:rsid w:val="0FE50784"/>
    <w:rsid w:val="105C384D"/>
    <w:rsid w:val="108A4F0B"/>
    <w:rsid w:val="10A27F31"/>
    <w:rsid w:val="10CB6CDF"/>
    <w:rsid w:val="11665BE8"/>
    <w:rsid w:val="11767E7A"/>
    <w:rsid w:val="11927058"/>
    <w:rsid w:val="11D010D8"/>
    <w:rsid w:val="11D54941"/>
    <w:rsid w:val="1226519C"/>
    <w:rsid w:val="124318AA"/>
    <w:rsid w:val="126C68DF"/>
    <w:rsid w:val="13AF4F03"/>
    <w:rsid w:val="13D77F15"/>
    <w:rsid w:val="14146BAE"/>
    <w:rsid w:val="143C7D16"/>
    <w:rsid w:val="14485052"/>
    <w:rsid w:val="14643D5A"/>
    <w:rsid w:val="14736E66"/>
    <w:rsid w:val="14853EF0"/>
    <w:rsid w:val="14891A12"/>
    <w:rsid w:val="14CE2396"/>
    <w:rsid w:val="14E52F5A"/>
    <w:rsid w:val="14F91A9D"/>
    <w:rsid w:val="15226DAF"/>
    <w:rsid w:val="152E2BFE"/>
    <w:rsid w:val="1534169A"/>
    <w:rsid w:val="153B680A"/>
    <w:rsid w:val="159D190E"/>
    <w:rsid w:val="15C03E03"/>
    <w:rsid w:val="162A25EB"/>
    <w:rsid w:val="16300E58"/>
    <w:rsid w:val="16473933"/>
    <w:rsid w:val="168A2C49"/>
    <w:rsid w:val="16C1253D"/>
    <w:rsid w:val="16CA79EE"/>
    <w:rsid w:val="16F62D9C"/>
    <w:rsid w:val="16FD2A55"/>
    <w:rsid w:val="17366761"/>
    <w:rsid w:val="17485BB5"/>
    <w:rsid w:val="177C01F0"/>
    <w:rsid w:val="17CE6630"/>
    <w:rsid w:val="1892090F"/>
    <w:rsid w:val="18CD0120"/>
    <w:rsid w:val="19185113"/>
    <w:rsid w:val="19414AB5"/>
    <w:rsid w:val="194A1770"/>
    <w:rsid w:val="19906F21"/>
    <w:rsid w:val="19921369"/>
    <w:rsid w:val="19F25BCA"/>
    <w:rsid w:val="19F94921"/>
    <w:rsid w:val="1A49190A"/>
    <w:rsid w:val="1A5F2FF9"/>
    <w:rsid w:val="1A6B57AD"/>
    <w:rsid w:val="1A95517C"/>
    <w:rsid w:val="1AA80E44"/>
    <w:rsid w:val="1ABE7431"/>
    <w:rsid w:val="1AD115B9"/>
    <w:rsid w:val="1AFA16D5"/>
    <w:rsid w:val="1AFB7EAA"/>
    <w:rsid w:val="1B4F19F8"/>
    <w:rsid w:val="1B632FBD"/>
    <w:rsid w:val="1B8D1DE8"/>
    <w:rsid w:val="1BB04ED2"/>
    <w:rsid w:val="1BF62C01"/>
    <w:rsid w:val="1BF956CF"/>
    <w:rsid w:val="1C15085C"/>
    <w:rsid w:val="1C386F93"/>
    <w:rsid w:val="1C5170A2"/>
    <w:rsid w:val="1C9D0174"/>
    <w:rsid w:val="1CD9060C"/>
    <w:rsid w:val="1CE84771"/>
    <w:rsid w:val="1D1A3B4F"/>
    <w:rsid w:val="1D4823BE"/>
    <w:rsid w:val="1DA43419"/>
    <w:rsid w:val="1DA5166B"/>
    <w:rsid w:val="1DDB32DF"/>
    <w:rsid w:val="1DFB0DC4"/>
    <w:rsid w:val="1E3429EF"/>
    <w:rsid w:val="1E360515"/>
    <w:rsid w:val="1E45661E"/>
    <w:rsid w:val="1F05646C"/>
    <w:rsid w:val="1F063325"/>
    <w:rsid w:val="1F237DD9"/>
    <w:rsid w:val="1F2A23F9"/>
    <w:rsid w:val="1F457193"/>
    <w:rsid w:val="1F4B7FF0"/>
    <w:rsid w:val="1F4D6E49"/>
    <w:rsid w:val="1F587B1B"/>
    <w:rsid w:val="1FBC4A4A"/>
    <w:rsid w:val="1FBC5DF5"/>
    <w:rsid w:val="1FCA57B8"/>
    <w:rsid w:val="1FD33DAA"/>
    <w:rsid w:val="2006231E"/>
    <w:rsid w:val="20146634"/>
    <w:rsid w:val="201A505F"/>
    <w:rsid w:val="202A22FB"/>
    <w:rsid w:val="205E3D53"/>
    <w:rsid w:val="20DD2ECA"/>
    <w:rsid w:val="21960EB9"/>
    <w:rsid w:val="21B83F86"/>
    <w:rsid w:val="22073864"/>
    <w:rsid w:val="221178A8"/>
    <w:rsid w:val="221213CF"/>
    <w:rsid w:val="22327A92"/>
    <w:rsid w:val="226F3FF6"/>
    <w:rsid w:val="227232EB"/>
    <w:rsid w:val="22D64D76"/>
    <w:rsid w:val="231555D9"/>
    <w:rsid w:val="231762A1"/>
    <w:rsid w:val="231D53A2"/>
    <w:rsid w:val="23254DF5"/>
    <w:rsid w:val="232B1943"/>
    <w:rsid w:val="2355768F"/>
    <w:rsid w:val="239F4A6C"/>
    <w:rsid w:val="23B7504C"/>
    <w:rsid w:val="23F43D7F"/>
    <w:rsid w:val="23FE6532"/>
    <w:rsid w:val="24571307"/>
    <w:rsid w:val="2480772B"/>
    <w:rsid w:val="24AA236B"/>
    <w:rsid w:val="24BA3AE7"/>
    <w:rsid w:val="24FF18C5"/>
    <w:rsid w:val="25343050"/>
    <w:rsid w:val="25773FD5"/>
    <w:rsid w:val="2578016F"/>
    <w:rsid w:val="25BD046F"/>
    <w:rsid w:val="25E6609D"/>
    <w:rsid w:val="263335D8"/>
    <w:rsid w:val="26446DE3"/>
    <w:rsid w:val="26885BB6"/>
    <w:rsid w:val="26BB1B30"/>
    <w:rsid w:val="26BB67F0"/>
    <w:rsid w:val="26D7699F"/>
    <w:rsid w:val="27386B1B"/>
    <w:rsid w:val="27494E7F"/>
    <w:rsid w:val="276D527B"/>
    <w:rsid w:val="27C571A4"/>
    <w:rsid w:val="27F264F3"/>
    <w:rsid w:val="2826784C"/>
    <w:rsid w:val="28447CD2"/>
    <w:rsid w:val="28690B03"/>
    <w:rsid w:val="28BB1712"/>
    <w:rsid w:val="28C32732"/>
    <w:rsid w:val="28DF1432"/>
    <w:rsid w:val="28EA1EBD"/>
    <w:rsid w:val="29312F1A"/>
    <w:rsid w:val="295833A0"/>
    <w:rsid w:val="296C02F7"/>
    <w:rsid w:val="29797841"/>
    <w:rsid w:val="298D13C8"/>
    <w:rsid w:val="299B1B74"/>
    <w:rsid w:val="299B7DC6"/>
    <w:rsid w:val="29AB625B"/>
    <w:rsid w:val="29B652B8"/>
    <w:rsid w:val="29ED1565"/>
    <w:rsid w:val="29F10C73"/>
    <w:rsid w:val="2A7A0114"/>
    <w:rsid w:val="2A9A3142"/>
    <w:rsid w:val="2AFA0B1C"/>
    <w:rsid w:val="2AFA4C4F"/>
    <w:rsid w:val="2B774624"/>
    <w:rsid w:val="2BA967CA"/>
    <w:rsid w:val="2BAA40D8"/>
    <w:rsid w:val="2BB233F2"/>
    <w:rsid w:val="2BB7794B"/>
    <w:rsid w:val="2C7A72BE"/>
    <w:rsid w:val="2D0833E3"/>
    <w:rsid w:val="2D9B65E7"/>
    <w:rsid w:val="2DA94DE9"/>
    <w:rsid w:val="2DD05DD4"/>
    <w:rsid w:val="2DF41848"/>
    <w:rsid w:val="2ECC11CA"/>
    <w:rsid w:val="2EE45D6B"/>
    <w:rsid w:val="2F3B2DD9"/>
    <w:rsid w:val="2F401D3C"/>
    <w:rsid w:val="2F4546D7"/>
    <w:rsid w:val="2F57653D"/>
    <w:rsid w:val="2F9C21A2"/>
    <w:rsid w:val="2FA95C88"/>
    <w:rsid w:val="2FBC45F2"/>
    <w:rsid w:val="30365340"/>
    <w:rsid w:val="3041370F"/>
    <w:rsid w:val="304B663F"/>
    <w:rsid w:val="305B63A0"/>
    <w:rsid w:val="30640F12"/>
    <w:rsid w:val="306C426A"/>
    <w:rsid w:val="30BF083E"/>
    <w:rsid w:val="30BF332D"/>
    <w:rsid w:val="30CA2AF8"/>
    <w:rsid w:val="30F32296"/>
    <w:rsid w:val="312745E0"/>
    <w:rsid w:val="31341110"/>
    <w:rsid w:val="316B4522"/>
    <w:rsid w:val="31733B56"/>
    <w:rsid w:val="319B4E07"/>
    <w:rsid w:val="31C84EBF"/>
    <w:rsid w:val="32453A27"/>
    <w:rsid w:val="3263064A"/>
    <w:rsid w:val="326628AD"/>
    <w:rsid w:val="32AC0C06"/>
    <w:rsid w:val="32B24DB7"/>
    <w:rsid w:val="32BB55FA"/>
    <w:rsid w:val="32DF75CE"/>
    <w:rsid w:val="32EC297F"/>
    <w:rsid w:val="33264BA4"/>
    <w:rsid w:val="335039CF"/>
    <w:rsid w:val="338B2C59"/>
    <w:rsid w:val="33C443EE"/>
    <w:rsid w:val="33C8766E"/>
    <w:rsid w:val="341744ED"/>
    <w:rsid w:val="347F2B0C"/>
    <w:rsid w:val="349B3444"/>
    <w:rsid w:val="34D02B34"/>
    <w:rsid w:val="34DE302A"/>
    <w:rsid w:val="34F22868"/>
    <w:rsid w:val="34F238C0"/>
    <w:rsid w:val="351A4295"/>
    <w:rsid w:val="3526736A"/>
    <w:rsid w:val="3537750C"/>
    <w:rsid w:val="3537798C"/>
    <w:rsid w:val="35466E38"/>
    <w:rsid w:val="35501E63"/>
    <w:rsid w:val="35A2247A"/>
    <w:rsid w:val="35C13FC9"/>
    <w:rsid w:val="35DE286E"/>
    <w:rsid w:val="35F11FED"/>
    <w:rsid w:val="363A25DE"/>
    <w:rsid w:val="364257B6"/>
    <w:rsid w:val="36745C27"/>
    <w:rsid w:val="36DB7A54"/>
    <w:rsid w:val="370B658B"/>
    <w:rsid w:val="373250FB"/>
    <w:rsid w:val="374264D3"/>
    <w:rsid w:val="377E31E4"/>
    <w:rsid w:val="378F7A82"/>
    <w:rsid w:val="37AB6741"/>
    <w:rsid w:val="37CD3840"/>
    <w:rsid w:val="37D3697D"/>
    <w:rsid w:val="37DB7874"/>
    <w:rsid w:val="37EA5922"/>
    <w:rsid w:val="38276B93"/>
    <w:rsid w:val="382D2FA2"/>
    <w:rsid w:val="386760A6"/>
    <w:rsid w:val="388A2DB6"/>
    <w:rsid w:val="389271DA"/>
    <w:rsid w:val="38FB7DDE"/>
    <w:rsid w:val="393B1DDE"/>
    <w:rsid w:val="395D293D"/>
    <w:rsid w:val="39690067"/>
    <w:rsid w:val="39DF5AAD"/>
    <w:rsid w:val="3A0B64A7"/>
    <w:rsid w:val="3A8A77C7"/>
    <w:rsid w:val="3A9467EB"/>
    <w:rsid w:val="3A956648"/>
    <w:rsid w:val="3AA0523C"/>
    <w:rsid w:val="3AF235BE"/>
    <w:rsid w:val="3AF439F8"/>
    <w:rsid w:val="3AF74C02"/>
    <w:rsid w:val="3AFE3587"/>
    <w:rsid w:val="3B2B5BDA"/>
    <w:rsid w:val="3B787467"/>
    <w:rsid w:val="3BAA45F3"/>
    <w:rsid w:val="3BD37655"/>
    <w:rsid w:val="3C0059A5"/>
    <w:rsid w:val="3C0161AE"/>
    <w:rsid w:val="3C123F18"/>
    <w:rsid w:val="3C134E78"/>
    <w:rsid w:val="3C153BDD"/>
    <w:rsid w:val="3DB37034"/>
    <w:rsid w:val="3DC94AAA"/>
    <w:rsid w:val="3DF6345D"/>
    <w:rsid w:val="3DF77869"/>
    <w:rsid w:val="3E012496"/>
    <w:rsid w:val="3E2264C8"/>
    <w:rsid w:val="3E250AAC"/>
    <w:rsid w:val="3E2E077F"/>
    <w:rsid w:val="3E611186"/>
    <w:rsid w:val="3E9E4D67"/>
    <w:rsid w:val="3EC62D97"/>
    <w:rsid w:val="3EE13701"/>
    <w:rsid w:val="3EED47C8"/>
    <w:rsid w:val="3F06275E"/>
    <w:rsid w:val="3F193D10"/>
    <w:rsid w:val="3F1A4BB3"/>
    <w:rsid w:val="3F2E73F0"/>
    <w:rsid w:val="3F911751"/>
    <w:rsid w:val="3FC8243A"/>
    <w:rsid w:val="40171BBD"/>
    <w:rsid w:val="40192BA6"/>
    <w:rsid w:val="401A15ED"/>
    <w:rsid w:val="40464F7D"/>
    <w:rsid w:val="406B4C56"/>
    <w:rsid w:val="4091778D"/>
    <w:rsid w:val="409E221E"/>
    <w:rsid w:val="41112A10"/>
    <w:rsid w:val="411249BA"/>
    <w:rsid w:val="415A5531"/>
    <w:rsid w:val="41637842"/>
    <w:rsid w:val="419D4283"/>
    <w:rsid w:val="41DD42A4"/>
    <w:rsid w:val="41FD2F74"/>
    <w:rsid w:val="42064B73"/>
    <w:rsid w:val="42511F4D"/>
    <w:rsid w:val="42550A18"/>
    <w:rsid w:val="42935AF8"/>
    <w:rsid w:val="42B75819"/>
    <w:rsid w:val="42F473A1"/>
    <w:rsid w:val="43163866"/>
    <w:rsid w:val="431F6BD0"/>
    <w:rsid w:val="441E62C0"/>
    <w:rsid w:val="443237DE"/>
    <w:rsid w:val="448C1D2B"/>
    <w:rsid w:val="44942A12"/>
    <w:rsid w:val="44966957"/>
    <w:rsid w:val="44C61D43"/>
    <w:rsid w:val="44CF5BAF"/>
    <w:rsid w:val="44E64001"/>
    <w:rsid w:val="45702D99"/>
    <w:rsid w:val="45811C7C"/>
    <w:rsid w:val="45C5024D"/>
    <w:rsid w:val="45C856C5"/>
    <w:rsid w:val="45D15F60"/>
    <w:rsid w:val="45DB40BE"/>
    <w:rsid w:val="462A4554"/>
    <w:rsid w:val="468B3EFB"/>
    <w:rsid w:val="469E5ADC"/>
    <w:rsid w:val="470A6193"/>
    <w:rsid w:val="47174AD8"/>
    <w:rsid w:val="47632E4D"/>
    <w:rsid w:val="479F062A"/>
    <w:rsid w:val="47BC567F"/>
    <w:rsid w:val="47DC4F5C"/>
    <w:rsid w:val="47F470DF"/>
    <w:rsid w:val="48213006"/>
    <w:rsid w:val="484216E1"/>
    <w:rsid w:val="4851401A"/>
    <w:rsid w:val="48B01114"/>
    <w:rsid w:val="48B40671"/>
    <w:rsid w:val="48D71B69"/>
    <w:rsid w:val="48E219B5"/>
    <w:rsid w:val="490D24E3"/>
    <w:rsid w:val="491017DF"/>
    <w:rsid w:val="491955D0"/>
    <w:rsid w:val="49285E5D"/>
    <w:rsid w:val="497F04AA"/>
    <w:rsid w:val="498E3401"/>
    <w:rsid w:val="499B5738"/>
    <w:rsid w:val="499F244D"/>
    <w:rsid w:val="49E7765F"/>
    <w:rsid w:val="49F372BC"/>
    <w:rsid w:val="4A063E75"/>
    <w:rsid w:val="4A317C5F"/>
    <w:rsid w:val="4A6F6859"/>
    <w:rsid w:val="4A7E6809"/>
    <w:rsid w:val="4A8F58C2"/>
    <w:rsid w:val="4AD36CBA"/>
    <w:rsid w:val="4ADB5E1D"/>
    <w:rsid w:val="4AF96BC7"/>
    <w:rsid w:val="4B700B92"/>
    <w:rsid w:val="4B70401F"/>
    <w:rsid w:val="4BBE2E56"/>
    <w:rsid w:val="4BF67355"/>
    <w:rsid w:val="4BF947AC"/>
    <w:rsid w:val="4C1D608B"/>
    <w:rsid w:val="4C4A0834"/>
    <w:rsid w:val="4C6D0CF6"/>
    <w:rsid w:val="4C6E3986"/>
    <w:rsid w:val="4C7B4F91"/>
    <w:rsid w:val="4C854292"/>
    <w:rsid w:val="4CAA7324"/>
    <w:rsid w:val="4CB4049F"/>
    <w:rsid w:val="4CD75F43"/>
    <w:rsid w:val="4CEF36E2"/>
    <w:rsid w:val="4D063625"/>
    <w:rsid w:val="4D333749"/>
    <w:rsid w:val="4D6B4117"/>
    <w:rsid w:val="4DE350EA"/>
    <w:rsid w:val="4E041B47"/>
    <w:rsid w:val="4E11738D"/>
    <w:rsid w:val="4E19509F"/>
    <w:rsid w:val="4E3E6DEE"/>
    <w:rsid w:val="4E6833E5"/>
    <w:rsid w:val="4E933360"/>
    <w:rsid w:val="4ECA2430"/>
    <w:rsid w:val="4EE13E45"/>
    <w:rsid w:val="4F372FFB"/>
    <w:rsid w:val="4F412DB8"/>
    <w:rsid w:val="4F4C553B"/>
    <w:rsid w:val="4F5F0D84"/>
    <w:rsid w:val="4F9901E7"/>
    <w:rsid w:val="4FBA39FD"/>
    <w:rsid w:val="4FFD05E3"/>
    <w:rsid w:val="50A301BF"/>
    <w:rsid w:val="50B12FCB"/>
    <w:rsid w:val="50FD23B2"/>
    <w:rsid w:val="51143A3F"/>
    <w:rsid w:val="517B2107"/>
    <w:rsid w:val="522235AC"/>
    <w:rsid w:val="52446209"/>
    <w:rsid w:val="524B2A87"/>
    <w:rsid w:val="528717D2"/>
    <w:rsid w:val="52BF46A2"/>
    <w:rsid w:val="52C10D75"/>
    <w:rsid w:val="53C53139"/>
    <w:rsid w:val="53D13565"/>
    <w:rsid w:val="54030C73"/>
    <w:rsid w:val="54264468"/>
    <w:rsid w:val="545C1955"/>
    <w:rsid w:val="54880DC3"/>
    <w:rsid w:val="54EE24B5"/>
    <w:rsid w:val="54EE6300"/>
    <w:rsid w:val="550A4D3D"/>
    <w:rsid w:val="550C4BD7"/>
    <w:rsid w:val="55572986"/>
    <w:rsid w:val="55A03EEB"/>
    <w:rsid w:val="55A57753"/>
    <w:rsid w:val="55AE1E66"/>
    <w:rsid w:val="55E81E7D"/>
    <w:rsid w:val="563F3703"/>
    <w:rsid w:val="564C575A"/>
    <w:rsid w:val="565A30DD"/>
    <w:rsid w:val="56722169"/>
    <w:rsid w:val="56CD5F45"/>
    <w:rsid w:val="56F867AC"/>
    <w:rsid w:val="56FD06B0"/>
    <w:rsid w:val="575136EE"/>
    <w:rsid w:val="57C85A68"/>
    <w:rsid w:val="57FB18AC"/>
    <w:rsid w:val="58192866"/>
    <w:rsid w:val="587F24DD"/>
    <w:rsid w:val="58A00256"/>
    <w:rsid w:val="58AB22DA"/>
    <w:rsid w:val="590B1FC3"/>
    <w:rsid w:val="593B28A8"/>
    <w:rsid w:val="593B3BD2"/>
    <w:rsid w:val="594E7404"/>
    <w:rsid w:val="59575208"/>
    <w:rsid w:val="599700AC"/>
    <w:rsid w:val="599C69C7"/>
    <w:rsid w:val="59E7169B"/>
    <w:rsid w:val="5A292701"/>
    <w:rsid w:val="5A295DEF"/>
    <w:rsid w:val="5A30659B"/>
    <w:rsid w:val="5A612779"/>
    <w:rsid w:val="5B0F3503"/>
    <w:rsid w:val="5B264E92"/>
    <w:rsid w:val="5B6F05E7"/>
    <w:rsid w:val="5BBA3F03"/>
    <w:rsid w:val="5BF925A6"/>
    <w:rsid w:val="5C4D306A"/>
    <w:rsid w:val="5C602626"/>
    <w:rsid w:val="5CF27722"/>
    <w:rsid w:val="5D027239"/>
    <w:rsid w:val="5D3F7C0D"/>
    <w:rsid w:val="5D4A535E"/>
    <w:rsid w:val="5D4A7061"/>
    <w:rsid w:val="5D7C0C06"/>
    <w:rsid w:val="5DB771CD"/>
    <w:rsid w:val="5E035108"/>
    <w:rsid w:val="5E196F30"/>
    <w:rsid w:val="5E5C7260"/>
    <w:rsid w:val="5E7D31AE"/>
    <w:rsid w:val="5E7E0AC9"/>
    <w:rsid w:val="5ECB5E31"/>
    <w:rsid w:val="5ECF2E99"/>
    <w:rsid w:val="5F11267F"/>
    <w:rsid w:val="5F5F3E75"/>
    <w:rsid w:val="5F9564C3"/>
    <w:rsid w:val="5FA02317"/>
    <w:rsid w:val="5FA17E9D"/>
    <w:rsid w:val="5FA623D2"/>
    <w:rsid w:val="5FDB26EF"/>
    <w:rsid w:val="600357A2"/>
    <w:rsid w:val="6048223E"/>
    <w:rsid w:val="606007BB"/>
    <w:rsid w:val="606241FC"/>
    <w:rsid w:val="60A925E9"/>
    <w:rsid w:val="60AA0313"/>
    <w:rsid w:val="60AC7F66"/>
    <w:rsid w:val="610C0686"/>
    <w:rsid w:val="6155374A"/>
    <w:rsid w:val="618835DC"/>
    <w:rsid w:val="61932B55"/>
    <w:rsid w:val="61BF10D9"/>
    <w:rsid w:val="623373A1"/>
    <w:rsid w:val="62CC275F"/>
    <w:rsid w:val="62E43779"/>
    <w:rsid w:val="630F26B0"/>
    <w:rsid w:val="63115261"/>
    <w:rsid w:val="631B47CF"/>
    <w:rsid w:val="633330CC"/>
    <w:rsid w:val="636724EC"/>
    <w:rsid w:val="637F5A87"/>
    <w:rsid w:val="641071D4"/>
    <w:rsid w:val="641D6482"/>
    <w:rsid w:val="641E4103"/>
    <w:rsid w:val="646C4DA5"/>
    <w:rsid w:val="64860422"/>
    <w:rsid w:val="64A372BF"/>
    <w:rsid w:val="64E45EF7"/>
    <w:rsid w:val="64EC646C"/>
    <w:rsid w:val="6509133A"/>
    <w:rsid w:val="65297A59"/>
    <w:rsid w:val="653B0166"/>
    <w:rsid w:val="65A04580"/>
    <w:rsid w:val="65B30041"/>
    <w:rsid w:val="65BD1428"/>
    <w:rsid w:val="65CF5DD8"/>
    <w:rsid w:val="661B0F08"/>
    <w:rsid w:val="662E2D27"/>
    <w:rsid w:val="66465DA1"/>
    <w:rsid w:val="665E7BD6"/>
    <w:rsid w:val="667016B7"/>
    <w:rsid w:val="66AD6233"/>
    <w:rsid w:val="66F213E6"/>
    <w:rsid w:val="67223908"/>
    <w:rsid w:val="67432943"/>
    <w:rsid w:val="67705E13"/>
    <w:rsid w:val="677435B2"/>
    <w:rsid w:val="67AF6D78"/>
    <w:rsid w:val="67EF75F1"/>
    <w:rsid w:val="67FB0571"/>
    <w:rsid w:val="680074CF"/>
    <w:rsid w:val="683062C3"/>
    <w:rsid w:val="68631177"/>
    <w:rsid w:val="689D71D2"/>
    <w:rsid w:val="68F83653"/>
    <w:rsid w:val="69026F3E"/>
    <w:rsid w:val="69124F16"/>
    <w:rsid w:val="69317C5A"/>
    <w:rsid w:val="694110E9"/>
    <w:rsid w:val="6956755C"/>
    <w:rsid w:val="699851AD"/>
    <w:rsid w:val="69B93F76"/>
    <w:rsid w:val="69CD5C14"/>
    <w:rsid w:val="69CF0D33"/>
    <w:rsid w:val="6A27443D"/>
    <w:rsid w:val="6A370C39"/>
    <w:rsid w:val="6A46004E"/>
    <w:rsid w:val="6AA02F54"/>
    <w:rsid w:val="6ABF3227"/>
    <w:rsid w:val="6ACE4BFE"/>
    <w:rsid w:val="6B086362"/>
    <w:rsid w:val="6B1233C4"/>
    <w:rsid w:val="6B4252FA"/>
    <w:rsid w:val="6B540076"/>
    <w:rsid w:val="6B564E25"/>
    <w:rsid w:val="6B592734"/>
    <w:rsid w:val="6B697699"/>
    <w:rsid w:val="6B9946B3"/>
    <w:rsid w:val="6B9A2A76"/>
    <w:rsid w:val="6BAB5DDA"/>
    <w:rsid w:val="6BBB33D4"/>
    <w:rsid w:val="6BD319F3"/>
    <w:rsid w:val="6BE15B7A"/>
    <w:rsid w:val="6BE23912"/>
    <w:rsid w:val="6BF05ED5"/>
    <w:rsid w:val="6C9A56E0"/>
    <w:rsid w:val="6CD35B8E"/>
    <w:rsid w:val="6D0F1158"/>
    <w:rsid w:val="6D125276"/>
    <w:rsid w:val="6D3442EB"/>
    <w:rsid w:val="6D747A86"/>
    <w:rsid w:val="6DA851C0"/>
    <w:rsid w:val="6DE76850"/>
    <w:rsid w:val="6E450F8F"/>
    <w:rsid w:val="6E751F61"/>
    <w:rsid w:val="6E8817FA"/>
    <w:rsid w:val="6E9E444E"/>
    <w:rsid w:val="6EB90E26"/>
    <w:rsid w:val="6EBE0CB5"/>
    <w:rsid w:val="6EDD1EFA"/>
    <w:rsid w:val="6EFA3324"/>
    <w:rsid w:val="6F3B2DC5"/>
    <w:rsid w:val="6F5243D5"/>
    <w:rsid w:val="6F8E1280"/>
    <w:rsid w:val="6FB20BD4"/>
    <w:rsid w:val="6FBA59BE"/>
    <w:rsid w:val="6FC44E85"/>
    <w:rsid w:val="6FEC1DAE"/>
    <w:rsid w:val="7021099E"/>
    <w:rsid w:val="70296B3E"/>
    <w:rsid w:val="70611204"/>
    <w:rsid w:val="706856BC"/>
    <w:rsid w:val="7080101B"/>
    <w:rsid w:val="70DA42FD"/>
    <w:rsid w:val="70E909E4"/>
    <w:rsid w:val="718E1C30"/>
    <w:rsid w:val="71A524C3"/>
    <w:rsid w:val="71C773DD"/>
    <w:rsid w:val="71D051A7"/>
    <w:rsid w:val="71E2790D"/>
    <w:rsid w:val="726D687E"/>
    <w:rsid w:val="7285473C"/>
    <w:rsid w:val="7290345A"/>
    <w:rsid w:val="72AE3C93"/>
    <w:rsid w:val="72CB65F3"/>
    <w:rsid w:val="72E313BA"/>
    <w:rsid w:val="72E82FEB"/>
    <w:rsid w:val="73792049"/>
    <w:rsid w:val="73B20337"/>
    <w:rsid w:val="73B45210"/>
    <w:rsid w:val="73C53C4F"/>
    <w:rsid w:val="73EF4563"/>
    <w:rsid w:val="74570BCA"/>
    <w:rsid w:val="74B35591"/>
    <w:rsid w:val="74DC4067"/>
    <w:rsid w:val="74F30F57"/>
    <w:rsid w:val="74F7651B"/>
    <w:rsid w:val="74FA2C30"/>
    <w:rsid w:val="751D6EAE"/>
    <w:rsid w:val="753D64D1"/>
    <w:rsid w:val="75520425"/>
    <w:rsid w:val="75AB0BE4"/>
    <w:rsid w:val="75EC16B5"/>
    <w:rsid w:val="760342F6"/>
    <w:rsid w:val="763C5112"/>
    <w:rsid w:val="767174B1"/>
    <w:rsid w:val="76B26134"/>
    <w:rsid w:val="76C70E7F"/>
    <w:rsid w:val="76EB7264"/>
    <w:rsid w:val="77D53312"/>
    <w:rsid w:val="77D772CE"/>
    <w:rsid w:val="77E77636"/>
    <w:rsid w:val="781E69D1"/>
    <w:rsid w:val="78574485"/>
    <w:rsid w:val="785F266A"/>
    <w:rsid w:val="787C2AE0"/>
    <w:rsid w:val="789A00BF"/>
    <w:rsid w:val="78AA6CAB"/>
    <w:rsid w:val="78AF2513"/>
    <w:rsid w:val="78B10A72"/>
    <w:rsid w:val="7908577F"/>
    <w:rsid w:val="79393B8B"/>
    <w:rsid w:val="79690791"/>
    <w:rsid w:val="797A1842"/>
    <w:rsid w:val="79AE4579"/>
    <w:rsid w:val="79BF0C86"/>
    <w:rsid w:val="79EE2BC7"/>
    <w:rsid w:val="7A316DFD"/>
    <w:rsid w:val="7A6D3F75"/>
    <w:rsid w:val="7AF46346"/>
    <w:rsid w:val="7B0F5EBF"/>
    <w:rsid w:val="7B130FB9"/>
    <w:rsid w:val="7B1F0F17"/>
    <w:rsid w:val="7B22521E"/>
    <w:rsid w:val="7B534406"/>
    <w:rsid w:val="7B815275"/>
    <w:rsid w:val="7BB754A1"/>
    <w:rsid w:val="7BBB4D2B"/>
    <w:rsid w:val="7BCC0CE6"/>
    <w:rsid w:val="7BD33389"/>
    <w:rsid w:val="7BF64EDE"/>
    <w:rsid w:val="7C253FBF"/>
    <w:rsid w:val="7C400C1E"/>
    <w:rsid w:val="7C486DA1"/>
    <w:rsid w:val="7C6E0C81"/>
    <w:rsid w:val="7CD2473A"/>
    <w:rsid w:val="7CE9753D"/>
    <w:rsid w:val="7CEE0BDD"/>
    <w:rsid w:val="7D1B0177"/>
    <w:rsid w:val="7D497293"/>
    <w:rsid w:val="7D4D0BA1"/>
    <w:rsid w:val="7D671F3B"/>
    <w:rsid w:val="7D747887"/>
    <w:rsid w:val="7D760D57"/>
    <w:rsid w:val="7DA63EE4"/>
    <w:rsid w:val="7DD11708"/>
    <w:rsid w:val="7DD76BCD"/>
    <w:rsid w:val="7DE06CCB"/>
    <w:rsid w:val="7DE65456"/>
    <w:rsid w:val="7E010BEF"/>
    <w:rsid w:val="7E210668"/>
    <w:rsid w:val="7E71556B"/>
    <w:rsid w:val="7E7713DD"/>
    <w:rsid w:val="7E776680"/>
    <w:rsid w:val="7E8104AE"/>
    <w:rsid w:val="7EBC46EA"/>
    <w:rsid w:val="7EC167BD"/>
    <w:rsid w:val="7F390D88"/>
    <w:rsid w:val="7F467964"/>
    <w:rsid w:val="7FA97FCE"/>
    <w:rsid w:val="7FCA378E"/>
    <w:rsid w:val="7FD7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20"/>
    </w:rPr>
  </w:style>
  <w:style w:type="paragraph" w:styleId="5">
    <w:name w:val="heading 2"/>
    <w:basedOn w:val="1"/>
    <w:next w:val="6"/>
    <w:link w:val="41"/>
    <w:autoRedefine/>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8"/>
    <w:autoRedefine/>
    <w:qFormat/>
    <w:uiPriority w:val="9"/>
    <w:pPr>
      <w:keepNext/>
      <w:keepLines/>
      <w:spacing w:before="260" w:after="260" w:line="413" w:lineRule="auto"/>
      <w:outlineLvl w:val="2"/>
    </w:pPr>
    <w:rPr>
      <w:b/>
      <w:sz w:val="32"/>
    </w:rPr>
  </w:style>
  <w:style w:type="paragraph" w:styleId="9">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paragraph" w:styleId="10">
    <w:name w:val="heading 5"/>
    <w:basedOn w:val="1"/>
    <w:next w:val="11"/>
    <w:link w:val="42"/>
    <w:autoRedefine/>
    <w:qFormat/>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spacing w:before="25" w:after="25" w:line="300" w:lineRule="auto"/>
      <w:ind w:firstLine="200" w:firstLineChars="200"/>
    </w:pPr>
    <w:rPr>
      <w:spacing w:val="10"/>
      <w:kern w:val="0"/>
      <w:sz w:val="24"/>
    </w:rPr>
  </w:style>
  <w:style w:type="paragraph" w:styleId="3">
    <w:name w:val="Body Text"/>
    <w:basedOn w:val="1"/>
    <w:link w:val="40"/>
    <w:autoRedefine/>
    <w:qFormat/>
    <w:uiPriority w:val="0"/>
    <w:pPr>
      <w:spacing w:after="120"/>
    </w:pPr>
  </w:style>
  <w:style w:type="paragraph" w:customStyle="1" w:styleId="6">
    <w:name w:val="正文2"/>
    <w:basedOn w:val="1"/>
    <w:qFormat/>
    <w:uiPriority w:val="0"/>
    <w:pPr>
      <w:jc w:val="center"/>
    </w:pPr>
  </w:style>
  <w:style w:type="paragraph" w:customStyle="1" w:styleId="8">
    <w:name w:val="咨询-正文"/>
    <w:basedOn w:val="1"/>
    <w:qFormat/>
    <w:uiPriority w:val="0"/>
    <w:pPr>
      <w:ind w:firstLine="560" w:firstLineChars="200"/>
      <w:jc w:val="both"/>
    </w:pPr>
  </w:style>
  <w:style w:type="paragraph" w:styleId="11">
    <w:name w:val="Normal Indent"/>
    <w:basedOn w:val="1"/>
    <w:autoRedefine/>
    <w:qFormat/>
    <w:uiPriority w:val="0"/>
    <w:pPr>
      <w:ind w:firstLine="420"/>
    </w:pPr>
    <w:rPr>
      <w:szCs w:val="20"/>
    </w:r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Document Map"/>
    <w:basedOn w:val="1"/>
    <w:link w:val="43"/>
    <w:autoRedefine/>
    <w:qFormat/>
    <w:uiPriority w:val="0"/>
    <w:rPr>
      <w:rFonts w:ascii="宋体"/>
      <w:sz w:val="18"/>
      <w:szCs w:val="18"/>
    </w:rPr>
  </w:style>
  <w:style w:type="paragraph" w:styleId="14">
    <w:name w:val="annotation text"/>
    <w:basedOn w:val="1"/>
    <w:link w:val="44"/>
    <w:autoRedefine/>
    <w:qFormat/>
    <w:uiPriority w:val="0"/>
    <w:pPr>
      <w:jc w:val="left"/>
    </w:pPr>
  </w:style>
  <w:style w:type="paragraph" w:styleId="15">
    <w:name w:val="Body Text 3"/>
    <w:basedOn w:val="1"/>
    <w:link w:val="45"/>
    <w:autoRedefine/>
    <w:qFormat/>
    <w:uiPriority w:val="0"/>
    <w:pPr>
      <w:spacing w:after="120"/>
    </w:pPr>
    <w:rPr>
      <w:sz w:val="16"/>
      <w:szCs w:val="16"/>
    </w:rPr>
  </w:style>
  <w:style w:type="paragraph" w:styleId="16">
    <w:name w:val="Body Text Indent"/>
    <w:basedOn w:val="1"/>
    <w:link w:val="46"/>
    <w:autoRedefine/>
    <w:qFormat/>
    <w:uiPriority w:val="0"/>
    <w:pPr>
      <w:ind w:firstLine="830" w:firstLineChars="352"/>
    </w:pPr>
    <w:rPr>
      <w:rFonts w:ascii="仿宋_GB2312" w:eastAsia="仿宋_GB2312"/>
      <w:kern w:val="0"/>
      <w:sz w:val="32"/>
      <w:szCs w:val="20"/>
    </w:rPr>
  </w:style>
  <w:style w:type="paragraph" w:styleId="17">
    <w:name w:val="List 2"/>
    <w:basedOn w:val="1"/>
    <w:autoRedefine/>
    <w:qFormat/>
    <w:uiPriority w:val="0"/>
    <w:pPr>
      <w:ind w:left="100" w:leftChars="200" w:hanging="200" w:hangingChars="200"/>
      <w:contextualSpacing/>
    </w:pPr>
  </w:style>
  <w:style w:type="paragraph" w:styleId="18">
    <w:name w:val="Plain Text"/>
    <w:basedOn w:val="1"/>
    <w:link w:val="47"/>
    <w:autoRedefine/>
    <w:qFormat/>
    <w:uiPriority w:val="0"/>
    <w:rPr>
      <w:rFonts w:ascii="宋体" w:hAnsi="Courier New"/>
      <w:kern w:val="0"/>
      <w:sz w:val="20"/>
      <w:szCs w:val="21"/>
    </w:rPr>
  </w:style>
  <w:style w:type="paragraph" w:styleId="19">
    <w:name w:val="Date"/>
    <w:basedOn w:val="1"/>
    <w:next w:val="1"/>
    <w:link w:val="48"/>
    <w:autoRedefine/>
    <w:qFormat/>
    <w:uiPriority w:val="0"/>
    <w:pPr>
      <w:ind w:left="100" w:leftChars="2500"/>
    </w:pPr>
  </w:style>
  <w:style w:type="paragraph" w:styleId="20">
    <w:name w:val="Balloon Text"/>
    <w:basedOn w:val="1"/>
    <w:autoRedefine/>
    <w:qFormat/>
    <w:uiPriority w:val="0"/>
    <w:rPr>
      <w:sz w:val="18"/>
      <w:szCs w:val="18"/>
    </w:rPr>
  </w:style>
  <w:style w:type="paragraph" w:styleId="21">
    <w:name w:val="footer"/>
    <w:basedOn w:val="1"/>
    <w:next w:val="1"/>
    <w:link w:val="49"/>
    <w:autoRedefine/>
    <w:qFormat/>
    <w:uiPriority w:val="0"/>
    <w:pPr>
      <w:tabs>
        <w:tab w:val="center" w:pos="4153"/>
        <w:tab w:val="right" w:pos="8306"/>
      </w:tabs>
      <w:snapToGrid w:val="0"/>
      <w:jc w:val="left"/>
    </w:pPr>
    <w:rPr>
      <w:kern w:val="0"/>
      <w:sz w:val="18"/>
      <w:szCs w:val="18"/>
    </w:rPr>
  </w:style>
  <w:style w:type="paragraph" w:styleId="22">
    <w:name w:val="header"/>
    <w:basedOn w:val="1"/>
    <w:link w:val="50"/>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qFormat/>
    <w:uiPriority w:val="0"/>
  </w:style>
  <w:style w:type="paragraph" w:styleId="24">
    <w:name w:val="toc 2"/>
    <w:basedOn w:val="1"/>
    <w:next w:val="1"/>
    <w:autoRedefine/>
    <w:qFormat/>
    <w:uiPriority w:val="0"/>
    <w:pPr>
      <w:tabs>
        <w:tab w:val="right" w:leader="dot" w:pos="8296"/>
      </w:tabs>
      <w:ind w:left="420" w:leftChars="200"/>
    </w:pPr>
  </w:style>
  <w:style w:type="paragraph" w:styleId="25">
    <w:name w:val="Normal (Web)"/>
    <w:basedOn w:val="1"/>
    <w:autoRedefine/>
    <w:qFormat/>
    <w:uiPriority w:val="0"/>
    <w:rPr>
      <w:rFonts w:ascii="Calibri" w:hAnsi="Calibri"/>
      <w:kern w:val="0"/>
      <w:sz w:val="24"/>
    </w:rPr>
  </w:style>
  <w:style w:type="paragraph" w:styleId="26">
    <w:name w:val="annotation subject"/>
    <w:basedOn w:val="14"/>
    <w:next w:val="14"/>
    <w:link w:val="51"/>
    <w:autoRedefine/>
    <w:qFormat/>
    <w:uiPriority w:val="0"/>
    <w:rPr>
      <w:b/>
      <w:bCs/>
    </w:rPr>
  </w:style>
  <w:style w:type="paragraph" w:styleId="27">
    <w:name w:val="Body Text First Indent"/>
    <w:basedOn w:val="3"/>
    <w:autoRedefine/>
    <w:qFormat/>
    <w:uiPriority w:val="0"/>
    <w:pPr>
      <w:ind w:firstLine="420" w:firstLineChars="100"/>
    </w:pPr>
  </w:style>
  <w:style w:type="paragraph" w:styleId="28">
    <w:name w:val="Body Text First Indent 2"/>
    <w:basedOn w:val="16"/>
    <w:autoRedefine/>
    <w:qFormat/>
    <w:uiPriority w:val="0"/>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qFormat/>
    <w:uiPriority w:val="0"/>
  </w:style>
  <w:style w:type="character" w:styleId="34">
    <w:name w:val="Hyperlink"/>
    <w:autoRedefine/>
    <w:qFormat/>
    <w:uiPriority w:val="0"/>
    <w:rPr>
      <w:rFonts w:ascii="Times New Roman" w:hAnsi="Times New Roman" w:eastAsia="宋体" w:cs="Times New Roman"/>
      <w:color w:val="0000FF"/>
      <w:u w:val="single"/>
    </w:rPr>
  </w:style>
  <w:style w:type="character" w:styleId="35">
    <w:name w:val="annotation reference"/>
    <w:autoRedefine/>
    <w:qFormat/>
    <w:uiPriority w:val="0"/>
    <w:rPr>
      <w:rFonts w:ascii="Times New Roman" w:hAnsi="Times New Roman" w:eastAsia="宋体" w:cs="Times New Roman"/>
      <w:sz w:val="21"/>
      <w:szCs w:val="21"/>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TOC 标题2"/>
    <w:next w:val="1"/>
    <w:autoRedefine/>
    <w:qFormat/>
    <w:uiPriority w:val="99"/>
    <w:pPr>
      <w:wordWrap w:val="0"/>
    </w:pPr>
    <w:rPr>
      <w:rFonts w:ascii="Calibri" w:hAnsi="Calibri" w:eastAsia="宋体" w:cs="Times New Roman"/>
      <w:sz w:val="32"/>
      <w:lang w:val="en-US" w:eastAsia="zh-CN" w:bidi="ar-SA"/>
    </w:rPr>
  </w:style>
  <w:style w:type="paragraph" w:customStyle="1" w:styleId="38">
    <w:name w:val="TOC 标题1"/>
    <w:basedOn w:val="4"/>
    <w:next w:val="1"/>
    <w:qFormat/>
    <w:uiPriority w:val="39"/>
    <w:pPr>
      <w:widowControl/>
      <w:tabs>
        <w:tab w:val="left" w:pos="0"/>
        <w:tab w:val="left" w:pos="1080"/>
      </w:tabs>
      <w:spacing w:before="480" w:after="0" w:line="276" w:lineRule="auto"/>
      <w:ind w:hanging="420"/>
      <w:jc w:val="left"/>
      <w:outlineLvl w:val="9"/>
    </w:pPr>
    <w:rPr>
      <w:rFonts w:ascii="Cambria" w:hAnsi="Cambria"/>
      <w:bCs/>
      <w:color w:val="365F91"/>
      <w:kern w:val="0"/>
      <w:sz w:val="28"/>
      <w:szCs w:val="28"/>
    </w:rPr>
  </w:style>
  <w:style w:type="paragraph" w:customStyle="1" w:styleId="39">
    <w:name w:val="NormalIndent"/>
    <w:basedOn w:val="1"/>
    <w:autoRedefine/>
    <w:qFormat/>
    <w:uiPriority w:val="0"/>
    <w:pPr>
      <w:ind w:firstLine="420"/>
    </w:pPr>
    <w:rPr>
      <w:szCs w:val="21"/>
    </w:rPr>
  </w:style>
  <w:style w:type="character" w:customStyle="1" w:styleId="40">
    <w:name w:val="正文文本 字符"/>
    <w:link w:val="3"/>
    <w:autoRedefine/>
    <w:qFormat/>
    <w:uiPriority w:val="0"/>
    <w:rPr>
      <w:rFonts w:ascii="Times New Roman" w:hAnsi="Times New Roman" w:eastAsia="宋体" w:cs="Times New Roman"/>
      <w:kern w:val="2"/>
      <w:sz w:val="21"/>
      <w:szCs w:val="24"/>
    </w:rPr>
  </w:style>
  <w:style w:type="character" w:customStyle="1" w:styleId="41">
    <w:name w:val="标题 2 字符"/>
    <w:link w:val="5"/>
    <w:autoRedefine/>
    <w:qFormat/>
    <w:uiPriority w:val="0"/>
    <w:rPr>
      <w:rFonts w:ascii="Cambria" w:hAnsi="Cambria" w:eastAsia="宋体" w:cs="Times New Roman"/>
      <w:b/>
      <w:bCs/>
      <w:kern w:val="2"/>
      <w:sz w:val="32"/>
      <w:szCs w:val="32"/>
    </w:rPr>
  </w:style>
  <w:style w:type="character" w:customStyle="1" w:styleId="42">
    <w:name w:val="标题 5 字符"/>
    <w:link w:val="10"/>
    <w:autoRedefine/>
    <w:qFormat/>
    <w:uiPriority w:val="0"/>
    <w:rPr>
      <w:rFonts w:ascii="Times New Roman" w:hAnsi="Times New Roman" w:eastAsia="宋体" w:cs="Times New Roman"/>
      <w:b/>
      <w:bCs/>
      <w:kern w:val="2"/>
      <w:sz w:val="28"/>
      <w:szCs w:val="28"/>
    </w:rPr>
  </w:style>
  <w:style w:type="character" w:customStyle="1" w:styleId="43">
    <w:name w:val="文档结构图 字符"/>
    <w:basedOn w:val="31"/>
    <w:link w:val="13"/>
    <w:autoRedefine/>
    <w:qFormat/>
    <w:uiPriority w:val="0"/>
    <w:rPr>
      <w:rFonts w:ascii="宋体"/>
      <w:kern w:val="2"/>
      <w:sz w:val="18"/>
      <w:szCs w:val="18"/>
    </w:rPr>
  </w:style>
  <w:style w:type="character" w:customStyle="1" w:styleId="44">
    <w:name w:val="批注文字 字符"/>
    <w:link w:val="14"/>
    <w:autoRedefine/>
    <w:qFormat/>
    <w:uiPriority w:val="0"/>
    <w:rPr>
      <w:rFonts w:ascii="Times New Roman" w:hAnsi="Times New Roman" w:eastAsia="宋体" w:cs="Times New Roman"/>
      <w:kern w:val="2"/>
      <w:sz w:val="21"/>
      <w:szCs w:val="24"/>
    </w:rPr>
  </w:style>
  <w:style w:type="character" w:customStyle="1" w:styleId="45">
    <w:name w:val="正文文本 3 字符"/>
    <w:link w:val="15"/>
    <w:autoRedefine/>
    <w:qFormat/>
    <w:uiPriority w:val="0"/>
    <w:rPr>
      <w:rFonts w:ascii="Times New Roman" w:hAnsi="Times New Roman" w:eastAsia="宋体" w:cs="Times New Roman"/>
      <w:kern w:val="2"/>
      <w:sz w:val="16"/>
      <w:szCs w:val="16"/>
    </w:rPr>
  </w:style>
  <w:style w:type="character" w:customStyle="1" w:styleId="46">
    <w:name w:val="正文文本缩进 字符"/>
    <w:link w:val="16"/>
    <w:autoRedefine/>
    <w:qFormat/>
    <w:uiPriority w:val="0"/>
    <w:rPr>
      <w:rFonts w:ascii="仿宋_GB2312" w:hAnsi="Times New Roman" w:eastAsia="仿宋_GB2312" w:cs="Times New Roman"/>
      <w:sz w:val="32"/>
      <w:szCs w:val="20"/>
    </w:rPr>
  </w:style>
  <w:style w:type="character" w:customStyle="1" w:styleId="47">
    <w:name w:val="纯文本 字符"/>
    <w:link w:val="18"/>
    <w:autoRedefine/>
    <w:qFormat/>
    <w:uiPriority w:val="0"/>
    <w:rPr>
      <w:rFonts w:ascii="宋体" w:hAnsi="Courier New" w:eastAsia="宋体" w:cs="Courier New"/>
      <w:szCs w:val="21"/>
    </w:rPr>
  </w:style>
  <w:style w:type="character" w:customStyle="1" w:styleId="48">
    <w:name w:val="日期 字符"/>
    <w:link w:val="19"/>
    <w:autoRedefine/>
    <w:qFormat/>
    <w:uiPriority w:val="0"/>
    <w:rPr>
      <w:rFonts w:ascii="Times New Roman" w:hAnsi="Times New Roman" w:eastAsia="宋体" w:cs="Times New Roman"/>
      <w:kern w:val="2"/>
      <w:sz w:val="21"/>
      <w:szCs w:val="24"/>
    </w:rPr>
  </w:style>
  <w:style w:type="character" w:customStyle="1" w:styleId="49">
    <w:name w:val="页脚 字符"/>
    <w:link w:val="21"/>
    <w:autoRedefine/>
    <w:qFormat/>
    <w:uiPriority w:val="0"/>
    <w:rPr>
      <w:rFonts w:ascii="Times New Roman" w:hAnsi="Times New Roman" w:eastAsia="宋体" w:cs="Times New Roman"/>
      <w:sz w:val="18"/>
      <w:szCs w:val="18"/>
    </w:rPr>
  </w:style>
  <w:style w:type="character" w:customStyle="1" w:styleId="50">
    <w:name w:val="页眉 字符"/>
    <w:link w:val="22"/>
    <w:autoRedefine/>
    <w:qFormat/>
    <w:uiPriority w:val="0"/>
    <w:rPr>
      <w:rFonts w:ascii="Times New Roman" w:hAnsi="Times New Roman" w:eastAsia="宋体" w:cs="Times New Roman"/>
      <w:sz w:val="18"/>
      <w:szCs w:val="18"/>
    </w:rPr>
  </w:style>
  <w:style w:type="character" w:customStyle="1" w:styleId="51">
    <w:name w:val="批注主题 字符"/>
    <w:link w:val="26"/>
    <w:autoRedefine/>
    <w:qFormat/>
    <w:uiPriority w:val="0"/>
    <w:rPr>
      <w:rFonts w:ascii="Times New Roman" w:hAnsi="Times New Roman" w:eastAsia="宋体" w:cs="Times New Roman"/>
      <w:b/>
      <w:bCs/>
      <w:kern w:val="2"/>
      <w:sz w:val="21"/>
      <w:szCs w:val="24"/>
    </w:rPr>
  </w:style>
  <w:style w:type="paragraph" w:customStyle="1" w:styleId="52">
    <w:name w:val="列出段落1"/>
    <w:basedOn w:val="1"/>
    <w:autoRedefine/>
    <w:qFormat/>
    <w:uiPriority w:val="0"/>
    <w:pPr>
      <w:ind w:firstLine="420" w:firstLineChars="200"/>
    </w:pPr>
    <w:rPr>
      <w:rFonts w:ascii="Calibri" w:hAnsi="Calibri" w:cs="Calibri"/>
      <w:szCs w:val="21"/>
    </w:rPr>
  </w:style>
  <w:style w:type="character" w:customStyle="1" w:styleId="53">
    <w:name w:val="textcontents"/>
    <w:basedOn w:val="31"/>
    <w:autoRedefine/>
    <w:qFormat/>
    <w:uiPriority w:val="0"/>
    <w:rPr>
      <w:rFonts w:ascii="Times New Roman" w:hAnsi="Times New Roman" w:eastAsia="宋体" w:cs="Times New Roman"/>
    </w:rPr>
  </w:style>
  <w:style w:type="character" w:customStyle="1" w:styleId="54">
    <w:name w:val="纯文本 字符1"/>
    <w:autoRedefine/>
    <w:qFormat/>
    <w:uiPriority w:val="0"/>
    <w:rPr>
      <w:rFonts w:ascii="宋体" w:hAnsi="Courier New" w:eastAsia="宋体" w:cs="Times New Roman"/>
    </w:rPr>
  </w:style>
  <w:style w:type="character" w:customStyle="1" w:styleId="55">
    <w:name w:val="纯文本 字符2"/>
    <w:autoRedefine/>
    <w:qFormat/>
    <w:uiPriority w:val="0"/>
    <w:rPr>
      <w:rFonts w:ascii="宋体" w:hAnsi="Courier New" w:eastAsia="宋体" w:cs="Courier New"/>
      <w:szCs w:val="21"/>
    </w:rPr>
  </w:style>
  <w:style w:type="character" w:customStyle="1" w:styleId="56">
    <w:name w:val="apple-style-span"/>
    <w:basedOn w:val="31"/>
    <w:autoRedefine/>
    <w:qFormat/>
    <w:uiPriority w:val="0"/>
    <w:rPr>
      <w:rFonts w:ascii="Times New Roman" w:hAnsi="Times New Roman" w:eastAsia="宋体" w:cs="Times New Roman"/>
    </w:rPr>
  </w:style>
  <w:style w:type="character" w:customStyle="1" w:styleId="57">
    <w:name w:val="批注文字 字符1"/>
    <w:autoRedefine/>
    <w:qFormat/>
    <w:uiPriority w:val="0"/>
    <w:rPr>
      <w:rFonts w:ascii="Times New Roman" w:hAnsi="Times New Roman" w:eastAsia="宋体" w:cs="Times New Roman"/>
      <w:kern w:val="2"/>
      <w:sz w:val="21"/>
      <w:szCs w:val="24"/>
    </w:rPr>
  </w:style>
  <w:style w:type="paragraph" w:customStyle="1" w:styleId="5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59">
    <w:name w:val="List Paragraph"/>
    <w:basedOn w:val="1"/>
    <w:autoRedefine/>
    <w:qFormat/>
    <w:uiPriority w:val="0"/>
    <w:pPr>
      <w:ind w:firstLine="420" w:firstLineChars="200"/>
    </w:pPr>
  </w:style>
  <w:style w:type="paragraph" w:customStyle="1" w:styleId="60">
    <w:name w:val="默认段落字体 Para Char Char Char Char Char Char Char Char Char1 Char Char Char Char"/>
    <w:basedOn w:val="1"/>
    <w:autoRedefine/>
    <w:qFormat/>
    <w:uiPriority w:val="0"/>
    <w:rPr>
      <w:rFonts w:ascii="Tahoma" w:hAnsi="Tahoma"/>
      <w:sz w:val="24"/>
      <w:szCs w:val="20"/>
    </w:rPr>
  </w:style>
  <w:style w:type="character" w:customStyle="1" w:styleId="61">
    <w:name w:val="正文文本 Char1"/>
    <w:autoRedefine/>
    <w:qFormat/>
    <w:uiPriority w:val="0"/>
    <w:rPr>
      <w:rFonts w:ascii="Times New Roman" w:hAnsi="Times New Roman" w:eastAsia="宋体" w:cs="Times New Roman"/>
      <w:kern w:val="2"/>
      <w:sz w:val="21"/>
      <w:szCs w:val="24"/>
    </w:rPr>
  </w:style>
  <w:style w:type="character" w:customStyle="1" w:styleId="62">
    <w:name w:val="纯文本 Char1"/>
    <w:autoRedefine/>
    <w:qFormat/>
    <w:uiPriority w:val="0"/>
    <w:rPr>
      <w:rFonts w:ascii="宋体" w:hAnsi="Courier New" w:eastAsia="宋体" w:cs="Courier New"/>
      <w:szCs w:val="21"/>
    </w:rPr>
  </w:style>
  <w:style w:type="character" w:customStyle="1" w:styleId="63">
    <w:name w:val="15"/>
    <w:autoRedefine/>
    <w:qFormat/>
    <w:uiPriority w:val="0"/>
    <w:rPr>
      <w:rFonts w:hint="default" w:ascii="Times New Roman" w:hAnsi="Times New Roman" w:cs="Times New Roman"/>
      <w:color w:val="0000FF"/>
      <w:u w:val="single"/>
    </w:rPr>
  </w:style>
  <w:style w:type="character" w:customStyle="1" w:styleId="64">
    <w:name w:val="font21"/>
    <w:autoRedefine/>
    <w:qFormat/>
    <w:uiPriority w:val="0"/>
    <w:rPr>
      <w:rFonts w:hint="eastAsia" w:ascii="宋体" w:hAnsi="宋体" w:eastAsia="宋体" w:cs="宋体"/>
      <w:color w:val="000000"/>
      <w:sz w:val="21"/>
      <w:szCs w:val="21"/>
      <w:u w:val="none"/>
    </w:rPr>
  </w:style>
  <w:style w:type="paragraph" w:customStyle="1" w:styleId="65">
    <w:name w:val="p15"/>
    <w:basedOn w:val="1"/>
    <w:qFormat/>
    <w:uiPriority w:val="99"/>
    <w:pPr>
      <w:widowControl/>
    </w:pPr>
    <w:rPr>
      <w:rFonts w:ascii="宋体" w:hAnsi="宋体"/>
      <w:kern w:val="0"/>
      <w:szCs w:val="21"/>
    </w:rPr>
  </w:style>
  <w:style w:type="character" w:customStyle="1" w:styleId="66">
    <w:name w:val="NormalCharacter"/>
    <w:semiHidden/>
    <w:qFormat/>
    <w:uiPriority w:val="0"/>
  </w:style>
  <w:style w:type="paragraph" w:customStyle="1" w:styleId="67">
    <w:name w:val="纯文本1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85</Pages>
  <Words>20810</Words>
  <Characters>22148</Characters>
  <Lines>449</Lines>
  <Paragraphs>126</Paragraphs>
  <TotalTime>94</TotalTime>
  <ScaleCrop>false</ScaleCrop>
  <LinksUpToDate>false</LinksUpToDate>
  <CharactersWithSpaces>22196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2023-10-26T03:16:00Z</dcterms:created>
  <dc:creator>唐冰</dc:creator>
  <cp:lastModifiedBy>嗯</cp:lastModifiedBy>
  <cp:lastPrinted>2025-05-29T02:07:00Z</cp:lastPrinted>
  <dcterms:modified xsi:type="dcterms:W3CDTF">2025-12-04T04:31:44Z</dcterms:modified>
  <dc:title>竞争性谈判文件规范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0492F3EA808F4577827929106BE93F31_13</vt:lpwstr>
  </property>
  <property fmtid="{D5CDD505-2E9C-101B-9397-08002B2CF9AE}" pid="4" name="KSOTemplateDocerSaveRecord">
    <vt:lpwstr>eyJoZGlkIjoiZjc0ZmRlNTcyYzQ5OGRlYzZiYWUxY2ZmYjJkYjM0NzkiLCJ1c2VySWQiOiI1Nzk1NTQ2MjAifQ==</vt:lpwstr>
  </property>
</Properties>
</file>