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6BA27A">
      <w:pPr>
        <w:jc w:val="distribute"/>
        <w:rPr>
          <w:rFonts w:ascii="宋体" w:hAnsi="宋体" w:cs="宋体"/>
          <w:b/>
          <w:color w:val="auto"/>
          <w:sz w:val="48"/>
          <w:szCs w:val="48"/>
          <w:highlight w:val="none"/>
          <w:u w:val="double"/>
        </w:rPr>
      </w:pPr>
      <w:r>
        <w:rPr>
          <w:rFonts w:hint="eastAsia" w:ascii="宋体" w:hAnsi="宋体" w:cs="宋体"/>
          <w:b/>
          <w:color w:val="auto"/>
          <w:sz w:val="48"/>
          <w:szCs w:val="48"/>
          <w:highlight w:val="none"/>
        </w:rPr>
        <w:t xml:space="preserve">     </w:t>
      </w:r>
      <w:r>
        <w:rPr>
          <w:rFonts w:hint="eastAsia" w:ascii="宋体" w:hAnsi="宋体" w:cs="宋体"/>
          <w:b/>
          <w:color w:val="auto"/>
          <w:sz w:val="48"/>
          <w:szCs w:val="48"/>
          <w:highlight w:val="none"/>
        </w:rPr>
        <w:drawing>
          <wp:anchor distT="0" distB="0" distL="114300" distR="114300" simplePos="0" relativeHeight="251659264" behindDoc="1" locked="0" layoutInCell="1" allowOverlap="1">
            <wp:simplePos x="0" y="0"/>
            <wp:positionH relativeFrom="column">
              <wp:posOffset>0</wp:posOffset>
            </wp:positionH>
            <wp:positionV relativeFrom="paragraph">
              <wp:posOffset>-635</wp:posOffset>
            </wp:positionV>
            <wp:extent cx="790575" cy="720090"/>
            <wp:effectExtent l="0" t="0" r="9525" b="3810"/>
            <wp:wrapNone/>
            <wp:docPr id="1" name="图片 3" descr="友有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友有公司logo"/>
                    <pic:cNvPicPr>
                      <a:picLocks noChangeAspect="1"/>
                    </pic:cNvPicPr>
                  </pic:nvPicPr>
                  <pic:blipFill>
                    <a:blip r:embed="rId13"/>
                    <a:stretch>
                      <a:fillRect/>
                    </a:stretch>
                  </pic:blipFill>
                  <pic:spPr>
                    <a:xfrm>
                      <a:off x="0" y="0"/>
                      <a:ext cx="790575" cy="720090"/>
                    </a:xfrm>
                    <a:prstGeom prst="rect">
                      <a:avLst/>
                    </a:prstGeom>
                    <a:noFill/>
                    <a:ln>
                      <a:noFill/>
                    </a:ln>
                  </pic:spPr>
                </pic:pic>
              </a:graphicData>
            </a:graphic>
          </wp:anchor>
        </w:drawing>
      </w:r>
      <w:r>
        <w:rPr>
          <w:rFonts w:hint="eastAsia" w:ascii="宋体" w:hAnsi="宋体" w:cs="宋体"/>
          <w:b/>
          <w:color w:val="auto"/>
          <w:sz w:val="52"/>
          <w:szCs w:val="52"/>
          <w:highlight w:val="none"/>
          <w:u w:val="double"/>
        </w:rPr>
        <w:t>广西友有招标代理有限公司</w:t>
      </w:r>
    </w:p>
    <w:p w14:paraId="0B0C9A45">
      <w:pPr>
        <w:pStyle w:val="58"/>
        <w:rPr>
          <w:rFonts w:hint="eastAsia" w:ascii="宋体" w:hAnsi="宋体" w:cs="宋体"/>
          <w:color w:val="auto"/>
          <w:sz w:val="72"/>
          <w:szCs w:val="72"/>
          <w:highlight w:val="none"/>
        </w:rPr>
      </w:pPr>
    </w:p>
    <w:p w14:paraId="032DFD00">
      <w:pPr>
        <w:pStyle w:val="9"/>
        <w:ind w:left="2100"/>
        <w:rPr>
          <w:rFonts w:hint="eastAsia" w:ascii="宋体" w:hAnsi="宋体" w:cs="宋体"/>
          <w:color w:val="auto"/>
          <w:sz w:val="72"/>
          <w:szCs w:val="72"/>
          <w:highlight w:val="none"/>
        </w:rPr>
      </w:pPr>
    </w:p>
    <w:p w14:paraId="6E593D9B">
      <w:pPr>
        <w:rPr>
          <w:rFonts w:hint="eastAsia"/>
          <w:color w:val="auto"/>
          <w:highlight w:val="none"/>
        </w:rPr>
      </w:pPr>
    </w:p>
    <w:p w14:paraId="277FD6F7">
      <w:pPr>
        <w:autoSpaceDE w:val="0"/>
        <w:autoSpaceDN w:val="0"/>
        <w:adjustRightInd w:val="0"/>
        <w:spacing w:line="360" w:lineRule="auto"/>
        <w:jc w:val="center"/>
        <w:rPr>
          <w:rFonts w:ascii="微软雅黑" w:hAnsi="微软雅黑" w:eastAsia="微软雅黑" w:cs="微软雅黑"/>
          <w:b/>
          <w:color w:val="auto"/>
          <w:kern w:val="0"/>
          <w:sz w:val="96"/>
          <w:szCs w:val="96"/>
          <w:highlight w:val="none"/>
        </w:rPr>
      </w:pPr>
      <w:r>
        <w:rPr>
          <w:rFonts w:hint="eastAsia" w:ascii="微软雅黑" w:hAnsi="微软雅黑" w:eastAsia="微软雅黑" w:cs="微软雅黑"/>
          <w:b/>
          <w:bCs/>
          <w:color w:val="auto"/>
          <w:sz w:val="96"/>
          <w:szCs w:val="96"/>
          <w:highlight w:val="none"/>
        </w:rPr>
        <w:t>竞争性谈判文件</w:t>
      </w:r>
    </w:p>
    <w:p w14:paraId="6ABFD484">
      <w:pPr>
        <w:pStyle w:val="2"/>
        <w:rPr>
          <w:color w:val="auto"/>
          <w:highlight w:val="none"/>
        </w:rPr>
      </w:pPr>
    </w:p>
    <w:p w14:paraId="2FD1C0EB">
      <w:pPr>
        <w:pStyle w:val="59"/>
        <w:rPr>
          <w:color w:val="auto"/>
          <w:highlight w:val="none"/>
        </w:rPr>
      </w:pPr>
    </w:p>
    <w:p w14:paraId="6615ECAB">
      <w:pPr>
        <w:pStyle w:val="59"/>
        <w:rPr>
          <w:color w:val="auto"/>
          <w:highlight w:val="none"/>
        </w:rPr>
      </w:pPr>
    </w:p>
    <w:p w14:paraId="34F392BE">
      <w:pPr>
        <w:pStyle w:val="59"/>
        <w:rPr>
          <w:color w:val="auto"/>
          <w:highlight w:val="none"/>
        </w:rPr>
      </w:pPr>
    </w:p>
    <w:p w14:paraId="50AC66A1">
      <w:pPr>
        <w:pStyle w:val="59"/>
        <w:rPr>
          <w:color w:val="auto"/>
          <w:highlight w:val="none"/>
        </w:rPr>
      </w:pPr>
    </w:p>
    <w:p w14:paraId="70762FD5">
      <w:pPr>
        <w:autoSpaceDE w:val="0"/>
        <w:autoSpaceDN w:val="0"/>
        <w:adjustRightInd w:val="0"/>
        <w:spacing w:line="360" w:lineRule="auto"/>
        <w:ind w:left="2401" w:leftChars="426" w:hanging="1506" w:hangingChars="500"/>
        <w:jc w:val="left"/>
        <w:rPr>
          <w:rFonts w:hint="eastAsia" w:ascii="宋体" w:hAnsi="宋体" w:eastAsia="宋体" w:cs="宋体"/>
          <w:b/>
          <w:bCs/>
          <w:color w:val="auto"/>
          <w:kern w:val="0"/>
          <w:sz w:val="30"/>
          <w:szCs w:val="30"/>
          <w:highlight w:val="none"/>
          <w:lang w:eastAsia="zh-CN"/>
        </w:rPr>
      </w:pPr>
      <w:r>
        <w:rPr>
          <w:rFonts w:hint="eastAsia" w:ascii="宋体" w:hAnsi="宋体" w:cs="宋体"/>
          <w:b/>
          <w:bCs/>
          <w:color w:val="auto"/>
          <w:kern w:val="0"/>
          <w:sz w:val="30"/>
          <w:szCs w:val="30"/>
          <w:highlight w:val="none"/>
        </w:rPr>
        <w:t>项目名称：</w:t>
      </w:r>
      <w:r>
        <w:rPr>
          <w:rFonts w:hint="eastAsia" w:ascii="宋体" w:hAnsi="宋体" w:cs="宋体"/>
          <w:b/>
          <w:bCs/>
          <w:color w:val="auto"/>
          <w:kern w:val="0"/>
          <w:sz w:val="30"/>
          <w:szCs w:val="30"/>
          <w:highlight w:val="none"/>
          <w:lang w:eastAsia="zh-CN"/>
        </w:rPr>
        <w:t>2025年痕迹检验和现场勘察试剂耗材、打拐案件DNA检验鉴定试剂耗材、非案件亲子鉴定检验鉴定试剂耗材</w:t>
      </w:r>
    </w:p>
    <w:p w14:paraId="5B7D595E">
      <w:pPr>
        <w:autoSpaceDE w:val="0"/>
        <w:autoSpaceDN w:val="0"/>
        <w:adjustRightInd w:val="0"/>
        <w:spacing w:line="360" w:lineRule="auto"/>
        <w:ind w:left="2401" w:leftChars="426" w:hanging="1506" w:hangingChars="500"/>
        <w:jc w:val="left"/>
        <w:rPr>
          <w:rFonts w:hint="eastAsia"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 xml:space="preserve">项目编号：CZZC2025-J1-990173-YYZB </w:t>
      </w:r>
    </w:p>
    <w:p w14:paraId="28585E84">
      <w:pPr>
        <w:widowControl/>
        <w:ind w:firstLine="964" w:firstLineChars="300"/>
        <w:jc w:val="left"/>
        <w:rPr>
          <w:color w:val="auto"/>
          <w:highlight w:val="none"/>
        </w:rPr>
      </w:pPr>
      <w:r>
        <w:rPr>
          <w:rFonts w:hint="eastAsia" w:ascii="宋体" w:hAnsi="宋体" w:cs="宋体"/>
          <w:b/>
          <w:bCs/>
          <w:color w:val="auto"/>
          <w:kern w:val="0"/>
          <w:sz w:val="32"/>
          <w:highlight w:val="none"/>
        </w:rPr>
        <w:t xml:space="preserve"> </w:t>
      </w:r>
    </w:p>
    <w:p w14:paraId="5524D0E3">
      <w:pPr>
        <w:pStyle w:val="2"/>
        <w:rPr>
          <w:color w:val="auto"/>
          <w:highlight w:val="none"/>
        </w:rPr>
      </w:pPr>
    </w:p>
    <w:p w14:paraId="3419E4F6">
      <w:pPr>
        <w:pStyle w:val="20"/>
        <w:rPr>
          <w:color w:val="auto"/>
          <w:highlight w:val="none"/>
        </w:rPr>
      </w:pPr>
    </w:p>
    <w:p w14:paraId="66FC1268">
      <w:pPr>
        <w:rPr>
          <w:color w:val="auto"/>
          <w:highlight w:val="none"/>
        </w:rPr>
      </w:pPr>
    </w:p>
    <w:p w14:paraId="63F515E0">
      <w:pPr>
        <w:pStyle w:val="2"/>
        <w:rPr>
          <w:color w:val="auto"/>
          <w:highlight w:val="none"/>
        </w:rPr>
      </w:pPr>
    </w:p>
    <w:p w14:paraId="5F32BC5C">
      <w:pPr>
        <w:spacing w:line="360" w:lineRule="auto"/>
        <w:jc w:val="left"/>
        <w:rPr>
          <w:rFonts w:ascii="宋体" w:hAnsi="宋体" w:cs="宋体"/>
          <w:b/>
          <w:color w:val="auto"/>
          <w:spacing w:val="-6"/>
          <w:kern w:val="0"/>
          <w:sz w:val="30"/>
          <w:szCs w:val="30"/>
          <w:highlight w:val="none"/>
        </w:rPr>
      </w:pPr>
      <w:r>
        <w:rPr>
          <w:rFonts w:hint="eastAsia"/>
          <w:color w:val="auto"/>
          <w:sz w:val="36"/>
          <w:szCs w:val="36"/>
          <w:highlight w:val="none"/>
        </w:rPr>
        <mc:AlternateContent>
          <mc:Choice Requires="wps">
            <w:drawing>
              <wp:anchor distT="0" distB="0" distL="114300" distR="114300" simplePos="0" relativeHeight="251660288" behindDoc="0" locked="0" layoutInCell="1" allowOverlap="1">
                <wp:simplePos x="0" y="0"/>
                <wp:positionH relativeFrom="column">
                  <wp:posOffset>18415</wp:posOffset>
                </wp:positionH>
                <wp:positionV relativeFrom="paragraph">
                  <wp:posOffset>314960</wp:posOffset>
                </wp:positionV>
                <wp:extent cx="5896610" cy="3175"/>
                <wp:effectExtent l="0" t="13970" r="8890" b="20955"/>
                <wp:wrapNone/>
                <wp:docPr id="6" name="直接连接符 6"/>
                <wp:cNvGraphicFramePr/>
                <a:graphic xmlns:a="http://schemas.openxmlformats.org/drawingml/2006/main">
                  <a:graphicData uri="http://schemas.microsoft.com/office/word/2010/wordprocessingShape">
                    <wps:wsp>
                      <wps:cNvCnPr/>
                      <wps:spPr>
                        <a:xfrm>
                          <a:off x="0" y="0"/>
                          <a:ext cx="5896610" cy="3175"/>
                        </a:xfrm>
                        <a:prstGeom prst="line">
                          <a:avLst/>
                        </a:prstGeom>
                        <a:ln w="285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45pt;margin-top:24.8pt;height:0.25pt;width:464.3pt;z-index:251660288;mso-width-relative:page;mso-height-relative:page;" filled="f" stroked="t" coordsize="21600,21600" o:gfxdata="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2bAop1gAAAAcBAAAPAAAAAAAAAAEAIAAAACIAAABkcnMvZG93bnJldi54bWxQSwECFAAU&#10;AAAACACHTuJAnsCnKvMBAADqAwAADgAAAAAAAAABACAAAAAlAQAAZHJzL2Uyb0RvYy54bWxQSwUG&#10;AAAAAAYABgBZAQAAigUAAAAA&#10;">
                <v:fill on="f" focussize="0,0"/>
                <v:stroke weight="2.25pt" color="#000000" joinstyle="round"/>
                <v:imagedata o:title=""/>
                <o:lock v:ext="edit" aspectratio="f"/>
              </v:line>
            </w:pict>
          </mc:Fallback>
        </mc:AlternateContent>
      </w:r>
    </w:p>
    <w:p w14:paraId="0D4E9553">
      <w:pPr>
        <w:spacing w:line="360" w:lineRule="auto"/>
        <w:ind w:firstLine="1264" w:firstLineChars="437"/>
        <w:jc w:val="left"/>
        <w:rPr>
          <w:rFonts w:ascii="宋体" w:hAnsi="宋体" w:cs="宋体"/>
          <w:b/>
          <w:color w:val="auto"/>
          <w:kern w:val="0"/>
          <w:sz w:val="30"/>
          <w:szCs w:val="30"/>
          <w:highlight w:val="none"/>
        </w:rPr>
      </w:pPr>
      <w:r>
        <w:rPr>
          <w:rFonts w:hint="eastAsia" w:ascii="宋体" w:hAnsi="宋体" w:cs="宋体"/>
          <w:b/>
          <w:color w:val="auto"/>
          <w:spacing w:val="-6"/>
          <w:kern w:val="0"/>
          <w:sz w:val="30"/>
          <w:szCs w:val="30"/>
          <w:highlight w:val="none"/>
        </w:rPr>
        <w:t>采 购 人</w:t>
      </w:r>
      <w:r>
        <w:rPr>
          <w:rFonts w:hint="eastAsia" w:ascii="宋体" w:hAnsi="宋体" w:cs="宋体"/>
          <w:b/>
          <w:bCs/>
          <w:color w:val="auto"/>
          <w:sz w:val="30"/>
          <w:szCs w:val="30"/>
          <w:highlight w:val="none"/>
        </w:rPr>
        <w:t>：</w:t>
      </w:r>
      <w:r>
        <w:rPr>
          <w:rFonts w:hint="eastAsia" w:ascii="宋体" w:hAnsi="宋体" w:cs="宋体"/>
          <w:b/>
          <w:color w:val="auto"/>
          <w:kern w:val="0"/>
          <w:sz w:val="30"/>
          <w:szCs w:val="30"/>
          <w:highlight w:val="none"/>
          <w:lang w:eastAsia="zh-CN"/>
        </w:rPr>
        <w:t>崇左市公安局</w:t>
      </w:r>
      <w:r>
        <w:rPr>
          <w:rFonts w:hint="eastAsia" w:ascii="宋体" w:hAnsi="宋体" w:cs="宋体"/>
          <w:b/>
          <w:color w:val="auto"/>
          <w:kern w:val="0"/>
          <w:sz w:val="30"/>
          <w:szCs w:val="30"/>
          <w:highlight w:val="none"/>
        </w:rPr>
        <w:t xml:space="preserve">  </w:t>
      </w:r>
    </w:p>
    <w:p w14:paraId="2C956DE1">
      <w:pPr>
        <w:autoSpaceDE w:val="0"/>
        <w:autoSpaceDN w:val="0"/>
        <w:adjustRightInd w:val="0"/>
        <w:spacing w:line="360" w:lineRule="auto"/>
        <w:ind w:firstLine="1205" w:firstLineChars="400"/>
        <w:outlineLvl w:val="0"/>
        <w:rPr>
          <w:rFonts w:ascii="宋体" w:hAnsi="宋体" w:cs="宋体"/>
          <w:b/>
          <w:color w:val="auto"/>
          <w:spacing w:val="-6"/>
          <w:kern w:val="0"/>
          <w:sz w:val="30"/>
          <w:szCs w:val="30"/>
          <w:highlight w:val="none"/>
        </w:rPr>
      </w:pPr>
      <w:bookmarkStart w:id="0" w:name="_Toc243584221"/>
      <w:r>
        <w:rPr>
          <w:rFonts w:hint="eastAsia" w:ascii="宋体" w:hAnsi="宋体" w:cs="宋体"/>
          <w:b/>
          <w:color w:val="auto"/>
          <w:kern w:val="0"/>
          <w:sz w:val="30"/>
          <w:szCs w:val="30"/>
          <w:highlight w:val="none"/>
        </w:rPr>
        <w:t>采购代理机构：</w:t>
      </w:r>
      <w:bookmarkEnd w:id="0"/>
      <w:r>
        <w:rPr>
          <w:rFonts w:hint="eastAsia" w:ascii="宋体" w:hAnsi="宋体" w:cs="宋体"/>
          <w:b/>
          <w:color w:val="auto"/>
          <w:kern w:val="0"/>
          <w:sz w:val="30"/>
          <w:szCs w:val="30"/>
          <w:highlight w:val="none"/>
        </w:rPr>
        <w:t>广西友有招标代理有限公司</w:t>
      </w:r>
    </w:p>
    <w:p w14:paraId="4C5E5AD1">
      <w:pPr>
        <w:autoSpaceDE w:val="0"/>
        <w:autoSpaceDN w:val="0"/>
        <w:adjustRightInd w:val="0"/>
        <w:spacing w:line="360" w:lineRule="auto"/>
        <w:ind w:firstLine="3915" w:firstLineChars="1300"/>
        <w:outlineLvl w:val="0"/>
        <w:rPr>
          <w:rFonts w:hint="eastAsia" w:ascii="宋体" w:hAnsi="宋体" w:cs="宋体"/>
          <w:b/>
          <w:color w:val="auto"/>
          <w:sz w:val="32"/>
          <w:szCs w:val="32"/>
          <w:highlight w:val="none"/>
        </w:rPr>
        <w:sectPr>
          <w:headerReference r:id="rId4" w:type="first"/>
          <w:footerReference r:id="rId6" w:type="first"/>
          <w:headerReference r:id="rId3" w:type="default"/>
          <w:footerReference r:id="rId5" w:type="default"/>
          <w:pgSz w:w="11906" w:h="16838"/>
          <w:pgMar w:top="1440" w:right="1440" w:bottom="1066" w:left="1587" w:header="851" w:footer="992" w:gutter="0"/>
          <w:pgNumType w:start="1"/>
          <w:cols w:space="720" w:num="1"/>
          <w:titlePg/>
          <w:docGrid w:type="lines" w:linePitch="312" w:charSpace="0"/>
        </w:sectPr>
      </w:pPr>
      <w:r>
        <w:rPr>
          <w:rFonts w:hint="eastAsia" w:ascii="宋体" w:hAnsi="宋体" w:cs="宋体"/>
          <w:b/>
          <w:color w:val="auto"/>
          <w:kern w:val="0"/>
          <w:sz w:val="30"/>
          <w:szCs w:val="30"/>
          <w:highlight w:val="none"/>
        </w:rPr>
        <w:t>202</w:t>
      </w:r>
      <w:r>
        <w:rPr>
          <w:rFonts w:hint="eastAsia" w:ascii="宋体" w:hAnsi="宋体" w:cs="宋体"/>
          <w:b/>
          <w:color w:val="auto"/>
          <w:kern w:val="0"/>
          <w:sz w:val="30"/>
          <w:szCs w:val="30"/>
          <w:highlight w:val="none"/>
          <w:lang w:val="en-US" w:eastAsia="zh-CN"/>
        </w:rPr>
        <w:t>5</w:t>
      </w:r>
      <w:r>
        <w:rPr>
          <w:rFonts w:hint="eastAsia" w:ascii="宋体" w:hAnsi="宋体" w:cs="宋体"/>
          <w:b/>
          <w:color w:val="auto"/>
          <w:kern w:val="0"/>
          <w:sz w:val="30"/>
          <w:szCs w:val="30"/>
          <w:highlight w:val="none"/>
        </w:rPr>
        <w:t>年</w:t>
      </w:r>
      <w:r>
        <w:rPr>
          <w:rFonts w:hint="eastAsia" w:ascii="宋体" w:hAnsi="宋体" w:cs="宋体"/>
          <w:b/>
          <w:color w:val="auto"/>
          <w:kern w:val="0"/>
          <w:sz w:val="30"/>
          <w:szCs w:val="30"/>
          <w:highlight w:val="none"/>
          <w:lang w:val="en-US" w:eastAsia="zh-CN"/>
        </w:rPr>
        <w:t>9</w:t>
      </w:r>
      <w:r>
        <w:rPr>
          <w:rFonts w:hint="eastAsia" w:ascii="宋体" w:hAnsi="宋体" w:cs="宋体"/>
          <w:b/>
          <w:color w:val="auto"/>
          <w:kern w:val="0"/>
          <w:sz w:val="30"/>
          <w:szCs w:val="30"/>
          <w:highlight w:val="none"/>
        </w:rPr>
        <w:t>月</w:t>
      </w:r>
    </w:p>
    <w:p w14:paraId="2CD755A9">
      <w:pPr>
        <w:spacing w:line="360" w:lineRule="auto"/>
        <w:rPr>
          <w:rFonts w:hint="eastAsia" w:ascii="宋体" w:hAnsi="宋体"/>
          <w:b/>
          <w:color w:val="auto"/>
          <w:sz w:val="44"/>
          <w:szCs w:val="44"/>
          <w:highlight w:val="none"/>
        </w:rPr>
        <w:sectPr>
          <w:footerReference r:id="rId8" w:type="first"/>
          <w:footerReference r:id="rId7" w:type="default"/>
          <w:pgSz w:w="11906" w:h="16838"/>
          <w:pgMar w:top="1440" w:right="1440" w:bottom="1066" w:left="1587" w:header="851" w:footer="992" w:gutter="0"/>
          <w:pgNumType w:start="1"/>
          <w:cols w:space="720" w:num="1"/>
          <w:docGrid w:type="lines" w:linePitch="312" w:charSpace="0"/>
        </w:sectPr>
      </w:pPr>
    </w:p>
    <w:p w14:paraId="57AED264">
      <w:pPr>
        <w:pStyle w:val="2"/>
        <w:rPr>
          <w:rFonts w:hint="eastAsia"/>
          <w:color w:val="auto"/>
          <w:highlight w:val="none"/>
        </w:rPr>
      </w:pPr>
    </w:p>
    <w:p w14:paraId="1A65C130">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3A0DCE17">
      <w:pPr>
        <w:spacing w:line="400" w:lineRule="exact"/>
        <w:jc w:val="center"/>
        <w:rPr>
          <w:rFonts w:hint="eastAsia" w:ascii="宋体" w:hAnsi="宋体"/>
          <w:b/>
          <w:color w:val="auto"/>
          <w:sz w:val="44"/>
          <w:szCs w:val="44"/>
          <w:highlight w:val="none"/>
        </w:rPr>
      </w:pPr>
    </w:p>
    <w:p w14:paraId="5B5EE4E7">
      <w:pPr>
        <w:pStyle w:val="18"/>
        <w:tabs>
          <w:tab w:val="right" w:leader="dot" w:pos="8869"/>
        </w:tabs>
        <w:snapToGrid w:val="0"/>
        <w:spacing w:line="500" w:lineRule="atLeast"/>
        <w:rPr>
          <w:rFonts w:ascii="宋体" w:hAnsi="宋体"/>
          <w:b/>
          <w:color w:val="auto"/>
          <w:sz w:val="24"/>
          <w:highlight w:val="none"/>
        </w:rPr>
      </w:pPr>
      <w:r>
        <w:rPr>
          <w:rFonts w:ascii="宋体" w:hAnsi="宋体"/>
          <w:b/>
          <w:color w:val="auto"/>
          <w:sz w:val="24"/>
          <w:highlight w:val="none"/>
        </w:rPr>
        <w:fldChar w:fldCharType="begin"/>
      </w:r>
      <w:r>
        <w:rPr>
          <w:rFonts w:ascii="宋体" w:hAnsi="宋体"/>
          <w:b/>
          <w:color w:val="auto"/>
          <w:sz w:val="24"/>
          <w:highlight w:val="none"/>
        </w:rPr>
        <w:instrText xml:space="preserve"> </w:instrText>
      </w:r>
      <w:r>
        <w:rPr>
          <w:rFonts w:hint="eastAsia" w:ascii="宋体" w:hAnsi="宋体"/>
          <w:b/>
          <w:color w:val="auto"/>
          <w:sz w:val="24"/>
          <w:highlight w:val="none"/>
        </w:rPr>
        <w:instrText xml:space="preserve">TOC \o "1-3" \h \z \u</w:instrText>
      </w:r>
      <w:r>
        <w:rPr>
          <w:rFonts w:ascii="宋体" w:hAnsi="宋体"/>
          <w:b/>
          <w:color w:val="auto"/>
          <w:sz w:val="24"/>
          <w:highlight w:val="none"/>
        </w:rPr>
        <w:instrText xml:space="preserve"> </w:instrText>
      </w:r>
      <w:r>
        <w:rPr>
          <w:rFonts w:ascii="宋体" w:hAnsi="宋体"/>
          <w:b/>
          <w:color w:val="auto"/>
          <w:sz w:val="24"/>
          <w:highlight w:val="none"/>
        </w:rPr>
        <w:fldChar w:fldCharType="separate"/>
      </w:r>
      <w:r>
        <w:rPr>
          <w:rStyle w:val="28"/>
          <w:rFonts w:ascii="宋体" w:hAnsi="宋体"/>
          <w:b/>
          <w:color w:val="auto"/>
          <w:sz w:val="24"/>
          <w:highlight w:val="none"/>
        </w:rPr>
        <w:fldChar w:fldCharType="begin"/>
      </w:r>
      <w:r>
        <w:rPr>
          <w:rStyle w:val="28"/>
          <w:rFonts w:ascii="宋体" w:hAnsi="宋体"/>
          <w:b/>
          <w:color w:val="auto"/>
          <w:sz w:val="24"/>
          <w:highlight w:val="none"/>
        </w:rPr>
        <w:instrText xml:space="preserve"> </w:instrText>
      </w:r>
      <w:r>
        <w:rPr>
          <w:rFonts w:ascii="宋体" w:hAnsi="宋体"/>
          <w:b/>
          <w:color w:val="auto"/>
          <w:sz w:val="24"/>
          <w:highlight w:val="none"/>
        </w:rPr>
        <w:instrText xml:space="preserve">HYPERLINK \l "_Toc74322008"</w:instrText>
      </w:r>
      <w:r>
        <w:rPr>
          <w:rStyle w:val="28"/>
          <w:rFonts w:ascii="宋体" w:hAnsi="宋体"/>
          <w:b/>
          <w:color w:val="auto"/>
          <w:sz w:val="24"/>
          <w:highlight w:val="none"/>
        </w:rPr>
        <w:instrText xml:space="preserve"> </w:instrText>
      </w:r>
      <w:r>
        <w:rPr>
          <w:rStyle w:val="28"/>
          <w:rFonts w:ascii="宋体" w:hAnsi="宋体"/>
          <w:b/>
          <w:color w:val="auto"/>
          <w:sz w:val="24"/>
          <w:highlight w:val="none"/>
        </w:rPr>
        <w:fldChar w:fldCharType="separate"/>
      </w:r>
      <w:r>
        <w:rPr>
          <w:rStyle w:val="28"/>
          <w:rFonts w:hint="eastAsia" w:ascii="宋体" w:hAnsi="宋体"/>
          <w:b/>
          <w:color w:val="auto"/>
          <w:sz w:val="24"/>
          <w:highlight w:val="none"/>
        </w:rPr>
        <w:t>第一章</w:t>
      </w:r>
      <w:r>
        <w:rPr>
          <w:rStyle w:val="28"/>
          <w:rFonts w:ascii="宋体" w:hAnsi="宋体"/>
          <w:b/>
          <w:color w:val="auto"/>
          <w:sz w:val="24"/>
          <w:highlight w:val="none"/>
        </w:rPr>
        <w:t xml:space="preserve"> </w:t>
      </w:r>
      <w:r>
        <w:rPr>
          <w:rStyle w:val="28"/>
          <w:rFonts w:hint="eastAsia" w:ascii="宋体" w:hAnsi="宋体"/>
          <w:b/>
          <w:color w:val="auto"/>
          <w:sz w:val="24"/>
          <w:highlight w:val="none"/>
        </w:rPr>
        <w:t>竞争性谈判公告</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_Toc74322008 \h </w:instrText>
      </w:r>
      <w:r>
        <w:rPr>
          <w:rFonts w:ascii="宋体" w:hAnsi="宋体"/>
          <w:b/>
          <w:color w:val="auto"/>
          <w:sz w:val="24"/>
          <w:highlight w:val="none"/>
        </w:rPr>
        <w:fldChar w:fldCharType="separate"/>
      </w:r>
      <w:r>
        <w:rPr>
          <w:rFonts w:ascii="宋体" w:hAnsi="宋体"/>
          <w:b/>
          <w:color w:val="auto"/>
          <w:sz w:val="24"/>
          <w:highlight w:val="none"/>
        </w:rPr>
        <w:t>2</w:t>
      </w:r>
      <w:r>
        <w:rPr>
          <w:rFonts w:ascii="宋体" w:hAnsi="宋体"/>
          <w:b/>
          <w:color w:val="auto"/>
          <w:sz w:val="24"/>
          <w:highlight w:val="none"/>
        </w:rPr>
        <w:fldChar w:fldCharType="end"/>
      </w:r>
      <w:r>
        <w:rPr>
          <w:rStyle w:val="28"/>
          <w:rFonts w:ascii="宋体" w:hAnsi="宋体"/>
          <w:b/>
          <w:color w:val="auto"/>
          <w:sz w:val="24"/>
          <w:highlight w:val="none"/>
        </w:rPr>
        <w:fldChar w:fldCharType="end"/>
      </w:r>
    </w:p>
    <w:p w14:paraId="60F1F1C9">
      <w:pPr>
        <w:pStyle w:val="18"/>
        <w:tabs>
          <w:tab w:val="right" w:leader="dot" w:pos="8869"/>
        </w:tabs>
        <w:snapToGrid w:val="0"/>
        <w:spacing w:line="500" w:lineRule="atLeast"/>
        <w:rPr>
          <w:rFonts w:ascii="宋体" w:hAnsi="宋体"/>
          <w:b/>
          <w:color w:val="auto"/>
          <w:sz w:val="24"/>
          <w:highlight w:val="none"/>
        </w:rPr>
      </w:pPr>
      <w:r>
        <w:rPr>
          <w:rStyle w:val="28"/>
          <w:rFonts w:ascii="宋体" w:hAnsi="宋体"/>
          <w:b/>
          <w:color w:val="auto"/>
          <w:sz w:val="24"/>
          <w:highlight w:val="none"/>
        </w:rPr>
        <w:fldChar w:fldCharType="begin"/>
      </w:r>
      <w:r>
        <w:rPr>
          <w:rStyle w:val="28"/>
          <w:rFonts w:ascii="宋体" w:hAnsi="宋体"/>
          <w:b/>
          <w:color w:val="auto"/>
          <w:sz w:val="24"/>
          <w:highlight w:val="none"/>
        </w:rPr>
        <w:instrText xml:space="preserve"> </w:instrText>
      </w:r>
      <w:r>
        <w:rPr>
          <w:rFonts w:ascii="宋体" w:hAnsi="宋体"/>
          <w:b/>
          <w:color w:val="auto"/>
          <w:sz w:val="24"/>
          <w:highlight w:val="none"/>
        </w:rPr>
        <w:instrText xml:space="preserve">HYPERLINK \l "_Toc74322009"</w:instrText>
      </w:r>
      <w:r>
        <w:rPr>
          <w:rStyle w:val="28"/>
          <w:rFonts w:ascii="宋体" w:hAnsi="宋体"/>
          <w:b/>
          <w:color w:val="auto"/>
          <w:sz w:val="24"/>
          <w:highlight w:val="none"/>
        </w:rPr>
        <w:instrText xml:space="preserve"> </w:instrText>
      </w:r>
      <w:r>
        <w:rPr>
          <w:rStyle w:val="28"/>
          <w:rFonts w:ascii="宋体" w:hAnsi="宋体"/>
          <w:b/>
          <w:color w:val="auto"/>
          <w:sz w:val="24"/>
          <w:highlight w:val="none"/>
        </w:rPr>
        <w:fldChar w:fldCharType="separate"/>
      </w:r>
      <w:r>
        <w:rPr>
          <w:rStyle w:val="28"/>
          <w:rFonts w:hint="eastAsia" w:ascii="宋体" w:hAnsi="宋体"/>
          <w:b/>
          <w:color w:val="auto"/>
          <w:sz w:val="24"/>
          <w:highlight w:val="none"/>
        </w:rPr>
        <w:t>第二章</w:t>
      </w:r>
      <w:r>
        <w:rPr>
          <w:rStyle w:val="28"/>
          <w:rFonts w:ascii="宋体" w:hAnsi="宋体"/>
          <w:b/>
          <w:color w:val="auto"/>
          <w:sz w:val="24"/>
          <w:highlight w:val="none"/>
        </w:rPr>
        <w:t xml:space="preserve"> </w:t>
      </w:r>
      <w:r>
        <w:rPr>
          <w:rStyle w:val="28"/>
          <w:rFonts w:hint="eastAsia" w:ascii="宋体" w:hAnsi="宋体"/>
          <w:b/>
          <w:color w:val="auto"/>
          <w:sz w:val="24"/>
          <w:highlight w:val="none"/>
        </w:rPr>
        <w:t>供应商须知</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_Toc74322009 \h </w:instrText>
      </w:r>
      <w:r>
        <w:rPr>
          <w:rFonts w:ascii="宋体" w:hAnsi="宋体"/>
          <w:b/>
          <w:color w:val="auto"/>
          <w:sz w:val="24"/>
          <w:highlight w:val="none"/>
        </w:rPr>
        <w:fldChar w:fldCharType="separate"/>
      </w:r>
      <w:r>
        <w:rPr>
          <w:rFonts w:ascii="宋体" w:hAnsi="宋体"/>
          <w:b/>
          <w:color w:val="auto"/>
          <w:sz w:val="24"/>
          <w:highlight w:val="none"/>
        </w:rPr>
        <w:t>5</w:t>
      </w:r>
      <w:r>
        <w:rPr>
          <w:rFonts w:ascii="宋体" w:hAnsi="宋体"/>
          <w:b/>
          <w:color w:val="auto"/>
          <w:sz w:val="24"/>
          <w:highlight w:val="none"/>
        </w:rPr>
        <w:fldChar w:fldCharType="end"/>
      </w:r>
      <w:r>
        <w:rPr>
          <w:rStyle w:val="28"/>
          <w:rFonts w:ascii="宋体" w:hAnsi="宋体"/>
          <w:b/>
          <w:color w:val="auto"/>
          <w:sz w:val="24"/>
          <w:highlight w:val="none"/>
        </w:rPr>
        <w:fldChar w:fldCharType="end"/>
      </w:r>
    </w:p>
    <w:p w14:paraId="741F46B9">
      <w:pPr>
        <w:pStyle w:val="18"/>
        <w:tabs>
          <w:tab w:val="right" w:leader="dot" w:pos="8869"/>
        </w:tabs>
        <w:snapToGrid w:val="0"/>
        <w:spacing w:line="500" w:lineRule="atLeast"/>
        <w:rPr>
          <w:rFonts w:ascii="宋体" w:hAnsi="宋体"/>
          <w:b/>
          <w:color w:val="auto"/>
          <w:sz w:val="24"/>
          <w:highlight w:val="none"/>
        </w:rPr>
      </w:pPr>
      <w:r>
        <w:rPr>
          <w:rStyle w:val="28"/>
          <w:rFonts w:ascii="宋体" w:hAnsi="宋体"/>
          <w:b/>
          <w:color w:val="auto"/>
          <w:sz w:val="24"/>
          <w:highlight w:val="none"/>
        </w:rPr>
        <w:fldChar w:fldCharType="begin"/>
      </w:r>
      <w:r>
        <w:rPr>
          <w:rStyle w:val="28"/>
          <w:rFonts w:ascii="宋体" w:hAnsi="宋体"/>
          <w:b/>
          <w:color w:val="auto"/>
          <w:sz w:val="24"/>
          <w:highlight w:val="none"/>
        </w:rPr>
        <w:instrText xml:space="preserve"> </w:instrText>
      </w:r>
      <w:r>
        <w:rPr>
          <w:rFonts w:ascii="宋体" w:hAnsi="宋体"/>
          <w:b/>
          <w:color w:val="auto"/>
          <w:sz w:val="24"/>
          <w:highlight w:val="none"/>
        </w:rPr>
        <w:instrText xml:space="preserve">HYPERLINK \l "_Toc74322010"</w:instrText>
      </w:r>
      <w:r>
        <w:rPr>
          <w:rStyle w:val="28"/>
          <w:rFonts w:ascii="宋体" w:hAnsi="宋体"/>
          <w:b/>
          <w:color w:val="auto"/>
          <w:sz w:val="24"/>
          <w:highlight w:val="none"/>
        </w:rPr>
        <w:instrText xml:space="preserve"> </w:instrText>
      </w:r>
      <w:r>
        <w:rPr>
          <w:rStyle w:val="28"/>
          <w:rFonts w:ascii="宋体" w:hAnsi="宋体"/>
          <w:b/>
          <w:color w:val="auto"/>
          <w:sz w:val="24"/>
          <w:highlight w:val="none"/>
        </w:rPr>
        <w:fldChar w:fldCharType="separate"/>
      </w:r>
      <w:r>
        <w:rPr>
          <w:rStyle w:val="28"/>
          <w:rFonts w:hint="eastAsia" w:ascii="宋体" w:hAnsi="宋体"/>
          <w:b/>
          <w:color w:val="auto"/>
          <w:sz w:val="24"/>
          <w:highlight w:val="none"/>
        </w:rPr>
        <w:t>第三章</w:t>
      </w:r>
      <w:r>
        <w:rPr>
          <w:rStyle w:val="28"/>
          <w:rFonts w:ascii="宋体" w:hAnsi="宋体"/>
          <w:b/>
          <w:color w:val="auto"/>
          <w:sz w:val="24"/>
          <w:highlight w:val="none"/>
        </w:rPr>
        <w:t xml:space="preserve"> </w:t>
      </w:r>
      <w:r>
        <w:rPr>
          <w:rStyle w:val="28"/>
          <w:rFonts w:hint="eastAsia" w:ascii="宋体" w:hAnsi="宋体"/>
          <w:b/>
          <w:color w:val="auto"/>
          <w:sz w:val="24"/>
          <w:highlight w:val="none"/>
        </w:rPr>
        <w:t>采购需求</w:t>
      </w:r>
      <w:bookmarkStart w:id="1" w:name="_Hlt82166985"/>
      <w:r>
        <w:rPr>
          <w:rFonts w:ascii="宋体" w:hAnsi="宋体"/>
          <w:b/>
          <w:color w:val="auto"/>
          <w:sz w:val="24"/>
          <w:highlight w:val="none"/>
        </w:rPr>
        <w:tab/>
      </w:r>
      <w:bookmarkEnd w:id="1"/>
      <w:r>
        <w:rPr>
          <w:rFonts w:ascii="宋体" w:hAnsi="宋体"/>
          <w:b/>
          <w:color w:val="auto"/>
          <w:sz w:val="24"/>
          <w:highlight w:val="none"/>
        </w:rPr>
        <w:fldChar w:fldCharType="begin"/>
      </w:r>
      <w:r>
        <w:rPr>
          <w:rFonts w:ascii="宋体" w:hAnsi="宋体"/>
          <w:b/>
          <w:color w:val="auto"/>
          <w:sz w:val="24"/>
          <w:highlight w:val="none"/>
        </w:rPr>
        <w:instrText xml:space="preserve"> PAGEREF _Toc74322010 \h </w:instrText>
      </w:r>
      <w:r>
        <w:rPr>
          <w:rFonts w:ascii="宋体" w:hAnsi="宋体"/>
          <w:b/>
          <w:color w:val="auto"/>
          <w:sz w:val="24"/>
          <w:highlight w:val="none"/>
        </w:rPr>
        <w:fldChar w:fldCharType="separate"/>
      </w:r>
      <w:r>
        <w:rPr>
          <w:rFonts w:ascii="宋体" w:hAnsi="宋体"/>
          <w:b/>
          <w:color w:val="auto"/>
          <w:sz w:val="24"/>
          <w:highlight w:val="none"/>
        </w:rPr>
        <w:t>23</w:t>
      </w:r>
      <w:r>
        <w:rPr>
          <w:rFonts w:ascii="宋体" w:hAnsi="宋体"/>
          <w:b/>
          <w:color w:val="auto"/>
          <w:sz w:val="24"/>
          <w:highlight w:val="none"/>
        </w:rPr>
        <w:fldChar w:fldCharType="end"/>
      </w:r>
      <w:r>
        <w:rPr>
          <w:rStyle w:val="28"/>
          <w:rFonts w:ascii="宋体" w:hAnsi="宋体"/>
          <w:b/>
          <w:color w:val="auto"/>
          <w:sz w:val="24"/>
          <w:highlight w:val="none"/>
        </w:rPr>
        <w:fldChar w:fldCharType="end"/>
      </w:r>
    </w:p>
    <w:p w14:paraId="7C14C2B4">
      <w:pPr>
        <w:pStyle w:val="18"/>
        <w:tabs>
          <w:tab w:val="right" w:leader="dot" w:pos="8869"/>
        </w:tabs>
        <w:snapToGrid w:val="0"/>
        <w:spacing w:line="500" w:lineRule="atLeast"/>
        <w:rPr>
          <w:rFonts w:ascii="宋体" w:hAnsi="宋体"/>
          <w:b/>
          <w:color w:val="auto"/>
          <w:sz w:val="24"/>
          <w:highlight w:val="none"/>
        </w:rPr>
      </w:pPr>
      <w:r>
        <w:rPr>
          <w:rStyle w:val="28"/>
          <w:rFonts w:ascii="宋体" w:hAnsi="宋体"/>
          <w:b/>
          <w:color w:val="auto"/>
          <w:sz w:val="24"/>
          <w:highlight w:val="none"/>
        </w:rPr>
        <w:fldChar w:fldCharType="begin"/>
      </w:r>
      <w:r>
        <w:rPr>
          <w:rStyle w:val="28"/>
          <w:rFonts w:ascii="宋体" w:hAnsi="宋体"/>
          <w:b/>
          <w:color w:val="auto"/>
          <w:sz w:val="24"/>
          <w:highlight w:val="none"/>
        </w:rPr>
        <w:instrText xml:space="preserve"> </w:instrText>
      </w:r>
      <w:r>
        <w:rPr>
          <w:rFonts w:ascii="宋体" w:hAnsi="宋体"/>
          <w:b/>
          <w:color w:val="auto"/>
          <w:sz w:val="24"/>
          <w:highlight w:val="none"/>
        </w:rPr>
        <w:instrText xml:space="preserve">HYPERLINK \l "_Toc74322011"</w:instrText>
      </w:r>
      <w:r>
        <w:rPr>
          <w:rStyle w:val="28"/>
          <w:rFonts w:ascii="宋体" w:hAnsi="宋体"/>
          <w:b/>
          <w:color w:val="auto"/>
          <w:sz w:val="24"/>
          <w:highlight w:val="none"/>
        </w:rPr>
        <w:instrText xml:space="preserve"> </w:instrText>
      </w:r>
      <w:r>
        <w:rPr>
          <w:rStyle w:val="28"/>
          <w:rFonts w:ascii="宋体" w:hAnsi="宋体"/>
          <w:b/>
          <w:color w:val="auto"/>
          <w:sz w:val="24"/>
          <w:highlight w:val="none"/>
        </w:rPr>
        <w:fldChar w:fldCharType="separate"/>
      </w:r>
      <w:r>
        <w:rPr>
          <w:rStyle w:val="28"/>
          <w:rFonts w:hint="eastAsia" w:ascii="宋体" w:hAnsi="宋体"/>
          <w:b/>
          <w:color w:val="auto"/>
          <w:sz w:val="24"/>
          <w:highlight w:val="none"/>
        </w:rPr>
        <w:t>第四章</w:t>
      </w:r>
      <w:r>
        <w:rPr>
          <w:rStyle w:val="28"/>
          <w:rFonts w:ascii="宋体" w:hAnsi="宋体"/>
          <w:b/>
          <w:color w:val="auto"/>
          <w:sz w:val="24"/>
          <w:highlight w:val="none"/>
        </w:rPr>
        <w:t xml:space="preserve">  </w:t>
      </w:r>
      <w:r>
        <w:rPr>
          <w:rStyle w:val="28"/>
          <w:rFonts w:hint="eastAsia" w:ascii="宋体" w:hAnsi="宋体"/>
          <w:b/>
          <w:color w:val="auto"/>
          <w:sz w:val="24"/>
          <w:highlight w:val="none"/>
        </w:rPr>
        <w:t>评审程序和评定成交的标准</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_Toc74322011 \h </w:instrText>
      </w:r>
      <w:r>
        <w:rPr>
          <w:rFonts w:ascii="宋体" w:hAnsi="宋体"/>
          <w:b/>
          <w:color w:val="auto"/>
          <w:sz w:val="24"/>
          <w:highlight w:val="none"/>
        </w:rPr>
        <w:fldChar w:fldCharType="separate"/>
      </w:r>
      <w:r>
        <w:rPr>
          <w:rFonts w:ascii="宋体" w:hAnsi="宋体"/>
          <w:b/>
          <w:color w:val="auto"/>
          <w:sz w:val="24"/>
          <w:highlight w:val="none"/>
        </w:rPr>
        <w:t>47</w:t>
      </w:r>
      <w:r>
        <w:rPr>
          <w:rFonts w:ascii="宋体" w:hAnsi="宋体"/>
          <w:b/>
          <w:color w:val="auto"/>
          <w:sz w:val="24"/>
          <w:highlight w:val="none"/>
        </w:rPr>
        <w:fldChar w:fldCharType="end"/>
      </w:r>
      <w:r>
        <w:rPr>
          <w:rStyle w:val="28"/>
          <w:rFonts w:ascii="宋体" w:hAnsi="宋体"/>
          <w:b/>
          <w:color w:val="auto"/>
          <w:sz w:val="24"/>
          <w:highlight w:val="none"/>
        </w:rPr>
        <w:fldChar w:fldCharType="end"/>
      </w:r>
    </w:p>
    <w:p w14:paraId="30AA2426">
      <w:pPr>
        <w:pStyle w:val="18"/>
        <w:tabs>
          <w:tab w:val="right" w:leader="dot" w:pos="8869"/>
        </w:tabs>
        <w:snapToGrid w:val="0"/>
        <w:spacing w:line="500" w:lineRule="atLeast"/>
        <w:rPr>
          <w:rFonts w:ascii="宋体" w:hAnsi="宋体"/>
          <w:b/>
          <w:color w:val="auto"/>
          <w:sz w:val="24"/>
          <w:highlight w:val="none"/>
        </w:rPr>
      </w:pPr>
      <w:r>
        <w:rPr>
          <w:rStyle w:val="28"/>
          <w:rFonts w:ascii="宋体" w:hAnsi="宋体"/>
          <w:b/>
          <w:color w:val="auto"/>
          <w:sz w:val="24"/>
          <w:highlight w:val="none"/>
        </w:rPr>
        <w:fldChar w:fldCharType="begin"/>
      </w:r>
      <w:r>
        <w:rPr>
          <w:rStyle w:val="28"/>
          <w:rFonts w:ascii="宋体" w:hAnsi="宋体"/>
          <w:b/>
          <w:color w:val="auto"/>
          <w:sz w:val="24"/>
          <w:highlight w:val="none"/>
        </w:rPr>
        <w:instrText xml:space="preserve"> </w:instrText>
      </w:r>
      <w:r>
        <w:rPr>
          <w:rFonts w:ascii="宋体" w:hAnsi="宋体"/>
          <w:b/>
          <w:color w:val="auto"/>
          <w:sz w:val="24"/>
          <w:highlight w:val="none"/>
        </w:rPr>
        <w:instrText xml:space="preserve">HYPERLINK \l "_Toc74322012"</w:instrText>
      </w:r>
      <w:r>
        <w:rPr>
          <w:rStyle w:val="28"/>
          <w:rFonts w:ascii="宋体" w:hAnsi="宋体"/>
          <w:b/>
          <w:color w:val="auto"/>
          <w:sz w:val="24"/>
          <w:highlight w:val="none"/>
        </w:rPr>
        <w:instrText xml:space="preserve"> </w:instrText>
      </w:r>
      <w:r>
        <w:rPr>
          <w:rStyle w:val="28"/>
          <w:rFonts w:ascii="宋体" w:hAnsi="宋体"/>
          <w:b/>
          <w:color w:val="auto"/>
          <w:sz w:val="24"/>
          <w:highlight w:val="none"/>
        </w:rPr>
        <w:fldChar w:fldCharType="separate"/>
      </w:r>
      <w:r>
        <w:rPr>
          <w:rStyle w:val="28"/>
          <w:rFonts w:hint="eastAsia" w:ascii="宋体" w:hAnsi="宋体"/>
          <w:b/>
          <w:color w:val="auto"/>
          <w:sz w:val="24"/>
          <w:highlight w:val="none"/>
        </w:rPr>
        <w:t>第五章</w:t>
      </w:r>
      <w:r>
        <w:rPr>
          <w:rStyle w:val="28"/>
          <w:rFonts w:ascii="宋体" w:hAnsi="宋体"/>
          <w:b/>
          <w:color w:val="auto"/>
          <w:sz w:val="24"/>
          <w:highlight w:val="none"/>
        </w:rPr>
        <w:t xml:space="preserve"> </w:t>
      </w:r>
      <w:r>
        <w:rPr>
          <w:rStyle w:val="28"/>
          <w:rFonts w:hint="eastAsia" w:ascii="宋体" w:hAnsi="宋体"/>
          <w:b/>
          <w:color w:val="auto"/>
          <w:sz w:val="24"/>
          <w:highlight w:val="none"/>
        </w:rPr>
        <w:t>响应文件格式</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_Toc74322012 \h </w:instrText>
      </w:r>
      <w:r>
        <w:rPr>
          <w:rFonts w:ascii="宋体" w:hAnsi="宋体"/>
          <w:b/>
          <w:color w:val="auto"/>
          <w:sz w:val="24"/>
          <w:highlight w:val="none"/>
        </w:rPr>
        <w:fldChar w:fldCharType="separate"/>
      </w:r>
      <w:r>
        <w:rPr>
          <w:rFonts w:ascii="宋体" w:hAnsi="宋体"/>
          <w:b/>
          <w:color w:val="auto"/>
          <w:sz w:val="24"/>
          <w:highlight w:val="none"/>
        </w:rPr>
        <w:t>52</w:t>
      </w:r>
      <w:r>
        <w:rPr>
          <w:rFonts w:ascii="宋体" w:hAnsi="宋体"/>
          <w:b/>
          <w:color w:val="auto"/>
          <w:sz w:val="24"/>
          <w:highlight w:val="none"/>
        </w:rPr>
        <w:fldChar w:fldCharType="end"/>
      </w:r>
      <w:r>
        <w:rPr>
          <w:rStyle w:val="28"/>
          <w:rFonts w:ascii="宋体" w:hAnsi="宋体"/>
          <w:b/>
          <w:color w:val="auto"/>
          <w:sz w:val="24"/>
          <w:highlight w:val="none"/>
        </w:rPr>
        <w:fldChar w:fldCharType="end"/>
      </w:r>
    </w:p>
    <w:p w14:paraId="4C48C5C8">
      <w:pPr>
        <w:pStyle w:val="18"/>
        <w:tabs>
          <w:tab w:val="right" w:leader="dot" w:pos="8869"/>
        </w:tabs>
        <w:snapToGrid w:val="0"/>
        <w:spacing w:line="500" w:lineRule="atLeast"/>
        <w:rPr>
          <w:rFonts w:ascii="宋体" w:hAnsi="宋体"/>
          <w:b/>
          <w:color w:val="auto"/>
          <w:sz w:val="24"/>
          <w:highlight w:val="none"/>
        </w:rPr>
      </w:pPr>
      <w:r>
        <w:rPr>
          <w:rStyle w:val="28"/>
          <w:rFonts w:ascii="宋体" w:hAnsi="宋体"/>
          <w:b/>
          <w:color w:val="auto"/>
          <w:sz w:val="24"/>
          <w:highlight w:val="none"/>
        </w:rPr>
        <w:fldChar w:fldCharType="begin"/>
      </w:r>
      <w:r>
        <w:rPr>
          <w:rStyle w:val="28"/>
          <w:rFonts w:ascii="宋体" w:hAnsi="宋体"/>
          <w:b/>
          <w:color w:val="auto"/>
          <w:sz w:val="24"/>
          <w:highlight w:val="none"/>
        </w:rPr>
        <w:instrText xml:space="preserve"> </w:instrText>
      </w:r>
      <w:r>
        <w:rPr>
          <w:rFonts w:ascii="宋体" w:hAnsi="宋体"/>
          <w:b/>
          <w:color w:val="auto"/>
          <w:sz w:val="24"/>
          <w:highlight w:val="none"/>
        </w:rPr>
        <w:instrText xml:space="preserve">HYPERLINK \l "_Toc74322013"</w:instrText>
      </w:r>
      <w:r>
        <w:rPr>
          <w:rStyle w:val="28"/>
          <w:rFonts w:ascii="宋体" w:hAnsi="宋体"/>
          <w:b/>
          <w:color w:val="auto"/>
          <w:sz w:val="24"/>
          <w:highlight w:val="none"/>
        </w:rPr>
        <w:instrText xml:space="preserve"> </w:instrText>
      </w:r>
      <w:r>
        <w:rPr>
          <w:rStyle w:val="28"/>
          <w:rFonts w:ascii="宋体" w:hAnsi="宋体"/>
          <w:b/>
          <w:color w:val="auto"/>
          <w:sz w:val="24"/>
          <w:highlight w:val="none"/>
        </w:rPr>
        <w:fldChar w:fldCharType="separate"/>
      </w:r>
      <w:r>
        <w:rPr>
          <w:rStyle w:val="28"/>
          <w:rFonts w:hint="eastAsia" w:ascii="宋体" w:hAnsi="宋体"/>
          <w:b/>
          <w:color w:val="auto"/>
          <w:sz w:val="24"/>
          <w:highlight w:val="none"/>
        </w:rPr>
        <w:t>第六章</w:t>
      </w:r>
      <w:r>
        <w:rPr>
          <w:rStyle w:val="28"/>
          <w:rFonts w:ascii="宋体" w:hAnsi="宋体"/>
          <w:b/>
          <w:color w:val="auto"/>
          <w:sz w:val="24"/>
          <w:highlight w:val="none"/>
        </w:rPr>
        <w:t xml:space="preserve"> </w:t>
      </w:r>
      <w:r>
        <w:rPr>
          <w:rStyle w:val="28"/>
          <w:rFonts w:hint="eastAsia" w:ascii="宋体" w:hAnsi="宋体"/>
          <w:b/>
          <w:color w:val="auto"/>
          <w:sz w:val="24"/>
          <w:highlight w:val="none"/>
        </w:rPr>
        <w:t>合同文本</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_Toc74322013 \h </w:instrText>
      </w:r>
      <w:r>
        <w:rPr>
          <w:rFonts w:ascii="宋体" w:hAnsi="宋体"/>
          <w:b/>
          <w:color w:val="auto"/>
          <w:sz w:val="24"/>
          <w:highlight w:val="none"/>
        </w:rPr>
        <w:fldChar w:fldCharType="separate"/>
      </w:r>
      <w:r>
        <w:rPr>
          <w:rFonts w:ascii="宋体" w:hAnsi="宋体"/>
          <w:b/>
          <w:color w:val="auto"/>
          <w:sz w:val="24"/>
          <w:highlight w:val="none"/>
        </w:rPr>
        <w:t>78</w:t>
      </w:r>
      <w:r>
        <w:rPr>
          <w:rFonts w:ascii="宋体" w:hAnsi="宋体"/>
          <w:b/>
          <w:color w:val="auto"/>
          <w:sz w:val="24"/>
          <w:highlight w:val="none"/>
        </w:rPr>
        <w:fldChar w:fldCharType="end"/>
      </w:r>
      <w:r>
        <w:rPr>
          <w:rStyle w:val="28"/>
          <w:rFonts w:ascii="宋体" w:hAnsi="宋体"/>
          <w:b/>
          <w:color w:val="auto"/>
          <w:sz w:val="24"/>
          <w:highlight w:val="none"/>
        </w:rPr>
        <w:fldChar w:fldCharType="end"/>
      </w:r>
    </w:p>
    <w:p w14:paraId="17F2A551">
      <w:pPr>
        <w:pStyle w:val="20"/>
        <w:tabs>
          <w:tab w:val="right" w:leader="dot" w:pos="8931"/>
          <w:tab w:val="clear" w:pos="8296"/>
        </w:tabs>
        <w:snapToGrid w:val="0"/>
        <w:spacing w:line="500" w:lineRule="atLeast"/>
        <w:ind w:left="0" w:leftChars="0"/>
        <w:rPr>
          <w:rFonts w:hint="eastAsia" w:ascii="宋体" w:hAnsi="宋体"/>
          <w:b/>
          <w:color w:val="auto"/>
          <w:sz w:val="24"/>
          <w:highlight w:val="none"/>
        </w:rPr>
      </w:pPr>
      <w:r>
        <w:rPr>
          <w:rFonts w:ascii="宋体" w:hAnsi="宋体"/>
          <w:b/>
          <w:color w:val="auto"/>
          <w:sz w:val="24"/>
          <w:highlight w:val="none"/>
        </w:rPr>
        <w:fldChar w:fldCharType="end"/>
      </w:r>
    </w:p>
    <w:p w14:paraId="59424B07">
      <w:pPr>
        <w:spacing w:line="400" w:lineRule="exact"/>
        <w:jc w:val="left"/>
        <w:rPr>
          <w:rFonts w:hint="eastAsia" w:ascii="宋体" w:hAnsi="宋体"/>
          <w:b/>
          <w:color w:val="auto"/>
          <w:sz w:val="32"/>
          <w:szCs w:val="32"/>
          <w:highlight w:val="none"/>
        </w:rPr>
      </w:pPr>
    </w:p>
    <w:p w14:paraId="54A3FB2C">
      <w:pPr>
        <w:spacing w:line="400" w:lineRule="exact"/>
        <w:jc w:val="center"/>
        <w:rPr>
          <w:rFonts w:hint="eastAsia" w:ascii="宋体" w:hAnsi="宋体"/>
          <w:b/>
          <w:color w:val="auto"/>
          <w:sz w:val="32"/>
          <w:szCs w:val="32"/>
          <w:highlight w:val="none"/>
        </w:rPr>
      </w:pPr>
    </w:p>
    <w:p w14:paraId="77168781">
      <w:pPr>
        <w:spacing w:line="400" w:lineRule="exact"/>
        <w:jc w:val="center"/>
        <w:rPr>
          <w:rFonts w:hint="eastAsia" w:ascii="宋体" w:hAnsi="宋体"/>
          <w:b/>
          <w:color w:val="auto"/>
          <w:sz w:val="32"/>
          <w:szCs w:val="32"/>
          <w:highlight w:val="none"/>
        </w:rPr>
      </w:pPr>
    </w:p>
    <w:p w14:paraId="3B76E2A9">
      <w:pPr>
        <w:spacing w:line="400" w:lineRule="exact"/>
        <w:jc w:val="center"/>
        <w:rPr>
          <w:rFonts w:hint="eastAsia" w:ascii="宋体" w:hAnsi="宋体"/>
          <w:b/>
          <w:color w:val="auto"/>
          <w:sz w:val="32"/>
          <w:szCs w:val="32"/>
          <w:highlight w:val="none"/>
        </w:rPr>
      </w:pPr>
    </w:p>
    <w:p w14:paraId="5B9712CA">
      <w:pPr>
        <w:spacing w:line="400" w:lineRule="exact"/>
        <w:jc w:val="center"/>
        <w:rPr>
          <w:rFonts w:hint="eastAsia" w:ascii="宋体" w:hAnsi="宋体"/>
          <w:b/>
          <w:color w:val="auto"/>
          <w:sz w:val="32"/>
          <w:szCs w:val="32"/>
          <w:highlight w:val="none"/>
        </w:rPr>
      </w:pPr>
    </w:p>
    <w:p w14:paraId="034D05CD">
      <w:pPr>
        <w:spacing w:line="400" w:lineRule="exact"/>
        <w:rPr>
          <w:rFonts w:hint="eastAsia" w:ascii="宋体" w:hAnsi="宋体"/>
          <w:b/>
          <w:color w:val="auto"/>
          <w:sz w:val="32"/>
          <w:szCs w:val="32"/>
          <w:highlight w:val="none"/>
        </w:rPr>
        <w:sectPr>
          <w:footerReference r:id="rId10" w:type="first"/>
          <w:footerReference r:id="rId9" w:type="default"/>
          <w:pgSz w:w="11906" w:h="16838"/>
          <w:pgMar w:top="1440" w:right="1440" w:bottom="1066" w:left="1587" w:header="851" w:footer="992" w:gutter="0"/>
          <w:pgNumType w:start="1"/>
          <w:cols w:space="720" w:num="1"/>
          <w:titlePg/>
          <w:docGrid w:type="lines" w:linePitch="312" w:charSpace="0"/>
        </w:sectPr>
      </w:pPr>
    </w:p>
    <w:p w14:paraId="69929767">
      <w:pPr>
        <w:numPr>
          <w:ilvl w:val="0"/>
          <w:numId w:val="1"/>
        </w:numPr>
        <w:bidi w:val="0"/>
        <w:jc w:val="center"/>
        <w:rPr>
          <w:rFonts w:hint="eastAsia"/>
          <w:b/>
          <w:bCs/>
          <w:color w:val="auto"/>
          <w:sz w:val="36"/>
          <w:szCs w:val="44"/>
          <w:highlight w:val="none"/>
          <w:lang w:eastAsia="zh-CN"/>
        </w:rPr>
      </w:pPr>
      <w:bookmarkStart w:id="2" w:name="_Toc74322008"/>
      <w:r>
        <w:rPr>
          <w:rFonts w:hint="eastAsia"/>
          <w:b/>
          <w:bCs/>
          <w:color w:val="auto"/>
          <w:sz w:val="36"/>
          <w:szCs w:val="44"/>
          <w:highlight w:val="none"/>
        </w:rPr>
        <w:t>竞争性谈判公告</w:t>
      </w:r>
      <w:bookmarkEnd w:id="2"/>
    </w:p>
    <w:tbl>
      <w:tblPr>
        <w:tblStyle w:val="24"/>
        <w:tblpPr w:leftFromText="180" w:rightFromText="180" w:vertAnchor="text" w:tblpX="70" w:tblpY="1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7"/>
      </w:tblGrid>
      <w:tr w14:paraId="7ADC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9767" w:type="dxa"/>
            <w:noWrap w:val="0"/>
            <w:vAlign w:val="top"/>
          </w:tcPr>
          <w:p w14:paraId="7A0CDE92">
            <w:pPr>
              <w:spacing w:line="460" w:lineRule="exact"/>
              <w:ind w:firstLine="422" w:firstLineChars="200"/>
              <w:rPr>
                <w:rFonts w:ascii="宋体" w:hAnsi="宋体" w:cs="宋体"/>
                <w:b/>
                <w:bCs/>
                <w:color w:val="auto"/>
                <w:szCs w:val="21"/>
                <w:highlight w:val="none"/>
              </w:rPr>
            </w:pPr>
            <w:bookmarkStart w:id="3" w:name="_Hlk37430271"/>
            <w:r>
              <w:rPr>
                <w:rFonts w:hint="eastAsia" w:ascii="宋体" w:hAnsi="宋体" w:cs="宋体"/>
                <w:b/>
                <w:bCs/>
                <w:color w:val="auto"/>
                <w:szCs w:val="21"/>
                <w:highlight w:val="none"/>
              </w:rPr>
              <w:t>项目概况</w:t>
            </w:r>
          </w:p>
          <w:p w14:paraId="00C7B349">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lang w:eastAsia="zh-CN"/>
              </w:rPr>
              <w:t>2025年痕迹检验和现场勘察试剂耗材、打拐案件DNA检验鉴定试剂耗材、非案件亲子鉴定检验鉴定试剂耗材</w:t>
            </w:r>
            <w:r>
              <w:rPr>
                <w:rFonts w:hint="eastAsia" w:ascii="宋体" w:hAnsi="宋体" w:cs="宋体"/>
                <w:color w:val="auto"/>
                <w:highlight w:val="none"/>
              </w:rPr>
              <w:t>的潜在供应商应登录</w:t>
            </w:r>
            <w:r>
              <w:rPr>
                <w:rFonts w:hint="eastAsia" w:ascii="宋体" w:hAnsi="宋体" w:cs="宋体"/>
                <w:snapToGrid w:val="0"/>
                <w:color w:val="auto"/>
                <w:kern w:val="0"/>
                <w:szCs w:val="21"/>
                <w:highlight w:val="none"/>
                <w:u w:val="single"/>
              </w:rPr>
              <w:t>广西政府采购云平台（https://www.gcy.zfcg.gxzf.gov.cn/）</w:t>
            </w:r>
            <w:r>
              <w:rPr>
                <w:rFonts w:hint="eastAsia" w:ascii="宋体" w:hAnsi="宋体"/>
                <w:color w:val="auto"/>
                <w:szCs w:val="21"/>
                <w:highlight w:val="none"/>
              </w:rPr>
              <w:t>获取竞争性谈判文件 ，并于</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17</w:t>
            </w:r>
            <w:r>
              <w:rPr>
                <w:rFonts w:hint="eastAsia" w:ascii="宋体" w:hAnsi="宋体" w:cs="宋体"/>
                <w:color w:val="auto"/>
                <w:szCs w:val="21"/>
                <w:highlight w:val="none"/>
                <w:lang w:eastAsia="zh-CN"/>
              </w:rPr>
              <w:t>日9：30</w:t>
            </w:r>
            <w:r>
              <w:rPr>
                <w:rFonts w:hint="eastAsia" w:ascii="宋体" w:hAnsi="宋体" w:cs="宋体"/>
                <w:color w:val="auto"/>
                <w:highlight w:val="none"/>
              </w:rPr>
              <w:t>（北京时间）前提交响应文件。</w:t>
            </w:r>
          </w:p>
        </w:tc>
      </w:tr>
    </w:tbl>
    <w:p w14:paraId="5BC8FE07">
      <w:pPr>
        <w:spacing w:line="360" w:lineRule="auto"/>
        <w:rPr>
          <w:rFonts w:ascii="宋体" w:hAnsi="宋体"/>
          <w:color w:val="auto"/>
          <w:szCs w:val="21"/>
          <w:highlight w:val="none"/>
        </w:rPr>
      </w:pPr>
    </w:p>
    <w:p w14:paraId="58F3C0C8">
      <w:pPr>
        <w:spacing w:line="360" w:lineRule="auto"/>
        <w:ind w:firstLine="360" w:firstLineChars="150"/>
        <w:rPr>
          <w:rFonts w:ascii="黑体" w:hAnsi="黑体" w:eastAsia="黑体"/>
          <w:color w:val="auto"/>
          <w:sz w:val="24"/>
          <w:highlight w:val="none"/>
        </w:rPr>
      </w:pPr>
      <w:bookmarkStart w:id="4" w:name="_Toc35393629"/>
      <w:bookmarkStart w:id="5" w:name="_Toc28359012"/>
      <w:bookmarkStart w:id="6" w:name="_Toc35393798"/>
      <w:bookmarkStart w:id="7" w:name="_Toc71365362"/>
      <w:bookmarkStart w:id="8" w:name="_Toc71366040"/>
      <w:bookmarkStart w:id="9" w:name="_Toc28359089"/>
      <w:bookmarkStart w:id="10" w:name="_Toc4468"/>
      <w:bookmarkStart w:id="11" w:name="_Toc5166"/>
      <w:bookmarkStart w:id="12" w:name="_Toc27692"/>
      <w:bookmarkStart w:id="13" w:name="_Toc15341"/>
      <w:bookmarkStart w:id="14" w:name="_Toc4369"/>
      <w:r>
        <w:rPr>
          <w:rFonts w:hint="eastAsia" w:ascii="黑体" w:hAnsi="黑体" w:eastAsia="黑体"/>
          <w:color w:val="auto"/>
          <w:sz w:val="24"/>
          <w:highlight w:val="none"/>
        </w:rPr>
        <w:t>一、项目基本情况</w:t>
      </w:r>
      <w:bookmarkEnd w:id="4"/>
      <w:bookmarkEnd w:id="5"/>
      <w:bookmarkEnd w:id="6"/>
      <w:bookmarkEnd w:id="7"/>
      <w:bookmarkEnd w:id="8"/>
      <w:bookmarkEnd w:id="9"/>
    </w:p>
    <w:p w14:paraId="5BB96872">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项目编号：CZZC2025-J1-990173-YYZB</w:t>
      </w:r>
    </w:p>
    <w:p w14:paraId="1E8C32B1">
      <w:pPr>
        <w:spacing w:line="360" w:lineRule="auto"/>
        <w:ind w:firstLine="420" w:firstLineChars="200"/>
        <w:rPr>
          <w:rFonts w:hint="eastAsia" w:ascii="宋体" w:hAnsi="宋体" w:eastAsia="宋体"/>
          <w:color w:val="auto"/>
          <w:szCs w:val="21"/>
          <w:highlight w:val="yellow"/>
          <w:lang w:eastAsia="zh-CN"/>
        </w:rPr>
      </w:pPr>
      <w:r>
        <w:rPr>
          <w:rFonts w:hint="eastAsia" w:ascii="宋体" w:hAnsi="宋体"/>
          <w:color w:val="auto"/>
          <w:szCs w:val="21"/>
          <w:highlight w:val="none"/>
        </w:rPr>
        <w:t>项目名称：</w:t>
      </w:r>
      <w:r>
        <w:rPr>
          <w:rFonts w:hint="eastAsia" w:ascii="宋体" w:hAnsi="宋体"/>
          <w:color w:val="auto"/>
          <w:szCs w:val="21"/>
          <w:highlight w:val="none"/>
          <w:lang w:eastAsia="zh-CN"/>
        </w:rPr>
        <w:t>2025年痕迹检验和现场勘察试剂耗材、打拐案件DNA检验鉴定试剂耗材、非案件亲子鉴定检验鉴定试剂耗材</w:t>
      </w:r>
    </w:p>
    <w:p w14:paraId="5817D2A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采购方式：竞争性谈判</w:t>
      </w:r>
    </w:p>
    <w:p w14:paraId="42FD023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预算金额：</w:t>
      </w:r>
      <w:r>
        <w:rPr>
          <w:rFonts w:hint="eastAsia" w:ascii="宋体" w:hAnsi="宋体"/>
          <w:color w:val="auto"/>
          <w:szCs w:val="21"/>
          <w:highlight w:val="none"/>
          <w:lang w:eastAsia="zh-CN"/>
        </w:rPr>
        <w:t>738740.00</w:t>
      </w:r>
      <w:r>
        <w:rPr>
          <w:rFonts w:hint="eastAsia" w:ascii="宋体" w:hAnsi="宋体"/>
          <w:color w:val="auto"/>
          <w:szCs w:val="21"/>
          <w:highlight w:val="none"/>
        </w:rPr>
        <w:t>元</w:t>
      </w:r>
    </w:p>
    <w:p w14:paraId="689052C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最高限价（如有）：</w:t>
      </w:r>
      <w:r>
        <w:rPr>
          <w:rFonts w:hint="eastAsia" w:ascii="宋体" w:hAnsi="宋体"/>
          <w:color w:val="auto"/>
          <w:szCs w:val="21"/>
          <w:highlight w:val="none"/>
          <w:lang w:eastAsia="zh-CN"/>
        </w:rPr>
        <w:t>738740.00</w:t>
      </w:r>
      <w:r>
        <w:rPr>
          <w:rFonts w:hint="eastAsia" w:ascii="宋体" w:hAnsi="宋体"/>
          <w:color w:val="auto"/>
          <w:szCs w:val="21"/>
          <w:highlight w:val="none"/>
        </w:rPr>
        <w:t>元</w:t>
      </w:r>
    </w:p>
    <w:p w14:paraId="2E02D04B">
      <w:pPr>
        <w:spacing w:line="360" w:lineRule="auto"/>
        <w:ind w:firstLine="420" w:firstLineChars="200"/>
        <w:rPr>
          <w:rFonts w:hint="eastAsia"/>
          <w:color w:val="auto"/>
          <w:highlight w:val="none"/>
        </w:rPr>
      </w:pPr>
      <w:r>
        <w:rPr>
          <w:rFonts w:hint="eastAsia" w:ascii="宋体" w:hAnsi="宋体"/>
          <w:color w:val="auto"/>
          <w:szCs w:val="21"/>
          <w:highlight w:val="none"/>
        </w:rPr>
        <w:t>采购需求：简要规格描述或项目基本概况介绍、用途：</w:t>
      </w:r>
      <w:r>
        <w:rPr>
          <w:rFonts w:hint="eastAsia" w:ascii="宋体" w:hAnsi="宋体"/>
          <w:color w:val="auto"/>
          <w:szCs w:val="21"/>
          <w:highlight w:val="none"/>
          <w:lang w:val="en-US" w:eastAsia="zh-CN"/>
        </w:rPr>
        <w:t>采购</w:t>
      </w:r>
      <w:r>
        <w:rPr>
          <w:rFonts w:hint="eastAsia" w:ascii="宋体" w:hAnsi="宋体"/>
          <w:color w:val="auto"/>
          <w:szCs w:val="21"/>
          <w:highlight w:val="none"/>
          <w:lang w:eastAsia="zh-CN"/>
        </w:rPr>
        <w:t>2025年痕迹检验和现场勘察试剂耗材、打拐案件DNA检验鉴定试剂耗材、非案件亲子鉴定检验鉴定试剂耗材</w:t>
      </w:r>
      <w:r>
        <w:rPr>
          <w:rFonts w:hint="eastAsia" w:ascii="宋体" w:hAnsi="宋体"/>
          <w:color w:val="auto"/>
          <w:szCs w:val="21"/>
          <w:highlight w:val="none"/>
        </w:rPr>
        <w:t>1</w:t>
      </w:r>
      <w:r>
        <w:rPr>
          <w:rFonts w:hint="eastAsia" w:ascii="宋体" w:hAnsi="宋体"/>
          <w:color w:val="auto"/>
          <w:szCs w:val="21"/>
          <w:highlight w:val="none"/>
          <w:lang w:val="en-US" w:eastAsia="zh-CN"/>
        </w:rPr>
        <w:t>批</w:t>
      </w:r>
      <w:r>
        <w:rPr>
          <w:rFonts w:hint="eastAsia" w:ascii="宋体" w:hAnsi="宋体"/>
          <w:color w:val="auto"/>
          <w:szCs w:val="21"/>
          <w:highlight w:val="none"/>
        </w:rPr>
        <w:t>，具体详见采购需求</w:t>
      </w:r>
      <w:r>
        <w:rPr>
          <w:rFonts w:hint="eastAsia" w:ascii="宋体" w:hAnsi="宋体"/>
          <w:color w:val="auto"/>
          <w:szCs w:val="21"/>
          <w:highlight w:val="none"/>
          <w:lang w:eastAsia="zh-CN"/>
        </w:rPr>
        <w:t>清单</w:t>
      </w:r>
      <w:r>
        <w:rPr>
          <w:rFonts w:hint="eastAsia" w:ascii="宋体" w:hAnsi="宋体"/>
          <w:color w:val="auto"/>
          <w:szCs w:val="21"/>
          <w:highlight w:val="none"/>
        </w:rPr>
        <w:t>。</w:t>
      </w:r>
    </w:p>
    <w:p w14:paraId="18AF3407">
      <w:pPr>
        <w:spacing w:line="360" w:lineRule="auto"/>
        <w:ind w:left="420" w:leftChars="200"/>
        <w:rPr>
          <w:rFonts w:hint="eastAsia" w:ascii="宋体" w:hAnsi="宋体" w:cs="宋体"/>
          <w:color w:val="auto"/>
          <w:szCs w:val="21"/>
          <w:highlight w:val="none"/>
        </w:rPr>
      </w:pPr>
      <w:r>
        <w:rPr>
          <w:rFonts w:hint="eastAsia" w:ascii="宋体" w:hAnsi="宋体"/>
          <w:color w:val="auto"/>
          <w:szCs w:val="21"/>
          <w:highlight w:val="none"/>
        </w:rPr>
        <w:t>合同履行期限：</w:t>
      </w:r>
      <w:r>
        <w:rPr>
          <w:rFonts w:hint="eastAsia" w:ascii="宋体" w:hAnsi="宋体" w:cs="宋体"/>
          <w:color w:val="auto"/>
          <w:szCs w:val="21"/>
          <w:highlight w:val="none"/>
        </w:rPr>
        <w:t>自签订合同之日起</w:t>
      </w:r>
      <w:r>
        <w:rPr>
          <w:rFonts w:hint="eastAsia" w:ascii="宋体" w:hAnsi="宋体" w:cs="宋体"/>
          <w:color w:val="auto"/>
          <w:szCs w:val="21"/>
          <w:highlight w:val="none"/>
          <w:u w:val="none"/>
          <w:lang w:val="en-US" w:eastAsia="zh-CN"/>
        </w:rPr>
        <w:t>一年</w:t>
      </w:r>
      <w:r>
        <w:rPr>
          <w:rFonts w:hint="eastAsia" w:ascii="宋体" w:hAnsi="宋体" w:cs="宋体"/>
          <w:color w:val="auto"/>
          <w:szCs w:val="21"/>
          <w:highlight w:val="none"/>
          <w:u w:val="none"/>
        </w:rPr>
        <w:t>。</w:t>
      </w:r>
    </w:p>
    <w:p w14:paraId="4527CEA2">
      <w:pPr>
        <w:spacing w:line="360" w:lineRule="auto"/>
        <w:ind w:left="420" w:leftChars="200"/>
        <w:rPr>
          <w:rFonts w:hint="eastAsia" w:ascii="宋体" w:hAnsi="宋体"/>
          <w:color w:val="auto"/>
          <w:szCs w:val="21"/>
          <w:highlight w:val="none"/>
        </w:rPr>
      </w:pPr>
      <w:r>
        <w:rPr>
          <w:rFonts w:hint="eastAsia" w:ascii="宋体" w:hAnsi="宋体"/>
          <w:color w:val="auto"/>
          <w:szCs w:val="21"/>
          <w:highlight w:val="none"/>
        </w:rPr>
        <w:t>本项目不接受联合体。</w:t>
      </w:r>
    </w:p>
    <w:p w14:paraId="7721BCC1">
      <w:pPr>
        <w:spacing w:line="360" w:lineRule="auto"/>
        <w:ind w:firstLine="360" w:firstLineChars="150"/>
        <w:rPr>
          <w:rFonts w:ascii="黑体" w:hAnsi="黑体" w:eastAsia="黑体"/>
          <w:color w:val="auto"/>
          <w:sz w:val="24"/>
          <w:highlight w:val="none"/>
        </w:rPr>
      </w:pPr>
      <w:bookmarkStart w:id="15" w:name="_Toc71366041"/>
      <w:bookmarkStart w:id="16" w:name="_Toc71365363"/>
      <w:r>
        <w:rPr>
          <w:rFonts w:hint="eastAsia" w:ascii="黑体" w:hAnsi="黑体" w:eastAsia="黑体"/>
          <w:color w:val="auto"/>
          <w:sz w:val="24"/>
          <w:highlight w:val="none"/>
        </w:rPr>
        <w:t>二、供应商的资格条件：</w:t>
      </w:r>
      <w:bookmarkEnd w:id="15"/>
      <w:bookmarkEnd w:id="16"/>
    </w:p>
    <w:p w14:paraId="456E4A6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0AA02F6D">
      <w:pPr>
        <w:spacing w:line="360" w:lineRule="auto"/>
        <w:ind w:firstLine="420" w:firstLineChars="200"/>
        <w:rPr>
          <w:rFonts w:hint="eastAsia" w:ascii="宋体" w:hAnsi="宋体" w:cs="宋体"/>
          <w:color w:val="auto"/>
          <w:sz w:val="21"/>
          <w:szCs w:val="21"/>
          <w:highlight w:val="none"/>
          <w:lang w:eastAsia="zh-CN"/>
        </w:rPr>
      </w:pPr>
      <w:r>
        <w:rPr>
          <w:rFonts w:ascii="宋体" w:hAnsi="宋体"/>
          <w:color w:val="auto"/>
          <w:szCs w:val="21"/>
          <w:highlight w:val="none"/>
        </w:rPr>
        <w:t>2</w:t>
      </w:r>
      <w:r>
        <w:rPr>
          <w:rFonts w:hint="eastAsia" w:ascii="宋体" w:hAnsi="宋体"/>
          <w:color w:val="auto"/>
          <w:szCs w:val="21"/>
          <w:highlight w:val="none"/>
        </w:rPr>
        <w:t>.落实政府采购政策需满足的资格要求：</w:t>
      </w:r>
      <w:r>
        <w:rPr>
          <w:rFonts w:hint="eastAsia" w:ascii="宋体" w:hAnsi="宋体" w:cs="宋体"/>
          <w:color w:val="auto"/>
          <w:sz w:val="21"/>
          <w:szCs w:val="21"/>
          <w:highlight w:val="none"/>
          <w:lang w:eastAsia="zh-CN"/>
        </w:rPr>
        <w:t>本项目</w:t>
      </w:r>
      <w:r>
        <w:rPr>
          <w:rFonts w:hint="default" w:ascii="Times New Roman" w:hAnsi="Times New Roman" w:eastAsia="宋体" w:cs="Times New Roman"/>
          <w:color w:val="auto"/>
          <w:sz w:val="21"/>
          <w:szCs w:val="21"/>
          <w:highlight w:val="none"/>
        </w:rPr>
        <w:t>专门面向中小企业采购（</w:t>
      </w:r>
      <w:r>
        <w:rPr>
          <w:rFonts w:hint="eastAsia" w:ascii="Times New Roman" w:hAnsi="Times New Roman" w:eastAsia="宋体" w:cs="Times New Roman"/>
          <w:color w:val="auto"/>
          <w:sz w:val="21"/>
          <w:szCs w:val="21"/>
          <w:highlight w:val="none"/>
          <w:lang w:eastAsia="zh-CN"/>
        </w:rPr>
        <w:t>货物制造商</w:t>
      </w:r>
      <w:r>
        <w:rPr>
          <w:rFonts w:hint="default" w:ascii="Times New Roman" w:hAnsi="Times New Roman" w:eastAsia="宋体" w:cs="Times New Roman"/>
          <w:color w:val="auto"/>
          <w:sz w:val="21"/>
          <w:szCs w:val="21"/>
          <w:highlight w:val="none"/>
        </w:rPr>
        <w:t>应为中小微企业</w:t>
      </w:r>
      <w:r>
        <w:rPr>
          <w:rFonts w:hint="eastAsia" w:ascii="Times New Roman" w:hAnsi="Times New Roman" w:eastAsia="宋体" w:cs="Times New Roman"/>
          <w:color w:val="auto"/>
          <w:sz w:val="21"/>
          <w:szCs w:val="21"/>
          <w:highlight w:val="none"/>
          <w:lang w:eastAsia="zh-CN"/>
        </w:rPr>
        <w:t>或</w:t>
      </w:r>
      <w:r>
        <w:rPr>
          <w:rFonts w:hint="default" w:ascii="Times New Roman" w:hAnsi="Times New Roman" w:eastAsia="宋体" w:cs="Times New Roman"/>
          <w:color w:val="auto"/>
          <w:sz w:val="21"/>
          <w:szCs w:val="21"/>
          <w:highlight w:val="none"/>
        </w:rPr>
        <w:t>监狱企业</w:t>
      </w:r>
      <w:r>
        <w:rPr>
          <w:rFonts w:hint="eastAsia" w:ascii="Times New Roman" w:hAnsi="Times New Roman" w:eastAsia="宋体" w:cs="Times New Roman"/>
          <w:color w:val="auto"/>
          <w:sz w:val="21"/>
          <w:szCs w:val="21"/>
          <w:highlight w:val="none"/>
          <w:lang w:eastAsia="zh-CN"/>
        </w:rPr>
        <w:t>或</w:t>
      </w:r>
      <w:r>
        <w:rPr>
          <w:rFonts w:hint="default" w:ascii="Times New Roman" w:hAnsi="Times New Roman" w:eastAsia="宋体" w:cs="Times New Roman"/>
          <w:color w:val="auto"/>
          <w:sz w:val="21"/>
          <w:szCs w:val="21"/>
          <w:highlight w:val="none"/>
        </w:rPr>
        <w:t>残疾人福利性单位）</w:t>
      </w:r>
      <w:r>
        <w:rPr>
          <w:rFonts w:hint="eastAsia" w:ascii="宋体" w:hAnsi="宋体" w:cs="宋体"/>
          <w:color w:val="auto"/>
          <w:sz w:val="21"/>
          <w:szCs w:val="21"/>
          <w:highlight w:val="none"/>
          <w:lang w:eastAsia="zh-CN"/>
        </w:rPr>
        <w:t>；</w:t>
      </w:r>
    </w:p>
    <w:p w14:paraId="53780F51">
      <w:pPr>
        <w:spacing w:line="360" w:lineRule="auto"/>
        <w:ind w:firstLine="420" w:firstLineChars="200"/>
        <w:rPr>
          <w:rFonts w:hint="eastAsia" w:ascii="新宋体" w:hAnsi="新宋体" w:eastAsia="宋体" w:cs="新宋体"/>
          <w:color w:val="auto"/>
          <w:szCs w:val="21"/>
          <w:highlight w:val="none"/>
          <w:lang w:eastAsia="zh-CN"/>
        </w:rPr>
      </w:pPr>
      <w:r>
        <w:rPr>
          <w:rFonts w:hint="eastAsia" w:ascii="宋体" w:hAnsi="宋体"/>
          <w:color w:val="auto"/>
          <w:szCs w:val="21"/>
          <w:highlight w:val="none"/>
        </w:rPr>
        <w:t>3.本项目的特定资格要求：</w:t>
      </w:r>
      <w:r>
        <w:rPr>
          <w:rFonts w:hint="eastAsia" w:ascii="宋体" w:hAnsi="宋体"/>
          <w:color w:val="auto"/>
          <w:szCs w:val="21"/>
          <w:highlight w:val="none"/>
          <w:lang w:eastAsia="zh-CN"/>
        </w:rPr>
        <w:t>无</w:t>
      </w:r>
    </w:p>
    <w:bookmarkEnd w:id="10"/>
    <w:bookmarkEnd w:id="11"/>
    <w:bookmarkEnd w:id="12"/>
    <w:bookmarkEnd w:id="13"/>
    <w:bookmarkEnd w:id="14"/>
    <w:p w14:paraId="481E95EB">
      <w:pPr>
        <w:spacing w:line="360" w:lineRule="auto"/>
        <w:ind w:firstLine="360" w:firstLineChars="150"/>
        <w:rPr>
          <w:rFonts w:hint="eastAsia" w:ascii="黑体" w:hAnsi="黑体" w:eastAsia="黑体"/>
          <w:color w:val="auto"/>
          <w:sz w:val="24"/>
          <w:highlight w:val="none"/>
        </w:rPr>
      </w:pPr>
      <w:bookmarkStart w:id="17" w:name="_Toc5677"/>
      <w:bookmarkStart w:id="18" w:name="_Toc35393805"/>
      <w:bookmarkStart w:id="19" w:name="_Toc28359095"/>
      <w:bookmarkStart w:id="20" w:name="_Toc35393636"/>
      <w:bookmarkStart w:id="21" w:name="_Toc28359018"/>
      <w:bookmarkStart w:id="22" w:name="_Toc14525"/>
      <w:r>
        <w:rPr>
          <w:rFonts w:hint="eastAsia" w:ascii="黑体" w:hAnsi="黑体" w:eastAsia="黑体"/>
          <w:color w:val="auto"/>
          <w:sz w:val="24"/>
          <w:highlight w:val="none"/>
        </w:rPr>
        <w:t>三、获取采购文件</w:t>
      </w:r>
    </w:p>
    <w:p w14:paraId="0296993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时间：202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9</w:t>
      </w:r>
      <w:r>
        <w:rPr>
          <w:rFonts w:hint="eastAsia" w:ascii="宋体" w:hAnsi="宋体"/>
          <w:color w:val="auto"/>
          <w:szCs w:val="21"/>
          <w:highlight w:val="none"/>
        </w:rPr>
        <w:t>月</w:t>
      </w:r>
      <w:r>
        <w:rPr>
          <w:rFonts w:hint="eastAsia" w:ascii="宋体" w:hAnsi="宋体"/>
          <w:color w:val="auto"/>
          <w:szCs w:val="21"/>
          <w:highlight w:val="none"/>
          <w:lang w:val="en-US" w:eastAsia="zh-CN"/>
        </w:rPr>
        <w:t>10</w:t>
      </w:r>
      <w:r>
        <w:rPr>
          <w:rFonts w:hint="eastAsia" w:ascii="宋体" w:hAnsi="宋体"/>
          <w:color w:val="auto"/>
          <w:szCs w:val="21"/>
          <w:highlight w:val="none"/>
        </w:rPr>
        <w:t>日至202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9</w:t>
      </w:r>
      <w:r>
        <w:rPr>
          <w:rFonts w:hint="eastAsia" w:ascii="宋体" w:hAnsi="宋体"/>
          <w:color w:val="auto"/>
          <w:szCs w:val="21"/>
          <w:highlight w:val="none"/>
        </w:rPr>
        <w:t>月</w:t>
      </w:r>
      <w:r>
        <w:rPr>
          <w:rFonts w:hint="eastAsia" w:ascii="宋体" w:hAnsi="宋体"/>
          <w:color w:val="auto"/>
          <w:szCs w:val="21"/>
          <w:highlight w:val="none"/>
          <w:lang w:val="en-US" w:eastAsia="zh-CN"/>
        </w:rPr>
        <w:t>16</w:t>
      </w:r>
      <w:r>
        <w:rPr>
          <w:rFonts w:hint="eastAsia" w:ascii="宋体" w:hAnsi="宋体"/>
          <w:color w:val="auto"/>
          <w:szCs w:val="21"/>
          <w:highlight w:val="none"/>
        </w:rPr>
        <w:t>日，每天上午 00:00 至 12:00，下午 12:00 至 23:59 。</w:t>
      </w:r>
    </w:p>
    <w:p w14:paraId="631FDAD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地点（网址）：广西政府采购云平台 (https://www.gcy.zfcg.gxzf.gov.cn/) 。</w:t>
      </w:r>
    </w:p>
    <w:p w14:paraId="6EB82037">
      <w:pPr>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方式：</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登录广西政府采购云平台https://www.gcy.zfcg.gxzf.gov.cn/在线申请获取采购文件（进入“项目采购”应用，在获取采购文件菜单中选择项目，申请获取采购文件）。</w:t>
      </w:r>
    </w:p>
    <w:p w14:paraId="63168F15">
      <w:pPr>
        <w:spacing w:before="80" w:line="360" w:lineRule="auto"/>
        <w:ind w:left="540"/>
        <w:rPr>
          <w:rFonts w:hint="eastAsia"/>
          <w:color w:val="auto"/>
          <w:highlight w:val="none"/>
        </w:rPr>
      </w:pPr>
      <w:r>
        <w:rPr>
          <w:rFonts w:hint="eastAsia" w:ascii="宋体" w:hAnsi="宋体" w:cs="宋体"/>
          <w:color w:val="auto"/>
          <w:spacing w:val="-2"/>
          <w:szCs w:val="21"/>
          <w:highlight w:val="none"/>
        </w:rPr>
        <w:t xml:space="preserve">售价：0 </w:t>
      </w:r>
      <w:r>
        <w:rPr>
          <w:rFonts w:hint="eastAsia" w:ascii="宋体" w:hAnsi="宋体" w:cs="宋体"/>
          <w:color w:val="auto"/>
          <w:spacing w:val="-1"/>
          <w:szCs w:val="21"/>
          <w:highlight w:val="none"/>
        </w:rPr>
        <w:t>元。</w:t>
      </w:r>
    </w:p>
    <w:p w14:paraId="2E5C549E">
      <w:pPr>
        <w:spacing w:line="360" w:lineRule="auto"/>
        <w:ind w:firstLine="360" w:firstLineChars="150"/>
        <w:rPr>
          <w:rFonts w:hint="eastAsia" w:ascii="黑体" w:hAnsi="黑体" w:eastAsia="黑体"/>
          <w:color w:val="auto"/>
          <w:sz w:val="24"/>
          <w:highlight w:val="none"/>
        </w:rPr>
      </w:pPr>
      <w:r>
        <w:rPr>
          <w:rFonts w:hint="eastAsia" w:ascii="黑体" w:hAnsi="黑体" w:eastAsia="黑体"/>
          <w:color w:val="auto"/>
          <w:sz w:val="24"/>
          <w:highlight w:val="none"/>
        </w:rPr>
        <w:t>四、响应文件提交</w:t>
      </w:r>
    </w:p>
    <w:p w14:paraId="75D9A6C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截止时间：</w:t>
      </w:r>
      <w:bookmarkStart w:id="56" w:name="_GoBack"/>
      <w:bookmarkEnd w:id="56"/>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17</w:t>
      </w:r>
      <w:r>
        <w:rPr>
          <w:rFonts w:hint="eastAsia" w:ascii="宋体" w:hAnsi="宋体" w:cs="宋体"/>
          <w:color w:val="auto"/>
          <w:szCs w:val="21"/>
          <w:highlight w:val="none"/>
          <w:lang w:eastAsia="zh-CN"/>
        </w:rPr>
        <w:t>日9：30</w:t>
      </w:r>
      <w:r>
        <w:rPr>
          <w:rFonts w:hint="eastAsia" w:ascii="宋体" w:hAnsi="宋体"/>
          <w:color w:val="auto"/>
          <w:szCs w:val="21"/>
          <w:highlight w:val="none"/>
        </w:rPr>
        <w:t xml:space="preserve"> (北京时间)。</w:t>
      </w:r>
    </w:p>
    <w:p w14:paraId="3A01D48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地点（网址）：通过“广西政府采购云平台”实行在线</w:t>
      </w:r>
      <w:r>
        <w:rPr>
          <w:rFonts w:hint="eastAsia" w:ascii="宋体" w:hAnsi="宋体"/>
          <w:color w:val="auto"/>
          <w:szCs w:val="21"/>
          <w:highlight w:val="none"/>
          <w:lang w:eastAsia="zh-CN"/>
        </w:rPr>
        <w:t>加密</w:t>
      </w:r>
      <w:r>
        <w:rPr>
          <w:rFonts w:hint="eastAsia" w:ascii="宋体" w:hAnsi="宋体"/>
          <w:color w:val="auto"/>
          <w:szCs w:val="21"/>
          <w:highlight w:val="none"/>
        </w:rPr>
        <w:t>提交（https://www.gcy.zfcg.gxzf.gov.cn/）。</w:t>
      </w:r>
    </w:p>
    <w:p w14:paraId="49D88A31">
      <w:pPr>
        <w:spacing w:line="360" w:lineRule="auto"/>
        <w:ind w:firstLine="360" w:firstLineChars="150"/>
        <w:rPr>
          <w:rFonts w:hint="eastAsia" w:ascii="黑体" w:hAnsi="黑体" w:eastAsia="黑体"/>
          <w:color w:val="auto"/>
          <w:sz w:val="24"/>
          <w:highlight w:val="none"/>
        </w:rPr>
      </w:pPr>
      <w:r>
        <w:rPr>
          <w:rFonts w:hint="eastAsia" w:ascii="黑体" w:hAnsi="黑体" w:eastAsia="黑体"/>
          <w:color w:val="auto"/>
          <w:sz w:val="24"/>
          <w:highlight w:val="none"/>
        </w:rPr>
        <w:t>五、响应文件开启</w:t>
      </w:r>
    </w:p>
    <w:p w14:paraId="063EF49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开启时间：</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17</w:t>
      </w:r>
      <w:r>
        <w:rPr>
          <w:rFonts w:hint="eastAsia" w:ascii="宋体" w:hAnsi="宋体" w:cs="宋体"/>
          <w:color w:val="auto"/>
          <w:szCs w:val="21"/>
          <w:highlight w:val="none"/>
          <w:lang w:eastAsia="zh-CN"/>
        </w:rPr>
        <w:t>日9：30</w:t>
      </w:r>
      <w:r>
        <w:rPr>
          <w:rFonts w:hint="eastAsia" w:ascii="宋体" w:hAnsi="宋体"/>
          <w:color w:val="auto"/>
          <w:szCs w:val="21"/>
          <w:highlight w:val="none"/>
        </w:rPr>
        <w:t>(北京时间) 。</w:t>
      </w:r>
    </w:p>
    <w:p w14:paraId="473A527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地点：通过“广西政府采购云平台”实行在线解密开启。</w:t>
      </w:r>
    </w:p>
    <w:p w14:paraId="403C756E">
      <w:pPr>
        <w:spacing w:line="360" w:lineRule="auto"/>
        <w:ind w:firstLine="360" w:firstLineChars="150"/>
        <w:rPr>
          <w:rFonts w:hint="eastAsia" w:ascii="黑体" w:hAnsi="黑体" w:eastAsia="黑体"/>
          <w:color w:val="auto"/>
          <w:sz w:val="24"/>
          <w:highlight w:val="none"/>
        </w:rPr>
      </w:pPr>
      <w:r>
        <w:rPr>
          <w:rFonts w:hint="eastAsia" w:ascii="黑体" w:hAnsi="黑体" w:eastAsia="黑体"/>
          <w:color w:val="auto"/>
          <w:sz w:val="24"/>
          <w:highlight w:val="none"/>
        </w:rPr>
        <w:t>六、公告期限</w:t>
      </w:r>
    </w:p>
    <w:p w14:paraId="3244C13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自本公告发布之日起 </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个工作日。</w:t>
      </w:r>
    </w:p>
    <w:p w14:paraId="10F71AA8">
      <w:pPr>
        <w:spacing w:line="360" w:lineRule="auto"/>
        <w:ind w:firstLine="360" w:firstLineChars="150"/>
        <w:rPr>
          <w:rFonts w:hint="eastAsia" w:ascii="黑体" w:hAnsi="黑体" w:eastAsia="黑体"/>
          <w:color w:val="auto"/>
          <w:sz w:val="24"/>
          <w:highlight w:val="none"/>
        </w:rPr>
      </w:pPr>
      <w:r>
        <w:rPr>
          <w:rFonts w:hint="eastAsia" w:ascii="黑体" w:hAnsi="黑体" w:eastAsia="黑体"/>
          <w:color w:val="auto"/>
          <w:sz w:val="24"/>
          <w:highlight w:val="none"/>
        </w:rPr>
        <w:t>七、其他补充事宜</w:t>
      </w:r>
    </w:p>
    <w:p w14:paraId="27C21748">
      <w:pPr>
        <w:spacing w:line="360" w:lineRule="auto"/>
        <w:ind w:firstLine="452" w:firstLineChars="200"/>
        <w:rPr>
          <w:rFonts w:hint="eastAsia" w:ascii="宋体" w:hAnsi="宋体"/>
          <w:color w:val="auto"/>
          <w:szCs w:val="21"/>
          <w:highlight w:val="none"/>
        </w:rPr>
      </w:pPr>
      <w:r>
        <w:rPr>
          <w:rFonts w:hint="eastAsia" w:ascii="宋体" w:hAnsi="宋体" w:cs="宋体"/>
          <w:color w:val="auto"/>
          <w:spacing w:val="8"/>
          <w:position w:val="1"/>
          <w:szCs w:val="21"/>
          <w:highlight w:val="none"/>
        </w:rPr>
        <w:t>1</w:t>
      </w:r>
      <w:r>
        <w:rPr>
          <w:rFonts w:hint="eastAsia" w:ascii="宋体" w:hAnsi="宋体"/>
          <w:color w:val="auto"/>
          <w:szCs w:val="21"/>
          <w:highlight w:val="none"/>
        </w:rPr>
        <w:t>.竞标保证金：本项目不收取竞标保证金。</w:t>
      </w:r>
    </w:p>
    <w:p w14:paraId="5914DDDC">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color w:val="auto"/>
          <w:szCs w:val="21"/>
          <w:highlight w:val="none"/>
        </w:rPr>
        <w:t>2.网上查询地址：广西壮族自治区政府采购网（http://zfcg.gxzf.gov.cn/）、中国政府采购网（http://www.ccgp.gov.cn）</w:t>
      </w:r>
      <w:r>
        <w:rPr>
          <w:rFonts w:hint="eastAsia" w:ascii="宋体" w:hAnsi="宋体" w:eastAsia="宋体" w:cs="Times New Roman"/>
          <w:color w:val="auto"/>
          <w:szCs w:val="21"/>
          <w:highlight w:val="none"/>
        </w:rPr>
        <w:t>。</w:t>
      </w:r>
    </w:p>
    <w:p w14:paraId="19BF207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3.本项目需要落实的政府采购政策：(1) 政府采购促进中小企业发展；(2) 政府采购支持采用本国产品的政策；(3) 强制采购节能产品；优先采购节能产品、环境标志产品；(4) 政府采购促进残疾人就业政策；(5) 政府采购支持监狱企业发展。</w:t>
      </w:r>
    </w:p>
    <w:p w14:paraId="30A5BC2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84355EA">
      <w:pPr>
        <w:spacing w:line="360" w:lineRule="auto"/>
        <w:ind w:firstLine="420" w:firstLineChars="200"/>
        <w:rPr>
          <w:rFonts w:hint="eastAsia"/>
          <w:color w:val="auto"/>
          <w:highlight w:val="none"/>
        </w:rPr>
      </w:pPr>
      <w:r>
        <w:rPr>
          <w:rFonts w:hint="eastAsia" w:ascii="宋体" w:hAnsi="宋体"/>
          <w:color w:val="auto"/>
          <w:szCs w:val="21"/>
          <w:highlight w:val="none"/>
        </w:rPr>
        <w:t>5. 对在“信用中国”网站(www.creditchina.gov.cn) 、中国政府采购网(www.ccgp.gov.cn) 被列入失信被执行人、重大税收违法案件当事人名单、政府采购严重违法失信行为记录名单及其他 不符合《中华人民共和国政府采购法》第二十二条规定条件的供应商，不得参与政府采购活动。</w:t>
      </w:r>
    </w:p>
    <w:p w14:paraId="709E09F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6.在线竞标响应 (电子投标)说明</w:t>
      </w:r>
    </w:p>
    <w:p w14:paraId="51B8335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本项目为全流程电子化采购项目，通过广西政府采购云平台（https://www.gcy.zfcg.gxzf.gov.cn/）实行在线电子竞标，各供应商参与政府采购项目投标需下载使用新版客户端，新版客户端下载路径：广西政府采购网（访问地址</w:t>
      </w:r>
      <w:r>
        <w:rPr>
          <w:rFonts w:ascii="宋体" w:hAnsi="宋体"/>
          <w:color w:val="auto"/>
          <w:szCs w:val="21"/>
          <w:highlight w:val="none"/>
        </w:rPr>
        <w:t>http://zfcg.gxzf.gov.cn/）—办事服务—下载专区。原在政采云平台注册的临时供应商需在新平台启用后重新注册登记。</w:t>
      </w:r>
      <w:r>
        <w:rPr>
          <w:rFonts w:hint="eastAsia" w:ascii="宋体" w:hAnsi="宋体"/>
          <w:color w:val="auto"/>
          <w:szCs w:val="21"/>
          <w:highlight w:val="none"/>
        </w:rPr>
        <w:t>供应商应按照本项目竞争性谈判文件和广西政府采购云平台的要求编制、加密后在提交响应文件截止时间前通过网络上传至广西政府采购云平台，供应商在操作过程中遇到问题或者需要技术支持，请致电广西政府采购云平台客服热线：95763。</w:t>
      </w:r>
      <w:r>
        <w:rPr>
          <w:rFonts w:hint="eastAsia" w:ascii="宋体" w:hAnsi="宋体"/>
          <w:color w:val="auto"/>
          <w:szCs w:val="21"/>
          <w:highlight w:val="none"/>
        </w:rPr>
        <w:br w:type="textWrapping"/>
      </w:r>
      <w:r>
        <w:rPr>
          <w:rFonts w:hint="eastAsia" w:ascii="宋体" w:hAnsi="宋体"/>
          <w:color w:val="auto"/>
          <w:szCs w:val="21"/>
          <w:highlight w:val="none"/>
        </w:rPr>
        <w:t xml:space="preserve">  （2）为确保网上操作合法、有效和安全，供应商应当在投标文件递交截止时间前完成在“广西政府采购云平台”的身份认证，确保在电子投标过程中能够对相关数据电文进行加密和使用电子签章。使用“广西政府采购云平台客户端”需要提前申领CA数字证书；</w:t>
      </w:r>
      <w:r>
        <w:rPr>
          <w:rFonts w:hint="eastAsia" w:ascii="宋体" w:hAnsi="宋体"/>
          <w:color w:val="auto"/>
          <w:szCs w:val="21"/>
          <w:highlight w:val="none"/>
        </w:rPr>
        <w:br w:type="textWrapping"/>
      </w:r>
      <w:r>
        <w:rPr>
          <w:rFonts w:hint="eastAsia" w:ascii="宋体" w:hAnsi="宋体"/>
          <w:color w:val="auto"/>
          <w:szCs w:val="21"/>
          <w:highlight w:val="none"/>
        </w:rPr>
        <w:t xml:space="preserve">  （3）供应商应当在投标文件递交截止时间前，将生成的“电子加密投标文件”上传递交至广西政府采购云平台。投标文件递交截止时间前可以补充、修改或者撤回电子投标文件。补充或者修改电子投标文件的，应当先行撤回原文件，补充、修改后重新传输递交，投标文件递交截止时间前未完成传输的，视为撤回投标文件。</w:t>
      </w:r>
      <w:r>
        <w:rPr>
          <w:rFonts w:hint="eastAsia" w:ascii="宋体" w:hAnsi="宋体"/>
          <w:color w:val="auto"/>
          <w:szCs w:val="21"/>
          <w:highlight w:val="none"/>
        </w:rPr>
        <w:br w:type="textWrapping"/>
      </w:r>
      <w:r>
        <w:rPr>
          <w:rFonts w:hint="eastAsia" w:ascii="宋体" w:hAnsi="宋体"/>
          <w:color w:val="auto"/>
          <w:szCs w:val="21"/>
          <w:highlight w:val="none"/>
        </w:rPr>
        <w:t xml:space="preserve">  （4）通过“广西政府采购云平台”上传递交的“电子加密投标文件”无法按时解密的，代理机构向采购监督部门备案后，供应商可以在接到通知后30分钟内以电子邮件或者其他方式提交电子备份投标文件。供应商按时递交了电子备份投标文件的，以电子备份投标文件为依据，否则视为撤回投标文件。（注：能够处理异常解密、递交电子备份文件的前提，是投标人已上传了标书且未能按时正常解密标书；系统生成标书时，生成两份，一份是投标用的标书，一份是备份标书；提供的备份标书要跟上传的电子标书是同一份，否则系统不支持其进行异常解密。）</w:t>
      </w:r>
      <w:r>
        <w:rPr>
          <w:rFonts w:hint="eastAsia" w:ascii="宋体" w:hAnsi="宋体"/>
          <w:color w:val="auto"/>
          <w:szCs w:val="21"/>
          <w:highlight w:val="yellow"/>
        </w:rPr>
        <w:br w:type="textWrapping"/>
      </w:r>
      <w:r>
        <w:rPr>
          <w:rFonts w:hint="eastAsia" w:ascii="宋体" w:hAnsi="宋体"/>
          <w:color w:val="auto"/>
          <w:szCs w:val="21"/>
          <w:highlight w:val="none"/>
        </w:rPr>
        <w:t xml:space="preserve">   （5）供应商需要在具备摄像头及语音功能且互联网网络状况良好的电脑登录广西政府采购云平台远程开标大厅参与本次竞标，否则后果自负。</w:t>
      </w:r>
    </w:p>
    <w:p w14:paraId="0C1CC286">
      <w:pPr>
        <w:spacing w:line="360" w:lineRule="auto"/>
        <w:ind w:firstLine="420" w:firstLineChars="200"/>
        <w:rPr>
          <w:rFonts w:hint="eastAsia" w:ascii="黑体" w:hAnsi="黑体" w:eastAsia="黑体" w:cs="黑体"/>
          <w:color w:val="auto"/>
          <w:szCs w:val="21"/>
          <w:highlight w:val="none"/>
        </w:rPr>
      </w:pPr>
      <w:r>
        <w:rPr>
          <w:rFonts w:hint="eastAsia" w:ascii="黑体" w:hAnsi="黑体" w:eastAsia="黑体" w:cs="黑体"/>
          <w:color w:val="auto"/>
          <w:szCs w:val="21"/>
          <w:highlight w:val="none"/>
        </w:rPr>
        <w:t>7.为加大政府采购支持中小企业力度，帮助政府采购成交供应商解决融资难、融资贵的问题，进一步做好线上“政采贷”融资业务工作，如供应商有需要的，详见采购文件附件：《崇左市线上“政采贷”政策告知函》、《崇左市线上“政采贷”业务流程图》、《崇左市金融机构线上“政采贷”业务办理联络表》。 </w:t>
      </w:r>
    </w:p>
    <w:p w14:paraId="149DE8C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8.本项目按照崇左市财政局关于推行政府采购领域信用承诺制度的通知的要求，供应商在参与崇左市政府采购活动时，供应商</w:t>
      </w:r>
      <w:r>
        <w:rPr>
          <w:rFonts w:hint="eastAsia" w:ascii="宋体" w:hAnsi="宋体"/>
          <w:color w:val="auto"/>
          <w:szCs w:val="21"/>
          <w:highlight w:val="none"/>
          <w:lang w:eastAsia="zh-CN"/>
        </w:rPr>
        <w:t>可</w:t>
      </w:r>
      <w:r>
        <w:rPr>
          <w:rFonts w:hint="eastAsia" w:ascii="宋体" w:hAnsi="宋体"/>
          <w:color w:val="auto"/>
          <w:szCs w:val="21"/>
          <w:highlight w:val="none"/>
        </w:rPr>
        <w:t>以书面形式提供《崇左市政府采购供应商信用承诺函》，即可替代《中华人民共和国政府采购法实施条例》第十七条第一款第（一）项至第（四）项所规定的基本资格条件相关材料。</w:t>
      </w:r>
    </w:p>
    <w:p w14:paraId="4E5928A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9.本项目实行中标后线上合同签订方式，请各供应商提前办好企业CA数字证书和企业法人证书，具体办理方式详见广西政府采购云平台CA办理模块。</w:t>
      </w:r>
    </w:p>
    <w:p w14:paraId="7DC13402">
      <w:pPr>
        <w:pStyle w:val="58"/>
        <w:spacing w:line="460" w:lineRule="exact"/>
        <w:ind w:firstLine="420" w:firstLineChars="200"/>
        <w:rPr>
          <w:color w:val="auto"/>
          <w:highlight w:val="none"/>
        </w:rPr>
      </w:pPr>
      <w:r>
        <w:rPr>
          <w:rFonts w:hint="eastAsia" w:ascii="宋体" w:hAnsi="宋体" w:cs="宋体"/>
          <w:color w:val="auto"/>
          <w:sz w:val="21"/>
          <w:szCs w:val="21"/>
          <w:highlight w:val="none"/>
        </w:rPr>
        <w:t>10.</w:t>
      </w:r>
      <w:r>
        <w:rPr>
          <w:rFonts w:hint="eastAsia" w:ascii="宋体" w:hAnsi="宋体" w:eastAsia="宋体" w:cs="Times New Roman"/>
          <w:color w:val="auto"/>
          <w:kern w:val="2"/>
          <w:sz w:val="21"/>
          <w:szCs w:val="21"/>
          <w:highlight w:val="none"/>
          <w:lang w:val="en-US" w:eastAsia="zh-CN" w:bidi="ar-SA"/>
        </w:rPr>
        <w:t>本项目采用远程异地评审，主场设在崇左市花山路与城南路交叉口的东北角万沣大厦A座二楼206室</w:t>
      </w:r>
      <w:r>
        <w:rPr>
          <w:rFonts w:hint="default" w:ascii="宋体" w:hAnsi="宋体" w:eastAsia="宋体" w:cs="Times New Roman"/>
          <w:color w:val="auto"/>
          <w:kern w:val="2"/>
          <w:sz w:val="21"/>
          <w:szCs w:val="21"/>
          <w:highlight w:val="none"/>
          <w:lang w:val="en-US" w:eastAsia="zh-CN" w:bidi="ar-SA"/>
        </w:rPr>
        <w:t>广西友有招标代理有限公司</w:t>
      </w:r>
      <w:r>
        <w:rPr>
          <w:rFonts w:hint="eastAsia" w:ascii="宋体" w:hAnsi="宋体" w:eastAsia="宋体" w:cs="Times New Roman"/>
          <w:color w:val="auto"/>
          <w:kern w:val="2"/>
          <w:sz w:val="21"/>
          <w:szCs w:val="21"/>
          <w:highlight w:val="none"/>
          <w:lang w:val="en-US" w:eastAsia="zh-CN" w:bidi="ar-SA"/>
        </w:rPr>
        <w:t>电子评标室，副场设在</w:t>
      </w:r>
      <w:r>
        <w:rPr>
          <w:rFonts w:hint="eastAsia" w:ascii="宋体" w:hAnsi="宋体" w:cs="Times New Roman"/>
          <w:color w:val="auto"/>
          <w:kern w:val="2"/>
          <w:sz w:val="21"/>
          <w:szCs w:val="21"/>
          <w:highlight w:val="none"/>
          <w:lang w:val="en-US" w:eastAsia="zh-CN" w:bidi="ar-SA"/>
        </w:rPr>
        <w:t>南宁市青秀区竹溪大道2号荣恒国际名都写字楼b栋6层04号</w:t>
      </w:r>
      <w:r>
        <w:rPr>
          <w:rFonts w:hint="eastAsia"/>
          <w:color w:val="auto"/>
          <w:sz w:val="21"/>
          <w:szCs w:val="21"/>
          <w:highlight w:val="none"/>
        </w:rPr>
        <w:t>。</w:t>
      </w:r>
    </w:p>
    <w:p w14:paraId="558C4422">
      <w:pPr>
        <w:spacing w:line="360" w:lineRule="auto"/>
        <w:ind w:firstLine="360" w:firstLineChars="150"/>
        <w:rPr>
          <w:rFonts w:hint="eastAsia" w:ascii="黑体" w:hAnsi="黑体" w:eastAsia="黑体"/>
          <w:color w:val="auto"/>
          <w:sz w:val="24"/>
          <w:highlight w:val="none"/>
        </w:rPr>
      </w:pPr>
      <w:r>
        <w:rPr>
          <w:rFonts w:hint="eastAsia" w:ascii="黑体" w:hAnsi="黑体" w:eastAsia="黑体"/>
          <w:color w:val="auto"/>
          <w:sz w:val="24"/>
          <w:highlight w:val="none"/>
        </w:rPr>
        <w:t>八、凡对本次采购提出询问，请按以下方式联系。</w:t>
      </w:r>
      <w:bookmarkEnd w:id="17"/>
      <w:bookmarkEnd w:id="18"/>
      <w:bookmarkEnd w:id="19"/>
      <w:bookmarkEnd w:id="20"/>
      <w:bookmarkEnd w:id="21"/>
      <w:bookmarkEnd w:id="22"/>
    </w:p>
    <w:p w14:paraId="08529455">
      <w:pPr>
        <w:pStyle w:val="60"/>
        <w:spacing w:line="400" w:lineRule="exact"/>
        <w:ind w:firstLine="422" w:firstLineChars="200"/>
        <w:outlineLvl w:val="2"/>
        <w:rPr>
          <w:b/>
          <w:bCs/>
          <w:color w:val="auto"/>
          <w:sz w:val="21"/>
          <w:szCs w:val="21"/>
          <w:highlight w:val="none"/>
        </w:rPr>
      </w:pPr>
      <w:bookmarkStart w:id="23" w:name="_Toc19796"/>
      <w:bookmarkStart w:id="24" w:name="_Toc13906"/>
      <w:bookmarkStart w:id="25" w:name="_Toc28750"/>
      <w:bookmarkStart w:id="26" w:name="_Toc11940"/>
      <w:bookmarkStart w:id="27" w:name="_Toc14195"/>
      <w:bookmarkStart w:id="28" w:name="_Toc5727"/>
      <w:r>
        <w:rPr>
          <w:b/>
          <w:bCs/>
          <w:color w:val="auto"/>
          <w:sz w:val="21"/>
          <w:szCs w:val="21"/>
          <w:highlight w:val="none"/>
        </w:rPr>
        <w:t>1</w:t>
      </w:r>
      <w:r>
        <w:rPr>
          <w:rFonts w:hint="eastAsia"/>
          <w:b/>
          <w:bCs/>
          <w:color w:val="auto"/>
          <w:sz w:val="21"/>
          <w:szCs w:val="21"/>
          <w:highlight w:val="none"/>
        </w:rPr>
        <w:t xml:space="preserve">. </w:t>
      </w:r>
      <w:r>
        <w:rPr>
          <w:b/>
          <w:bCs/>
          <w:color w:val="auto"/>
          <w:sz w:val="21"/>
          <w:szCs w:val="21"/>
          <w:highlight w:val="none"/>
        </w:rPr>
        <w:t>采购人信息</w:t>
      </w:r>
      <w:bookmarkEnd w:id="23"/>
      <w:bookmarkEnd w:id="24"/>
      <w:bookmarkEnd w:id="25"/>
      <w:bookmarkEnd w:id="26"/>
      <w:bookmarkEnd w:id="27"/>
      <w:bookmarkEnd w:id="28"/>
    </w:p>
    <w:p w14:paraId="511A3E9B">
      <w:pPr>
        <w:pStyle w:val="60"/>
        <w:keepNext w:val="0"/>
        <w:keepLines w:val="0"/>
        <w:pageBreakBefore w:val="0"/>
        <w:widowControl/>
        <w:kinsoku/>
        <w:wordWrap/>
        <w:overflowPunct/>
        <w:topLinePunct w:val="0"/>
        <w:autoSpaceDE/>
        <w:autoSpaceDN/>
        <w:bidi w:val="0"/>
        <w:adjustRightInd w:val="0"/>
        <w:snapToGrid w:val="0"/>
        <w:spacing w:line="400" w:lineRule="exact"/>
        <w:ind w:firstLine="420" w:firstLineChars="200"/>
        <w:textAlignment w:val="baseline"/>
        <w:rPr>
          <w:rFonts w:hint="default" w:ascii="Times New Roman" w:hAnsi="Times New Roman" w:cs="Times New Roman"/>
          <w:color w:val="auto"/>
          <w:sz w:val="21"/>
          <w:szCs w:val="21"/>
          <w:highlight w:val="none"/>
          <w:lang w:val="en-US" w:eastAsia="zh-CN"/>
        </w:rPr>
      </w:pPr>
      <w:bookmarkStart w:id="29" w:name="_Toc12722"/>
      <w:bookmarkStart w:id="30" w:name="_Toc2568"/>
      <w:bookmarkStart w:id="31" w:name="_Toc19740"/>
      <w:bookmarkStart w:id="32" w:name="_Toc20363"/>
      <w:bookmarkStart w:id="33" w:name="_Toc25786"/>
      <w:bookmarkStart w:id="34" w:name="_Toc12451"/>
      <w:bookmarkStart w:id="35" w:name="_Toc23917"/>
      <w:r>
        <w:rPr>
          <w:rFonts w:hint="eastAsia" w:ascii="Times New Roman" w:hAnsi="Times New Roman" w:cs="Times New Roman"/>
          <w:color w:val="auto"/>
          <w:sz w:val="21"/>
          <w:szCs w:val="21"/>
          <w:highlight w:val="none"/>
          <w:lang w:eastAsia="zh-CN"/>
        </w:rPr>
        <w:t>名称：</w:t>
      </w:r>
      <w:r>
        <w:rPr>
          <w:rFonts w:hint="eastAsia" w:cs="Times New Roman"/>
          <w:color w:val="auto"/>
          <w:sz w:val="21"/>
          <w:szCs w:val="21"/>
          <w:highlight w:val="none"/>
          <w:lang w:val="en-US" w:eastAsia="zh-CN"/>
        </w:rPr>
        <w:t xml:space="preserve"> 崇左市公安局</w:t>
      </w:r>
    </w:p>
    <w:p w14:paraId="1698B785">
      <w:pPr>
        <w:pStyle w:val="60"/>
        <w:keepNext w:val="0"/>
        <w:keepLines w:val="0"/>
        <w:pageBreakBefore w:val="0"/>
        <w:widowControl/>
        <w:kinsoku/>
        <w:wordWrap/>
        <w:overflowPunct/>
        <w:topLinePunct w:val="0"/>
        <w:autoSpaceDE/>
        <w:autoSpaceDN/>
        <w:bidi w:val="0"/>
        <w:adjustRightInd w:val="0"/>
        <w:snapToGrid w:val="0"/>
        <w:spacing w:line="400" w:lineRule="exact"/>
        <w:ind w:firstLine="420" w:firstLineChars="200"/>
        <w:textAlignment w:val="baseline"/>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联系人：蔡警官</w:t>
      </w:r>
    </w:p>
    <w:p w14:paraId="5B68A967">
      <w:pPr>
        <w:pStyle w:val="60"/>
        <w:keepNext w:val="0"/>
        <w:keepLines w:val="0"/>
        <w:pageBreakBefore w:val="0"/>
        <w:widowControl/>
        <w:kinsoku/>
        <w:wordWrap/>
        <w:overflowPunct/>
        <w:topLinePunct w:val="0"/>
        <w:autoSpaceDE/>
        <w:autoSpaceDN/>
        <w:bidi w:val="0"/>
        <w:adjustRightInd w:val="0"/>
        <w:snapToGrid w:val="0"/>
        <w:spacing w:line="400" w:lineRule="exact"/>
        <w:ind w:firstLine="420" w:firstLineChars="200"/>
        <w:textAlignment w:val="baseline"/>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联系电话：0771-7966013</w:t>
      </w:r>
    </w:p>
    <w:p w14:paraId="428B1E87">
      <w:pPr>
        <w:pStyle w:val="60"/>
        <w:keepNext w:val="0"/>
        <w:keepLines w:val="0"/>
        <w:pageBreakBefore w:val="0"/>
        <w:widowControl/>
        <w:kinsoku/>
        <w:wordWrap/>
        <w:overflowPunct/>
        <w:topLinePunct w:val="0"/>
        <w:autoSpaceDE/>
        <w:autoSpaceDN/>
        <w:bidi w:val="0"/>
        <w:adjustRightInd w:val="0"/>
        <w:snapToGrid w:val="0"/>
        <w:spacing w:line="400" w:lineRule="exact"/>
        <w:ind w:firstLine="420" w:firstLineChars="200"/>
        <w:textAlignment w:val="baseline"/>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地  址：崇左市石景林路8号</w:t>
      </w:r>
    </w:p>
    <w:p w14:paraId="11E80E3F">
      <w:pPr>
        <w:pStyle w:val="60"/>
        <w:numPr>
          <w:ilvl w:val="0"/>
          <w:numId w:val="2"/>
        </w:numPr>
        <w:spacing w:line="400" w:lineRule="exact"/>
        <w:ind w:firstLine="422" w:firstLineChars="200"/>
        <w:outlineLvl w:val="2"/>
        <w:rPr>
          <w:b/>
          <w:bCs/>
          <w:color w:val="auto"/>
          <w:sz w:val="21"/>
          <w:szCs w:val="21"/>
          <w:highlight w:val="none"/>
        </w:rPr>
      </w:pPr>
      <w:r>
        <w:rPr>
          <w:b/>
          <w:bCs/>
          <w:color w:val="auto"/>
          <w:sz w:val="21"/>
          <w:szCs w:val="21"/>
          <w:highlight w:val="none"/>
        </w:rPr>
        <w:t>采购代理机构信息</w:t>
      </w:r>
      <w:bookmarkEnd w:id="29"/>
      <w:bookmarkEnd w:id="30"/>
      <w:bookmarkEnd w:id="31"/>
      <w:bookmarkEnd w:id="32"/>
      <w:bookmarkEnd w:id="33"/>
      <w:bookmarkEnd w:id="34"/>
      <w:bookmarkEnd w:id="35"/>
    </w:p>
    <w:p w14:paraId="3DF29AFC">
      <w:pPr>
        <w:pStyle w:val="60"/>
        <w:spacing w:line="460" w:lineRule="exact"/>
        <w:ind w:firstLine="420" w:firstLineChars="200"/>
        <w:rPr>
          <w:color w:val="auto"/>
          <w:sz w:val="21"/>
          <w:szCs w:val="21"/>
          <w:highlight w:val="none"/>
        </w:rPr>
      </w:pPr>
      <w:r>
        <w:rPr>
          <w:rFonts w:hint="eastAsia"/>
          <w:color w:val="auto"/>
          <w:sz w:val="21"/>
          <w:szCs w:val="21"/>
          <w:highlight w:val="none"/>
        </w:rPr>
        <w:t>名称：</w:t>
      </w:r>
      <w:r>
        <w:rPr>
          <w:color w:val="auto"/>
          <w:sz w:val="21"/>
          <w:szCs w:val="21"/>
          <w:highlight w:val="none"/>
        </w:rPr>
        <w:t>广西友有招标代理有限公司</w:t>
      </w:r>
    </w:p>
    <w:p w14:paraId="3287FD41">
      <w:pPr>
        <w:pStyle w:val="60"/>
        <w:spacing w:line="460" w:lineRule="exact"/>
        <w:ind w:firstLine="420" w:firstLineChars="200"/>
        <w:rPr>
          <w:rFonts w:hint="eastAsia" w:eastAsia="宋体"/>
          <w:color w:val="auto"/>
          <w:sz w:val="21"/>
          <w:szCs w:val="21"/>
          <w:highlight w:val="none"/>
          <w:lang w:eastAsia="zh-CN"/>
        </w:rPr>
      </w:pPr>
      <w:r>
        <w:rPr>
          <w:rFonts w:hint="eastAsia"/>
          <w:color w:val="auto"/>
          <w:sz w:val="21"/>
          <w:szCs w:val="21"/>
          <w:highlight w:val="none"/>
        </w:rPr>
        <w:t>地址：</w:t>
      </w:r>
      <w:r>
        <w:rPr>
          <w:rFonts w:hint="eastAsia"/>
          <w:color w:val="auto"/>
          <w:sz w:val="21"/>
          <w:szCs w:val="21"/>
          <w:highlight w:val="none"/>
          <w:lang w:eastAsia="zh-CN"/>
        </w:rPr>
        <w:t>南宁市青秀区竹溪大道2号荣恒名都写字楼b栋6层04号</w:t>
      </w:r>
    </w:p>
    <w:p w14:paraId="74DAB2EA">
      <w:pPr>
        <w:pStyle w:val="60"/>
        <w:spacing w:line="460" w:lineRule="exact"/>
        <w:ind w:firstLine="420" w:firstLineChars="200"/>
        <w:rPr>
          <w:rFonts w:hint="eastAsia"/>
          <w:color w:val="auto"/>
          <w:sz w:val="21"/>
          <w:szCs w:val="21"/>
          <w:highlight w:val="none"/>
        </w:rPr>
      </w:pPr>
      <w:r>
        <w:rPr>
          <w:rFonts w:hint="eastAsia"/>
          <w:color w:val="auto"/>
          <w:sz w:val="21"/>
          <w:szCs w:val="21"/>
          <w:highlight w:val="none"/>
        </w:rPr>
        <w:t xml:space="preserve">联系人：黄金婷    </w:t>
      </w:r>
    </w:p>
    <w:p w14:paraId="5B6DC176">
      <w:pPr>
        <w:pStyle w:val="60"/>
        <w:spacing w:line="460" w:lineRule="exact"/>
        <w:ind w:firstLine="420" w:firstLineChars="200"/>
        <w:rPr>
          <w:rFonts w:hint="eastAsia"/>
          <w:color w:val="auto"/>
          <w:sz w:val="21"/>
          <w:szCs w:val="21"/>
          <w:highlight w:val="none"/>
          <w:lang w:eastAsia="zh-CN"/>
        </w:rPr>
      </w:pPr>
      <w:r>
        <w:rPr>
          <w:rFonts w:hint="eastAsia"/>
          <w:color w:val="auto"/>
          <w:sz w:val="21"/>
          <w:szCs w:val="21"/>
          <w:highlight w:val="none"/>
        </w:rPr>
        <w:t>联系电话：</w:t>
      </w:r>
      <w:r>
        <w:rPr>
          <w:rFonts w:hint="eastAsia"/>
          <w:color w:val="auto"/>
          <w:sz w:val="21"/>
          <w:szCs w:val="21"/>
          <w:highlight w:val="none"/>
          <w:lang w:eastAsia="zh-CN"/>
        </w:rPr>
        <w:t>0771-8075176</w:t>
      </w:r>
    </w:p>
    <w:p w14:paraId="658799C0">
      <w:pPr>
        <w:pStyle w:val="60"/>
        <w:spacing w:line="460" w:lineRule="exact"/>
        <w:ind w:firstLine="420" w:firstLineChars="200"/>
        <w:rPr>
          <w:rFonts w:hint="eastAsia"/>
          <w:color w:val="auto"/>
          <w:sz w:val="21"/>
          <w:szCs w:val="21"/>
          <w:highlight w:val="none"/>
          <w:lang w:eastAsia="zh-CN"/>
        </w:rPr>
      </w:pPr>
    </w:p>
    <w:p w14:paraId="148547AC">
      <w:pPr>
        <w:pStyle w:val="60"/>
        <w:spacing w:line="460" w:lineRule="exact"/>
        <w:ind w:firstLine="420" w:firstLineChars="200"/>
        <w:rPr>
          <w:rFonts w:ascii="宋体" w:hAnsi="宋体"/>
          <w:color w:val="auto"/>
          <w:szCs w:val="21"/>
          <w:highlight w:val="none"/>
          <w:u w:val="single"/>
        </w:rPr>
      </w:pPr>
      <w:r>
        <w:rPr>
          <w:rFonts w:hint="eastAsia"/>
          <w:color w:val="auto"/>
          <w:sz w:val="21"/>
          <w:szCs w:val="21"/>
          <w:highlight w:val="none"/>
        </w:rPr>
        <w:t xml:space="preserve">                                                </w:t>
      </w:r>
    </w:p>
    <w:bookmarkEnd w:id="3"/>
    <w:p w14:paraId="556696A9">
      <w:pPr>
        <w:pStyle w:val="3"/>
        <w:jc w:val="center"/>
        <w:rPr>
          <w:rFonts w:hint="eastAsia"/>
          <w:color w:val="auto"/>
          <w:highlight w:val="none"/>
        </w:rPr>
      </w:pPr>
      <w:bookmarkStart w:id="36" w:name="_Toc74322009"/>
      <w:r>
        <w:rPr>
          <w:rFonts w:hint="eastAsia"/>
          <w:color w:val="auto"/>
          <w:highlight w:val="none"/>
        </w:rPr>
        <w:t>第二章 供应商须知</w:t>
      </w:r>
      <w:bookmarkEnd w:id="36"/>
    </w:p>
    <w:p w14:paraId="7781125B">
      <w:pPr>
        <w:spacing w:line="40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供应商须知前附表</w:t>
      </w:r>
    </w:p>
    <w:p w14:paraId="6DE36D59">
      <w:pPr>
        <w:spacing w:line="400" w:lineRule="exact"/>
        <w:jc w:val="center"/>
        <w:rPr>
          <w:rFonts w:hint="eastAsia" w:ascii="宋体" w:hAnsi="宋体"/>
          <w:b/>
          <w:color w:val="auto"/>
          <w:sz w:val="32"/>
          <w:szCs w:val="32"/>
          <w:highlight w:val="none"/>
        </w:rPr>
      </w:pPr>
    </w:p>
    <w:tbl>
      <w:tblPr>
        <w:tblStyle w:val="24"/>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2011F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top"/>
          </w:tcPr>
          <w:p w14:paraId="4EF0700B">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7912" w:type="dxa"/>
            <w:noWrap w:val="0"/>
            <w:vAlign w:val="top"/>
          </w:tcPr>
          <w:p w14:paraId="4DFC7BFE">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内    容</w:t>
            </w:r>
          </w:p>
        </w:tc>
      </w:tr>
      <w:tr w14:paraId="56173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301F8DD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7912" w:type="dxa"/>
            <w:noWrap w:val="0"/>
            <w:vAlign w:val="center"/>
          </w:tcPr>
          <w:p w14:paraId="7C0B182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供应商的资格条件：详见竞争性谈判公告</w:t>
            </w:r>
          </w:p>
        </w:tc>
      </w:tr>
      <w:tr w14:paraId="3C7E4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7DBF936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7912" w:type="dxa"/>
            <w:noWrap w:val="0"/>
            <w:vAlign w:val="center"/>
          </w:tcPr>
          <w:p w14:paraId="3F474B6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是否接受联合体竞标: 详见竞争性谈判公告</w:t>
            </w:r>
          </w:p>
        </w:tc>
      </w:tr>
      <w:tr w14:paraId="77A1C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4410716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p>
        </w:tc>
        <w:tc>
          <w:tcPr>
            <w:tcW w:w="7912" w:type="dxa"/>
            <w:noWrap w:val="0"/>
            <w:vAlign w:val="center"/>
          </w:tcPr>
          <w:p w14:paraId="1EC1D32C">
            <w:pPr>
              <w:spacing w:line="360" w:lineRule="auto"/>
              <w:rPr>
                <w:rFonts w:hint="eastAsia" w:ascii="宋体" w:hAnsi="宋体" w:cs="宋体"/>
                <w:color w:val="auto"/>
                <w:szCs w:val="21"/>
                <w:highlight w:val="none"/>
              </w:rPr>
            </w:pPr>
            <w:r>
              <w:rPr>
                <w:rFonts w:hint="eastAsia" w:ascii="宋体" w:hAnsi="宋体"/>
                <w:color w:val="auto"/>
                <w:szCs w:val="21"/>
                <w:highlight w:val="none"/>
              </w:rPr>
              <w:t>如接受联合体竞标，联合体竞标要求如下：无</w:t>
            </w:r>
          </w:p>
        </w:tc>
      </w:tr>
      <w:tr w14:paraId="10455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05F431F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6.2</w:t>
            </w:r>
          </w:p>
        </w:tc>
        <w:tc>
          <w:tcPr>
            <w:tcW w:w="7912" w:type="dxa"/>
            <w:noWrap w:val="0"/>
            <w:vAlign w:val="center"/>
          </w:tcPr>
          <w:p w14:paraId="46F7ECB6">
            <w:pPr>
              <w:pStyle w:val="8"/>
              <w:spacing w:line="360" w:lineRule="auto"/>
              <w:rPr>
                <w:rFonts w:hint="eastAsia"/>
                <w:color w:val="auto"/>
                <w:highlight w:val="none"/>
              </w:rPr>
            </w:pPr>
            <w:r>
              <w:rPr>
                <w:rFonts w:hint="eastAsia"/>
                <w:color w:val="auto"/>
                <w:highlight w:val="none"/>
              </w:rPr>
              <w:t>☑不允许分包</w:t>
            </w:r>
          </w:p>
          <w:p w14:paraId="1723066D">
            <w:pPr>
              <w:pStyle w:val="8"/>
              <w:spacing w:line="360" w:lineRule="auto"/>
              <w:rPr>
                <w:rFonts w:hint="eastAsia"/>
                <w:color w:val="auto"/>
                <w:highlight w:val="none"/>
              </w:rPr>
            </w:pPr>
            <w:r>
              <w:rPr>
                <w:rFonts w:hint="eastAsia"/>
                <w:color w:val="auto"/>
                <w:highlight w:val="none"/>
              </w:rPr>
              <w:t>□允许分包</w:t>
            </w:r>
          </w:p>
          <w:p w14:paraId="5B43E02E">
            <w:pPr>
              <w:pStyle w:val="8"/>
              <w:spacing w:line="360" w:lineRule="auto"/>
              <w:rPr>
                <w:rFonts w:hint="eastAsia" w:eastAsia="宋体"/>
                <w:color w:val="auto"/>
                <w:highlight w:val="none"/>
                <w:lang w:val="en-US" w:eastAsia="zh-CN"/>
              </w:rPr>
            </w:pPr>
            <w:r>
              <w:rPr>
                <w:rFonts w:hint="eastAsia"/>
                <w:color w:val="auto"/>
                <w:highlight w:val="none"/>
              </w:rPr>
              <w:t>分包内容：</w:t>
            </w:r>
            <w:r>
              <w:rPr>
                <w:rFonts w:hint="eastAsia"/>
                <w:color w:val="auto"/>
                <w:highlight w:val="none"/>
                <w:lang w:val="en-US" w:eastAsia="zh-CN"/>
              </w:rPr>
              <w:t>/</w:t>
            </w:r>
          </w:p>
          <w:p w14:paraId="2EEC1C8F">
            <w:pPr>
              <w:pStyle w:val="8"/>
              <w:spacing w:line="360" w:lineRule="auto"/>
              <w:rPr>
                <w:rFonts w:hint="eastAsia" w:eastAsia="宋体"/>
                <w:color w:val="auto"/>
                <w:highlight w:val="none"/>
                <w:u w:val="single"/>
                <w:lang w:val="en-US" w:eastAsia="zh-CN"/>
              </w:rPr>
            </w:pPr>
            <w:r>
              <w:rPr>
                <w:rFonts w:hint="eastAsia"/>
                <w:color w:val="auto"/>
                <w:highlight w:val="none"/>
              </w:rPr>
              <w:t>分包金额或者比例：</w:t>
            </w:r>
            <w:r>
              <w:rPr>
                <w:rFonts w:hint="eastAsia"/>
                <w:color w:val="auto"/>
                <w:highlight w:val="none"/>
                <w:lang w:val="en-US" w:eastAsia="zh-CN"/>
              </w:rPr>
              <w:t>/</w:t>
            </w:r>
          </w:p>
          <w:p w14:paraId="256A275F">
            <w:pPr>
              <w:pStyle w:val="8"/>
              <w:spacing w:line="360" w:lineRule="auto"/>
              <w:rPr>
                <w:rFonts w:hint="eastAsia" w:eastAsia="宋体"/>
                <w:color w:val="auto"/>
                <w:highlight w:val="none"/>
                <w:u w:val="single"/>
                <w:lang w:val="en-US" w:eastAsia="zh-CN"/>
              </w:rPr>
            </w:pPr>
            <w:r>
              <w:rPr>
                <w:rFonts w:hint="eastAsia" w:ascii="宋体" w:hAnsi="宋体"/>
                <w:color w:val="auto"/>
                <w:szCs w:val="21"/>
                <w:highlight w:val="none"/>
              </w:rPr>
              <w:t>分包供应商必须具备的资质：</w:t>
            </w:r>
            <w:r>
              <w:rPr>
                <w:rFonts w:hint="eastAsia" w:ascii="宋体" w:hAnsi="宋体"/>
                <w:color w:val="auto"/>
                <w:szCs w:val="21"/>
                <w:highlight w:val="none"/>
                <w:lang w:val="en-US" w:eastAsia="zh-CN"/>
              </w:rPr>
              <w:t>/</w:t>
            </w:r>
          </w:p>
        </w:tc>
      </w:tr>
      <w:tr w14:paraId="593DD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51B2D76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7.1</w:t>
            </w:r>
          </w:p>
        </w:tc>
        <w:tc>
          <w:tcPr>
            <w:tcW w:w="7912" w:type="dxa"/>
            <w:noWrap w:val="0"/>
            <w:vAlign w:val="center"/>
          </w:tcPr>
          <w:p w14:paraId="29DAA198">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提供相同品牌产品（非单一产品采购项目的，指核心产品）的不同供应商最后报价相同时，按照下列方式确定一个供应商获得</w:t>
            </w:r>
            <w:r>
              <w:rPr>
                <w:rFonts w:hint="eastAsia" w:ascii="宋体" w:hAnsi="宋体"/>
                <w:color w:val="auto"/>
                <w:szCs w:val="21"/>
                <w:highlight w:val="none"/>
                <w:lang w:eastAsia="zh-CN"/>
              </w:rPr>
              <w:t>成交供应商</w:t>
            </w:r>
            <w:r>
              <w:rPr>
                <w:rFonts w:hint="eastAsia" w:ascii="宋体" w:hAnsi="宋体"/>
                <w:color w:val="auto"/>
                <w:szCs w:val="21"/>
                <w:highlight w:val="none"/>
              </w:rPr>
              <w:t>推荐资格：</w:t>
            </w:r>
          </w:p>
          <w:p w14:paraId="78289D71">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☑随机抽取</w:t>
            </w:r>
          </w:p>
        </w:tc>
      </w:tr>
      <w:tr w14:paraId="215C2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0856D775">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7912" w:type="dxa"/>
            <w:noWrap w:val="0"/>
            <w:vAlign w:val="center"/>
          </w:tcPr>
          <w:p w14:paraId="6457D802">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资格证明文件</w:t>
            </w:r>
          </w:p>
          <w:p w14:paraId="2785633A">
            <w:pPr>
              <w:numPr>
                <w:ilvl w:val="0"/>
                <w:numId w:val="0"/>
              </w:num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崇左市政府采购供应商信用承诺函（格式后附，供应商应对其承诺内容的真实性、合法性、有效性负责）；（</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AC004CC">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.供应商直接控股、管理关系信息表（格式后附）；（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188E6BCE">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.竞标声明（格式后附）；（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7F0CA286">
            <w:pPr>
              <w:snapToGrid w:val="0"/>
              <w:spacing w:line="360" w:lineRule="auto"/>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4.中小企业声明函；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3C1933CD">
            <w:pPr>
              <w:snapToGrid w:val="0"/>
              <w:spacing w:line="360" w:lineRule="auto"/>
              <w:jc w:val="left"/>
              <w:rPr>
                <w:rFonts w:hint="eastAsia" w:ascii="宋体" w:hAnsi="宋体" w:cs="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s="宋体"/>
                <w:color w:val="auto"/>
                <w:szCs w:val="21"/>
                <w:highlight w:val="none"/>
              </w:rPr>
              <w:t>除谈判文件规定必须提供以外，供应商认为需要提供的其他证明材料；</w:t>
            </w:r>
          </w:p>
          <w:p w14:paraId="17069D68">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w:t>
            </w:r>
          </w:p>
          <w:p w14:paraId="09FE63FC">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lang w:eastAsia="zh-CN"/>
              </w:rPr>
              <w:t>注：</w:t>
            </w:r>
            <w:r>
              <w:rPr>
                <w:rFonts w:hint="eastAsia" w:ascii="宋体" w:hAnsi="宋体" w:cs="宋体"/>
                <w:b/>
                <w:color w:val="auto"/>
                <w:szCs w:val="21"/>
                <w:highlight w:val="none"/>
              </w:rPr>
              <w:t>以上标明“必须提供”的材料，必须加盖供应商</w:t>
            </w:r>
            <w:r>
              <w:rPr>
                <w:rFonts w:hint="eastAsia" w:ascii="宋体" w:hAnsi="宋体" w:cs="宋体"/>
                <w:b/>
                <w:color w:val="auto"/>
                <w:szCs w:val="21"/>
                <w:highlight w:val="none"/>
                <w:lang w:eastAsia="zh-CN"/>
              </w:rPr>
              <w:t>电子签</w:t>
            </w:r>
            <w:r>
              <w:rPr>
                <w:rFonts w:hint="eastAsia" w:ascii="宋体" w:hAnsi="宋体" w:cs="宋体"/>
                <w:b/>
                <w:color w:val="auto"/>
                <w:szCs w:val="21"/>
                <w:highlight w:val="none"/>
              </w:rPr>
              <w:t>章，否则响应文件按无效处理。</w:t>
            </w:r>
          </w:p>
        </w:tc>
      </w:tr>
      <w:tr w14:paraId="5F97D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4302656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2</w:t>
            </w:r>
          </w:p>
        </w:tc>
        <w:tc>
          <w:tcPr>
            <w:tcW w:w="7912" w:type="dxa"/>
            <w:noWrap w:val="0"/>
            <w:vAlign w:val="center"/>
          </w:tcPr>
          <w:p w14:paraId="3CB68F9D">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报价文件</w:t>
            </w:r>
          </w:p>
          <w:p w14:paraId="074A4345">
            <w:pPr>
              <w:pStyle w:val="2"/>
              <w:numPr>
                <w:ilvl w:val="0"/>
                <w:numId w:val="3"/>
              </w:numPr>
              <w:rPr>
                <w:rFonts w:ascii="宋体" w:hAnsi="宋体" w:cs="宋体"/>
                <w:b/>
                <w:color w:val="auto"/>
                <w:szCs w:val="21"/>
                <w:highlight w:val="none"/>
              </w:rPr>
            </w:pPr>
            <w:r>
              <w:rPr>
                <w:rFonts w:hint="eastAsia" w:ascii="宋体" w:hAnsi="宋体" w:cs="宋体"/>
                <w:color w:val="auto"/>
                <w:szCs w:val="21"/>
                <w:highlight w:val="none"/>
              </w:rPr>
              <w:t>竞标报价表（格式后附）；（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2CF5A8B2">
            <w:pPr>
              <w:pStyle w:val="2"/>
              <w:numPr>
                <w:ilvl w:val="0"/>
                <w:numId w:val="3"/>
              </w:numPr>
              <w:rPr>
                <w:rFonts w:ascii="宋体" w:hAnsi="宋体" w:cs="宋体"/>
                <w:b/>
                <w:color w:val="auto"/>
                <w:szCs w:val="21"/>
                <w:highlight w:val="none"/>
              </w:rPr>
            </w:pPr>
            <w:r>
              <w:rPr>
                <w:rFonts w:hint="eastAsia" w:ascii="宋体" w:hAnsi="宋体" w:cs="宋体"/>
                <w:color w:val="auto"/>
                <w:szCs w:val="21"/>
                <w:highlight w:val="none"/>
              </w:rPr>
              <w:t>供应商认为需要提供的其他有关资料。</w:t>
            </w:r>
          </w:p>
        </w:tc>
      </w:tr>
      <w:tr w14:paraId="6E1B7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2456303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7912" w:type="dxa"/>
            <w:noWrap w:val="0"/>
            <w:vAlign w:val="center"/>
          </w:tcPr>
          <w:p w14:paraId="26F48920">
            <w:pPr>
              <w:spacing w:line="360" w:lineRule="auto"/>
              <w:rPr>
                <w:rFonts w:hint="eastAsia" w:ascii="宋体" w:hAnsi="宋体" w:cs="宋体"/>
                <w:color w:val="auto"/>
                <w:szCs w:val="21"/>
                <w:highlight w:val="none"/>
              </w:rPr>
            </w:pPr>
            <w:r>
              <w:rPr>
                <w:rFonts w:hint="eastAsia" w:ascii="宋体" w:hAnsi="宋体" w:cs="宋体"/>
                <w:b/>
                <w:color w:val="auto"/>
                <w:szCs w:val="21"/>
                <w:highlight w:val="none"/>
              </w:rPr>
              <w:t>商务技术文件</w:t>
            </w:r>
          </w:p>
          <w:p w14:paraId="3232D34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14DB7969">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w:t>
            </w:r>
            <w:r>
              <w:rPr>
                <w:rFonts w:hint="eastAsia" w:ascii="宋体" w:hAnsi="宋体" w:cs="宋体"/>
                <w:color w:val="auto"/>
                <w:szCs w:val="21"/>
                <w:highlight w:val="none"/>
                <w:lang w:eastAsia="zh-CN"/>
              </w:rPr>
              <w:t>扫描</w:t>
            </w:r>
            <w:r>
              <w:rPr>
                <w:rFonts w:hint="eastAsia" w:ascii="宋体" w:hAnsi="宋体" w:cs="宋体"/>
                <w:color w:val="auto"/>
                <w:szCs w:val="21"/>
                <w:highlight w:val="none"/>
              </w:rPr>
              <w:t>件（格式后附）；（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51C66AD7">
            <w:pPr>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3.授权委托书及委托代理人有效身份证正反面</w:t>
            </w:r>
            <w:r>
              <w:rPr>
                <w:rFonts w:hint="eastAsia" w:ascii="宋体" w:hAnsi="宋体" w:cs="宋体"/>
                <w:color w:val="auto"/>
                <w:szCs w:val="21"/>
                <w:highlight w:val="none"/>
                <w:lang w:eastAsia="zh-CN"/>
              </w:rPr>
              <w:t>扫描</w:t>
            </w:r>
            <w:r>
              <w:rPr>
                <w:rFonts w:hint="eastAsia" w:ascii="宋体" w:hAnsi="宋体" w:cs="宋体"/>
                <w:color w:val="auto"/>
                <w:szCs w:val="21"/>
                <w:highlight w:val="none"/>
              </w:rPr>
              <w:t>件（格式后附）；（</w:t>
            </w:r>
            <w:r>
              <w:rPr>
                <w:rFonts w:hint="eastAsia" w:ascii="宋体" w:hAnsi="宋体" w:cs="宋体"/>
                <w:b/>
                <w:color w:val="auto"/>
                <w:szCs w:val="21"/>
                <w:highlight w:val="none"/>
              </w:rPr>
              <w:t>委托时必须提供，否则响应文件按无效处理</w:t>
            </w:r>
            <w:r>
              <w:rPr>
                <w:rFonts w:hint="eastAsia" w:ascii="宋体" w:hAnsi="宋体" w:cs="宋体"/>
                <w:color w:val="auto"/>
                <w:szCs w:val="21"/>
                <w:highlight w:val="none"/>
              </w:rPr>
              <w:t>）</w:t>
            </w:r>
          </w:p>
          <w:p w14:paraId="52155EE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4.商务要求偏离表（格式后附）；（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2781F76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5.售后服务承诺（格式自拟）；（</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17113D0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6.货物配置清单（均不含报价）（格式后附）；（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612C798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7.技术要求偏离表（格式后附）；（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63BF5BE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8.对应采购需求的技术要求、商务要求提供的其他文件资料（格式自拟）；</w:t>
            </w:r>
          </w:p>
          <w:p w14:paraId="37CF815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9.供应商认为需要提供的其他有关资料。</w:t>
            </w:r>
          </w:p>
          <w:p w14:paraId="2FF39077">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注：以上标明“必须提供”</w:t>
            </w:r>
            <w:r>
              <w:rPr>
                <w:rFonts w:hint="eastAsia" w:ascii="宋体" w:hAnsi="宋体" w:cs="宋体"/>
                <w:b/>
                <w:color w:val="auto"/>
                <w:szCs w:val="21"/>
                <w:highlight w:val="none"/>
                <w:lang w:val="en-US" w:eastAsia="zh-CN"/>
              </w:rPr>
              <w:t>的</w:t>
            </w:r>
            <w:r>
              <w:rPr>
                <w:rFonts w:hint="eastAsia" w:ascii="宋体" w:hAnsi="宋体" w:cs="宋体"/>
                <w:b/>
                <w:color w:val="auto"/>
                <w:szCs w:val="21"/>
                <w:highlight w:val="none"/>
              </w:rPr>
              <w:t>材料，必须加盖供应商电子签章，否则响应文件按无效处理。</w:t>
            </w:r>
          </w:p>
        </w:tc>
      </w:tr>
      <w:tr w14:paraId="37D6A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3FF5EDF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7912" w:type="dxa"/>
            <w:noWrap w:val="0"/>
            <w:vAlign w:val="center"/>
          </w:tcPr>
          <w:p w14:paraId="5D185223">
            <w:pPr>
              <w:numPr>
                <w:ilvl w:val="0"/>
                <w:numId w:val="4"/>
              </w:num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竞标报价包含竞标货物（包括备品备件、专用工具等）的价格，竞标货物运输（含保险）、安装调试（如有）、检验、</w:t>
            </w:r>
            <w:r>
              <w:rPr>
                <w:rFonts w:hint="eastAsia" w:ascii="宋体" w:hAnsi="宋体" w:cs="宋体"/>
                <w:color w:val="auto"/>
                <w:szCs w:val="21"/>
                <w:highlight w:val="none"/>
                <w:lang w:eastAsia="zh-CN"/>
              </w:rPr>
              <w:t>使用说明</w:t>
            </w:r>
            <w:r>
              <w:rPr>
                <w:rFonts w:hint="eastAsia" w:ascii="宋体" w:hAnsi="宋体" w:cs="宋体"/>
                <w:color w:val="auto"/>
                <w:szCs w:val="21"/>
                <w:highlight w:val="none"/>
              </w:rPr>
              <w:t>培训和谈判文件要求提供的所有伴随</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服务等费用和税费。（采购需求另有约定的，从其约定。）</w:t>
            </w:r>
            <w:r>
              <w:rPr>
                <w:rFonts w:hint="eastAsia" w:ascii="宋体" w:hAnsi="宋体" w:cs="宋体"/>
                <w:color w:val="auto"/>
                <w:szCs w:val="21"/>
                <w:highlight w:val="none"/>
                <w:lang w:eastAsia="zh-CN"/>
              </w:rPr>
              <w:t>；</w:t>
            </w:r>
          </w:p>
          <w:p w14:paraId="2AC4BCCC">
            <w:pPr>
              <w:numPr>
                <w:ilvl w:val="0"/>
                <w:numId w:val="4"/>
              </w:numPr>
              <w:snapToGrid w:val="0"/>
              <w:spacing w:line="360" w:lineRule="auto"/>
              <w:jc w:val="left"/>
              <w:rPr>
                <w:rFonts w:hint="eastAsia" w:ascii="宋体" w:hAnsi="宋体" w:cs="宋体"/>
                <w:color w:val="auto"/>
                <w:szCs w:val="21"/>
                <w:highlight w:val="none"/>
              </w:rPr>
            </w:pPr>
            <w:r>
              <w:rPr>
                <w:rFonts w:hint="eastAsia" w:ascii="宋体" w:hAnsi="宋体" w:cs="宋体"/>
                <w:b/>
                <w:bCs/>
                <w:color w:val="auto"/>
                <w:szCs w:val="21"/>
                <w:highlight w:val="none"/>
                <w:lang w:eastAsia="zh-CN"/>
              </w:rPr>
              <w:t>竞标报价的单项单价报价不得超出控制单价，</w:t>
            </w:r>
            <w:r>
              <w:rPr>
                <w:rFonts w:hint="eastAsia" w:ascii="宋体" w:hAnsi="宋体" w:cs="宋体"/>
                <w:b/>
                <w:color w:val="auto"/>
                <w:szCs w:val="21"/>
                <w:highlight w:val="none"/>
              </w:rPr>
              <w:t>否则响应文件按无效处理</w:t>
            </w:r>
            <w:r>
              <w:rPr>
                <w:rFonts w:hint="eastAsia" w:ascii="宋体" w:hAnsi="宋体" w:cs="宋体"/>
                <w:b/>
                <w:color w:val="auto"/>
                <w:szCs w:val="21"/>
                <w:highlight w:val="none"/>
                <w:lang w:eastAsia="zh-CN"/>
              </w:rPr>
              <w:t>。</w:t>
            </w:r>
          </w:p>
        </w:tc>
      </w:tr>
      <w:tr w14:paraId="1B3B9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6A64526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7912" w:type="dxa"/>
            <w:noWrap w:val="0"/>
            <w:vAlign w:val="center"/>
          </w:tcPr>
          <w:p w14:paraId="6F9B3ABB">
            <w:pPr>
              <w:pStyle w:val="7"/>
              <w:widowControl w:val="0"/>
              <w:tabs>
                <w:tab w:val="clear" w:pos="454"/>
              </w:tabs>
              <w:snapToGrid w:val="0"/>
              <w:spacing w:afterLines="0" w:line="360" w:lineRule="auto"/>
              <w:ind w:left="283" w:hanging="283" w:hangingChars="135"/>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竞标有效期：自首次响应文件提交截止之日起</w:t>
            </w:r>
            <w:r>
              <w:rPr>
                <w:rFonts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6</w:t>
            </w:r>
            <w:r>
              <w:rPr>
                <w:rFonts w:hint="eastAsia" w:ascii="宋体" w:hAnsi="宋体" w:cs="宋体"/>
                <w:color w:val="auto"/>
                <w:kern w:val="2"/>
                <w:sz w:val="21"/>
                <w:szCs w:val="21"/>
                <w:highlight w:val="none"/>
                <w:u w:val="single"/>
              </w:rPr>
              <w:t>0</w:t>
            </w:r>
            <w:r>
              <w:rPr>
                <w:rFonts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 xml:space="preserve">日 </w:t>
            </w:r>
          </w:p>
        </w:tc>
      </w:tr>
      <w:tr w14:paraId="0C639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535E291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7912" w:type="dxa"/>
            <w:noWrap w:val="0"/>
            <w:vAlign w:val="center"/>
          </w:tcPr>
          <w:p w14:paraId="69C06659">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olor w:val="auto"/>
                <w:szCs w:val="21"/>
                <w:highlight w:val="none"/>
              </w:rPr>
              <w:t>本项目不收取竞标保证金。</w:t>
            </w:r>
          </w:p>
        </w:tc>
      </w:tr>
      <w:tr w14:paraId="0F944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7BCDA46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7912" w:type="dxa"/>
            <w:noWrap w:val="0"/>
            <w:vAlign w:val="center"/>
          </w:tcPr>
          <w:p w14:paraId="79AB3477">
            <w:pPr>
              <w:spacing w:line="360" w:lineRule="auto"/>
              <w:contextualSpacing/>
              <w:jc w:val="left"/>
              <w:rPr>
                <w:rFonts w:hint="eastAsia" w:ascii="宋体" w:hAnsi="宋体" w:cs="宋体"/>
                <w:color w:val="auto"/>
                <w:szCs w:val="21"/>
                <w:highlight w:val="none"/>
                <w:u w:val="single"/>
              </w:rPr>
            </w:pPr>
            <w:r>
              <w:rPr>
                <w:rFonts w:hint="eastAsia" w:ascii="宋体" w:hAnsi="宋体" w:cs="宋体"/>
                <w:color w:val="auto"/>
                <w:szCs w:val="21"/>
                <w:highlight w:val="none"/>
              </w:rPr>
              <w:t>响应文件提交截止时间：详见竞争性谈判公告。</w:t>
            </w:r>
          </w:p>
          <w:p w14:paraId="1C9F8FF4">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响应文件提交地点：详见竞争性谈判公告。</w:t>
            </w:r>
          </w:p>
        </w:tc>
      </w:tr>
      <w:tr w14:paraId="36233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4E6AFA5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24.1</w:t>
            </w:r>
          </w:p>
        </w:tc>
        <w:tc>
          <w:tcPr>
            <w:tcW w:w="7912" w:type="dxa"/>
            <w:noWrap w:val="0"/>
            <w:vAlign w:val="center"/>
          </w:tcPr>
          <w:p w14:paraId="41103857">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谈判小组的人数：</w:t>
            </w:r>
            <w:r>
              <w:rPr>
                <w:rFonts w:hint="eastAsia" w:ascii="宋体" w:hAnsi="宋体" w:cs="宋体"/>
                <w:color w:val="auto"/>
                <w:szCs w:val="21"/>
                <w:highlight w:val="none"/>
                <w:u w:val="single"/>
              </w:rPr>
              <w:t xml:space="preserve">  3   </w:t>
            </w:r>
            <w:r>
              <w:rPr>
                <w:rFonts w:hint="eastAsia" w:ascii="宋体" w:hAnsi="宋体" w:cs="宋体"/>
                <w:color w:val="auto"/>
                <w:szCs w:val="21"/>
                <w:highlight w:val="none"/>
              </w:rPr>
              <w:t>人。</w:t>
            </w:r>
          </w:p>
        </w:tc>
      </w:tr>
      <w:tr w14:paraId="774AA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7381A545">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p>
        </w:tc>
        <w:tc>
          <w:tcPr>
            <w:tcW w:w="7912" w:type="dxa"/>
            <w:noWrap w:val="0"/>
            <w:vAlign w:val="center"/>
          </w:tcPr>
          <w:p w14:paraId="603ACC0D">
            <w:pPr>
              <w:snapToGrid w:val="0"/>
              <w:spacing w:line="360" w:lineRule="auto"/>
              <w:jc w:val="left"/>
              <w:rPr>
                <w:rFonts w:hint="eastAsia"/>
                <w:color w:val="auto"/>
                <w:highlight w:val="none"/>
              </w:rPr>
            </w:pPr>
            <w:r>
              <w:rPr>
                <w:rFonts w:hint="eastAsia"/>
                <w:color w:val="auto"/>
                <w:highlight w:val="none"/>
              </w:rPr>
              <w:t>首次响应文件开启时间详见“竞争性谈判公告”</w:t>
            </w:r>
          </w:p>
          <w:p w14:paraId="72DA1832">
            <w:pPr>
              <w:snapToGrid w:val="0"/>
              <w:spacing w:line="360" w:lineRule="auto"/>
              <w:jc w:val="left"/>
              <w:rPr>
                <w:rFonts w:hint="eastAsia" w:ascii="宋体" w:hAnsi="宋体" w:cs="宋体"/>
                <w:color w:val="auto"/>
                <w:szCs w:val="21"/>
                <w:highlight w:val="none"/>
              </w:rPr>
            </w:pPr>
            <w:r>
              <w:rPr>
                <w:rFonts w:hint="eastAsia"/>
                <w:color w:val="auto"/>
                <w:highlight w:val="none"/>
              </w:rPr>
              <w:t>首次响应文件解密时间：</w:t>
            </w:r>
            <w:r>
              <w:rPr>
                <w:color w:val="auto"/>
                <w:highlight w:val="none"/>
              </w:rPr>
              <w:t xml:space="preserve"> </w:t>
            </w:r>
            <w:r>
              <w:rPr>
                <w:rFonts w:hint="eastAsia"/>
                <w:color w:val="auto"/>
                <w:highlight w:val="none"/>
              </w:rPr>
              <w:t>30</w:t>
            </w:r>
            <w:r>
              <w:rPr>
                <w:color w:val="auto"/>
                <w:highlight w:val="none"/>
              </w:rPr>
              <w:t xml:space="preserve"> </w:t>
            </w:r>
            <w:r>
              <w:rPr>
                <w:rFonts w:hint="eastAsia"/>
                <w:color w:val="auto"/>
                <w:highlight w:val="none"/>
              </w:rPr>
              <w:t>分钟</w:t>
            </w:r>
          </w:p>
        </w:tc>
      </w:tr>
      <w:tr w14:paraId="61397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noWrap w:val="0"/>
            <w:vAlign w:val="center"/>
          </w:tcPr>
          <w:p w14:paraId="5DA618F9">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26</w:t>
            </w:r>
          </w:p>
        </w:tc>
        <w:tc>
          <w:tcPr>
            <w:tcW w:w="7912" w:type="dxa"/>
            <w:noWrap w:val="0"/>
            <w:vAlign w:val="center"/>
          </w:tcPr>
          <w:p w14:paraId="1137E698">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3BA5FC2E">
            <w:pPr>
              <w:snapToGrid w:val="0"/>
              <w:spacing w:line="360" w:lineRule="auto"/>
              <w:rPr>
                <w:rFonts w:hint="eastAsia" w:ascii="宋体" w:hAnsi="宋体" w:cs="宋体"/>
                <w:b/>
                <w:bCs/>
                <w:color w:val="auto"/>
                <w:szCs w:val="21"/>
                <w:highlight w:val="none"/>
              </w:rPr>
            </w:pPr>
            <w:r>
              <w:rPr>
                <w:rFonts w:hint="eastAsia" w:ascii="宋体" w:hAnsi="宋体" w:cs="宋体"/>
                <w:b w:val="0"/>
                <w:bCs w:val="0"/>
                <w:color w:val="auto"/>
                <w:szCs w:val="21"/>
                <w:highlight w:val="none"/>
              </w:rPr>
              <w:t>技术要求评审中允许负偏离的条款数为</w:t>
            </w:r>
            <w:r>
              <w:rPr>
                <w:rFonts w:hint="eastAsia" w:ascii="宋体" w:hAnsi="宋体" w:cs="宋体"/>
                <w:b w:val="0"/>
                <w:bCs w:val="0"/>
                <w:color w:val="auto"/>
                <w:szCs w:val="21"/>
                <w:highlight w:val="none"/>
                <w:u w:val="single"/>
              </w:rPr>
              <w:t xml:space="preserve">  </w:t>
            </w:r>
            <w:r>
              <w:rPr>
                <w:rFonts w:hint="eastAsia" w:ascii="宋体" w:hAnsi="宋体" w:cs="宋体"/>
                <w:b w:val="0"/>
                <w:bCs w:val="0"/>
                <w:color w:val="auto"/>
                <w:szCs w:val="21"/>
                <w:highlight w:val="none"/>
                <w:u w:val="single"/>
                <w:lang w:val="en-US" w:eastAsia="zh-CN"/>
              </w:rPr>
              <w:t>0</w:t>
            </w:r>
            <w:r>
              <w:rPr>
                <w:rFonts w:hint="eastAsia" w:ascii="宋体" w:hAnsi="宋体" w:cs="宋体"/>
                <w:b w:val="0"/>
                <w:bCs w:val="0"/>
                <w:color w:val="auto"/>
                <w:szCs w:val="21"/>
                <w:highlight w:val="none"/>
                <w:u w:val="single"/>
              </w:rPr>
              <w:t xml:space="preserve"> </w:t>
            </w:r>
            <w:r>
              <w:rPr>
                <w:rFonts w:hint="eastAsia" w:ascii="宋体" w:hAnsi="宋体" w:cs="宋体"/>
                <w:b w:val="0"/>
                <w:bCs w:val="0"/>
                <w:color w:val="auto"/>
                <w:szCs w:val="21"/>
                <w:highlight w:val="none"/>
              </w:rPr>
              <w:t>项</w:t>
            </w:r>
            <w:r>
              <w:rPr>
                <w:rFonts w:hint="eastAsia" w:ascii="宋体" w:hAnsi="宋体" w:cs="宋体"/>
                <w:b w:val="0"/>
                <w:bCs w:val="0"/>
                <w:color w:val="auto"/>
                <w:szCs w:val="21"/>
                <w:highlight w:val="none"/>
                <w:lang w:eastAsia="zh-CN"/>
              </w:rPr>
              <w:t>。</w:t>
            </w:r>
          </w:p>
        </w:tc>
      </w:tr>
      <w:tr w14:paraId="29E21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3" w:hRule="atLeast"/>
          <w:jc w:val="center"/>
        </w:trPr>
        <w:tc>
          <w:tcPr>
            <w:tcW w:w="992" w:type="dxa"/>
            <w:vMerge w:val="continue"/>
            <w:noWrap w:val="0"/>
            <w:vAlign w:val="center"/>
          </w:tcPr>
          <w:p w14:paraId="7ECD78A3">
            <w:pPr>
              <w:spacing w:line="360" w:lineRule="auto"/>
              <w:jc w:val="center"/>
              <w:rPr>
                <w:rFonts w:hint="eastAsia" w:ascii="宋体" w:hAnsi="宋体" w:cs="宋体"/>
                <w:color w:val="auto"/>
                <w:szCs w:val="21"/>
                <w:highlight w:val="none"/>
              </w:rPr>
            </w:pPr>
          </w:p>
        </w:tc>
        <w:tc>
          <w:tcPr>
            <w:tcW w:w="7912" w:type="dxa"/>
            <w:noWrap w:val="0"/>
            <w:vAlign w:val="center"/>
          </w:tcPr>
          <w:p w14:paraId="67FFC82D">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评审价相同时，按照最后报价由低到高顺序依次推荐；最后报价相同时，按以下原则确定成交候选人的顺序：</w:t>
            </w:r>
          </w:p>
          <w:p w14:paraId="782F8B66">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☑带“▲”的实质性要求正偏离项数多的优先、均无正偏离或者正偏离项数一致时保修期长优先、交货期短优先、故障响应时间短优先的顺序推荐。</w:t>
            </w:r>
          </w:p>
          <w:p w14:paraId="1E0B5148">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□由谈判小组推荐代表随机抽取。</w:t>
            </w:r>
          </w:p>
        </w:tc>
      </w:tr>
      <w:tr w14:paraId="37F79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54DF825F">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28.1</w:t>
            </w:r>
          </w:p>
        </w:tc>
        <w:tc>
          <w:tcPr>
            <w:tcW w:w="7912" w:type="dxa"/>
            <w:noWrap w:val="0"/>
            <w:vAlign w:val="center"/>
          </w:tcPr>
          <w:p w14:paraId="48FF123D">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olor w:val="auto"/>
                <w:szCs w:val="21"/>
                <w:highlight w:val="none"/>
              </w:rPr>
              <w:t>☑本项目不收取履约保证金。</w:t>
            </w:r>
          </w:p>
        </w:tc>
      </w:tr>
      <w:tr w14:paraId="6CB24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03D4DA35">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.1</w:t>
            </w:r>
          </w:p>
        </w:tc>
        <w:tc>
          <w:tcPr>
            <w:tcW w:w="7912" w:type="dxa"/>
            <w:noWrap w:val="0"/>
            <w:vAlign w:val="center"/>
          </w:tcPr>
          <w:p w14:paraId="039B34E0">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 xml:space="preserve">签订合同说明： </w:t>
            </w:r>
          </w:p>
          <w:p w14:paraId="2BE43A13">
            <w:pPr>
              <w:snapToGrid w:val="0"/>
              <w:spacing w:line="360" w:lineRule="auto"/>
              <w:rPr>
                <w:rFonts w:hint="eastAsia" w:ascii="宋体" w:hAnsi="宋体" w:cs="宋体"/>
                <w:color w:val="auto"/>
                <w:szCs w:val="21"/>
                <w:highlight w:val="none"/>
              </w:rPr>
            </w:pPr>
            <w:r>
              <w:rPr>
                <w:rFonts w:hint="eastAsia"/>
                <w:color w:val="auto"/>
                <w:highlight w:val="none"/>
              </w:rPr>
              <w:t>本项目为电子网签合同，在本项目中标（成交）通知书发出后，采购人通过“广西政府采购云平台”与中标（成交）供应商完成电子合同线上签订。采购人与中标（成交）供应商完成电子合同或电子变更合同签订后,“广西政府采购云平台”将会把相关电子合同自动推送到“广西政府采购网”上进行公告。</w:t>
            </w:r>
            <w:r>
              <w:rPr>
                <w:rFonts w:hint="eastAsia" w:ascii="宋体" w:hAnsi="宋体" w:cs="宋体"/>
                <w:color w:val="auto"/>
                <w:spacing w:val="9"/>
                <w:position w:val="15"/>
                <w:szCs w:val="21"/>
                <w:highlight w:val="none"/>
              </w:rPr>
              <w:t xml:space="preserve"> </w:t>
            </w:r>
          </w:p>
        </w:tc>
      </w:tr>
      <w:tr w14:paraId="1710C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7D65C2E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7912" w:type="dxa"/>
            <w:noWrap w:val="0"/>
            <w:vAlign w:val="center"/>
          </w:tcPr>
          <w:p w14:paraId="48A80B26">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接收质疑函方式：以书面形式。</w:t>
            </w:r>
          </w:p>
          <w:p w14:paraId="345E56F6">
            <w:pPr>
              <w:pStyle w:val="13"/>
              <w:snapToGrid w:val="0"/>
              <w:spacing w:line="360" w:lineRule="auto"/>
              <w:rPr>
                <w:rFonts w:hAnsi="宋体" w:cs="宋体"/>
                <w:color w:val="auto"/>
                <w:kern w:val="2"/>
                <w:sz w:val="21"/>
                <w:highlight w:val="none"/>
              </w:rPr>
            </w:pPr>
            <w:r>
              <w:rPr>
                <w:rFonts w:hint="eastAsia" w:hAnsi="宋体" w:cs="宋体"/>
                <w:color w:val="auto"/>
                <w:kern w:val="2"/>
                <w:sz w:val="21"/>
                <w:highlight w:val="none"/>
              </w:rPr>
              <w:t>质疑联系部门及联系方式：</w:t>
            </w:r>
            <w:r>
              <w:rPr>
                <w:color w:val="auto"/>
                <w:sz w:val="21"/>
                <w:highlight w:val="none"/>
                <w:u w:val="single"/>
              </w:rPr>
              <w:t>广西友有招标代理有限公司</w:t>
            </w:r>
            <w:r>
              <w:rPr>
                <w:rFonts w:hint="eastAsia" w:hAnsi="宋体" w:cs="宋体"/>
                <w:color w:val="auto"/>
                <w:kern w:val="2"/>
                <w:sz w:val="21"/>
                <w:highlight w:val="none"/>
              </w:rPr>
              <w:t>，联系电话：</w:t>
            </w:r>
            <w:r>
              <w:rPr>
                <w:rFonts w:hint="eastAsia" w:hAnsi="宋体" w:cs="宋体"/>
                <w:color w:val="auto"/>
                <w:kern w:val="2"/>
                <w:sz w:val="21"/>
                <w:highlight w:val="none"/>
                <w:lang w:eastAsia="zh-CN"/>
              </w:rPr>
              <w:t>0771-8075176</w:t>
            </w:r>
            <w:r>
              <w:rPr>
                <w:rFonts w:hint="eastAsia" w:hAnsi="宋体" w:cs="宋体"/>
                <w:color w:val="auto"/>
                <w:kern w:val="2"/>
                <w:sz w:val="21"/>
                <w:highlight w:val="none"/>
              </w:rPr>
              <w:t>，通讯地址：</w:t>
            </w:r>
            <w:r>
              <w:rPr>
                <w:rFonts w:hint="eastAsia" w:hAnsi="宋体" w:cs="宋体"/>
                <w:color w:val="auto"/>
                <w:kern w:val="2"/>
                <w:sz w:val="21"/>
                <w:highlight w:val="none"/>
                <w:u w:val="single"/>
              </w:rPr>
              <w:t>崇左市江州区万沣大厦A座四楼409室</w:t>
            </w:r>
          </w:p>
          <w:p w14:paraId="409E6549">
            <w:pPr>
              <w:pStyle w:val="13"/>
              <w:snapToGrid w:val="0"/>
              <w:spacing w:line="360" w:lineRule="auto"/>
              <w:rPr>
                <w:rFonts w:hint="eastAsia" w:hAnsi="宋体" w:cs="宋体"/>
                <w:color w:val="auto"/>
                <w:kern w:val="2"/>
                <w:sz w:val="21"/>
                <w:highlight w:val="none"/>
              </w:rPr>
            </w:pPr>
            <w:r>
              <w:rPr>
                <w:rFonts w:hint="eastAsia" w:hAnsi="宋体" w:cs="宋体"/>
                <w:color w:val="auto"/>
                <w:sz w:val="21"/>
                <w:highlight w:val="none"/>
              </w:rPr>
              <w:t xml:space="preserve">业务时间： </w:t>
            </w:r>
            <w:r>
              <w:rPr>
                <w:rFonts w:hint="eastAsia" w:hAnsi="宋体"/>
                <w:color w:val="auto"/>
                <w:highlight w:val="none"/>
              </w:rPr>
              <w:t>每天上午 8:30 至 12:00，下午 15:00 至 17:30</w:t>
            </w:r>
            <w:r>
              <w:rPr>
                <w:rFonts w:hint="eastAsia" w:hAnsi="宋体" w:cs="宋体"/>
                <w:color w:val="auto"/>
                <w:sz w:val="21"/>
                <w:highlight w:val="none"/>
              </w:rPr>
              <w:t xml:space="preserve"> </w:t>
            </w:r>
          </w:p>
        </w:tc>
      </w:tr>
      <w:tr w14:paraId="4DA67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5BB6211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2</w:t>
            </w:r>
            <w:r>
              <w:rPr>
                <w:rFonts w:hint="eastAsia" w:ascii="宋体" w:hAnsi="宋体" w:cs="宋体"/>
                <w:color w:val="auto"/>
                <w:szCs w:val="21"/>
                <w:highlight w:val="none"/>
              </w:rPr>
              <w:t>.1</w:t>
            </w:r>
          </w:p>
        </w:tc>
        <w:tc>
          <w:tcPr>
            <w:tcW w:w="7912" w:type="dxa"/>
            <w:noWrap w:val="0"/>
            <w:vAlign w:val="center"/>
          </w:tcPr>
          <w:p w14:paraId="03196970">
            <w:pPr>
              <w:pStyle w:val="13"/>
              <w:snapToGrid w:val="0"/>
              <w:spacing w:line="360" w:lineRule="auto"/>
              <w:rPr>
                <w:rFonts w:hint="eastAsia" w:hAnsi="宋体" w:cs="宋体"/>
                <w:color w:val="auto"/>
                <w:sz w:val="21"/>
                <w:highlight w:val="none"/>
              </w:rPr>
            </w:pPr>
            <w:r>
              <w:rPr>
                <w:rFonts w:hint="eastAsia" w:hAnsi="宋体" w:cs="宋体"/>
                <w:color w:val="auto"/>
                <w:sz w:val="21"/>
                <w:highlight w:val="none"/>
              </w:rPr>
              <w:t>1.采购代理费支付方式：</w:t>
            </w:r>
          </w:p>
          <w:p w14:paraId="01B398A2">
            <w:pPr>
              <w:pStyle w:val="13"/>
              <w:snapToGrid w:val="0"/>
              <w:spacing w:line="360" w:lineRule="auto"/>
              <w:rPr>
                <w:rFonts w:hint="eastAsia" w:hAnsi="宋体" w:cs="宋体"/>
                <w:sz w:val="21"/>
                <w:lang w:val="en-US" w:eastAsia="zh-CN"/>
              </w:rPr>
            </w:pPr>
            <w:r>
              <w:rPr>
                <w:rFonts w:hint="eastAsia" w:hAnsi="宋体" w:cs="宋体"/>
                <w:sz w:val="21"/>
                <w:lang w:val="en-US" w:eastAsia="zh-CN"/>
              </w:rPr>
              <w:t>☑本项目代理服务费按如下规定由</w:t>
            </w:r>
            <w:r>
              <w:rPr>
                <w:rFonts w:hint="eastAsia" w:hAnsi="宋体" w:cs="宋体"/>
                <w:sz w:val="21"/>
                <w:u w:val="single"/>
                <w:lang w:val="en-US" w:eastAsia="zh-CN"/>
              </w:rPr>
              <w:t>成交供应商</w:t>
            </w:r>
            <w:r>
              <w:rPr>
                <w:rFonts w:hint="eastAsia" w:hAnsi="宋体" w:cs="宋体"/>
                <w:sz w:val="21"/>
                <w:lang w:val="en-US" w:eastAsia="zh-CN"/>
              </w:rPr>
              <w:t>在领取成交通知书时，一次性向采购代理机构支付。</w:t>
            </w:r>
          </w:p>
          <w:p w14:paraId="189A40E7">
            <w:pPr>
              <w:pStyle w:val="13"/>
              <w:snapToGrid w:val="0"/>
              <w:spacing w:line="360" w:lineRule="auto"/>
              <w:rPr>
                <w:rFonts w:hint="eastAsia" w:hAnsi="宋体" w:cs="宋体"/>
                <w:sz w:val="21"/>
                <w:lang w:val="en-US" w:eastAsia="zh-CN"/>
              </w:rPr>
            </w:pPr>
            <w:r>
              <w:rPr>
                <w:rFonts w:hint="eastAsia" w:hAnsi="宋体" w:cs="宋体"/>
                <w:sz w:val="21"/>
                <w:lang w:val="en-US" w:eastAsia="zh-CN"/>
              </w:rPr>
              <w:t>□采购人支付。</w:t>
            </w:r>
          </w:p>
          <w:p w14:paraId="60DD178A">
            <w:pPr>
              <w:pStyle w:val="13"/>
              <w:snapToGrid w:val="0"/>
              <w:spacing w:line="360" w:lineRule="auto"/>
              <w:rPr>
                <w:rFonts w:hint="eastAsia" w:hAnsi="宋体" w:cs="宋体"/>
                <w:sz w:val="21"/>
                <w:lang w:val="en-US" w:eastAsia="zh-CN"/>
              </w:rPr>
            </w:pPr>
            <w:r>
              <w:rPr>
                <w:rFonts w:hint="eastAsia" w:hAnsi="宋体" w:cs="宋体"/>
                <w:color w:val="000000"/>
                <w:sz w:val="21"/>
                <w:lang w:val="en-US" w:eastAsia="zh-CN"/>
              </w:rPr>
              <w:t>□</w:t>
            </w:r>
            <w:r>
              <w:rPr>
                <w:rFonts w:hint="eastAsia" w:hAnsi="宋体" w:cs="宋体"/>
                <w:sz w:val="21"/>
                <w:lang w:val="en-US" w:eastAsia="zh-CN"/>
              </w:rPr>
              <w:t>不收取采购代理费。</w:t>
            </w:r>
          </w:p>
          <w:p w14:paraId="1233615E">
            <w:pPr>
              <w:pStyle w:val="13"/>
              <w:snapToGrid w:val="0"/>
              <w:spacing w:line="360" w:lineRule="auto"/>
              <w:rPr>
                <w:rFonts w:hint="default" w:hAnsi="宋体" w:cs="宋体"/>
                <w:sz w:val="21"/>
                <w:highlight w:val="none"/>
                <w:lang w:val="en-US" w:eastAsia="zh-CN"/>
              </w:rPr>
            </w:pPr>
            <w:r>
              <w:rPr>
                <w:rFonts w:hint="eastAsia" w:hAnsi="宋体" w:cs="宋体"/>
                <w:sz w:val="21"/>
                <w:highlight w:val="none"/>
                <w:lang w:val="en-US" w:eastAsia="zh-CN"/>
              </w:rPr>
              <w:t>2.采购代理费收取标准：按采购项目预算金额的1.5%收取。</w:t>
            </w:r>
          </w:p>
          <w:p w14:paraId="3A18E3C6">
            <w:pPr>
              <w:pStyle w:val="13"/>
              <w:snapToGrid w:val="0"/>
              <w:spacing w:line="360" w:lineRule="auto"/>
              <w:rPr>
                <w:rFonts w:hint="eastAsia" w:hAnsi="宋体" w:cs="宋体"/>
                <w:color w:val="auto"/>
                <w:sz w:val="21"/>
                <w:highlight w:val="none"/>
              </w:rPr>
            </w:pPr>
            <w:r>
              <w:rPr>
                <w:rFonts w:hint="eastAsia" w:hAnsi="宋体" w:cs="宋体"/>
                <w:color w:val="auto"/>
                <w:sz w:val="21"/>
                <w:highlight w:val="none"/>
              </w:rPr>
              <w:t>3. 采购代理费收取银行账户</w:t>
            </w:r>
          </w:p>
          <w:p w14:paraId="64A56243">
            <w:pPr>
              <w:pStyle w:val="13"/>
              <w:snapToGrid w:val="0"/>
              <w:spacing w:line="360" w:lineRule="auto"/>
              <w:rPr>
                <w:rFonts w:hint="eastAsia" w:hAnsi="宋体" w:cs="宋体"/>
                <w:color w:val="auto"/>
                <w:sz w:val="21"/>
                <w:highlight w:val="none"/>
              </w:rPr>
            </w:pPr>
            <w:r>
              <w:rPr>
                <w:rFonts w:hint="eastAsia" w:hAnsi="宋体" w:cs="宋体"/>
                <w:color w:val="auto"/>
                <w:sz w:val="21"/>
                <w:highlight w:val="none"/>
              </w:rPr>
              <w:t xml:space="preserve">开户名称：广西友有招标代理有限公司 </w:t>
            </w:r>
          </w:p>
          <w:p w14:paraId="4D7414BA">
            <w:pPr>
              <w:pStyle w:val="13"/>
              <w:snapToGrid w:val="0"/>
              <w:spacing w:line="360" w:lineRule="auto"/>
              <w:rPr>
                <w:rFonts w:hint="eastAsia" w:hAnsi="宋体" w:cs="宋体"/>
                <w:color w:val="auto"/>
                <w:sz w:val="21"/>
                <w:highlight w:val="none"/>
              </w:rPr>
            </w:pPr>
            <w:r>
              <w:rPr>
                <w:rFonts w:hint="eastAsia" w:hAnsi="宋体" w:cs="宋体"/>
                <w:color w:val="auto"/>
                <w:sz w:val="21"/>
                <w:highlight w:val="none"/>
              </w:rPr>
              <w:t>开户银行：中国建设银行股份有限公司南宁金湖广场支行</w:t>
            </w:r>
          </w:p>
          <w:p w14:paraId="2C181745">
            <w:pPr>
              <w:pStyle w:val="13"/>
              <w:snapToGrid w:val="0"/>
              <w:spacing w:line="360" w:lineRule="auto"/>
              <w:rPr>
                <w:rFonts w:hint="eastAsia" w:hAnsi="宋体" w:cs="宋体"/>
                <w:color w:val="auto"/>
                <w:sz w:val="21"/>
                <w:highlight w:val="none"/>
                <w:u w:val="single"/>
              </w:rPr>
            </w:pPr>
            <w:r>
              <w:rPr>
                <w:rFonts w:hint="eastAsia" w:hAnsi="宋体" w:cs="宋体"/>
                <w:color w:val="auto"/>
                <w:sz w:val="21"/>
                <w:highlight w:val="none"/>
              </w:rPr>
              <w:t>银行账号：45050160426600000593</w:t>
            </w:r>
          </w:p>
        </w:tc>
      </w:tr>
      <w:tr w14:paraId="6C9CD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156207B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7912" w:type="dxa"/>
            <w:noWrap w:val="0"/>
            <w:vAlign w:val="center"/>
          </w:tcPr>
          <w:p w14:paraId="0BBFA1F9">
            <w:pPr>
              <w:pStyle w:val="13"/>
              <w:snapToGrid w:val="0"/>
              <w:spacing w:line="360" w:lineRule="auto"/>
              <w:rPr>
                <w:rFonts w:hint="eastAsia" w:hAnsi="宋体" w:cs="宋体"/>
                <w:color w:val="auto"/>
                <w:sz w:val="21"/>
                <w:highlight w:val="none"/>
              </w:rPr>
            </w:pPr>
            <w:r>
              <w:rPr>
                <w:rFonts w:hint="eastAsia" w:hAnsi="宋体" w:cs="宋体"/>
                <w:color w:val="auto"/>
                <w:sz w:val="21"/>
                <w:highlight w:val="none"/>
              </w:rPr>
              <w:t>解释：</w:t>
            </w:r>
            <w:r>
              <w:rPr>
                <w:rFonts w:hAnsi="宋体" w:cs="宋体"/>
                <w:color w:val="auto"/>
                <w:sz w:val="21"/>
                <w:highlight w:val="none"/>
              </w:rPr>
              <w:t>构成本</w:t>
            </w:r>
            <w:r>
              <w:rPr>
                <w:rFonts w:hint="eastAsia" w:hAnsi="宋体" w:cs="宋体"/>
                <w:color w:val="auto"/>
                <w:sz w:val="21"/>
                <w:highlight w:val="none"/>
              </w:rPr>
              <w:t>谈判文件</w:t>
            </w:r>
            <w:r>
              <w:rPr>
                <w:rFonts w:hAnsi="宋体" w:cs="宋体"/>
                <w:color w:val="auto"/>
                <w:sz w:val="21"/>
                <w:highlight w:val="none"/>
              </w:rPr>
              <w:t>的各个组成文件应互为解释，互为说明；除</w:t>
            </w:r>
            <w:r>
              <w:rPr>
                <w:rFonts w:hint="eastAsia" w:hAnsi="宋体" w:cs="宋体"/>
                <w:color w:val="auto"/>
                <w:sz w:val="21"/>
                <w:highlight w:val="none"/>
              </w:rPr>
              <w:t>谈判文件</w:t>
            </w:r>
            <w:r>
              <w:rPr>
                <w:rFonts w:hAnsi="宋体" w:cs="宋体"/>
                <w:color w:val="auto"/>
                <w:sz w:val="21"/>
                <w:highlight w:val="none"/>
              </w:rPr>
              <w:t>中有特别规定外，仅适用于</w:t>
            </w:r>
            <w:r>
              <w:rPr>
                <w:rFonts w:hint="eastAsia" w:hAnsi="宋体" w:cs="宋体"/>
                <w:color w:val="auto"/>
                <w:sz w:val="21"/>
                <w:highlight w:val="none"/>
              </w:rPr>
              <w:t>竞标</w:t>
            </w:r>
            <w:r>
              <w:rPr>
                <w:rFonts w:hAnsi="宋体" w:cs="宋体"/>
                <w:color w:val="auto"/>
                <w:sz w:val="21"/>
                <w:highlight w:val="none"/>
              </w:rPr>
              <w:t>阶段的规定，按</w:t>
            </w:r>
            <w:r>
              <w:rPr>
                <w:rFonts w:hint="eastAsia" w:hAnsi="宋体" w:cs="宋体"/>
                <w:color w:val="auto"/>
                <w:sz w:val="21"/>
                <w:highlight w:val="none"/>
              </w:rPr>
              <w:t>更正公告（澄清公告）</w:t>
            </w:r>
            <w:r>
              <w:rPr>
                <w:rFonts w:hAnsi="宋体" w:cs="宋体"/>
                <w:color w:val="auto"/>
                <w:sz w:val="21"/>
                <w:highlight w:val="none"/>
              </w:rPr>
              <w:t>、</w:t>
            </w:r>
            <w:r>
              <w:rPr>
                <w:rFonts w:hint="eastAsia" w:hAnsi="宋体" w:cs="宋体"/>
                <w:color w:val="auto"/>
                <w:sz w:val="21"/>
                <w:highlight w:val="none"/>
              </w:rPr>
              <w:t>竞争性谈判</w:t>
            </w:r>
            <w:r>
              <w:rPr>
                <w:rFonts w:hAnsi="宋体" w:cs="宋体"/>
                <w:color w:val="auto"/>
                <w:sz w:val="21"/>
                <w:highlight w:val="none"/>
              </w:rPr>
              <w:t>公告、</w:t>
            </w:r>
            <w:r>
              <w:rPr>
                <w:rFonts w:hint="eastAsia" w:hAnsi="宋体" w:cs="宋体"/>
                <w:color w:val="auto"/>
                <w:sz w:val="21"/>
                <w:highlight w:val="none"/>
              </w:rPr>
              <w:t>供应商</w:t>
            </w:r>
            <w:r>
              <w:rPr>
                <w:rFonts w:hAnsi="宋体" w:cs="宋体"/>
                <w:color w:val="auto"/>
                <w:sz w:val="21"/>
                <w:highlight w:val="none"/>
              </w:rPr>
              <w:t>须知</w:t>
            </w:r>
            <w:r>
              <w:rPr>
                <w:rFonts w:hint="eastAsia" w:hAnsi="宋体" w:cs="宋体"/>
                <w:color w:val="auto"/>
                <w:sz w:val="21"/>
                <w:highlight w:val="none"/>
              </w:rPr>
              <w:t>、采购需求</w:t>
            </w:r>
            <w:r>
              <w:rPr>
                <w:rFonts w:hAnsi="宋体" w:cs="宋体"/>
                <w:color w:val="auto"/>
                <w:sz w:val="21"/>
                <w:highlight w:val="none"/>
              </w:rPr>
              <w:t>、</w:t>
            </w:r>
            <w:r>
              <w:rPr>
                <w:rFonts w:hint="eastAsia" w:hAnsi="宋体" w:cs="宋体"/>
                <w:color w:val="auto"/>
                <w:sz w:val="21"/>
                <w:highlight w:val="none"/>
              </w:rPr>
              <w:t>评审程序和评定成交的标准</w:t>
            </w:r>
            <w:r>
              <w:rPr>
                <w:rFonts w:hAnsi="宋体" w:cs="宋体"/>
                <w:color w:val="auto"/>
                <w:sz w:val="21"/>
                <w:highlight w:val="none"/>
              </w:rPr>
              <w:t>、</w:t>
            </w:r>
            <w:r>
              <w:rPr>
                <w:rFonts w:hint="eastAsia" w:hAnsi="宋体" w:cs="宋体"/>
                <w:color w:val="auto"/>
                <w:sz w:val="21"/>
                <w:highlight w:val="none"/>
              </w:rPr>
              <w:t>响应</w:t>
            </w:r>
            <w:r>
              <w:rPr>
                <w:rFonts w:hAnsi="宋体" w:cs="宋体"/>
                <w:color w:val="auto"/>
                <w:sz w:val="21"/>
                <w:highlight w:val="none"/>
              </w:rPr>
              <w:t>文件格式</w:t>
            </w:r>
            <w:r>
              <w:rPr>
                <w:rFonts w:hint="eastAsia" w:hAnsi="宋体" w:cs="宋体"/>
                <w:color w:val="auto"/>
                <w:sz w:val="21"/>
                <w:highlight w:val="none"/>
              </w:rPr>
              <w:t>、合同文本</w:t>
            </w:r>
            <w:r>
              <w:rPr>
                <w:rFonts w:hAnsi="宋体" w:cs="宋体"/>
                <w:color w:val="auto"/>
                <w:sz w:val="21"/>
                <w:highlight w:val="none"/>
              </w:rPr>
              <w:t>的先后顺序解释；同一组成文件中就同一事项的规定或约定不一致的，以编排顺序在后者为准；同一组成文件不同版本之间有不一致的，以形成时间在后者为准；</w:t>
            </w:r>
            <w:r>
              <w:rPr>
                <w:rFonts w:hint="eastAsia" w:hAnsi="宋体" w:cs="宋体"/>
                <w:color w:val="auto"/>
                <w:sz w:val="21"/>
                <w:highlight w:val="none"/>
              </w:rPr>
              <w:t>更正公告（澄清公告）</w:t>
            </w:r>
            <w:r>
              <w:rPr>
                <w:rFonts w:hAnsi="宋体" w:cs="宋体"/>
                <w:color w:val="auto"/>
                <w:sz w:val="21"/>
                <w:highlight w:val="none"/>
              </w:rPr>
              <w:t>与同步更新的</w:t>
            </w:r>
            <w:r>
              <w:rPr>
                <w:rFonts w:hint="eastAsia" w:hAnsi="宋体" w:cs="宋体"/>
                <w:color w:val="auto"/>
                <w:sz w:val="21"/>
                <w:highlight w:val="none"/>
              </w:rPr>
              <w:t>谈判文件</w:t>
            </w:r>
            <w:r>
              <w:rPr>
                <w:rFonts w:hAnsi="宋体" w:cs="宋体"/>
                <w:color w:val="auto"/>
                <w:sz w:val="21"/>
                <w:highlight w:val="none"/>
              </w:rPr>
              <w:t>不一致时以</w:t>
            </w:r>
            <w:r>
              <w:rPr>
                <w:rFonts w:hint="eastAsia" w:hAnsi="宋体" w:cs="宋体"/>
                <w:color w:val="auto"/>
                <w:sz w:val="21"/>
                <w:highlight w:val="none"/>
              </w:rPr>
              <w:t>更正公告（澄清公告）</w:t>
            </w:r>
            <w:r>
              <w:rPr>
                <w:rFonts w:hAnsi="宋体" w:cs="宋体"/>
                <w:color w:val="auto"/>
                <w:sz w:val="21"/>
                <w:highlight w:val="none"/>
              </w:rPr>
              <w:t>为准。按本款前述规定仍不能形成结论的，由</w:t>
            </w:r>
            <w:r>
              <w:rPr>
                <w:rFonts w:hint="eastAsia" w:hAnsi="宋体" w:cs="宋体"/>
                <w:color w:val="auto"/>
                <w:sz w:val="21"/>
                <w:highlight w:val="none"/>
              </w:rPr>
              <w:t>采购</w:t>
            </w:r>
            <w:r>
              <w:rPr>
                <w:rFonts w:hAnsi="宋体" w:cs="宋体"/>
                <w:color w:val="auto"/>
                <w:sz w:val="21"/>
                <w:highlight w:val="none"/>
              </w:rPr>
              <w:t>人</w:t>
            </w:r>
            <w:r>
              <w:rPr>
                <w:rFonts w:hint="eastAsia" w:hAnsi="宋体" w:cs="宋体"/>
                <w:color w:val="auto"/>
                <w:sz w:val="21"/>
                <w:highlight w:val="none"/>
              </w:rPr>
              <w:t>或者采购代理机构</w:t>
            </w:r>
            <w:r>
              <w:rPr>
                <w:rFonts w:hAnsi="宋体" w:cs="宋体"/>
                <w:color w:val="auto"/>
                <w:sz w:val="21"/>
                <w:highlight w:val="none"/>
              </w:rPr>
              <w:t>负责解释。</w:t>
            </w:r>
          </w:p>
        </w:tc>
      </w:tr>
      <w:tr w14:paraId="3CA90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28A452B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3.2</w:t>
            </w:r>
          </w:p>
        </w:tc>
        <w:tc>
          <w:tcPr>
            <w:tcW w:w="7912" w:type="dxa"/>
            <w:noWrap w:val="0"/>
            <w:vAlign w:val="center"/>
          </w:tcPr>
          <w:p w14:paraId="2935D5CA">
            <w:pPr>
              <w:pStyle w:val="13"/>
              <w:snapToGrid w:val="0"/>
              <w:spacing w:line="360" w:lineRule="auto"/>
              <w:rPr>
                <w:rFonts w:hint="eastAsia" w:hAnsi="宋体" w:cs="宋体"/>
                <w:color w:val="auto"/>
                <w:sz w:val="21"/>
                <w:highlight w:val="none"/>
              </w:rPr>
            </w:pPr>
            <w:r>
              <w:rPr>
                <w:rFonts w:hint="eastAsia" w:hAnsi="宋体" w:cs="宋体"/>
                <w:color w:val="auto"/>
                <w:sz w:val="21"/>
                <w:highlight w:val="none"/>
              </w:rPr>
              <w:t>1.本谈判文件中描述供应商的“公章”是指根据我国对公章的管理规定，用供应商法定主体行为名称制作的印章，除本谈判文件有特殊规定外，供应商的财务章、部门章、分公司章、工会章、合同章、竞标专用章、业务专用章及银行的转账章、现金收讫章、现金付讫章等其他形式印章均不能代替公章。</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注:本项目实行电子化投标，采购文件中描述供应商的“公章”是指供应商通过指定电子化政府采购平台办理数字证书(CA认证证书)获得的以法定主体行为名称制作的电子印章。文件中要求供应商对其电子响应文件的相关内容加盖供应商公章的，均指采用CA证书签章。</w:t>
            </w:r>
            <w:r>
              <w:rPr>
                <w:rFonts w:hint="eastAsia" w:ascii="宋体" w:hAnsi="宋体" w:eastAsia="宋体" w:cs="宋体"/>
                <w:color w:val="auto"/>
                <w:kern w:val="0"/>
                <w:sz w:val="21"/>
                <w:szCs w:val="21"/>
                <w:highlight w:val="none"/>
                <w:lang w:val="en-US" w:eastAsia="zh-CN" w:bidi="ar"/>
              </w:rPr>
              <w:t>】</w:t>
            </w:r>
          </w:p>
          <w:p w14:paraId="45006652">
            <w:pPr>
              <w:pStyle w:val="13"/>
              <w:snapToGrid w:val="0"/>
              <w:spacing w:line="360" w:lineRule="auto"/>
              <w:rPr>
                <w:rFonts w:hint="eastAsia" w:hAnsi="宋体" w:cs="宋体"/>
                <w:bCs/>
                <w:color w:val="auto"/>
                <w:sz w:val="21"/>
                <w:highlight w:val="none"/>
              </w:rPr>
            </w:pPr>
            <w:r>
              <w:rPr>
                <w:rFonts w:hint="eastAsia" w:hAnsi="宋体" w:cs="宋体"/>
                <w:color w:val="auto"/>
                <w:sz w:val="21"/>
                <w:highlight w:val="none"/>
                <w:lang w:val="en-US" w:eastAsia="zh-CN"/>
              </w:rPr>
              <w:t>2</w:t>
            </w:r>
            <w:r>
              <w:rPr>
                <w:rFonts w:hint="eastAsia" w:hAnsi="宋体" w:cs="宋体"/>
                <w:color w:val="auto"/>
                <w:sz w:val="21"/>
                <w:highlight w:val="none"/>
              </w:rPr>
              <w:t>.供应商为其他组织或者自然人时，本谈判文件规定的法定代表人指负责人或者自然人。本谈判文件所称负责人是指参加竞标的其他组织</w:t>
            </w:r>
            <w:r>
              <w:rPr>
                <w:rFonts w:hint="eastAsia" w:hAnsi="宋体" w:cs="宋体"/>
                <w:bCs/>
                <w:color w:val="auto"/>
                <w:sz w:val="21"/>
                <w:highlight w:val="none"/>
              </w:rPr>
              <w:t>营业执照或者执业许可证等证照上</w:t>
            </w:r>
            <w:r>
              <w:rPr>
                <w:rFonts w:hint="eastAsia" w:hAnsi="宋体" w:cs="宋体"/>
                <w:color w:val="auto"/>
                <w:sz w:val="21"/>
                <w:highlight w:val="none"/>
              </w:rPr>
              <w:t>的负责人，本谈判文件所称自然人指参与竞标的自然人本人，</w:t>
            </w:r>
            <w:r>
              <w:rPr>
                <w:rFonts w:hint="eastAsia" w:hAnsi="宋体" w:cs="宋体"/>
                <w:bCs/>
                <w:color w:val="auto"/>
                <w:sz w:val="21"/>
                <w:highlight w:val="none"/>
              </w:rPr>
              <w:t>且应具备独立承担民事责任能力，自然人应当为年满18岁以上成年人（十六周岁以上的未成年人，以自己的劳动收入为主要生活来源的，视为完全民事行为能力人）。</w:t>
            </w:r>
          </w:p>
          <w:p w14:paraId="45BC54B5">
            <w:pPr>
              <w:pStyle w:val="13"/>
              <w:snapToGrid w:val="0"/>
              <w:spacing w:line="360" w:lineRule="auto"/>
              <w:rPr>
                <w:rFonts w:hint="eastAsia" w:hAnsi="宋体" w:cs="宋体"/>
                <w:color w:val="auto"/>
                <w:sz w:val="21"/>
                <w:highlight w:val="none"/>
              </w:rPr>
            </w:pPr>
            <w:r>
              <w:rPr>
                <w:rFonts w:hint="eastAsia" w:hAnsi="宋体" w:cs="宋体"/>
                <w:color w:val="auto"/>
                <w:sz w:val="21"/>
                <w:highlight w:val="none"/>
                <w:lang w:val="en-US" w:eastAsia="zh-CN"/>
              </w:rPr>
              <w:t>3</w:t>
            </w:r>
            <w:r>
              <w:rPr>
                <w:rFonts w:hint="eastAsia" w:hAnsi="宋体" w:cs="宋体"/>
                <w:color w:val="auto"/>
                <w:sz w:val="21"/>
                <w:highlight w:val="none"/>
              </w:rPr>
              <w:t>.本谈判文件中描述供应商的“签字”是指供应商的法定代表人或者委托代理人亲自在文件规定签署处亲笔写上个人的名字的行为，私章、签字章、印鉴、影印等其他形式均不能代替亲笔签字。</w:t>
            </w:r>
          </w:p>
          <w:p w14:paraId="5EEB64F1">
            <w:pPr>
              <w:pStyle w:val="13"/>
              <w:snapToGrid w:val="0"/>
              <w:spacing w:line="360" w:lineRule="auto"/>
              <w:rPr>
                <w:rFonts w:hint="eastAsia" w:hAnsi="宋体" w:cs="宋体"/>
                <w:b/>
                <w:bCs/>
                <w:color w:val="auto"/>
                <w:sz w:val="21"/>
                <w:highlight w:val="none"/>
              </w:rPr>
            </w:pPr>
            <w:r>
              <w:rPr>
                <w:rFonts w:hint="eastAsia" w:ascii="宋体" w:hAnsi="宋体" w:eastAsia="宋体" w:cs="宋体"/>
                <w:b/>
                <w:bCs/>
                <w:color w:val="auto"/>
                <w:kern w:val="0"/>
                <w:sz w:val="21"/>
                <w:szCs w:val="21"/>
                <w:highlight w:val="none"/>
                <w:lang w:val="en-US" w:eastAsia="zh-CN" w:bidi="ar"/>
              </w:rPr>
              <w:t>4.本谈判文件所称的“电子签名”是指供应商通过指定电子化政府采购平台办理数字证书(个人CA认证证书签字章)获得的以供应商法定代表人(负责人、自然人)或者委托代理人姓名制作的个人电子印章或手写签字章。</w:t>
            </w:r>
          </w:p>
          <w:p w14:paraId="531D8C88">
            <w:pPr>
              <w:pStyle w:val="13"/>
              <w:snapToGrid w:val="0"/>
              <w:spacing w:line="360" w:lineRule="auto"/>
              <w:rPr>
                <w:rFonts w:hint="eastAsia" w:hAnsi="宋体" w:cs="宋体"/>
                <w:color w:val="auto"/>
                <w:sz w:val="21"/>
                <w:highlight w:val="none"/>
              </w:rPr>
            </w:pPr>
            <w:r>
              <w:rPr>
                <w:rFonts w:hAnsi="宋体" w:cs="宋体"/>
                <w:color w:val="auto"/>
                <w:sz w:val="21"/>
                <w:highlight w:val="none"/>
              </w:rPr>
              <w:t>5.</w:t>
            </w:r>
            <w:r>
              <w:rPr>
                <w:rFonts w:hint="eastAsia" w:hAnsi="宋体" w:cs="宋体"/>
                <w:color w:val="auto"/>
                <w:sz w:val="21"/>
                <w:highlight w:val="none"/>
              </w:rPr>
              <w:t>本谈判文件所称的“以上”“以下”“以内”“届满”，包括本数；所称的“不满”“超过”“以外”，不包括本数。</w:t>
            </w:r>
          </w:p>
        </w:tc>
      </w:tr>
      <w:tr w14:paraId="4E081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6666AB9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w:t>
            </w:r>
          </w:p>
        </w:tc>
        <w:tc>
          <w:tcPr>
            <w:tcW w:w="7912" w:type="dxa"/>
            <w:noWrap w:val="0"/>
            <w:vAlign w:val="center"/>
          </w:tcPr>
          <w:p w14:paraId="4D74ED6B">
            <w:pPr>
              <w:pStyle w:val="13"/>
              <w:snapToGrid w:val="0"/>
              <w:spacing w:line="360" w:lineRule="auto"/>
              <w:rPr>
                <w:rFonts w:hAnsi="宋体" w:cs="宋体"/>
                <w:color w:val="auto"/>
                <w:sz w:val="21"/>
                <w:highlight w:val="none"/>
              </w:rPr>
            </w:pPr>
            <w:r>
              <w:rPr>
                <w:rFonts w:hint="eastAsia" w:hAnsi="宋体" w:cs="宋体"/>
                <w:b/>
                <w:bCs/>
                <w:color w:val="auto"/>
                <w:sz w:val="21"/>
                <w:highlight w:val="none"/>
              </w:rPr>
              <w:t>根据《崇左市财政局关于进一步做好线上“政采贷”融资业务工作的通知》（崇财采〔2023〕10号），供应商可</w:t>
            </w:r>
            <w:r>
              <w:rPr>
                <w:rFonts w:hint="eastAsia"/>
                <w:b/>
                <w:bCs/>
                <w:color w:val="auto"/>
                <w:sz w:val="21"/>
                <w:highlight w:val="none"/>
              </w:rPr>
              <w:t>持政府采购合同在线向银行业金融机构申请贷款</w:t>
            </w:r>
            <w:r>
              <w:rPr>
                <w:rFonts w:hint="eastAsia" w:hAnsi="宋体" w:cs="宋体"/>
                <w:b/>
                <w:bCs/>
                <w:color w:val="auto"/>
                <w:sz w:val="21"/>
                <w:highlight w:val="none"/>
              </w:rPr>
              <w:t>。</w:t>
            </w:r>
          </w:p>
        </w:tc>
      </w:tr>
    </w:tbl>
    <w:p w14:paraId="1B484560">
      <w:pPr>
        <w:spacing w:line="400" w:lineRule="exact"/>
        <w:jc w:val="center"/>
        <w:rPr>
          <w:rFonts w:hint="eastAsia"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供应商须知正文</w:t>
      </w:r>
    </w:p>
    <w:p w14:paraId="08B12496">
      <w:pPr>
        <w:spacing w:line="400" w:lineRule="exact"/>
        <w:jc w:val="center"/>
        <w:rPr>
          <w:rFonts w:hint="eastAsia" w:ascii="宋体" w:hAnsi="宋体"/>
          <w:b/>
          <w:color w:val="auto"/>
          <w:sz w:val="32"/>
          <w:szCs w:val="32"/>
          <w:highlight w:val="none"/>
        </w:rPr>
      </w:pPr>
    </w:p>
    <w:p w14:paraId="00377488">
      <w:pPr>
        <w:spacing w:line="40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一、总则</w:t>
      </w:r>
    </w:p>
    <w:p w14:paraId="1CC45AC5">
      <w:pPr>
        <w:spacing w:line="400" w:lineRule="exact"/>
        <w:rPr>
          <w:rFonts w:hint="eastAsia" w:ascii="宋体" w:hAnsi="宋体"/>
          <w:color w:val="auto"/>
          <w:szCs w:val="21"/>
          <w:highlight w:val="none"/>
        </w:rPr>
      </w:pPr>
    </w:p>
    <w:p w14:paraId="027AE5A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 适用范围</w:t>
      </w:r>
    </w:p>
    <w:p w14:paraId="2895AF0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0029B95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本竞争性谈判文件（以下简称谈判文件）适用于本项目的所有采购程序和环节（法律、法规另有规定的，从其规定）。</w:t>
      </w:r>
    </w:p>
    <w:p w14:paraId="164D02B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 定义</w:t>
      </w:r>
    </w:p>
    <w:p w14:paraId="2206125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2.1“采购人”是指依法进行采购的国家机关、事业单位、团体组织。</w:t>
      </w:r>
    </w:p>
    <w:p w14:paraId="24CADB60">
      <w:pPr>
        <w:spacing w:line="360" w:lineRule="auto"/>
        <w:ind w:firstLine="420" w:firstLineChars="200"/>
        <w:rPr>
          <w:rFonts w:hint="eastAsia" w:ascii="宋体" w:hAnsi="宋体"/>
          <w:b/>
          <w:color w:val="auto"/>
          <w:szCs w:val="21"/>
          <w:highlight w:val="none"/>
        </w:rPr>
      </w:pPr>
      <w:r>
        <w:rPr>
          <w:rFonts w:hint="eastAsia" w:ascii="宋体" w:hAnsi="宋体" w:cs="宋体"/>
          <w:color w:val="auto"/>
          <w:szCs w:val="21"/>
          <w:highlight w:val="none"/>
        </w:rPr>
        <w:t>2.2“采购代理机构”</w:t>
      </w:r>
      <w:r>
        <w:rPr>
          <w:rFonts w:hint="eastAsia" w:ascii="宋体" w:hAnsi="宋体"/>
          <w:b/>
          <w:color w:val="auto"/>
          <w:szCs w:val="21"/>
          <w:highlight w:val="none"/>
        </w:rPr>
        <w:t>是指政府采购集中采购机构和集中采购机构以外的采购代理机构。</w:t>
      </w:r>
    </w:p>
    <w:p w14:paraId="0045A5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196EA7D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2.4“货物”是指各种形态和种类的物品，包括原材料、燃料、设备、产品等。</w:t>
      </w:r>
    </w:p>
    <w:p w14:paraId="5F731C1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2.5“竞标”是指按照本项目竞争性谈判公告或者邀请函规定的方式供应商获取谈判文件、提交响应文件并希望获得标的的行为。</w:t>
      </w:r>
    </w:p>
    <w:p w14:paraId="7FC1D11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2.6“售后服务” 是指包含但不限于供应商须承担的备品备件、包装、运输、装卸、保险、货到就位以及安装、调试、培训、保修和其他类似的义务。</w:t>
      </w:r>
    </w:p>
    <w:p w14:paraId="5676FA4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2.7“书面形式”是指合同书、信件和数据电文（包括电报、电传、传真、电子数据交换和电子邮件）等可以有形地表现所载内容的形式。</w:t>
      </w:r>
    </w:p>
    <w:p w14:paraId="70F15D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2.8“响应文件”</w:t>
      </w:r>
      <w:r>
        <w:rPr>
          <w:rFonts w:hint="eastAsia" w:ascii="宋体" w:hAnsi="宋体" w:cs="宋体"/>
          <w:color w:val="auto"/>
          <w:spacing w:val="-6"/>
          <w:szCs w:val="21"/>
          <w:highlight w:val="none"/>
        </w:rPr>
        <w:t>是指：供应商根据本谈判文件要求，编制包含报价、技术和服务等所有内容的文件。</w:t>
      </w:r>
    </w:p>
    <w:p w14:paraId="53AB51F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 “实质性要求”是指采购需求中带“▲”的条款或者不能负偏离的条款或者已经指明不满足按响应文件按无效处理的条款。</w:t>
      </w:r>
    </w:p>
    <w:p w14:paraId="15E0772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2.10“正偏离”，是指响应文件对谈判文件“采购需求”中有关条款作出优于条款要求并有利于采购人的响应情形；</w:t>
      </w:r>
    </w:p>
    <w:p w14:paraId="501BF52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2.11“负偏离”，是指响应文件对谈判文件“采购需求”中有关条款作出的响应不满足条款要求，导致采购人要求不能得到满足的情形。</w:t>
      </w:r>
    </w:p>
    <w:p w14:paraId="7995541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2.12“允许负偏离的条款”是指采购需求中的不属于“实质性要求”的条款。</w:t>
      </w:r>
    </w:p>
    <w:p w14:paraId="2313659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2.13“首次报价”是指供应商提交的首次响应文件中的竞标报价。</w:t>
      </w:r>
    </w:p>
    <w:p w14:paraId="6BF9F727">
      <w:pPr>
        <w:spacing w:line="360" w:lineRule="auto"/>
        <w:ind w:firstLine="482" w:firstLineChars="200"/>
        <w:contextualSpacing/>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 供应商的资格条件</w:t>
      </w:r>
    </w:p>
    <w:p w14:paraId="0F4DB100">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4F6BC7D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 竞标费用</w:t>
      </w:r>
    </w:p>
    <w:p w14:paraId="7BAE2E4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竞标费用：供应商应承担参与本次采购活动有关的所有费用，包括但不限于获取谈判文件、勘查现场、编制和提交响应文件、参加谈判与应答、签订合同等，不论竞标结果如何，均应自行承担。</w:t>
      </w:r>
    </w:p>
    <w:p w14:paraId="158F988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447792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07F04B9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bCs/>
          <w:color w:val="auto"/>
          <w:szCs w:val="21"/>
          <w:highlight w:val="none"/>
        </w:rPr>
        <w:t>如接受联合体竞标，</w:t>
      </w:r>
      <w:r>
        <w:rPr>
          <w:rFonts w:hint="eastAsia" w:ascii="宋体" w:hAnsi="宋体" w:cs="宋体"/>
          <w:color w:val="auto"/>
          <w:szCs w:val="21"/>
          <w:highlight w:val="none"/>
        </w:rPr>
        <w:t>联合体竞标要求详见“供应商须知前附表”。</w:t>
      </w:r>
    </w:p>
    <w:p w14:paraId="0164F8C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w:t>
      </w:r>
      <w:bookmarkStart w:id="37" w:name="_Hlk65857072"/>
      <w:r>
        <w:rPr>
          <w:rFonts w:hint="eastAsia" w:ascii="宋体" w:hAnsi="宋体"/>
          <w:color w:val="auto"/>
          <w:szCs w:val="21"/>
          <w:highlight w:val="none"/>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的扣除，用扣除后的价格参加评审。</w:t>
      </w:r>
      <w:bookmarkEnd w:id="37"/>
    </w:p>
    <w:p w14:paraId="08BC3A2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737D088D">
      <w:pPr>
        <w:pStyle w:val="5"/>
        <w:keepNext w:val="0"/>
        <w:keepLines w:val="0"/>
        <w:spacing w:before="0" w:after="0" w:line="360" w:lineRule="auto"/>
        <w:ind w:left="420" w:leftChars="200"/>
        <w:rPr>
          <w:rFonts w:hint="eastAsia" w:ascii="宋体" w:hAnsi="宋体"/>
          <w:b w:val="0"/>
          <w:color w:val="auto"/>
          <w:sz w:val="21"/>
          <w:szCs w:val="21"/>
          <w:highlight w:val="none"/>
        </w:rPr>
      </w:pPr>
      <w:bookmarkStart w:id="38" w:name="_Toc254970673"/>
      <w:bookmarkStart w:id="39" w:name="_Toc254970532"/>
      <w:r>
        <w:rPr>
          <w:rFonts w:hint="eastAsia" w:ascii="宋体" w:hAnsi="宋体"/>
          <w:b w:val="0"/>
          <w:color w:val="auto"/>
          <w:sz w:val="21"/>
          <w:szCs w:val="21"/>
          <w:highlight w:val="none"/>
        </w:rPr>
        <w:t>6.1本项目不允许转包。</w:t>
      </w:r>
    </w:p>
    <w:p w14:paraId="1941562A">
      <w:pPr>
        <w:pStyle w:val="5"/>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2DC18AEF">
      <w:pPr>
        <w:pStyle w:val="5"/>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6.3供应商根据谈判文件的规定和采购项目的实际情况，拟在成交后将成交项目的非主体、非关键性工作分包的，应当在响应文件中载明分包承担主体，分包承担主体应当具备相应资质条件且不得再次分包。</w:t>
      </w:r>
    </w:p>
    <w:p w14:paraId="4BE35CFC">
      <w:pPr>
        <w:spacing w:line="360" w:lineRule="auto"/>
        <w:ind w:firstLine="420" w:firstLineChars="200"/>
        <w:rPr>
          <w:rFonts w:hint="eastAsia"/>
          <w:color w:val="auto"/>
          <w:highlight w:val="none"/>
        </w:rPr>
      </w:pPr>
      <w:r>
        <w:rPr>
          <w:rFonts w:hint="eastAsia" w:ascii="宋体" w:hAnsi="宋体" w:cs="宋体"/>
          <w:color w:val="auto"/>
          <w:szCs w:val="21"/>
          <w:highlight w:val="none"/>
        </w:rPr>
        <w:t>6.4</w:t>
      </w:r>
      <w:r>
        <w:rPr>
          <w:rFonts w:hint="eastAsia" w:ascii="宋体" w:hAnsi="宋体"/>
          <w:bCs/>
          <w:color w:val="auto"/>
          <w:szCs w:val="21"/>
          <w:highlight w:val="none"/>
        </w:rPr>
        <w:t>根据《政府采购促进中小企业发展</w:t>
      </w:r>
      <w:r>
        <w:rPr>
          <w:rFonts w:hint="eastAsia"/>
          <w:color w:val="auto"/>
          <w:highlight w:val="none"/>
        </w:rPr>
        <w:t>管理</w:t>
      </w:r>
      <w:r>
        <w:rPr>
          <w:rFonts w:hint="eastAsia" w:ascii="宋体" w:hAnsi="宋体"/>
          <w:bCs/>
          <w:color w:val="auto"/>
          <w:szCs w:val="21"/>
          <w:highlight w:val="none"/>
        </w:rPr>
        <w:t>办法》（财库[2020]46号）第九条及《广西壮族自治区财政厅关于贯彻落实政府采购支持中小企业发展政策的通知》（桂财采〔2022〕31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6089A24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38"/>
      <w:bookmarkEnd w:id="39"/>
    </w:p>
    <w:p w14:paraId="21E25D9C">
      <w:pPr>
        <w:spacing w:line="360" w:lineRule="auto"/>
        <w:ind w:firstLine="420" w:firstLineChars="200"/>
        <w:rPr>
          <w:rFonts w:hint="eastAsia" w:ascii="宋体" w:hAnsi="宋体" w:cs="宋体"/>
          <w:color w:val="auto"/>
          <w:szCs w:val="21"/>
          <w:highlight w:val="none"/>
        </w:rPr>
      </w:pPr>
      <w:bookmarkStart w:id="40" w:name="_8.1提供相同品牌产品且通过资格审查、符合性审查的不同投标人参加同一合"/>
      <w:bookmarkEnd w:id="40"/>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HYPERLINK  \l "_8.1"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7.1</w:t>
      </w:r>
      <w:r>
        <w:rPr>
          <w:rFonts w:hint="eastAsia" w:ascii="宋体" w:hAnsi="宋体" w:cs="宋体"/>
          <w:color w:val="auto"/>
          <w:szCs w:val="21"/>
          <w:highlight w:val="none"/>
        </w:rPr>
        <w:fldChar w:fldCharType="end"/>
      </w:r>
      <w:r>
        <w:rPr>
          <w:rFonts w:hint="eastAsia" w:ascii="宋体" w:hAnsi="宋体" w:cs="宋体"/>
          <w:color w:val="auto"/>
          <w:szCs w:val="21"/>
          <w:highlight w:val="none"/>
        </w:rPr>
        <w:t>提供相同品牌产品的不同供应商参加同一合同项下竞标的，以其中通过资格审查、符合性审查、谈判且最后报价最低的参加报价评审；最后报价相同的，由采购人或者采购人委托谈判小组按照“供应商须知前附表”规定的方式确定一个供应商获得</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推荐资格，其他响应文件按无效处理。</w:t>
      </w:r>
    </w:p>
    <w:p w14:paraId="4221A6B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非单一产品采购项目，多家供应商提供的核心产品品牌相同的，按前款规定处理。</w:t>
      </w:r>
    </w:p>
    <w:p w14:paraId="28AEBE1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w:t>
      </w:r>
      <w:r>
        <w:rPr>
          <w:rFonts w:hint="eastAsia" w:ascii="宋体" w:hAnsi="宋体"/>
          <w:color w:val="auto"/>
          <w:szCs w:val="21"/>
          <w:highlight w:val="none"/>
        </w:rPr>
        <w:t xml:space="preserve">如果本谈判文件要求提供供应商或制造商的资格、信誉、荣誉、业绩与企业认证等材料的，资格、信誉、荣誉、业绩与企业认证等必须为供应商或者制造商所拥有或自身获得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p>
    <w:p w14:paraId="390702D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7.3供应商应仔细阅读谈判文件的所有内容，按照谈判文件的要求提交响应文件，并对所提供的全部资料的真实性承担法律责任。</w:t>
      </w:r>
    </w:p>
    <w:p w14:paraId="6E4184F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供应商在竞标活动中提供任何虚假材料,其响应文件按无效处理，并报监管部门查处；签订合同后发现的,成交供应商须依照《中华人民共和国消费者权益保护法》规定赔偿采购人，且民事赔偿并不免除违法供应商的行政与刑事责任。</w:t>
      </w:r>
    </w:p>
    <w:p w14:paraId="1CB00FC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7.5在政府采购活动中，采购人员及相关人员与供应商有下列利害关系之一的，应当回避：</w:t>
      </w:r>
    </w:p>
    <w:p w14:paraId="2F000CC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7193F6F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34574B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2828840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08D6A4E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74BFFF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5ACA98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7.6有下列情形之一的视为供应商相互串通竞标，响应文件将被视为无效：</w:t>
      </w:r>
    </w:p>
    <w:p w14:paraId="6AC5B1CE">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（1）不同供应商的响应文件由同一单位或者个人编制</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或不同供应商报名的的IP地址一致的；</w:t>
      </w:r>
    </w:p>
    <w:p w14:paraId="160FC22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54776B8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00A7659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2D81E5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4B14D3D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（6）不同供应商的竞标保证金从同一单位或者个人账户转出。</w:t>
      </w:r>
    </w:p>
    <w:p w14:paraId="60D1687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7.7供应商有下列情形之一的，属于恶意串通行为</w:t>
      </w:r>
      <w:bookmarkStart w:id="41" w:name="_Hlk54682620"/>
      <w:r>
        <w:rPr>
          <w:rFonts w:hint="eastAsia" w:ascii="宋体" w:hAnsi="宋体" w:cs="宋体"/>
          <w:color w:val="auto"/>
          <w:szCs w:val="21"/>
          <w:highlight w:val="none"/>
        </w:rPr>
        <w:t>，将报同级监督管理部门</w:t>
      </w:r>
      <w:bookmarkEnd w:id="41"/>
      <w:r>
        <w:rPr>
          <w:rFonts w:hint="eastAsia" w:ascii="宋体" w:hAnsi="宋体" w:cs="宋体"/>
          <w:color w:val="auto"/>
          <w:szCs w:val="21"/>
          <w:highlight w:val="none"/>
        </w:rPr>
        <w:t>：</w:t>
      </w:r>
    </w:p>
    <w:p w14:paraId="154C2F5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049D35E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398DF40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6B3D358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38C18E6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5ECE890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2601FC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3F1FCF6B">
      <w:pPr>
        <w:spacing w:line="360" w:lineRule="auto"/>
        <w:ind w:left="1" w:firstLine="417" w:firstLineChars="199"/>
        <w:jc w:val="center"/>
        <w:rPr>
          <w:rFonts w:hint="eastAsia" w:ascii="宋体" w:hAnsi="宋体"/>
          <w:color w:val="auto"/>
          <w:highlight w:val="none"/>
        </w:rPr>
      </w:pPr>
      <w:bookmarkStart w:id="42" w:name="_Toc254970675"/>
      <w:bookmarkStart w:id="43" w:name="_Toc254970534"/>
    </w:p>
    <w:p w14:paraId="075E29A5">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二、谈判文件</w:t>
      </w:r>
      <w:bookmarkEnd w:id="42"/>
      <w:bookmarkEnd w:id="43"/>
    </w:p>
    <w:p w14:paraId="456DDFB8">
      <w:pPr>
        <w:spacing w:line="360" w:lineRule="auto"/>
        <w:jc w:val="center"/>
        <w:rPr>
          <w:rFonts w:hint="eastAsia" w:ascii="宋体" w:hAnsi="宋体"/>
          <w:color w:val="auto"/>
          <w:szCs w:val="21"/>
          <w:highlight w:val="none"/>
        </w:rPr>
      </w:pPr>
    </w:p>
    <w:p w14:paraId="43607F4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8.谈判文件的构成</w:t>
      </w:r>
    </w:p>
    <w:p w14:paraId="621BF31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（1）竞争性谈判公告；</w:t>
      </w:r>
    </w:p>
    <w:p w14:paraId="4B83F72E">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（2）供应商须知； </w:t>
      </w:r>
    </w:p>
    <w:p w14:paraId="16FEFFAF">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（3）采购需求；</w:t>
      </w:r>
    </w:p>
    <w:p w14:paraId="79859803">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（4）响应文件格式</w:t>
      </w:r>
    </w:p>
    <w:p w14:paraId="5D97D41F">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（5）合同文本；</w:t>
      </w:r>
    </w:p>
    <w:p w14:paraId="6C9BACBE">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（6）评审程序和评定成交的标准；</w:t>
      </w:r>
    </w:p>
    <w:p w14:paraId="37AC0E0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13C8429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供应商应认真阅读谈判文件的采购需求，如供应商对谈判文件有疑问的，如要求采购人作出澄清或者修改的，供应商尽可能在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4805450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10.谈判文件的澄清和修改</w:t>
      </w:r>
    </w:p>
    <w:p w14:paraId="0EC467CF">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应当在提交首次响应文件截止之日3个工作日前，以书面形式通知所有接收谈判文件的供应商，不足3个工作日的，应当顺延提交首次响应文件截止之日。</w:t>
      </w:r>
    </w:p>
    <w:p w14:paraId="57775571">
      <w:pPr>
        <w:spacing w:line="360" w:lineRule="auto"/>
        <w:rPr>
          <w:rFonts w:hint="eastAsia" w:ascii="宋体" w:hAnsi="宋体"/>
          <w:color w:val="auto"/>
          <w:szCs w:val="21"/>
          <w:highlight w:val="none"/>
        </w:rPr>
      </w:pPr>
    </w:p>
    <w:p w14:paraId="01E8BC9E">
      <w:pPr>
        <w:spacing w:line="360" w:lineRule="auto"/>
        <w:jc w:val="center"/>
        <w:rPr>
          <w:rFonts w:hint="eastAsia" w:ascii="宋体" w:hAnsi="宋体"/>
          <w:b/>
          <w:color w:val="auto"/>
          <w:szCs w:val="21"/>
          <w:highlight w:val="none"/>
        </w:rPr>
      </w:pPr>
      <w:r>
        <w:rPr>
          <w:rFonts w:hint="eastAsia" w:ascii="宋体" w:hAnsi="宋体"/>
          <w:b/>
          <w:color w:val="auto"/>
          <w:sz w:val="32"/>
          <w:szCs w:val="32"/>
          <w:highlight w:val="none"/>
        </w:rPr>
        <w:t>三、响应文件的编制</w:t>
      </w:r>
    </w:p>
    <w:p w14:paraId="4C2B5A48">
      <w:pPr>
        <w:spacing w:line="360" w:lineRule="auto"/>
        <w:rPr>
          <w:rFonts w:hint="eastAsia" w:ascii="宋体" w:hAnsi="宋体"/>
          <w:color w:val="auto"/>
          <w:szCs w:val="21"/>
          <w:highlight w:val="none"/>
        </w:rPr>
      </w:pPr>
    </w:p>
    <w:p w14:paraId="6D64359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04B96E0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供应商必须按照谈判文件的要求编制响应文件，并对其提交的响应文件的真实性、合法性承担法律责任。响应文件必须对谈判文件作出实质性响应。</w:t>
      </w:r>
    </w:p>
    <w:p w14:paraId="1FF217D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7E712D2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w:t>
      </w:r>
      <w:r>
        <w:rPr>
          <w:rFonts w:hint="eastAsia" w:ascii="宋体" w:hAnsi="宋体" w:cs="宋体"/>
          <w:color w:val="auto"/>
          <w:szCs w:val="21"/>
          <w:highlight w:val="none"/>
        </w:rPr>
        <w:t>响应文件由资格证明文件、报价文件、商务技术文件三部分组成。</w:t>
      </w:r>
    </w:p>
    <w:p w14:paraId="310110B2">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r>
        <w:rPr>
          <w:rFonts w:hint="eastAsia" w:ascii="宋体" w:hAnsi="宋体" w:cs="宋体"/>
          <w:color w:val="auto"/>
          <w:szCs w:val="21"/>
          <w:highlight w:val="none"/>
        </w:rPr>
        <w:t>资格证明文件：详见“供应商须知前附表”</w:t>
      </w:r>
    </w:p>
    <w:p w14:paraId="1D3F3462">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2报价文件：详见“供应商须知前附表”</w:t>
      </w:r>
    </w:p>
    <w:p w14:paraId="72A8A1DE">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12.1.3商务技术文件：详见“供应商须知前附表”</w:t>
      </w:r>
    </w:p>
    <w:p w14:paraId="34FCC28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1D30C08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谈判文件已有明确规定的，使用谈判文件规定的计量单位；谈判文件没有规定的，应采用中华人民共和国法定计量单位，货币种类为人民币，否则视同未响应。</w:t>
      </w:r>
    </w:p>
    <w:p w14:paraId="125EE02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30D2E85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供应商没有按照谈判文件要求提供全部资料，或者供应商没有对谈判文件在各方面作出实质性响应可能导致其响应文件按无效处理，是供应商应当考虑的风险。</w:t>
      </w:r>
    </w:p>
    <w:p w14:paraId="3F355C2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15.竞标报价</w:t>
      </w:r>
    </w:p>
    <w:p w14:paraId="44340C0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15.1竞标报价应按谈判文件中“竞标报价表”格式填写。</w:t>
      </w:r>
    </w:p>
    <w:p w14:paraId="32918F08">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15.2竞标报价的内容详见“供应商须知前附表”。</w:t>
      </w:r>
    </w:p>
    <w:p w14:paraId="58B220BE">
      <w:pPr>
        <w:spacing w:line="360" w:lineRule="auto"/>
        <w:ind w:left="426" w:leftChars="203"/>
        <w:rPr>
          <w:rFonts w:hint="eastAsia" w:ascii="宋体" w:hAnsi="宋体" w:cs="宋体"/>
          <w:color w:val="auto"/>
          <w:szCs w:val="21"/>
          <w:highlight w:val="none"/>
        </w:rPr>
      </w:pPr>
      <w:r>
        <w:rPr>
          <w:rFonts w:hint="eastAsia" w:ascii="宋体" w:hAnsi="宋体" w:cs="宋体"/>
          <w:color w:val="auto"/>
          <w:szCs w:val="21"/>
          <w:highlight w:val="none"/>
        </w:rPr>
        <w:t>15.3竞标报价要求</w:t>
      </w:r>
    </w:p>
    <w:p w14:paraId="370814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5.3.1</w:t>
      </w:r>
      <w:r>
        <w:rPr>
          <w:rFonts w:hint="eastAsia" w:ascii="宋体" w:hAnsi="宋体" w:cs="宋体"/>
          <w:color w:val="auto"/>
          <w:szCs w:val="21"/>
          <w:highlight w:val="none"/>
        </w:rPr>
        <w:t>供应商的竞标报价应符合以下要求，否则响应文件按无效响应处理：</w:t>
      </w:r>
    </w:p>
    <w:p w14:paraId="4B8A023C">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w:t>
      </w:r>
    </w:p>
    <w:p w14:paraId="27C49371">
      <w:pPr>
        <w:spacing w:line="360" w:lineRule="auto"/>
        <w:rPr>
          <w:rFonts w:ascii="宋体" w:hAnsi="宋体" w:cs="宋体"/>
          <w:color w:val="auto"/>
          <w:szCs w:val="21"/>
          <w:highlight w:val="none"/>
        </w:rPr>
      </w:pPr>
      <w:r>
        <w:rPr>
          <w:rFonts w:hint="eastAsia" w:ascii="宋体" w:hAnsi="宋体" w:cs="宋体"/>
          <w:color w:val="auto"/>
          <w:szCs w:val="21"/>
          <w:highlight w:val="none"/>
        </w:rPr>
        <w:t>不得存在漏项报价；</w:t>
      </w:r>
    </w:p>
    <w:p w14:paraId="0EA2BF0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）供应商必须就所竞标的分标的单项内容作唯一报价。</w:t>
      </w:r>
    </w:p>
    <w:p w14:paraId="2E05D52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2</w:t>
      </w:r>
      <w:r>
        <w:rPr>
          <w:rFonts w:hint="eastAsia" w:ascii="宋体" w:hAnsi="宋体" w:cs="宋体"/>
          <w:color w:val="auto"/>
          <w:szCs w:val="21"/>
          <w:highlight w:val="none"/>
        </w:rPr>
        <w:t>竞标报价（包含首次报价、最后报价）超过所竞标分标规定的采购预算金额或者最高限价的，其响应文件将作无效处理。</w:t>
      </w:r>
    </w:p>
    <w:p w14:paraId="689BDBF7">
      <w:pPr>
        <w:spacing w:line="360" w:lineRule="auto"/>
        <w:ind w:firstLine="420" w:firstLineChars="200"/>
        <w:rPr>
          <w:rFonts w:hint="eastAsia"/>
          <w:color w:val="auto"/>
          <w:highlight w:val="none"/>
        </w:rPr>
      </w:pPr>
      <w:r>
        <w:rPr>
          <w:rFonts w:hint="eastAsia" w:ascii="宋体" w:hAnsi="宋体" w:cs="宋体"/>
          <w:color w:val="auto"/>
          <w:szCs w:val="21"/>
          <w:highlight w:val="none"/>
        </w:rPr>
        <w:t>15.3.</w:t>
      </w:r>
      <w:r>
        <w:rPr>
          <w:rFonts w:ascii="宋体" w:hAnsi="宋体" w:cs="宋体"/>
          <w:color w:val="auto"/>
          <w:szCs w:val="21"/>
          <w:highlight w:val="none"/>
        </w:rPr>
        <w:t>3</w:t>
      </w:r>
      <w:r>
        <w:rPr>
          <w:rFonts w:hint="eastAsia" w:ascii="宋体" w:hAnsi="宋体" w:cs="宋体"/>
          <w:color w:val="auto"/>
          <w:szCs w:val="21"/>
          <w:highlight w:val="none"/>
        </w:rPr>
        <w:t>竞标报价（包含首次报价、最后报价）超过分项采购预算金额或者最高限价的，其响应文件将按无效处理。</w:t>
      </w:r>
    </w:p>
    <w:p w14:paraId="1E17AC8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72B25B2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42A0E1D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5043966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328BB8F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17.竞标保证金</w:t>
      </w:r>
    </w:p>
    <w:p w14:paraId="74C2EEE6">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17.1供应商须按“供应商须知前附表”的规定提交竞标保证金。</w:t>
      </w:r>
    </w:p>
    <w:p w14:paraId="2650E84C">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17.2竞标保证金的退还</w:t>
      </w:r>
    </w:p>
    <w:p w14:paraId="7519C06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未</w:t>
      </w:r>
      <w:r>
        <w:rPr>
          <w:rFonts w:hint="eastAsia" w:ascii="宋体" w:hAnsi="宋体" w:cs="宋体"/>
          <w:color w:val="auto"/>
          <w:spacing w:val="-6"/>
          <w:szCs w:val="21"/>
          <w:highlight w:val="none"/>
        </w:rPr>
        <w:t>成交供应商的竞标保证金自成交通知书发出之日起</w:t>
      </w:r>
      <w:r>
        <w:rPr>
          <w:rFonts w:hint="eastAsia" w:ascii="宋体" w:hAnsi="宋体" w:cs="宋体"/>
          <w:color w:val="auto"/>
          <w:spacing w:val="-6"/>
          <w:szCs w:val="21"/>
          <w:highlight w:val="none"/>
          <w:lang w:val="en-US" w:eastAsia="zh-CN"/>
        </w:rPr>
        <w:t>5</w:t>
      </w:r>
      <w:r>
        <w:rPr>
          <w:rFonts w:hint="eastAsia" w:ascii="宋体" w:hAnsi="宋体" w:cs="宋体"/>
          <w:color w:val="auto"/>
          <w:spacing w:val="-6"/>
          <w:szCs w:val="21"/>
          <w:highlight w:val="none"/>
        </w:rPr>
        <w:t>个工作日内退还</w:t>
      </w:r>
      <w:r>
        <w:rPr>
          <w:rFonts w:hint="eastAsia" w:ascii="宋体" w:hAnsi="宋体"/>
          <w:color w:val="auto"/>
          <w:szCs w:val="21"/>
          <w:highlight w:val="none"/>
        </w:rPr>
        <w:t>；</w:t>
      </w:r>
      <w:r>
        <w:rPr>
          <w:rFonts w:hint="eastAsia" w:ascii="宋体" w:hAnsi="宋体" w:cs="宋体"/>
          <w:color w:val="auto"/>
          <w:szCs w:val="21"/>
          <w:highlight w:val="none"/>
        </w:rPr>
        <w:t>成交供应商的竞标保证金自签订合同之日起</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 xml:space="preserve">个工作日内退还。 </w:t>
      </w:r>
    </w:p>
    <w:p w14:paraId="20198342">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17.3竞标保证金不计息。</w:t>
      </w:r>
    </w:p>
    <w:p w14:paraId="648EBA16">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 xml:space="preserve">17.4供应商有下列情形之一的，竞标保证金将不予退还： </w:t>
      </w:r>
    </w:p>
    <w:p w14:paraId="748F8718">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141DF0B2">
      <w:pPr>
        <w:spacing w:line="360" w:lineRule="auto"/>
        <w:ind w:left="420" w:leftChars="200"/>
        <w:rPr>
          <w:rFonts w:ascii="宋体" w:hAnsi="宋体" w:cs="宋体"/>
          <w:color w:val="auto"/>
          <w:szCs w:val="21"/>
          <w:highlight w:val="none"/>
        </w:rPr>
      </w:pPr>
      <w:r>
        <w:rPr>
          <w:rFonts w:hint="eastAsia" w:ascii="宋体" w:hAnsi="宋体"/>
          <w:color w:val="auto"/>
          <w:szCs w:val="21"/>
          <w:highlight w:val="none"/>
        </w:rPr>
        <w:t>（2）未按规定提交履约保证金的；</w:t>
      </w:r>
    </w:p>
    <w:p w14:paraId="207D9CB0">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（3）供应商在响应文件中提供虚假材料的；</w:t>
      </w:r>
    </w:p>
    <w:p w14:paraId="23081D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（4）除因不可抗力或者谈判文件认可的情形以外，成交供应商不与采购人签订合同的；</w:t>
      </w:r>
    </w:p>
    <w:p w14:paraId="34C58408">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（5）供应商与采购人、其他供应商或者采购代理机构恶意串通的；</w:t>
      </w:r>
    </w:p>
    <w:p w14:paraId="2C15A868">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（6）法律法规规定的其他情形。</w:t>
      </w:r>
    </w:p>
    <w:p w14:paraId="4CDCD580">
      <w:pPr>
        <w:spacing w:line="360" w:lineRule="auto"/>
        <w:ind w:firstLine="482" w:firstLineChars="200"/>
        <w:rPr>
          <w:rFonts w:hint="eastAsia"/>
          <w:color w:val="auto"/>
          <w:highlight w:val="none"/>
        </w:rPr>
      </w:pPr>
      <w:r>
        <w:rPr>
          <w:rFonts w:hint="eastAsia" w:ascii="黑体" w:hAnsi="黑体" w:eastAsia="黑体" w:cs="宋体"/>
          <w:b/>
          <w:bCs/>
          <w:color w:val="auto"/>
          <w:sz w:val="24"/>
          <w:highlight w:val="none"/>
        </w:rPr>
        <w:t>18. 响应文件编制的要求</w:t>
      </w:r>
    </w:p>
    <w:p w14:paraId="00394B6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18.1供应商应先安装“广西政府采购云平台电子交易客户端”（请自行前往广西政府采购云平台进行下载）并按本谈判文件规定的格式编制响应文件并标注页码，响应文件内容</w:t>
      </w:r>
      <w:r>
        <w:rPr>
          <w:rFonts w:hint="eastAsia" w:ascii="宋体" w:hAnsi="宋体" w:cs="宋体"/>
          <w:color w:val="auto"/>
          <w:spacing w:val="-6"/>
          <w:szCs w:val="21"/>
          <w:highlight w:val="none"/>
        </w:rPr>
        <w:t>不完整、编排混乱导致响应文件被误读、漏读或者查找不到相关内容的，</w:t>
      </w:r>
      <w:r>
        <w:rPr>
          <w:rFonts w:hint="eastAsia" w:ascii="宋体" w:hAnsi="宋体"/>
          <w:color w:val="auto"/>
          <w:highlight w:val="none"/>
        </w:rPr>
        <w:t>由此引发的</w:t>
      </w:r>
      <w:r>
        <w:rPr>
          <w:rFonts w:hint="eastAsia" w:ascii="宋体" w:hAnsi="宋体" w:cs="宋体"/>
          <w:color w:val="auto"/>
          <w:spacing w:val="-6"/>
          <w:szCs w:val="21"/>
          <w:highlight w:val="none"/>
        </w:rPr>
        <w:t>后果由供应商承担。</w:t>
      </w:r>
    </w:p>
    <w:p w14:paraId="1EECBE0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18.2响应文件应按资格证明文件、报价文件、商务技术文件分别编制，本谈判只接收电子版响应文件。</w:t>
      </w:r>
    </w:p>
    <w:p w14:paraId="48DDEC4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进行签署、盖章（签章）</w:t>
      </w:r>
      <w:r>
        <w:rPr>
          <w:rFonts w:hint="eastAsia" w:ascii="宋体" w:hAnsi="宋体" w:cs="宋体"/>
          <w:color w:val="auto"/>
          <w:szCs w:val="21"/>
          <w:highlight w:val="none"/>
        </w:rPr>
        <w:t>，否则其响应文件按无效响应处理。</w:t>
      </w:r>
    </w:p>
    <w:p w14:paraId="4C84D86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w:t>
      </w:r>
      <w:r>
        <w:rPr>
          <w:rFonts w:hint="eastAsia" w:ascii="宋体" w:hAnsi="宋体"/>
          <w:color w:val="auto"/>
          <w:szCs w:val="21"/>
          <w:highlight w:val="none"/>
        </w:rPr>
        <w:t>文件须由供应商在规定位置签章并签字（具体以本须知前附表或谈判文件格式规定为准） ，</w:t>
      </w:r>
      <w:r>
        <w:rPr>
          <w:rFonts w:hint="eastAsia" w:ascii="宋体" w:hAnsi="宋体"/>
          <w:bCs/>
          <w:color w:val="auto"/>
          <w:szCs w:val="21"/>
          <w:highlight w:val="none"/>
        </w:rPr>
        <w:t>否则其响应文件按无效处理</w:t>
      </w:r>
      <w:r>
        <w:rPr>
          <w:rFonts w:hint="eastAsia" w:ascii="宋体" w:hAnsi="宋体" w:cs="宋体"/>
          <w:color w:val="auto"/>
          <w:szCs w:val="21"/>
          <w:highlight w:val="none"/>
        </w:rPr>
        <w:t>。</w:t>
      </w:r>
    </w:p>
    <w:p w14:paraId="45A6EF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18.5响应文件中标注的供应商名称应与营业执照（事业单位法人证书、执业许可证、自然人身份证）及公章一致，否则其响应文件按无效响应处理。</w:t>
      </w:r>
    </w:p>
    <w:p w14:paraId="12290F6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19.响应文件的加密</w:t>
      </w:r>
    </w:p>
    <w:p w14:paraId="4F4AB5C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19.1供应商应</w:t>
      </w:r>
      <w:r>
        <w:rPr>
          <w:rFonts w:hint="eastAsia"/>
          <w:color w:val="auto"/>
          <w:highlight w:val="none"/>
        </w:rPr>
        <w:t>通过“广西政府采购云平台电子投标客户端”在线编制生成</w:t>
      </w:r>
      <w:r>
        <w:rPr>
          <w:rFonts w:hint="eastAsia"/>
          <w:color w:val="auto"/>
          <w:highlight w:val="none"/>
          <w:lang w:eastAsia="zh-CN"/>
        </w:rPr>
        <w:t>电子</w:t>
      </w:r>
      <w:r>
        <w:rPr>
          <w:rFonts w:hint="eastAsia"/>
          <w:color w:val="auto"/>
          <w:highlight w:val="none"/>
        </w:rPr>
        <w:t>文件</w:t>
      </w:r>
      <w:r>
        <w:rPr>
          <w:rFonts w:hint="eastAsia" w:ascii="宋体" w:hAnsi="宋体" w:cs="宋体"/>
          <w:color w:val="auto"/>
          <w:szCs w:val="21"/>
          <w:highlight w:val="none"/>
        </w:rPr>
        <w:t>。</w:t>
      </w:r>
      <w:r>
        <w:rPr>
          <w:rFonts w:hint="eastAsia" w:ascii="宋体" w:hAnsi="宋体" w:cs="仿宋_GB2312"/>
          <w:color w:val="auto"/>
          <w:kern w:val="0"/>
          <w:szCs w:val="21"/>
          <w:highlight w:val="none"/>
          <w:lang w:val="zh-CN"/>
        </w:rPr>
        <w:t>并按照谈判文件和电子交易平台的要求加密响应文件。供应商未按规定加密的响应文件，电子交易平台将拒收并提示。</w:t>
      </w:r>
    </w:p>
    <w:p w14:paraId="4A5F2A55">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19.2使用“广西政府采购云平台电子交易客户端”需要提前申领CA数字证书，申领流程见该项目采购公告。</w:t>
      </w:r>
    </w:p>
    <w:p w14:paraId="57F93E64">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3B88D94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266D328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1C12EF25">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76D7594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20.3 在提交“最后报价”后，供应商不能退出谈判。</w:t>
      </w:r>
    </w:p>
    <w:p w14:paraId="4F02042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602F817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48DDC013">
      <w:pPr>
        <w:spacing w:line="360" w:lineRule="auto"/>
        <w:ind w:firstLine="420" w:firstLineChars="200"/>
        <w:rPr>
          <w:rFonts w:hint="eastAsia" w:ascii="黑体" w:hAnsi="黑体" w:eastAsia="黑体"/>
          <w:color w:val="auto"/>
          <w:sz w:val="24"/>
          <w:highlight w:val="none"/>
        </w:rPr>
      </w:pPr>
      <w:r>
        <w:rPr>
          <w:rFonts w:hint="eastAsia" w:ascii="宋体" w:hAnsi="宋体"/>
          <w:color w:val="auto"/>
          <w:szCs w:val="21"/>
          <w:highlight w:val="none"/>
        </w:rPr>
        <w:t>20.6备份响应文件</w:t>
      </w:r>
      <w:r>
        <w:rPr>
          <w:rFonts w:hint="eastAsia" w:hAnsi="宋体"/>
          <w:bCs/>
          <w:color w:val="auto"/>
          <w:szCs w:val="21"/>
          <w:highlight w:val="none"/>
        </w:rPr>
        <w:t>详见</w:t>
      </w:r>
      <w:r>
        <w:rPr>
          <w:rFonts w:hint="eastAsia" w:hAnsi="宋体"/>
          <w:bCs/>
          <w:color w:val="auto"/>
          <w:szCs w:val="21"/>
          <w:highlight w:val="none"/>
          <w:lang w:eastAsia="zh-CN"/>
        </w:rPr>
        <w:t>“竞争性谈判公告”说明</w:t>
      </w:r>
      <w:r>
        <w:rPr>
          <w:rFonts w:hint="eastAsia" w:hAnsi="宋体"/>
          <w:bCs/>
          <w:color w:val="auto"/>
          <w:szCs w:val="21"/>
          <w:highlight w:val="none"/>
        </w:rPr>
        <w:t>。</w:t>
      </w:r>
    </w:p>
    <w:p w14:paraId="56FA58EF">
      <w:pPr>
        <w:spacing w:line="360" w:lineRule="auto"/>
        <w:rPr>
          <w:rFonts w:hint="eastAsia" w:ascii="宋体" w:hAnsi="宋体" w:cs="宋体"/>
          <w:color w:val="auto"/>
          <w:szCs w:val="21"/>
          <w:highlight w:val="none"/>
        </w:rPr>
      </w:pPr>
    </w:p>
    <w:p w14:paraId="4EBDD01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3632CBF4">
      <w:pPr>
        <w:adjustRightInd w:val="0"/>
        <w:spacing w:line="360" w:lineRule="auto"/>
        <w:ind w:firstLine="420" w:firstLineChars="200"/>
        <w:rPr>
          <w:rFonts w:hint="eastAsia" w:ascii="宋体" w:hAnsi="宋体" w:cs="宋体"/>
          <w:color w:val="auto"/>
          <w:szCs w:val="21"/>
          <w:highlight w:val="none"/>
        </w:rPr>
      </w:pPr>
      <w:r>
        <w:rPr>
          <w:rFonts w:hint="eastAsia" w:ascii="宋体" w:hAnsi="宋体" w:cs="仿宋_GB2312"/>
          <w:color w:val="auto"/>
          <w:kern w:val="0"/>
          <w:szCs w:val="21"/>
          <w:highlight w:val="none"/>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14:paraId="6FA8BE8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22.首次响应文件的退回</w:t>
      </w:r>
    </w:p>
    <w:p w14:paraId="739CBB6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w:t>
      </w:r>
      <w:r>
        <w:rPr>
          <w:rFonts w:hint="eastAsia" w:ascii="宋体" w:hAnsi="宋体" w:cs="宋体"/>
          <w:color w:val="auto"/>
          <w:spacing w:val="9"/>
          <w:szCs w:val="21"/>
          <w:highlight w:val="none"/>
        </w:rPr>
        <w:t>广西政府采购云平台</w:t>
      </w:r>
      <w:r>
        <w:rPr>
          <w:rFonts w:hint="eastAsia" w:ascii="宋体" w:hAnsi="宋体" w:cs="宋体"/>
          <w:color w:val="auto"/>
          <w:szCs w:val="21"/>
          <w:highlight w:val="none"/>
        </w:rPr>
        <w:t>操作废标，除此之外采购人和采购代理机构对已提交的电子响应文件概不退回。</w:t>
      </w:r>
    </w:p>
    <w:p w14:paraId="5B11EB9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393A7CF0">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供应商在响应文件提交截止时间后向采购人、采购代理机构书面申请撤回响应文件的，将根据本须知正文第17.4条的规定不予退还其竞标保证金。</w:t>
      </w:r>
    </w:p>
    <w:p w14:paraId="1935D34A">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四、评审及谈判</w:t>
      </w:r>
    </w:p>
    <w:p w14:paraId="0E2B2ECE">
      <w:pPr>
        <w:spacing w:line="360" w:lineRule="auto"/>
        <w:ind w:left="420" w:firstLine="420"/>
        <w:rPr>
          <w:rFonts w:hint="eastAsia" w:ascii="宋体" w:hAnsi="宋体"/>
          <w:color w:val="auto"/>
          <w:szCs w:val="21"/>
          <w:highlight w:val="none"/>
        </w:rPr>
      </w:pPr>
    </w:p>
    <w:p w14:paraId="51FB93B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24.谈判小组成立</w:t>
      </w:r>
    </w:p>
    <w:p w14:paraId="7C3F496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竞争性谈判小组成立：谈判小组由采购人代表和评审专家共3人以上单数组成，具体人数详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14:paraId="3460387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14:paraId="6AD61D88">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 xml:space="preserve"> 首次响应文件的开启</w:t>
      </w:r>
    </w:p>
    <w:p w14:paraId="70664AD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首次响应文件由采购代理机构在“供应商须知前附表”规定的时间解密开启。</w:t>
      </w:r>
    </w:p>
    <w:p w14:paraId="7B30977C">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 评审程序和评定成交的标准</w:t>
      </w:r>
    </w:p>
    <w:p w14:paraId="5A433E26">
      <w:pPr>
        <w:spacing w:line="360" w:lineRule="auto"/>
        <w:ind w:firstLine="420" w:firstLineChars="200"/>
        <w:rPr>
          <w:rFonts w:hint="eastAsia" w:ascii="宋体" w:hAnsi="宋体" w:cs="宋体"/>
          <w:b/>
          <w:bCs/>
          <w:color w:val="auto"/>
          <w:szCs w:val="21"/>
          <w:highlight w:val="none"/>
        </w:rPr>
      </w:pPr>
      <w:r>
        <w:rPr>
          <w:rFonts w:hint="eastAsia"/>
          <w:color w:val="auto"/>
          <w:highlight w:val="none"/>
        </w:rPr>
        <w:t>谈判小组按照“第四章  评审程序和评定成交的标准”规定的评审程序对响应文件进行评审，并按照评定成交的标准推荐成交候选供应商。</w:t>
      </w:r>
    </w:p>
    <w:p w14:paraId="6CB094BD">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69A617AF">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w:t>
      </w:r>
      <w:r>
        <w:rPr>
          <w:rFonts w:hint="eastAsia" w:ascii="宋体" w:hAnsi="宋体" w:cs="宋体"/>
          <w:color w:val="auto"/>
          <w:kern w:val="0"/>
          <w:szCs w:val="21"/>
          <w:highlight w:val="none"/>
        </w:rPr>
        <w:t xml:space="preserve"> 采购</w:t>
      </w:r>
      <w:r>
        <w:rPr>
          <w:rFonts w:hint="eastAsia" w:ascii="宋体" w:hAnsi="宋体" w:cs="宋体"/>
          <w:color w:val="auto"/>
          <w:szCs w:val="21"/>
          <w:highlight w:val="none"/>
        </w:rPr>
        <w:t>代理</w:t>
      </w:r>
      <w:r>
        <w:rPr>
          <w:rFonts w:hint="eastAsia" w:ascii="宋体" w:hAnsi="宋体" w:cs="宋体"/>
          <w:color w:val="auto"/>
          <w:kern w:val="0"/>
          <w:szCs w:val="21"/>
          <w:highlight w:val="none"/>
        </w:rPr>
        <w:t>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452B5CAA">
      <w:pPr>
        <w:pStyle w:val="8"/>
        <w:spacing w:line="360" w:lineRule="auto"/>
        <w:ind w:firstLine="420" w:firstLineChars="200"/>
        <w:rPr>
          <w:rFonts w:ascii="宋体" w:hAnsi="宋体" w:cs="宋体"/>
          <w:color w:val="auto"/>
          <w:kern w:val="0"/>
          <w:szCs w:val="21"/>
          <w:highlight w:val="none"/>
        </w:rPr>
      </w:pPr>
      <w:r>
        <w:rPr>
          <w:rFonts w:ascii="宋体" w:hAnsi="宋体" w:cs="宋体"/>
          <w:color w:val="auto"/>
          <w:kern w:val="0"/>
          <w:szCs w:val="21"/>
          <w:highlight w:val="none"/>
        </w:rPr>
        <w:t>27</w:t>
      </w:r>
      <w:r>
        <w:rPr>
          <w:rFonts w:hint="eastAsia" w:ascii="宋体" w:hAnsi="宋体" w:cs="宋体"/>
          <w:color w:val="auto"/>
          <w:kern w:val="0"/>
          <w:szCs w:val="21"/>
          <w:highlight w:val="none"/>
        </w:rPr>
        <w:t>.2采购代理机构应当在成交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上信息查询记录及相关证据与谈判文件一并保存。</w:t>
      </w:r>
      <w:r>
        <w:rPr>
          <w:rFonts w:hint="eastAsia" w:ascii="宋体" w:hAnsi="宋体" w:cs="Courier New"/>
          <w:color w:val="auto"/>
          <w:szCs w:val="21"/>
          <w:highlight w:val="none"/>
        </w:rPr>
        <w:t>成交供应商享受《政府采购促进中小企业发展管理办法》（财库〔2020〕46号）规定的中小企业扶持政策的，采购人、采购代理机构应当随成交结果公开成交供应商的《中小企业声明函》。</w:t>
      </w:r>
    </w:p>
    <w:p w14:paraId="32195C4C">
      <w:pPr>
        <w:pStyle w:val="8"/>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27.3出现下列情形之一的，采购人或者采购代理机构应当终止竞争性谈判采购活动，发布项目终止公告并说明原因，重新开展采购活动：</w:t>
      </w:r>
      <w:r>
        <w:rPr>
          <w:rFonts w:hint="eastAsia" w:ascii="宋体" w:hAnsi="宋体" w:cs="Courier New"/>
          <w:color w:val="auto"/>
          <w:szCs w:val="21"/>
          <w:highlight w:val="none"/>
        </w:rPr>
        <w:br w:type="textWrapping"/>
      </w:r>
      <w:r>
        <w:rPr>
          <w:rFonts w:hint="eastAsia" w:ascii="宋体" w:hAnsi="宋体" w:cs="Courier New"/>
          <w:color w:val="auto"/>
          <w:szCs w:val="21"/>
          <w:highlight w:val="none"/>
        </w:rPr>
        <w:t>　　（一）因情况变化，不再符合规定的竞争性谈判采购方式适用情形的；</w:t>
      </w:r>
      <w:r>
        <w:rPr>
          <w:rFonts w:hint="eastAsia" w:ascii="宋体" w:hAnsi="宋体" w:cs="Courier New"/>
          <w:color w:val="auto"/>
          <w:szCs w:val="21"/>
          <w:highlight w:val="none"/>
        </w:rPr>
        <w:br w:type="textWrapping"/>
      </w:r>
      <w:r>
        <w:rPr>
          <w:rFonts w:hint="eastAsia" w:ascii="宋体" w:hAnsi="宋体" w:cs="Courier New"/>
          <w:color w:val="auto"/>
          <w:szCs w:val="21"/>
          <w:highlight w:val="none"/>
        </w:rPr>
        <w:t>　　（二）出现影响采购公正的违法、违规行为的；</w:t>
      </w:r>
      <w:r>
        <w:rPr>
          <w:rFonts w:hint="eastAsia" w:ascii="宋体" w:hAnsi="宋体" w:cs="Courier New"/>
          <w:color w:val="auto"/>
          <w:szCs w:val="21"/>
          <w:highlight w:val="none"/>
        </w:rPr>
        <w:br w:type="textWrapping"/>
      </w:r>
      <w:r>
        <w:rPr>
          <w:rFonts w:hint="eastAsia" w:ascii="宋体" w:hAnsi="宋体" w:cs="Courier New"/>
          <w:color w:val="auto"/>
          <w:szCs w:val="21"/>
          <w:highlight w:val="none"/>
        </w:rPr>
        <w:t>　　（三）在采购过程中符合竞争要求的供应商或者报价未超过采购预算的供应商不足3家的，但</w:t>
      </w:r>
      <w:r>
        <w:rPr>
          <w:rFonts w:hint="eastAsia" w:ascii="宋体" w:hAnsi="宋体" w:cs="宋体"/>
          <w:color w:val="auto"/>
          <w:szCs w:val="21"/>
          <w:highlight w:val="none"/>
        </w:rPr>
        <w:t>“第四章 评审程序和评定成交的标准”第</w:t>
      </w:r>
      <w:r>
        <w:rPr>
          <w:rFonts w:ascii="宋体" w:hAnsi="宋体" w:cs="宋体"/>
          <w:color w:val="auto"/>
          <w:szCs w:val="21"/>
          <w:highlight w:val="none"/>
        </w:rPr>
        <w:t>3</w:t>
      </w:r>
      <w:r>
        <w:rPr>
          <w:rFonts w:hint="eastAsia" w:ascii="宋体" w:hAnsi="宋体" w:cs="宋体"/>
          <w:color w:val="auto"/>
          <w:szCs w:val="21"/>
          <w:highlight w:val="none"/>
        </w:rPr>
        <w:t>.7条规定的情形除外</w:t>
      </w:r>
      <w:r>
        <w:rPr>
          <w:rFonts w:hint="eastAsia" w:ascii="宋体" w:hAnsi="宋体" w:cs="Courier New"/>
          <w:color w:val="auto"/>
          <w:szCs w:val="21"/>
          <w:highlight w:val="none"/>
        </w:rPr>
        <w:t>。</w:t>
      </w:r>
    </w:p>
    <w:p w14:paraId="7AA1C15C">
      <w:pPr>
        <w:pStyle w:val="8"/>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27.4在采购活动中因重大变故，采购任务取消的，采购人或者采购代理机构应当终止采购活动，通知所有参加采购活动的供应商，并将项目实施情况和采购任务取消原因报送本级财政部门。</w:t>
      </w:r>
    </w:p>
    <w:p w14:paraId="6A3F3CE4">
      <w:pPr>
        <w:pStyle w:val="8"/>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7.</w:t>
      </w:r>
      <w:r>
        <w:rPr>
          <w:rFonts w:hint="eastAsia" w:ascii="宋体" w:hAnsi="宋体"/>
          <w:bCs/>
          <w:color w:val="auto"/>
          <w:szCs w:val="21"/>
          <w:highlight w:val="none"/>
        </w:rPr>
        <w:t>5</w:t>
      </w:r>
      <w:r>
        <w:rPr>
          <w:rFonts w:hint="eastAsia" w:ascii="宋体" w:hAnsi="宋体" w:cs="Courier New"/>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w:t>
      </w:r>
    </w:p>
    <w:p w14:paraId="707EC7D8">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741C5784">
      <w:pPr>
        <w:pStyle w:val="8"/>
        <w:spacing w:line="360" w:lineRule="auto"/>
        <w:ind w:firstLine="420" w:firstLineChars="200"/>
        <w:rPr>
          <w:rFonts w:hint="eastAsia"/>
          <w:color w:val="auto"/>
          <w:highlight w:val="none"/>
        </w:rPr>
      </w:pPr>
      <w:r>
        <w:rPr>
          <w:rFonts w:ascii="宋体" w:hAnsi="宋体" w:cs="宋体"/>
          <w:color w:val="auto"/>
          <w:szCs w:val="21"/>
          <w:highlight w:val="none"/>
        </w:rPr>
        <w:t>28</w:t>
      </w:r>
      <w:r>
        <w:rPr>
          <w:rFonts w:hint="eastAsia" w:ascii="宋体" w:hAnsi="宋体" w:cs="宋体"/>
          <w:color w:val="auto"/>
          <w:szCs w:val="21"/>
          <w:highlight w:val="none"/>
        </w:rPr>
        <w:t>.1履约保证金的金额、提交方式、退付的时间和条件详见 “供应商须知前附表”。成交供应商未按规定提交履约保证金的，视为拒绝</w:t>
      </w:r>
      <w:r>
        <w:rPr>
          <w:color w:val="auto"/>
          <w:highlight w:val="none"/>
        </w:rPr>
        <w:t>与采购人</w:t>
      </w:r>
      <w:r>
        <w:rPr>
          <w:rFonts w:hint="eastAsia" w:ascii="宋体" w:hAnsi="宋体" w:cs="宋体"/>
          <w:color w:val="auto"/>
          <w:szCs w:val="21"/>
          <w:highlight w:val="none"/>
        </w:rPr>
        <w:t>签订合同。</w:t>
      </w:r>
    </w:p>
    <w:p w14:paraId="720B8CDF">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.2在履约保证金退还日期前，若成交供应商的开户名称、开户银行、帐号有变动的，请以书面形式通知履约保证金收取单位，否则由此产生的后果由成交供应商自负。</w:t>
      </w:r>
    </w:p>
    <w:p w14:paraId="501F99D3">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0403DCCD">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.1签订电子采购合同：成交供应商领取成交通知书后，在</w:t>
      </w:r>
      <w:r>
        <w:rPr>
          <w:rFonts w:hint="eastAsia" w:ascii="宋体" w:hAnsi="宋体" w:cs="宋体"/>
          <w:color w:val="auto"/>
          <w:szCs w:val="21"/>
          <w:highlight w:val="none"/>
          <w:lang w:val="zh-CN"/>
        </w:rPr>
        <w:t>规定的日期，由法定代表人或其授权代表与采购人代表签订电子采购合同。如成交供应商为联合体的，由联合体成员各方法定代表人或其授权代表与采购人代表签订合同。</w:t>
      </w:r>
    </w:p>
    <w:p w14:paraId="0FE768F1">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.2 签订合同时间：按成交通知书的规定与采购人签订政府采购合同。</w:t>
      </w:r>
    </w:p>
    <w:p w14:paraId="4E07416D">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.3</w:t>
      </w:r>
      <w:r>
        <w:rPr>
          <w:rFonts w:hint="eastAsia" w:ascii="宋体" w:hAnsi="宋体"/>
          <w:color w:val="auto"/>
          <w:szCs w:val="21"/>
          <w:highlight w:val="none"/>
        </w:rPr>
        <w:t>成交供应商拒绝与采购人签订合同的，按照本须知正文第27.5条的规定执行。</w:t>
      </w:r>
    </w:p>
    <w:p w14:paraId="1E88DF0D">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63DAC97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3DA4198A">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7D5CB75B">
      <w:pPr>
        <w:pStyle w:val="6"/>
        <w:spacing w:after="120" w:line="360" w:lineRule="auto"/>
        <w:rPr>
          <w:rFonts w:hint="eastAsia" w:ascii="宋体" w:hAnsi="宋体"/>
          <w:color w:val="auto"/>
          <w:szCs w:val="21"/>
          <w:highlight w:val="none"/>
        </w:rPr>
      </w:pPr>
      <w:r>
        <w:rPr>
          <w:rFonts w:ascii="宋体" w:hAnsi="宋体" w:cs="宋体"/>
          <w:color w:val="auto"/>
          <w:highlight w:val="none"/>
        </w:rPr>
        <w:t>31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p>
    <w:p w14:paraId="12CF2322">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.2供应商认为谈判文件、采购过程或者成交结果使自己的合法权益受到损害的，应当在知道或者应知其权益受到损害之日起7个工作日内，以书面形式向采购人、采购代理机构提出质疑，</w:t>
      </w:r>
      <w:r>
        <w:rPr>
          <w:rFonts w:ascii="Arial" w:hAnsi="Arial" w:cs="Arial"/>
          <w:color w:val="auto"/>
          <w:highlight w:val="none"/>
          <w:shd w:val="clear" w:color="auto" w:fill="FFFFFF"/>
        </w:rPr>
        <w:t>接收质疑函的方式、联系部门、联系电话和通讯地址等信息</w:t>
      </w:r>
      <w:r>
        <w:rPr>
          <w:rFonts w:hint="eastAsia" w:ascii="宋体" w:hAnsi="宋体" w:cs="宋体"/>
          <w:color w:val="auto"/>
          <w:szCs w:val="21"/>
          <w:highlight w:val="none"/>
        </w:rPr>
        <w:t>详见“供应商须知前附表”</w:t>
      </w:r>
      <w:r>
        <w:rPr>
          <w:rFonts w:hint="eastAsia" w:ascii="宋体" w:hAnsi="宋体" w:cs="宋体"/>
          <w:color w:val="auto"/>
          <w:highlight w:val="none"/>
        </w:rPr>
        <w:t>。具体质疑起算时间如下：</w:t>
      </w:r>
    </w:p>
    <w:p w14:paraId="6DCDD18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（1）对可以质疑的谈判文件提出质疑的，为获取谈判文件之日；</w:t>
      </w:r>
    </w:p>
    <w:p w14:paraId="093E36F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267DFC4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2CCBB33E">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16819EEB">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.4供应商提出质疑应当提交质疑函和必要的证明材料，针对同一采购程序环节的质疑必须在法定质疑期内一次性提出。质疑函应当包括下列内容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0DC6D68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42DBD6C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077ACA0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0737142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3FE706E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368EBFC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085DE8E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6D90417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6792718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（1）对采购文件提出的质疑，依法通过澄清或者修改可以继续开展采购活动的，澄清或者修改采购文件后继续开展采购活动；否则应当修改采购文件后重新开展采购活动。</w:t>
      </w:r>
    </w:p>
    <w:p w14:paraId="7C368F4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（2）对采购过程或者成交结果提出的质疑，合格供应商符合法定数量时，可以从合格的成交候选人中另行确定成交供应商的，应当依法另行确定成交供应商；否则应当重新开展采购活动。</w:t>
      </w:r>
    </w:p>
    <w:p w14:paraId="27464E7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648DC58A">
      <w:pPr>
        <w:spacing w:line="360" w:lineRule="auto"/>
        <w:ind w:firstLine="420" w:firstLineChars="200"/>
        <w:rPr>
          <w:rFonts w:ascii="宋体" w:hAnsi="宋体" w:cs="宋体"/>
          <w:b/>
          <w:bCs/>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48714B8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其他内容</w:t>
      </w:r>
    </w:p>
    <w:p w14:paraId="7A7AD9A6">
      <w:pPr>
        <w:tabs>
          <w:tab w:val="left" w:pos="2835"/>
        </w:tabs>
        <w:spacing w:line="360" w:lineRule="auto"/>
        <w:ind w:firstLine="420" w:firstLineChars="200"/>
        <w:rPr>
          <w:rFonts w:hint="eastAsia" w:ascii="宋体" w:hAnsi="宋体" w:eastAsia="宋体" w:cs="宋体"/>
          <w:color w:val="auto"/>
          <w:szCs w:val="21"/>
          <w:highlight w:val="none"/>
          <w:lang w:eastAsia="zh-CN"/>
        </w:rPr>
      </w:pPr>
      <w:r>
        <w:rPr>
          <w:rFonts w:ascii="宋体" w:hAnsi="宋体" w:cs="宋体"/>
          <w:color w:val="auto"/>
          <w:szCs w:val="21"/>
          <w:highlight w:val="none"/>
        </w:rPr>
        <w:t>32</w:t>
      </w:r>
      <w:r>
        <w:rPr>
          <w:rFonts w:hint="eastAsia" w:ascii="宋体" w:hAnsi="宋体" w:cs="宋体"/>
          <w:color w:val="auto"/>
          <w:szCs w:val="21"/>
          <w:highlight w:val="none"/>
        </w:rPr>
        <w:t>.1代理服务收取标准详见“供应商须知前附表”，供应商为联合体的，可以由联合体中的一方或者多方共同交纳代理服务费</w:t>
      </w:r>
      <w:r>
        <w:rPr>
          <w:rFonts w:hint="eastAsia" w:ascii="宋体" w:hAnsi="宋体" w:cs="宋体"/>
          <w:color w:val="auto"/>
          <w:szCs w:val="21"/>
          <w:highlight w:val="none"/>
          <w:lang w:eastAsia="zh-CN"/>
        </w:rPr>
        <w:t>。</w:t>
      </w:r>
    </w:p>
    <w:p w14:paraId="3F682656">
      <w:pPr>
        <w:spacing w:line="360" w:lineRule="auto"/>
        <w:ind w:firstLine="482" w:firstLineChars="200"/>
        <w:contextualSpacing/>
        <w:rPr>
          <w:rFonts w:ascii="黑体" w:hAnsi="黑体" w:eastAsia="黑体" w:cs="宋体"/>
          <w:b/>
          <w:bCs/>
          <w:color w:val="auto"/>
          <w:sz w:val="24"/>
          <w:highlight w:val="none"/>
        </w:rPr>
      </w:pPr>
      <w:r>
        <w:rPr>
          <w:rFonts w:ascii="黑体" w:hAnsi="黑体" w:eastAsia="黑体" w:cs="宋体"/>
          <w:b/>
          <w:bCs/>
          <w:color w:val="auto"/>
          <w:sz w:val="24"/>
          <w:highlight w:val="none"/>
        </w:rPr>
        <w:t>33. 需要补充的其他内容</w:t>
      </w:r>
    </w:p>
    <w:p w14:paraId="2B587C08">
      <w:pPr>
        <w:pStyle w:val="13"/>
        <w:spacing w:line="360" w:lineRule="auto"/>
        <w:ind w:firstLine="420" w:firstLineChars="200"/>
        <w:contextualSpacing/>
        <w:rPr>
          <w:rFonts w:hAnsi="宋体"/>
          <w:color w:val="auto"/>
          <w:sz w:val="21"/>
          <w:highlight w:val="none"/>
        </w:rPr>
      </w:pPr>
      <w:r>
        <w:rPr>
          <w:rFonts w:hAnsi="宋体"/>
          <w:color w:val="auto"/>
          <w:sz w:val="21"/>
          <w:highlight w:val="none"/>
        </w:rPr>
        <w:t>33.1</w:t>
      </w:r>
      <w:r>
        <w:rPr>
          <w:rFonts w:hint="eastAsia" w:hAnsi="宋体" w:cs="宋体"/>
          <w:color w:val="auto"/>
          <w:sz w:val="21"/>
          <w:highlight w:val="none"/>
        </w:rPr>
        <w:t>本谈判文件解释规则详见</w:t>
      </w:r>
      <w:r>
        <w:rPr>
          <w:rFonts w:hint="eastAsia" w:hAnsi="宋体"/>
          <w:color w:val="auto"/>
          <w:sz w:val="21"/>
          <w:highlight w:val="none"/>
        </w:rPr>
        <w:t>“供应商须知前附表”。</w:t>
      </w:r>
    </w:p>
    <w:p w14:paraId="7CD4C00D">
      <w:pPr>
        <w:spacing w:line="360" w:lineRule="auto"/>
        <w:ind w:firstLine="420" w:firstLineChars="200"/>
        <w:contextualSpacing/>
        <w:rPr>
          <w:rFonts w:hAnsi="宋体"/>
          <w:color w:val="auto"/>
          <w:highlight w:val="none"/>
        </w:rPr>
      </w:pPr>
      <w:r>
        <w:rPr>
          <w:rFonts w:ascii="宋体" w:hAnsi="宋体" w:cs="宋体"/>
          <w:color w:val="auto"/>
          <w:kern w:val="0"/>
          <w:szCs w:val="21"/>
          <w:highlight w:val="none"/>
        </w:rPr>
        <w:t>33.2</w:t>
      </w:r>
      <w:r>
        <w:rPr>
          <w:rFonts w:hint="eastAsia" w:ascii="宋体" w:hAnsi="宋体" w:cs="宋体"/>
          <w:color w:val="auto"/>
          <w:kern w:val="0"/>
          <w:szCs w:val="21"/>
          <w:highlight w:val="none"/>
        </w:rPr>
        <w:t xml:space="preserve"> 其他事</w:t>
      </w:r>
      <w:r>
        <w:rPr>
          <w:rFonts w:hint="eastAsia" w:hAnsi="宋体"/>
          <w:color w:val="auto"/>
          <w:highlight w:val="none"/>
        </w:rPr>
        <w:t>项详见“供应商须知前附表”。</w:t>
      </w:r>
    </w:p>
    <w:p w14:paraId="4682BA50">
      <w:pPr>
        <w:pStyle w:val="13"/>
        <w:spacing w:line="360" w:lineRule="auto"/>
        <w:ind w:firstLine="400" w:firstLineChars="200"/>
        <w:contextualSpacing/>
        <w:rPr>
          <w:rFonts w:hint="eastAsia" w:hAnsi="宋体"/>
          <w:color w:val="auto"/>
          <w:sz w:val="21"/>
          <w:highlight w:val="none"/>
        </w:rPr>
      </w:pPr>
      <w:r>
        <w:rPr>
          <w:rFonts w:hint="eastAsia" w:hAnsi="宋体"/>
          <w:color w:val="auto"/>
          <w:highlight w:val="none"/>
        </w:rPr>
        <w:t>3</w:t>
      </w:r>
      <w:r>
        <w:rPr>
          <w:rFonts w:hAnsi="宋体"/>
          <w:color w:val="auto"/>
          <w:highlight w:val="none"/>
        </w:rPr>
        <w:t>3.3</w:t>
      </w:r>
      <w:bookmarkStart w:id="44" w:name="_Hlk65857140"/>
      <w:r>
        <w:rPr>
          <w:rFonts w:hint="eastAsia" w:hAnsi="宋体"/>
          <w:color w:val="auto"/>
          <w:sz w:val="21"/>
          <w:highlight w:val="none"/>
        </w:rPr>
        <w:t>本谈判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谈判文件规定的中小企业扶持政策：</w:t>
      </w:r>
    </w:p>
    <w:p w14:paraId="077A3112">
      <w:pPr>
        <w:pStyle w:val="13"/>
        <w:spacing w:line="360" w:lineRule="auto"/>
        <w:ind w:firstLine="420" w:firstLineChars="200"/>
        <w:contextualSpacing/>
        <w:rPr>
          <w:rFonts w:hint="eastAsia"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3F85059E">
      <w:pPr>
        <w:pStyle w:val="13"/>
        <w:spacing w:line="360" w:lineRule="auto"/>
        <w:ind w:firstLine="420" w:firstLineChars="200"/>
        <w:contextualSpacing/>
        <w:rPr>
          <w:rFonts w:hint="eastAsia"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429196D2">
      <w:pPr>
        <w:pStyle w:val="13"/>
        <w:spacing w:line="360" w:lineRule="auto"/>
        <w:ind w:firstLine="420" w:firstLineChars="200"/>
        <w:contextualSpacing/>
        <w:rPr>
          <w:rFonts w:hint="eastAsia"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2F4BAB70">
      <w:pPr>
        <w:pStyle w:val="13"/>
        <w:spacing w:line="360" w:lineRule="auto"/>
        <w:ind w:firstLine="420" w:firstLineChars="200"/>
        <w:contextualSpacing/>
        <w:rPr>
          <w:rFonts w:hint="eastAsia" w:hAnsi="宋体"/>
          <w:color w:val="auto"/>
          <w:sz w:val="21"/>
          <w:highlight w:val="none"/>
        </w:rPr>
      </w:pPr>
      <w:r>
        <w:rPr>
          <w:rFonts w:hint="eastAsia" w:hAnsi="宋体"/>
          <w:color w:val="auto"/>
          <w:sz w:val="21"/>
          <w:highlight w:val="none"/>
        </w:rPr>
        <w:t>在货物采购项目中，供应商提供的货物既有中小企业制造货物，也有大型企业制造货物的，不享受本谈判文件规定的中小企业扶持政策。以联合体形式参加政府采购活动，联合体各方均为中小企业的，联合体视同中小企业。其中，联合体各方均为小微企业的，联合体视同小微企业。</w:t>
      </w:r>
    </w:p>
    <w:p w14:paraId="4058D2A9">
      <w:pPr>
        <w:spacing w:line="360" w:lineRule="auto"/>
        <w:ind w:firstLine="420" w:firstLineChars="200"/>
        <w:contextualSpacing/>
        <w:rPr>
          <w:rFonts w:hint="eastAsia" w:ascii="宋体" w:hAnsi="宋体" w:cs="宋体"/>
          <w:color w:val="auto"/>
          <w:highlight w:val="none"/>
        </w:rPr>
      </w:pPr>
      <w:r>
        <w:rPr>
          <w:rFonts w:hint="eastAsia" w:hAnsi="宋体"/>
          <w:color w:val="auto"/>
          <w:highlight w:val="none"/>
        </w:rPr>
        <w:t>依据本谈判文件规定享受扶持政策获得政府采购合同的，小微企业不得将合同分包给大中型企业，中型企业不得将合同分包给大型企业。</w:t>
      </w:r>
      <w:bookmarkEnd w:id="44"/>
    </w:p>
    <w:p w14:paraId="2F9E4E43">
      <w:pPr>
        <w:spacing w:line="360" w:lineRule="auto"/>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34.政采贷相关政策告知函</w:t>
      </w:r>
    </w:p>
    <w:p w14:paraId="14F9492A">
      <w:pPr>
        <w:pStyle w:val="23"/>
        <w:ind w:firstLine="720"/>
        <w:jc w:val="center"/>
        <w:rPr>
          <w:rFonts w:hint="eastAsia"/>
          <w:b/>
          <w:bCs/>
          <w:color w:val="auto"/>
          <w:sz w:val="36"/>
          <w:szCs w:val="36"/>
          <w:highlight w:val="none"/>
        </w:rPr>
      </w:pPr>
    </w:p>
    <w:p w14:paraId="5C24D4EC">
      <w:pPr>
        <w:pStyle w:val="23"/>
        <w:ind w:firstLine="640"/>
        <w:jc w:val="center"/>
        <w:rPr>
          <w:rFonts w:hint="eastAsia"/>
          <w:b/>
          <w:bCs/>
          <w:color w:val="auto"/>
          <w:sz w:val="36"/>
          <w:szCs w:val="36"/>
          <w:highlight w:val="none"/>
        </w:rPr>
      </w:pPr>
      <w:r>
        <w:rPr>
          <w:rFonts w:hint="eastAsia"/>
          <w:b/>
          <w:bCs/>
          <w:color w:val="auto"/>
          <w:sz w:val="32"/>
          <w:szCs w:val="32"/>
          <w:highlight w:val="none"/>
        </w:rPr>
        <w:t>崇左市线上“政采贷”政策告知函</w:t>
      </w:r>
    </w:p>
    <w:p w14:paraId="63003AE6">
      <w:pPr>
        <w:pStyle w:val="23"/>
        <w:rPr>
          <w:rFonts w:hint="eastAsia"/>
          <w:color w:val="auto"/>
          <w:highlight w:val="none"/>
        </w:rPr>
      </w:pPr>
    </w:p>
    <w:p w14:paraId="1BCE68C6">
      <w:pPr>
        <w:pStyle w:val="23"/>
        <w:spacing w:line="440" w:lineRule="exact"/>
        <w:ind w:firstLine="0" w:firstLineChars="0"/>
        <w:rPr>
          <w:rFonts w:hint="eastAsia"/>
          <w:color w:val="auto"/>
          <w:szCs w:val="21"/>
          <w:highlight w:val="none"/>
        </w:rPr>
      </w:pPr>
      <w:r>
        <w:rPr>
          <w:rFonts w:hint="eastAsia"/>
          <w:color w:val="auto"/>
          <w:szCs w:val="21"/>
          <w:highlight w:val="none"/>
        </w:rPr>
        <w:t>各供应商：</w:t>
      </w:r>
    </w:p>
    <w:p w14:paraId="46733C9B">
      <w:pPr>
        <w:pStyle w:val="23"/>
        <w:spacing w:line="440" w:lineRule="exact"/>
        <w:rPr>
          <w:rFonts w:hint="eastAsia"/>
          <w:color w:val="auto"/>
          <w:szCs w:val="21"/>
          <w:highlight w:val="none"/>
        </w:rPr>
      </w:pPr>
      <w:r>
        <w:rPr>
          <w:rFonts w:hint="eastAsia"/>
          <w:color w:val="auto"/>
          <w:szCs w:val="21"/>
          <w:highlight w:val="none"/>
        </w:rPr>
        <w:t>欢迎贵公司参与崇左市政府采购活动！</w:t>
      </w:r>
    </w:p>
    <w:p w14:paraId="1AA85D36">
      <w:pPr>
        <w:pStyle w:val="23"/>
        <w:spacing w:line="440" w:lineRule="exact"/>
        <w:rPr>
          <w:rFonts w:hint="eastAsia"/>
          <w:color w:val="auto"/>
          <w:szCs w:val="21"/>
          <w:highlight w:val="none"/>
        </w:rPr>
      </w:pPr>
      <w:r>
        <w:rPr>
          <w:rFonts w:hint="eastAsia"/>
          <w:color w:val="auto"/>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6217F5F4">
      <w:pPr>
        <w:pStyle w:val="23"/>
        <w:spacing w:line="440" w:lineRule="exact"/>
        <w:rPr>
          <w:rFonts w:hint="eastAsia"/>
          <w:color w:val="auto"/>
          <w:szCs w:val="21"/>
          <w:highlight w:val="none"/>
        </w:rPr>
      </w:pPr>
      <w:r>
        <w:rPr>
          <w:rFonts w:hint="eastAsia"/>
          <w:color w:val="auto"/>
          <w:szCs w:val="21"/>
          <w:highlight w:val="none"/>
        </w:rPr>
        <w:t>相关金融产品和银行业金融机构联系方式，可在中征应收账款融资服务平台查询（网址：</w:t>
      </w:r>
      <w:r>
        <w:rPr>
          <w:rFonts w:hint="eastAsia"/>
          <w:color w:val="auto"/>
          <w:szCs w:val="21"/>
          <w:highlight w:val="none"/>
        </w:rPr>
        <w:fldChar w:fldCharType="begin"/>
      </w:r>
      <w:r>
        <w:rPr>
          <w:rFonts w:hint="eastAsia"/>
          <w:color w:val="auto"/>
          <w:szCs w:val="21"/>
          <w:highlight w:val="none"/>
        </w:rPr>
        <w:instrText xml:space="preserve"> HYPERLINK "https://www.crcrfsp.com/" </w:instrText>
      </w:r>
      <w:r>
        <w:rPr>
          <w:rFonts w:hint="eastAsia"/>
          <w:color w:val="auto"/>
          <w:szCs w:val="21"/>
          <w:highlight w:val="none"/>
        </w:rPr>
        <w:fldChar w:fldCharType="separate"/>
      </w:r>
      <w:r>
        <w:rPr>
          <w:rFonts w:hint="eastAsia"/>
          <w:color w:val="auto"/>
          <w:szCs w:val="21"/>
          <w:highlight w:val="none"/>
        </w:rPr>
        <w:t>https://www.crcrfsp.com/</w:t>
      </w:r>
      <w:r>
        <w:rPr>
          <w:rFonts w:hint="eastAsia"/>
          <w:color w:val="auto"/>
          <w:szCs w:val="21"/>
          <w:highlight w:val="none"/>
        </w:rPr>
        <w:fldChar w:fldCharType="end"/>
      </w:r>
      <w:r>
        <w:rPr>
          <w:rFonts w:hint="eastAsia"/>
          <w:color w:val="auto"/>
          <w:szCs w:val="21"/>
          <w:highlight w:val="none"/>
        </w:rPr>
        <w:t>，客服电话：400-009-0001）。</w:t>
      </w:r>
    </w:p>
    <w:p w14:paraId="08DECA88">
      <w:pPr>
        <w:pStyle w:val="23"/>
        <w:spacing w:line="440" w:lineRule="exact"/>
        <w:rPr>
          <w:color w:val="auto"/>
          <w:szCs w:val="21"/>
          <w:highlight w:val="none"/>
        </w:rPr>
      </w:pPr>
      <w:r>
        <w:rPr>
          <w:rFonts w:hint="eastAsia"/>
          <w:color w:val="auto"/>
          <w:szCs w:val="21"/>
          <w:highlight w:val="none"/>
        </w:rPr>
        <w:t>具体的操作流程详见附件1和附件2。</w:t>
      </w:r>
    </w:p>
    <w:p w14:paraId="3A2E707D">
      <w:pPr>
        <w:pStyle w:val="23"/>
        <w:ind w:firstLine="480"/>
        <w:rPr>
          <w:rFonts w:hint="eastAsia"/>
          <w:color w:val="auto"/>
          <w:sz w:val="24"/>
          <w:highlight w:val="none"/>
        </w:rPr>
      </w:pPr>
    </w:p>
    <w:p w14:paraId="29D32603">
      <w:pPr>
        <w:pStyle w:val="23"/>
        <w:ind w:firstLine="480"/>
        <w:rPr>
          <w:rFonts w:hint="eastAsia"/>
          <w:color w:val="auto"/>
          <w:sz w:val="24"/>
          <w:highlight w:val="none"/>
        </w:rPr>
      </w:pPr>
    </w:p>
    <w:p w14:paraId="6A02BDA1">
      <w:pPr>
        <w:pStyle w:val="23"/>
        <w:ind w:firstLine="480"/>
        <w:rPr>
          <w:rFonts w:hint="eastAsia"/>
          <w:color w:val="auto"/>
          <w:sz w:val="24"/>
          <w:highlight w:val="none"/>
        </w:rPr>
      </w:pPr>
    </w:p>
    <w:p w14:paraId="54716866">
      <w:pPr>
        <w:spacing w:line="460" w:lineRule="exact"/>
        <w:outlineLvl w:val="2"/>
        <w:rPr>
          <w:rFonts w:hint="eastAsia" w:ascii="宋体" w:hAnsi="宋体" w:cs="宋体"/>
          <w:b/>
          <w:bCs/>
          <w:color w:val="auto"/>
          <w:sz w:val="32"/>
          <w:szCs w:val="32"/>
          <w:highlight w:val="none"/>
        </w:rPr>
      </w:pPr>
    </w:p>
    <w:p w14:paraId="619631C7">
      <w:pPr>
        <w:spacing w:line="460" w:lineRule="exact"/>
        <w:outlineLvl w:val="2"/>
        <w:rPr>
          <w:rFonts w:hint="eastAsia" w:ascii="宋体" w:hAnsi="宋体" w:cs="宋体"/>
          <w:b/>
          <w:bCs/>
          <w:color w:val="auto"/>
          <w:sz w:val="32"/>
          <w:szCs w:val="32"/>
          <w:highlight w:val="none"/>
        </w:rPr>
      </w:pPr>
    </w:p>
    <w:p w14:paraId="2FEEDFB3">
      <w:pPr>
        <w:spacing w:line="460" w:lineRule="exact"/>
        <w:outlineLvl w:val="2"/>
        <w:rPr>
          <w:rFonts w:ascii="宋体" w:hAnsi="宋体" w:cs="宋体"/>
          <w:b/>
          <w:bCs/>
          <w:color w:val="auto"/>
          <w:sz w:val="32"/>
          <w:szCs w:val="32"/>
          <w:highlight w:val="none"/>
        </w:rPr>
      </w:pPr>
      <w:r>
        <w:rPr>
          <w:rFonts w:hint="eastAsia" w:ascii="宋体" w:hAnsi="宋体" w:cs="宋体"/>
          <w:b/>
          <w:bCs/>
          <w:color w:val="auto"/>
          <w:sz w:val="32"/>
          <w:szCs w:val="32"/>
          <w:highlight w:val="none"/>
        </w:rPr>
        <w:t>附件1：</w:t>
      </w:r>
    </w:p>
    <w:p w14:paraId="7C5A7E5F">
      <w:pPr>
        <w:spacing w:line="600" w:lineRule="exact"/>
        <w:jc w:val="center"/>
        <w:rPr>
          <w:rFonts w:hint="eastAsia" w:ascii="黑体" w:hAnsi="黑体" w:eastAsia="黑体" w:cs="黑体"/>
          <w:color w:val="auto"/>
          <w:sz w:val="32"/>
          <w:szCs w:val="32"/>
          <w:highlight w:val="none"/>
        </w:rPr>
      </w:pPr>
      <w:r>
        <w:rPr>
          <w:rFonts w:hint="eastAsia" w:ascii="方正小标宋_GBK" w:eastAsia="方正小标宋_GBK"/>
          <w:color w:val="auto"/>
          <w:sz w:val="32"/>
          <w:szCs w:val="32"/>
          <w:highlight w:val="none"/>
        </w:rPr>
        <w:t>崇左市线上“政采贷”业务流程图</w:t>
      </w:r>
    </w:p>
    <w:p w14:paraId="7BEC620E">
      <w:pPr>
        <w:rPr>
          <w:rFonts w:hint="eastAsia"/>
          <w:color w:val="auto"/>
          <w:highlight w:val="none"/>
        </w:rPr>
      </w:pPr>
      <w:r>
        <w:rPr>
          <w:rFonts w:hint="eastAsia" w:eastAsia="仿宋_GB2312"/>
          <w:color w:val="auto"/>
          <w:highlight w:val="none"/>
        </w:rPr>
        <w:drawing>
          <wp:inline distT="0" distB="0" distL="114300" distR="114300">
            <wp:extent cx="5802630" cy="8247380"/>
            <wp:effectExtent l="0" t="0" r="7620" b="1270"/>
            <wp:docPr id="2"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流程图1011"/>
                    <pic:cNvPicPr>
                      <a:picLocks noChangeAspect="1"/>
                    </pic:cNvPicPr>
                  </pic:nvPicPr>
                  <pic:blipFill>
                    <a:blip r:embed="rId14"/>
                    <a:stretch>
                      <a:fillRect/>
                    </a:stretch>
                  </pic:blipFill>
                  <pic:spPr>
                    <a:xfrm>
                      <a:off x="0" y="0"/>
                      <a:ext cx="5802630" cy="8247380"/>
                    </a:xfrm>
                    <a:prstGeom prst="rect">
                      <a:avLst/>
                    </a:prstGeom>
                    <a:noFill/>
                    <a:ln>
                      <a:noFill/>
                    </a:ln>
                  </pic:spPr>
                </pic:pic>
              </a:graphicData>
            </a:graphic>
          </wp:inline>
        </w:drawing>
      </w:r>
    </w:p>
    <w:p w14:paraId="129ACA7D">
      <w:pPr>
        <w:spacing w:line="460" w:lineRule="exact"/>
        <w:outlineLvl w:val="2"/>
        <w:rPr>
          <w:rFonts w:hint="eastAsia" w:ascii="宋体" w:hAnsi="宋体" w:cs="宋体"/>
          <w:b/>
          <w:bCs/>
          <w:color w:val="auto"/>
          <w:sz w:val="32"/>
          <w:szCs w:val="32"/>
          <w:highlight w:val="none"/>
        </w:rPr>
      </w:pPr>
    </w:p>
    <w:p w14:paraId="3AB4E35F">
      <w:pPr>
        <w:spacing w:line="460" w:lineRule="exact"/>
        <w:outlineLvl w:val="2"/>
        <w:rPr>
          <w:rFonts w:hint="eastAsia" w:ascii="宋体" w:hAnsi="宋体" w:cs="宋体"/>
          <w:b/>
          <w:bCs/>
          <w:color w:val="auto"/>
          <w:sz w:val="32"/>
          <w:szCs w:val="32"/>
          <w:highlight w:val="none"/>
        </w:rPr>
      </w:pPr>
    </w:p>
    <w:p w14:paraId="5822095F">
      <w:pPr>
        <w:spacing w:line="460" w:lineRule="exact"/>
        <w:outlineLvl w:val="2"/>
        <w:rPr>
          <w:rFonts w:hint="eastAsia" w:ascii="宋体" w:hAnsi="宋体" w:cs="宋体"/>
          <w:b/>
          <w:bCs/>
          <w:color w:val="auto"/>
          <w:sz w:val="32"/>
          <w:szCs w:val="32"/>
          <w:highlight w:val="none"/>
        </w:rPr>
      </w:pPr>
    </w:p>
    <w:p w14:paraId="36A83B17">
      <w:pPr>
        <w:spacing w:line="460" w:lineRule="exact"/>
        <w:outlineLvl w:val="2"/>
        <w:rPr>
          <w:rFonts w:ascii="宋体" w:hAnsi="宋体" w:cs="宋体"/>
          <w:b/>
          <w:bCs/>
          <w:color w:val="auto"/>
          <w:sz w:val="32"/>
          <w:szCs w:val="32"/>
          <w:highlight w:val="none"/>
        </w:rPr>
      </w:pPr>
      <w:r>
        <w:rPr>
          <w:rFonts w:hint="eastAsia" w:ascii="宋体" w:hAnsi="宋体" w:cs="宋体"/>
          <w:b/>
          <w:bCs/>
          <w:color w:val="auto"/>
          <w:sz w:val="32"/>
          <w:szCs w:val="32"/>
          <w:highlight w:val="none"/>
        </w:rPr>
        <w:t>附件2：</w:t>
      </w:r>
    </w:p>
    <w:p w14:paraId="7958311B">
      <w:pPr>
        <w:pStyle w:val="61"/>
        <w:ind w:firstLine="640"/>
        <w:jc w:val="center"/>
        <w:rPr>
          <w:rFonts w:ascii="方正小标宋_GBK" w:hAnsi="方正小标宋_GBK" w:eastAsia="方正小标宋_GBK" w:cs="方正小标宋_GBK"/>
          <w:color w:val="auto"/>
          <w:sz w:val="32"/>
          <w:szCs w:val="32"/>
          <w:highlight w:val="none"/>
        </w:rPr>
      </w:pPr>
      <w:r>
        <w:rPr>
          <w:rFonts w:hint="eastAsia" w:ascii="方正小标宋_GBK" w:hAnsi="方正小标宋_GBK" w:eastAsia="方正小标宋_GBK" w:cs="方正小标宋_GBK"/>
          <w:color w:val="auto"/>
          <w:sz w:val="32"/>
          <w:szCs w:val="32"/>
          <w:highlight w:val="none"/>
        </w:rPr>
        <w:t>崇左市金融机构线上“政采贷”业务办理联络表</w:t>
      </w:r>
    </w:p>
    <w:tbl>
      <w:tblPr>
        <w:tblStyle w:val="24"/>
        <w:tblW w:w="9144" w:type="dxa"/>
        <w:tblInd w:w="96" w:type="dxa"/>
        <w:tblLayout w:type="fixed"/>
        <w:tblCellMar>
          <w:top w:w="0" w:type="dxa"/>
          <w:left w:w="108" w:type="dxa"/>
          <w:bottom w:w="0" w:type="dxa"/>
          <w:right w:w="108" w:type="dxa"/>
        </w:tblCellMar>
      </w:tblPr>
      <w:tblGrid>
        <w:gridCol w:w="2674"/>
        <w:gridCol w:w="4820"/>
        <w:gridCol w:w="1650"/>
      </w:tblGrid>
      <w:tr w14:paraId="78D5620E">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53CB192E">
            <w:pPr>
              <w:widowControl/>
              <w:spacing w:line="400" w:lineRule="exact"/>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金融机构名称</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49FB8B66">
            <w:pPr>
              <w:widowControl/>
              <w:spacing w:line="400" w:lineRule="exact"/>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地址</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EC447B3">
            <w:pPr>
              <w:widowControl/>
              <w:spacing w:line="400" w:lineRule="exact"/>
              <w:jc w:val="center"/>
              <w:textAlignment w:val="center"/>
              <w:rPr>
                <w:rFonts w:hint="eastAsia" w:ascii="宋体" w:hAnsi="宋体" w:cs="宋体"/>
                <w:b/>
                <w:bCs/>
                <w:color w:val="auto"/>
                <w:sz w:val="28"/>
                <w:szCs w:val="28"/>
                <w:highlight w:val="none"/>
              </w:rPr>
            </w:pPr>
            <w:r>
              <w:rPr>
                <w:rFonts w:hint="eastAsia" w:cs="宋体"/>
                <w:b/>
                <w:bCs/>
                <w:color w:val="auto"/>
                <w:kern w:val="0"/>
                <w:sz w:val="28"/>
                <w:szCs w:val="28"/>
                <w:highlight w:val="none"/>
                <w:lang w:bidi="ar"/>
              </w:rPr>
              <w:t>业务</w:t>
            </w:r>
            <w:r>
              <w:rPr>
                <w:rFonts w:hint="eastAsia" w:ascii="宋体" w:hAnsi="宋体" w:cs="宋体"/>
                <w:b/>
                <w:bCs/>
                <w:color w:val="auto"/>
                <w:kern w:val="0"/>
                <w:sz w:val="28"/>
                <w:szCs w:val="28"/>
                <w:highlight w:val="none"/>
                <w:lang w:bidi="ar"/>
              </w:rPr>
              <w:t>咨询电话</w:t>
            </w:r>
          </w:p>
        </w:tc>
      </w:tr>
      <w:tr w14:paraId="67B1F687">
        <w:tblPrEx>
          <w:tblCellMar>
            <w:top w:w="0" w:type="dxa"/>
            <w:left w:w="108" w:type="dxa"/>
            <w:bottom w:w="0" w:type="dxa"/>
            <w:right w:w="108" w:type="dxa"/>
          </w:tblCellMar>
        </w:tblPrEx>
        <w:trPr>
          <w:trHeight w:val="365" w:hRule="atLeast"/>
        </w:trPr>
        <w:tc>
          <w:tcPr>
            <w:tcW w:w="9144" w:type="dxa"/>
            <w:gridSpan w:val="3"/>
            <w:tcBorders>
              <w:top w:val="single" w:color="000000" w:sz="4" w:space="0"/>
              <w:left w:val="single" w:color="000000" w:sz="4" w:space="0"/>
              <w:bottom w:val="single" w:color="000000" w:sz="4" w:space="0"/>
              <w:right w:val="single" w:color="000000" w:sz="4" w:space="0"/>
            </w:tcBorders>
            <w:noWrap/>
            <w:vAlign w:val="center"/>
          </w:tcPr>
          <w:p w14:paraId="0EE80CBA">
            <w:pPr>
              <w:widowControl/>
              <w:jc w:val="left"/>
              <w:textAlignment w:val="center"/>
              <w:rPr>
                <w:rFonts w:hint="eastAsia" w:cs="宋体"/>
                <w:color w:val="auto"/>
                <w:szCs w:val="21"/>
                <w:highlight w:val="none"/>
              </w:rPr>
            </w:pPr>
            <w:r>
              <w:rPr>
                <w:rFonts w:hint="eastAsia" w:cs="宋体"/>
                <w:b/>
                <w:bCs/>
                <w:color w:val="auto"/>
                <w:szCs w:val="21"/>
                <w:highlight w:val="none"/>
              </w:rPr>
              <w:t>崇左市本级及江州区</w:t>
            </w:r>
          </w:p>
        </w:tc>
      </w:tr>
      <w:tr w14:paraId="28B9663F">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08DBEC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工商银行崇左分行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072493D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崇左市骆越大道6号（东盟国际城）裙楼2号楼</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D71BC1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0771-7820436 0771-7820439</w:t>
            </w:r>
          </w:p>
        </w:tc>
      </w:tr>
      <w:tr w14:paraId="05D54E14">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A594FF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农业银行崇左分行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42D018D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江州区友谊大道26号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0F22CD8">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0771-7917212</w:t>
            </w:r>
          </w:p>
        </w:tc>
      </w:tr>
      <w:tr w14:paraId="10F62E96">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66435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农业银行江州支行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0A344ED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江州区江南路48号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884046E">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0771-7917054</w:t>
            </w:r>
          </w:p>
        </w:tc>
      </w:tr>
      <w:tr w14:paraId="4E2F05B1">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C471B5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建行崇左分行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2145CE7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崇左市江州区江南路73号建行大厦</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D5FCE30">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0771-7831103</w:t>
            </w:r>
          </w:p>
        </w:tc>
      </w:tr>
      <w:tr w14:paraId="339F596C">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FF5D2A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中国银行崇左分行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312342F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崇左市江州区龙胤大厦五楼</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45BBE0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0771-7928650 0771-7920613</w:t>
            </w:r>
          </w:p>
        </w:tc>
      </w:tr>
      <w:tr w14:paraId="07501EE9">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7F276D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崇左农商行授信审批部</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3C64864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崇左市城西路109号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426270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0771-7925660</w:t>
            </w:r>
          </w:p>
        </w:tc>
      </w:tr>
      <w:tr w14:paraId="0079DF47">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F9F9A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中国邮政储蓄银行崇左市分行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6265FBE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崇左市江州区骆越大道2号中国邮政储蓄银行崇左市分行</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E46CF0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0771-7968699</w:t>
            </w:r>
          </w:p>
        </w:tc>
      </w:tr>
      <w:tr w14:paraId="12F5D7AB">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57759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桂林银行崇左分行营业部</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4061394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广西壮族自治区崇左市江州区友谊大道中段龙胤·财富广场101商铺（龙胤大厦六楼营业部）</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19B00F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0771-7916636</w:t>
            </w:r>
          </w:p>
        </w:tc>
      </w:tr>
      <w:tr w14:paraId="17D8E815">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2F25FA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桂林银行江州支行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2E6DCA6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崇左市江州区建设路41号桂林银行</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BF037F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0771-7988895</w:t>
            </w:r>
          </w:p>
        </w:tc>
      </w:tr>
      <w:tr w14:paraId="42644226">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8BA91B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广西北部湾银行崇左分行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487C0C2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崇左市友谊大道中段西侧龙胤财富广场三期财富中心122号商铺</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7AB18C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0771-7960855</w:t>
            </w:r>
          </w:p>
        </w:tc>
      </w:tr>
      <w:tr w14:paraId="6898A391">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984E4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广西北部湾银行崇左市中泰产业园支行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114ABA5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广西壮族自治区崇左市江州区中泰产业园企业总部基地企业服务中心一楼</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820016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0771-7821126</w:t>
            </w:r>
          </w:p>
        </w:tc>
      </w:tr>
      <w:tr w14:paraId="2EBC9DC5">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4D14D4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广西北部湾银行崇左市丽江支行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5DC4733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崇左市江州区丽江路丽江明珠滨江花苑三期106-109号商铺</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496573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0771-7831866</w:t>
            </w:r>
          </w:p>
        </w:tc>
      </w:tr>
      <w:tr w14:paraId="3BCD82FB">
        <w:tblPrEx>
          <w:tblCellMar>
            <w:top w:w="0" w:type="dxa"/>
            <w:left w:w="108" w:type="dxa"/>
            <w:bottom w:w="0" w:type="dxa"/>
            <w:right w:w="108" w:type="dxa"/>
          </w:tblCellMar>
        </w:tblPrEx>
        <w:trPr>
          <w:trHeight w:val="350" w:hRule="atLeast"/>
        </w:trPr>
        <w:tc>
          <w:tcPr>
            <w:tcW w:w="9144" w:type="dxa"/>
            <w:gridSpan w:val="3"/>
            <w:tcBorders>
              <w:top w:val="single" w:color="000000" w:sz="4" w:space="0"/>
              <w:left w:val="single" w:color="000000" w:sz="4" w:space="0"/>
              <w:bottom w:val="single" w:color="000000" w:sz="4" w:space="0"/>
              <w:right w:val="single" w:color="000000" w:sz="4" w:space="0"/>
            </w:tcBorders>
            <w:noWrap/>
            <w:vAlign w:val="center"/>
          </w:tcPr>
          <w:p w14:paraId="66075E92">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扶绥县</w:t>
            </w:r>
          </w:p>
        </w:tc>
      </w:tr>
      <w:tr w14:paraId="4ACFEE93">
        <w:tblPrEx>
          <w:tblCellMar>
            <w:top w:w="0" w:type="dxa"/>
            <w:left w:w="108" w:type="dxa"/>
            <w:bottom w:w="0" w:type="dxa"/>
            <w:right w:w="108" w:type="dxa"/>
          </w:tblCellMar>
        </w:tblPrEx>
        <w:trPr>
          <w:trHeight w:val="38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5B9343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工商银行扶绥县支行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643E127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扶绥县新宁镇同正大道94号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21A008E">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0771-7535612</w:t>
            </w:r>
          </w:p>
        </w:tc>
      </w:tr>
      <w:tr w14:paraId="5080E757">
        <w:tblPrEx>
          <w:tblCellMar>
            <w:top w:w="0" w:type="dxa"/>
            <w:left w:w="108" w:type="dxa"/>
            <w:bottom w:w="0" w:type="dxa"/>
            <w:right w:w="108" w:type="dxa"/>
          </w:tblCellMar>
        </w:tblPrEx>
        <w:trPr>
          <w:trHeight w:val="44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1C7D7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农业银行扶绥县支行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556B6EA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扶绥县新宁镇新华路126号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1D15D9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0771-7917330</w:t>
            </w:r>
          </w:p>
        </w:tc>
      </w:tr>
      <w:tr w14:paraId="178610DD">
        <w:tblPrEx>
          <w:tblCellMar>
            <w:top w:w="0" w:type="dxa"/>
            <w:left w:w="108" w:type="dxa"/>
            <w:bottom w:w="0" w:type="dxa"/>
            <w:right w:w="108" w:type="dxa"/>
          </w:tblCellMar>
        </w:tblPrEx>
        <w:trPr>
          <w:trHeight w:val="74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C02E28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建行扶绥支行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3CE6D88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扶绥县南密路6号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E87BBBE">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0771-7516511 0771-7531157</w:t>
            </w:r>
          </w:p>
        </w:tc>
      </w:tr>
      <w:tr w14:paraId="2AFE19F6">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AE0658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建行扶绥空港支行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349437E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扶绥县双拥路3号东信华府18号楼一层</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B907B59">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0771-7525822</w:t>
            </w:r>
          </w:p>
        </w:tc>
      </w:tr>
      <w:tr w14:paraId="0190C4A1">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56A002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中国银行扶绥支行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2591F09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扶绥县-扶绥大道16号山水城市广场一层商铺</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257286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0771-5025887</w:t>
            </w:r>
          </w:p>
        </w:tc>
      </w:tr>
      <w:tr w14:paraId="62445E8E">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EE9DDF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扶绥农商行三农零售与乡村振兴金融部</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360036E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扶绥县新宁镇永宁路2-1号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1B1407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0771-7533041</w:t>
            </w:r>
          </w:p>
        </w:tc>
      </w:tr>
      <w:tr w14:paraId="20C4F65C">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CC9890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中国邮政储蓄银行扶绥县支行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28A1661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扶绥县松江路138号中国邮政储蓄银行扶绥县支行</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5084A2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0771-7536178 0771-7536177</w:t>
            </w:r>
          </w:p>
        </w:tc>
      </w:tr>
      <w:tr w14:paraId="29C5D96D">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1A1C18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桂林银行崇左扶绥支行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7E8671D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广西崇左市扶绥县新宁镇松江路20号（桂林银行崇左扶绥支行）</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6001018">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0771-7661101</w:t>
            </w:r>
          </w:p>
        </w:tc>
      </w:tr>
      <w:tr w14:paraId="65030A3A">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CD561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广西北部湾银行扶绥县支行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7B53943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崇左市扶绥县新宁镇同正大道333号碧园·未来城商业综合体13号楼一楼1050、1051号商铺</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159DF08">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0771-7500768</w:t>
            </w:r>
          </w:p>
        </w:tc>
      </w:tr>
      <w:tr w14:paraId="30E35229">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177CAF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扶绥深通村镇银行业发部</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7EF2C4B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扶绥县大景城1号楼正门旁</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A3A629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0771-7525678</w:t>
            </w:r>
          </w:p>
        </w:tc>
      </w:tr>
      <w:tr w14:paraId="4907085C">
        <w:tblPrEx>
          <w:tblCellMar>
            <w:top w:w="0" w:type="dxa"/>
            <w:left w:w="108" w:type="dxa"/>
            <w:bottom w:w="0" w:type="dxa"/>
            <w:right w:w="108" w:type="dxa"/>
          </w:tblCellMar>
        </w:tblPrEx>
        <w:trPr>
          <w:trHeight w:val="470" w:hRule="atLeast"/>
        </w:trPr>
        <w:tc>
          <w:tcPr>
            <w:tcW w:w="9144" w:type="dxa"/>
            <w:gridSpan w:val="3"/>
            <w:tcBorders>
              <w:top w:val="single" w:color="000000" w:sz="4" w:space="0"/>
              <w:left w:val="single" w:color="000000" w:sz="4" w:space="0"/>
              <w:bottom w:val="single" w:color="000000" w:sz="4" w:space="0"/>
              <w:right w:val="single" w:color="000000" w:sz="4" w:space="0"/>
            </w:tcBorders>
            <w:noWrap/>
            <w:vAlign w:val="center"/>
          </w:tcPr>
          <w:p w14:paraId="5E975752">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宁明县</w:t>
            </w:r>
          </w:p>
        </w:tc>
      </w:tr>
      <w:tr w14:paraId="625754E9">
        <w:tblPrEx>
          <w:tblCellMar>
            <w:top w:w="0" w:type="dxa"/>
            <w:left w:w="108" w:type="dxa"/>
            <w:bottom w:w="0" w:type="dxa"/>
            <w:right w:w="108" w:type="dxa"/>
          </w:tblCellMar>
        </w:tblPrEx>
        <w:trPr>
          <w:trHeight w:val="36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7BF77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工商银行宁明县支行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094A22B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宁明县城中镇兴远街70号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BE8D63B">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0771-8620729</w:t>
            </w:r>
          </w:p>
        </w:tc>
      </w:tr>
      <w:tr w14:paraId="4D2D461C">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6FBA60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农业银行宁明县支行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4AF0FE4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宁明县城中镇明阳街11号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2ACA42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0771-7917093</w:t>
            </w:r>
          </w:p>
        </w:tc>
      </w:tr>
      <w:tr w14:paraId="3F4506F0">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4FDB95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建行宁明支行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5F7136E1">
            <w:pPr>
              <w:widowControl/>
              <w:spacing w:after="90" w:line="23" w:lineRule="atLeast"/>
              <w:jc w:val="left"/>
              <w:rPr>
                <w:rFonts w:hint="eastAsia" w:ascii="宋体" w:hAnsi="宋体" w:cs="宋体"/>
                <w:color w:val="auto"/>
                <w:szCs w:val="21"/>
                <w:highlight w:val="none"/>
              </w:rPr>
            </w:pPr>
            <w:r>
              <w:rPr>
                <w:rFonts w:hint="eastAsia" w:ascii="宋体" w:hAnsi="宋体" w:cs="宋体"/>
                <w:color w:val="auto"/>
                <w:kern w:val="0"/>
                <w:szCs w:val="21"/>
                <w:highlight w:val="none"/>
                <w:lang w:bidi="ar"/>
              </w:rPr>
              <w:t>宁明县城中镇兴宁大道77号明江财富广场一层1-13号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A7BFCC7">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0771-8629006</w:t>
            </w:r>
          </w:p>
        </w:tc>
      </w:tr>
      <w:tr w14:paraId="5ED51E45">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0F38AB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宁明农商行三农零售与乡村振兴金融部</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2283858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宁明县城中镇明阳街3号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BD93D4C">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0771-8628166</w:t>
            </w:r>
          </w:p>
        </w:tc>
      </w:tr>
      <w:tr w14:paraId="3DC3C4DC">
        <w:tblPrEx>
          <w:tblCellMar>
            <w:top w:w="0" w:type="dxa"/>
            <w:left w:w="108" w:type="dxa"/>
            <w:bottom w:w="0" w:type="dxa"/>
            <w:right w:w="108" w:type="dxa"/>
          </w:tblCellMar>
        </w:tblPrEx>
        <w:trPr>
          <w:trHeight w:val="43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DA9A5B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桂林银行崇左宁明支行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59FB84D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宁明县城中镇兴宁大道中70号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A0D78E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0771-8630787</w:t>
            </w:r>
          </w:p>
        </w:tc>
      </w:tr>
      <w:tr w14:paraId="052698C1">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82006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广西北部湾银行宁明支行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242A413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崇左市宁明县城中镇兴宁大道中79号（明都大酒店）A幢楼1楼铺面</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6FB83D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0771-8622237</w:t>
            </w:r>
          </w:p>
        </w:tc>
      </w:tr>
      <w:tr w14:paraId="34A7C224">
        <w:tblPrEx>
          <w:tblCellMar>
            <w:top w:w="0" w:type="dxa"/>
            <w:left w:w="108" w:type="dxa"/>
            <w:bottom w:w="0" w:type="dxa"/>
            <w:right w:w="108" w:type="dxa"/>
          </w:tblCellMar>
        </w:tblPrEx>
        <w:trPr>
          <w:trHeight w:val="377" w:hRule="atLeast"/>
        </w:trPr>
        <w:tc>
          <w:tcPr>
            <w:tcW w:w="9144" w:type="dxa"/>
            <w:gridSpan w:val="3"/>
            <w:tcBorders>
              <w:top w:val="single" w:color="000000" w:sz="4" w:space="0"/>
              <w:left w:val="single" w:color="000000" w:sz="4" w:space="0"/>
              <w:bottom w:val="single" w:color="000000" w:sz="4" w:space="0"/>
              <w:right w:val="single" w:color="000000" w:sz="4" w:space="0"/>
            </w:tcBorders>
            <w:noWrap/>
            <w:vAlign w:val="center"/>
          </w:tcPr>
          <w:p w14:paraId="260C249A">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大新县</w:t>
            </w:r>
          </w:p>
        </w:tc>
      </w:tr>
      <w:tr w14:paraId="3E4AA80E">
        <w:tblPrEx>
          <w:tblCellMar>
            <w:top w:w="0" w:type="dxa"/>
            <w:left w:w="108" w:type="dxa"/>
            <w:bottom w:w="0" w:type="dxa"/>
            <w:right w:w="108" w:type="dxa"/>
          </w:tblCellMar>
        </w:tblPrEx>
        <w:trPr>
          <w:trHeight w:val="391"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CE961D">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工商银行大新县支行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18DEE2D8">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大新县桃城镇民生街98号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E737FB5">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0771-3628078</w:t>
            </w:r>
          </w:p>
        </w:tc>
      </w:tr>
      <w:tr w14:paraId="196F4699">
        <w:tblPrEx>
          <w:tblCellMar>
            <w:top w:w="0" w:type="dxa"/>
            <w:left w:w="108" w:type="dxa"/>
            <w:bottom w:w="0" w:type="dxa"/>
            <w:right w:w="108" w:type="dxa"/>
          </w:tblCellMar>
        </w:tblPrEx>
        <w:trPr>
          <w:trHeight w:val="45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CA6357">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农业银行大新县支行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377C5520">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大新县桃城镇伦理路223号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D523ABF">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w:t>
            </w:r>
            <w:r>
              <w:rPr>
                <w:rFonts w:hint="eastAsia" w:ascii="宋体" w:hAnsi="宋体" w:cs="宋体"/>
                <w:color w:val="auto"/>
                <w:szCs w:val="21"/>
                <w:highlight w:val="none"/>
              </w:rPr>
              <w:t>7917015</w:t>
            </w:r>
          </w:p>
        </w:tc>
      </w:tr>
      <w:tr w14:paraId="72ADFF43">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76A5E1E">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建行大新支行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46C970C3">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大新县民生街7号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F568FD5">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0771-3689766</w:t>
            </w:r>
          </w:p>
        </w:tc>
      </w:tr>
      <w:tr w14:paraId="7B69AEFC">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2F1035D">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大新农商行三农零售与乡村振兴金融部</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27E859C1">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大新县城养利路131号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5F7370E">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0771-3623887</w:t>
            </w:r>
          </w:p>
        </w:tc>
      </w:tr>
      <w:tr w14:paraId="12F26E4A">
        <w:tblPrEx>
          <w:tblCellMar>
            <w:top w:w="0" w:type="dxa"/>
            <w:left w:w="108" w:type="dxa"/>
            <w:bottom w:w="0" w:type="dxa"/>
            <w:right w:w="108" w:type="dxa"/>
          </w:tblCellMar>
        </w:tblPrEx>
        <w:trPr>
          <w:trHeight w:val="6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C2CF252">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桂林银行崇左大新支行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7A4CA732">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崇左市大新县桃城镇民生街7号东盟商业广场1楼桂林银行</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E162ABD">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0771-3621996</w:t>
            </w:r>
          </w:p>
        </w:tc>
      </w:tr>
      <w:tr w14:paraId="197FBA48">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3ED5EE6">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广西北部湾银行大新支行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71A27D98">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崇左市大新县桃城镇伦理路230号1楼铺面</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4A6CE06">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0771-3628366</w:t>
            </w:r>
          </w:p>
        </w:tc>
      </w:tr>
      <w:tr w14:paraId="39BE9E6E">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0CAAAE4">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崇左大新长江村镇银行营业部</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31576FDD">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大新县桃城镇德天大道74-1号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A5BD967">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0771-3698002</w:t>
            </w:r>
          </w:p>
        </w:tc>
      </w:tr>
      <w:tr w14:paraId="0E0C125D">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1BBF820">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崇左大新长江村镇银行百汇支行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76AB17AB">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大新县桃城镇伦那路8号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FE09125">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0771-3626199</w:t>
            </w:r>
          </w:p>
        </w:tc>
      </w:tr>
      <w:tr w14:paraId="47E21FD2">
        <w:tblPrEx>
          <w:tblCellMar>
            <w:top w:w="0" w:type="dxa"/>
            <w:left w:w="108" w:type="dxa"/>
            <w:bottom w:w="0" w:type="dxa"/>
            <w:right w:w="108" w:type="dxa"/>
          </w:tblCellMar>
        </w:tblPrEx>
        <w:trPr>
          <w:trHeight w:val="350" w:hRule="atLeast"/>
        </w:trPr>
        <w:tc>
          <w:tcPr>
            <w:tcW w:w="9144" w:type="dxa"/>
            <w:gridSpan w:val="3"/>
            <w:tcBorders>
              <w:top w:val="single" w:color="000000" w:sz="4" w:space="0"/>
              <w:left w:val="single" w:color="000000" w:sz="4" w:space="0"/>
              <w:bottom w:val="single" w:color="000000" w:sz="4" w:space="0"/>
              <w:right w:val="single" w:color="000000" w:sz="4" w:space="0"/>
            </w:tcBorders>
            <w:noWrap/>
            <w:vAlign w:val="center"/>
          </w:tcPr>
          <w:p w14:paraId="3FAC01EA">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龙州县</w:t>
            </w:r>
          </w:p>
        </w:tc>
      </w:tr>
      <w:tr w14:paraId="61EB104E">
        <w:tblPrEx>
          <w:tblCellMar>
            <w:top w:w="0" w:type="dxa"/>
            <w:left w:w="108" w:type="dxa"/>
            <w:bottom w:w="0" w:type="dxa"/>
            <w:right w:w="108" w:type="dxa"/>
          </w:tblCellMar>
        </w:tblPrEx>
        <w:trPr>
          <w:trHeight w:val="42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2AC37F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工商银行龙州县支行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358BEA7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龙州县龙江街60号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5EF0117">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0771-8868619</w:t>
            </w:r>
          </w:p>
        </w:tc>
      </w:tr>
      <w:tr w14:paraId="195FF352">
        <w:tblPrEx>
          <w:tblCellMar>
            <w:top w:w="0" w:type="dxa"/>
            <w:left w:w="108" w:type="dxa"/>
            <w:bottom w:w="0" w:type="dxa"/>
            <w:right w:w="108" w:type="dxa"/>
          </w:tblCellMar>
        </w:tblPrEx>
        <w:trPr>
          <w:trHeight w:val="544"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375E2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农业银行龙州县支行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6C91F01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龙州县龙州镇康平街26号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C14D3F8">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0771-8812504</w:t>
            </w:r>
          </w:p>
        </w:tc>
      </w:tr>
      <w:tr w14:paraId="2C93E7BB">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6C9920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建行龙州支行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5DD62AB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龙州县龙夏路2号龙州商业广场D栋1号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60673C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0771-8820525</w:t>
            </w:r>
          </w:p>
        </w:tc>
      </w:tr>
      <w:tr w14:paraId="729BA098">
        <w:tblPrEx>
          <w:tblCellMar>
            <w:top w:w="0" w:type="dxa"/>
            <w:left w:w="108" w:type="dxa"/>
            <w:bottom w:w="0" w:type="dxa"/>
            <w:right w:w="108" w:type="dxa"/>
          </w:tblCellMar>
        </w:tblPrEx>
        <w:trPr>
          <w:trHeight w:val="41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E27870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龙州农商行公司机构金融</w:t>
            </w:r>
            <w:r>
              <w:rPr>
                <w:rFonts w:hint="eastAsia" w:cs="宋体"/>
                <w:color w:val="auto"/>
                <w:szCs w:val="21"/>
                <w:highlight w:val="none"/>
              </w:rPr>
              <w:t>部</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5463703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龙州县龙州镇独山路172号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42F721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0771-8813013</w:t>
            </w:r>
          </w:p>
        </w:tc>
      </w:tr>
      <w:tr w14:paraId="5D5C9616">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B0DC7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桂林银行崇左龙州支行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7799C46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龙州县龙州镇同顾大道1号同顾·中央公园20栋10号—13号房</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D486A19">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0771-8871021</w:t>
            </w:r>
          </w:p>
        </w:tc>
      </w:tr>
      <w:tr w14:paraId="2CF1CCFC">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2C1DE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广西北部湾银行龙州支行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379F77B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崇左市龙州县龙州镇龙夏路1号、3号、5号（南湖商务酒店）一楼铺面</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656BEC0">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0771-8811533</w:t>
            </w:r>
          </w:p>
        </w:tc>
      </w:tr>
      <w:tr w14:paraId="090D8FD0">
        <w:tblPrEx>
          <w:tblCellMar>
            <w:top w:w="0" w:type="dxa"/>
            <w:left w:w="108" w:type="dxa"/>
            <w:bottom w:w="0" w:type="dxa"/>
            <w:right w:w="108" w:type="dxa"/>
          </w:tblCellMar>
        </w:tblPrEx>
        <w:trPr>
          <w:trHeight w:val="415" w:hRule="atLeast"/>
        </w:trPr>
        <w:tc>
          <w:tcPr>
            <w:tcW w:w="9144" w:type="dxa"/>
            <w:gridSpan w:val="3"/>
            <w:tcBorders>
              <w:top w:val="single" w:color="000000" w:sz="4" w:space="0"/>
              <w:left w:val="single" w:color="000000" w:sz="4" w:space="0"/>
              <w:bottom w:val="single" w:color="000000" w:sz="4" w:space="0"/>
              <w:right w:val="single" w:color="000000" w:sz="4" w:space="0"/>
            </w:tcBorders>
            <w:noWrap/>
            <w:vAlign w:val="center"/>
          </w:tcPr>
          <w:p w14:paraId="535BEB58">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天等县</w:t>
            </w:r>
          </w:p>
        </w:tc>
      </w:tr>
      <w:tr w14:paraId="6B882F85">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BCBC1C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工商银行天等县支行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50B1CF8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天等县天等镇朝阳东路054号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FEF5B77">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0771-3532211</w:t>
            </w:r>
          </w:p>
        </w:tc>
      </w:tr>
      <w:tr w14:paraId="58EAAC86">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6DAFF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农业银行天等县支行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5F20C8B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 天等县天等镇天宝北路007号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EEE9C3C">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0771-7917046</w:t>
            </w:r>
          </w:p>
        </w:tc>
      </w:tr>
      <w:tr w14:paraId="0D853496">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0A9FB8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天等农商行公司机构金融部</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2844807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天等县天等镇仕民路48号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C2FEA30">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0771-3521361</w:t>
            </w:r>
          </w:p>
        </w:tc>
      </w:tr>
      <w:tr w14:paraId="6F260A9E">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A613FF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桂林银行崇左天等支行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5F5F4BA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广西崇左市天等县天等镇天宝北路天府中央城5号楼115号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42BF6A0">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0771-3522157</w:t>
            </w:r>
          </w:p>
        </w:tc>
      </w:tr>
      <w:tr w14:paraId="05F00751">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ECBA76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广西北部湾银行天等支行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4F24439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崇左市天等县天宝南路002号天富商业广场28栋一层商铺6-17号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D7A7292">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0771-3528688</w:t>
            </w:r>
          </w:p>
        </w:tc>
      </w:tr>
      <w:tr w14:paraId="0CDD7348">
        <w:tblPrEx>
          <w:tblCellMar>
            <w:top w:w="0" w:type="dxa"/>
            <w:left w:w="108" w:type="dxa"/>
            <w:bottom w:w="0" w:type="dxa"/>
            <w:right w:w="108" w:type="dxa"/>
          </w:tblCellMar>
        </w:tblPrEx>
        <w:trPr>
          <w:trHeight w:val="335" w:hRule="atLeast"/>
        </w:trPr>
        <w:tc>
          <w:tcPr>
            <w:tcW w:w="9144" w:type="dxa"/>
            <w:gridSpan w:val="3"/>
            <w:tcBorders>
              <w:top w:val="single" w:color="000000" w:sz="4" w:space="0"/>
              <w:left w:val="single" w:color="000000" w:sz="4" w:space="0"/>
              <w:bottom w:val="single" w:color="000000" w:sz="4" w:space="0"/>
              <w:right w:val="single" w:color="000000" w:sz="4" w:space="0"/>
            </w:tcBorders>
            <w:noWrap/>
            <w:vAlign w:val="center"/>
          </w:tcPr>
          <w:p w14:paraId="7D8C9AAB">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凭祥市</w:t>
            </w:r>
          </w:p>
        </w:tc>
      </w:tr>
      <w:tr w14:paraId="752C2420">
        <w:tblPrEx>
          <w:tblCellMar>
            <w:top w:w="0" w:type="dxa"/>
            <w:left w:w="108" w:type="dxa"/>
            <w:bottom w:w="0" w:type="dxa"/>
            <w:right w:w="108" w:type="dxa"/>
          </w:tblCellMar>
        </w:tblPrEx>
        <w:trPr>
          <w:trHeight w:val="44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939EE2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工商银行凭祥分行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1D10392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凭祥市新华路5号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35ACBC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0771-8529259</w:t>
            </w:r>
          </w:p>
        </w:tc>
      </w:tr>
      <w:tr w14:paraId="67239141">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2F364B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农业银行凭祥支行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5E10E2A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凭祥市北大路216号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6A65088">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0771-7917258</w:t>
            </w:r>
          </w:p>
        </w:tc>
      </w:tr>
      <w:tr w14:paraId="59E837BC">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BABB64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658E415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凭祥市屏山路138号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E47B8E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0771-8525068</w:t>
            </w:r>
            <w:r>
              <w:rPr>
                <w:rFonts w:hint="eastAsia" w:cs="宋体"/>
                <w:color w:val="auto"/>
                <w:szCs w:val="21"/>
                <w:highlight w:val="none"/>
              </w:rPr>
              <w:t xml:space="preserve"> </w:t>
            </w:r>
            <w:r>
              <w:rPr>
                <w:rFonts w:hint="eastAsia" w:ascii="宋体" w:hAnsi="宋体" w:cs="宋体"/>
                <w:color w:val="auto"/>
                <w:szCs w:val="21"/>
                <w:highlight w:val="none"/>
              </w:rPr>
              <w:t>0771-8536852</w:t>
            </w:r>
          </w:p>
        </w:tc>
      </w:tr>
      <w:tr w14:paraId="4F38F765">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27A90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建行凭祥中区支行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547A9F4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凭祥市金象大道香格里拉3幢3-01至3-03号商铺</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ECD42F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0771-8551161</w:t>
            </w:r>
          </w:p>
        </w:tc>
      </w:tr>
      <w:tr w14:paraId="334DC1F1">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B6F9A8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建行凭祥浦寨支行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3934B69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凭祥市浦寨商业城万泰一楼8-9号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CFDB37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0771-8561665</w:t>
            </w:r>
          </w:p>
        </w:tc>
      </w:tr>
      <w:tr w14:paraId="4A52E972">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7A490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中国银行凭祥支行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0F6EB62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凭祥市-北环路112号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22F011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0771-8520356</w:t>
            </w:r>
          </w:p>
        </w:tc>
      </w:tr>
      <w:tr w14:paraId="7E38F2C1">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B29FEF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凭祥农商行业务拓展部</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3656319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凭祥市友谊关大道13号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CB485F9">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0771-8535667</w:t>
            </w:r>
          </w:p>
        </w:tc>
      </w:tr>
      <w:tr w14:paraId="37F6A1B6">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E43FA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桂林银行广西自贸试验区崇左片区凭祥支行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22463BE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凭祥市北大路一支40号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7A0947A">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0771-8520550</w:t>
            </w:r>
          </w:p>
        </w:tc>
      </w:tr>
      <w:tr w14:paraId="70A06F94">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9B5450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广西北部湾银行广西自贸试验区崇左片区凭祥支行</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14:paraId="3642C4D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凭祥市北大路一支60-1号</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B06FF4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0771-8556667</w:t>
            </w:r>
          </w:p>
        </w:tc>
      </w:tr>
    </w:tbl>
    <w:p w14:paraId="0DCBF790">
      <w:pPr>
        <w:spacing w:line="460" w:lineRule="exact"/>
        <w:jc w:val="center"/>
        <w:outlineLvl w:val="2"/>
        <w:rPr>
          <w:rFonts w:hint="eastAsia" w:ascii="宋体" w:hAnsi="宋体" w:cs="宋体"/>
          <w:b/>
          <w:bCs/>
          <w:color w:val="auto"/>
          <w:sz w:val="32"/>
          <w:szCs w:val="32"/>
          <w:highlight w:val="none"/>
        </w:rPr>
      </w:pPr>
    </w:p>
    <w:p w14:paraId="6E381AEC">
      <w:pPr>
        <w:pStyle w:val="2"/>
        <w:rPr>
          <w:rFonts w:hint="eastAsia" w:hAnsi="宋体"/>
          <w:b/>
          <w:color w:val="auto"/>
          <w:sz w:val="32"/>
          <w:szCs w:val="32"/>
          <w:highlight w:val="none"/>
        </w:rPr>
      </w:pPr>
    </w:p>
    <w:p w14:paraId="05D0F9DD">
      <w:pPr>
        <w:pStyle w:val="2"/>
        <w:rPr>
          <w:rFonts w:hint="eastAsia" w:hAnsi="宋体"/>
          <w:b/>
          <w:color w:val="auto"/>
          <w:sz w:val="32"/>
          <w:szCs w:val="32"/>
          <w:highlight w:val="none"/>
        </w:rPr>
      </w:pPr>
    </w:p>
    <w:p w14:paraId="631B9457">
      <w:pPr>
        <w:pStyle w:val="2"/>
        <w:rPr>
          <w:rFonts w:hint="eastAsia" w:hAnsi="宋体"/>
          <w:b/>
          <w:color w:val="auto"/>
          <w:sz w:val="32"/>
          <w:szCs w:val="32"/>
          <w:highlight w:val="none"/>
        </w:rPr>
      </w:pPr>
    </w:p>
    <w:p w14:paraId="0B6ED15C">
      <w:pPr>
        <w:pStyle w:val="2"/>
        <w:rPr>
          <w:rFonts w:hint="eastAsia" w:hAnsi="宋体"/>
          <w:b/>
          <w:color w:val="auto"/>
          <w:sz w:val="32"/>
          <w:szCs w:val="32"/>
          <w:highlight w:val="none"/>
        </w:rPr>
      </w:pPr>
    </w:p>
    <w:p w14:paraId="2F9F7491">
      <w:pPr>
        <w:pStyle w:val="2"/>
        <w:rPr>
          <w:rFonts w:hint="eastAsia" w:hAnsi="宋体"/>
          <w:b/>
          <w:color w:val="auto"/>
          <w:sz w:val="32"/>
          <w:szCs w:val="32"/>
          <w:highlight w:val="none"/>
        </w:rPr>
      </w:pPr>
    </w:p>
    <w:p w14:paraId="6D2CC398">
      <w:pPr>
        <w:pStyle w:val="2"/>
        <w:rPr>
          <w:rFonts w:hint="eastAsia" w:hAnsi="宋体"/>
          <w:b/>
          <w:color w:val="auto"/>
          <w:sz w:val="32"/>
          <w:szCs w:val="32"/>
          <w:highlight w:val="none"/>
        </w:rPr>
      </w:pPr>
    </w:p>
    <w:p w14:paraId="136B970C">
      <w:pPr>
        <w:pStyle w:val="2"/>
        <w:rPr>
          <w:rFonts w:hint="eastAsia" w:hAnsi="宋体"/>
          <w:b/>
          <w:color w:val="auto"/>
          <w:sz w:val="32"/>
          <w:szCs w:val="32"/>
          <w:highlight w:val="none"/>
        </w:rPr>
      </w:pPr>
    </w:p>
    <w:p w14:paraId="69697483">
      <w:pPr>
        <w:pStyle w:val="2"/>
        <w:rPr>
          <w:rFonts w:hint="eastAsia" w:hAnsi="宋体"/>
          <w:b/>
          <w:color w:val="auto"/>
          <w:sz w:val="32"/>
          <w:szCs w:val="32"/>
          <w:highlight w:val="none"/>
        </w:rPr>
      </w:pPr>
    </w:p>
    <w:p w14:paraId="7229EC9A">
      <w:pPr>
        <w:pStyle w:val="2"/>
        <w:rPr>
          <w:rFonts w:hint="eastAsia" w:hAnsi="宋体"/>
          <w:b/>
          <w:color w:val="auto"/>
          <w:sz w:val="32"/>
          <w:szCs w:val="32"/>
          <w:highlight w:val="none"/>
        </w:rPr>
      </w:pPr>
    </w:p>
    <w:p w14:paraId="5DE95522">
      <w:pPr>
        <w:pStyle w:val="2"/>
        <w:rPr>
          <w:rFonts w:hint="eastAsia" w:hAnsi="宋体"/>
          <w:b/>
          <w:color w:val="auto"/>
          <w:sz w:val="32"/>
          <w:szCs w:val="32"/>
          <w:highlight w:val="none"/>
        </w:rPr>
      </w:pPr>
    </w:p>
    <w:p w14:paraId="79E80909">
      <w:pPr>
        <w:pStyle w:val="2"/>
        <w:rPr>
          <w:rFonts w:hint="eastAsia" w:hAnsi="宋体"/>
          <w:b/>
          <w:color w:val="auto"/>
          <w:sz w:val="32"/>
          <w:szCs w:val="32"/>
          <w:highlight w:val="none"/>
        </w:rPr>
      </w:pPr>
    </w:p>
    <w:p w14:paraId="4126DA09">
      <w:pPr>
        <w:pStyle w:val="2"/>
        <w:rPr>
          <w:rFonts w:hint="eastAsia" w:hAnsi="宋体"/>
          <w:b/>
          <w:color w:val="auto"/>
          <w:sz w:val="32"/>
          <w:szCs w:val="32"/>
          <w:highlight w:val="none"/>
        </w:rPr>
      </w:pPr>
    </w:p>
    <w:p w14:paraId="3657F225">
      <w:pPr>
        <w:pStyle w:val="2"/>
        <w:rPr>
          <w:rFonts w:hint="eastAsia" w:hAnsi="宋体"/>
          <w:b/>
          <w:color w:val="auto"/>
          <w:sz w:val="32"/>
          <w:szCs w:val="32"/>
          <w:highlight w:val="none"/>
        </w:rPr>
      </w:pPr>
    </w:p>
    <w:p w14:paraId="6509AD41">
      <w:pPr>
        <w:pStyle w:val="2"/>
        <w:rPr>
          <w:rFonts w:hint="eastAsia" w:hAnsi="宋体"/>
          <w:b/>
          <w:color w:val="auto"/>
          <w:sz w:val="32"/>
          <w:szCs w:val="32"/>
          <w:highlight w:val="none"/>
        </w:rPr>
      </w:pPr>
    </w:p>
    <w:p w14:paraId="5AC704B2">
      <w:pPr>
        <w:pStyle w:val="2"/>
        <w:rPr>
          <w:rFonts w:hint="eastAsia" w:hAnsi="宋体"/>
          <w:b/>
          <w:color w:val="auto"/>
          <w:sz w:val="32"/>
          <w:szCs w:val="32"/>
          <w:highlight w:val="none"/>
        </w:rPr>
      </w:pPr>
    </w:p>
    <w:p w14:paraId="183FFFE1">
      <w:pPr>
        <w:pStyle w:val="2"/>
        <w:rPr>
          <w:rFonts w:hint="eastAsia" w:hAnsi="宋体"/>
          <w:b/>
          <w:color w:val="auto"/>
          <w:sz w:val="32"/>
          <w:szCs w:val="32"/>
          <w:highlight w:val="none"/>
        </w:rPr>
      </w:pPr>
    </w:p>
    <w:p w14:paraId="5DEA68E1">
      <w:pPr>
        <w:pStyle w:val="2"/>
        <w:rPr>
          <w:rFonts w:hint="eastAsia" w:hAnsi="宋体"/>
          <w:b/>
          <w:color w:val="auto"/>
          <w:sz w:val="32"/>
          <w:szCs w:val="32"/>
          <w:highlight w:val="none"/>
        </w:rPr>
      </w:pPr>
    </w:p>
    <w:p w14:paraId="7D50686E">
      <w:pPr>
        <w:pStyle w:val="2"/>
        <w:rPr>
          <w:rFonts w:hint="eastAsia" w:hAnsi="宋体"/>
          <w:b/>
          <w:color w:val="auto"/>
          <w:sz w:val="32"/>
          <w:szCs w:val="32"/>
          <w:highlight w:val="none"/>
        </w:rPr>
      </w:pPr>
    </w:p>
    <w:p w14:paraId="2F98925D">
      <w:pPr>
        <w:pStyle w:val="2"/>
        <w:rPr>
          <w:rFonts w:hint="eastAsia" w:hAnsi="宋体"/>
          <w:b/>
          <w:color w:val="auto"/>
          <w:sz w:val="32"/>
          <w:szCs w:val="32"/>
          <w:highlight w:val="none"/>
        </w:rPr>
      </w:pPr>
    </w:p>
    <w:p w14:paraId="7A94E69A">
      <w:pPr>
        <w:pStyle w:val="2"/>
        <w:rPr>
          <w:rFonts w:hint="eastAsia" w:hAnsi="宋体"/>
          <w:b/>
          <w:color w:val="auto"/>
          <w:sz w:val="32"/>
          <w:szCs w:val="32"/>
          <w:highlight w:val="none"/>
        </w:rPr>
      </w:pPr>
    </w:p>
    <w:p w14:paraId="1BC0A225">
      <w:pPr>
        <w:pStyle w:val="2"/>
        <w:rPr>
          <w:rFonts w:hint="eastAsia" w:hAnsi="宋体"/>
          <w:b/>
          <w:color w:val="auto"/>
          <w:sz w:val="32"/>
          <w:szCs w:val="32"/>
          <w:highlight w:val="none"/>
        </w:rPr>
      </w:pPr>
    </w:p>
    <w:p w14:paraId="16F661BE">
      <w:pPr>
        <w:pStyle w:val="2"/>
        <w:rPr>
          <w:rFonts w:hint="eastAsia" w:hAnsi="宋体"/>
          <w:b/>
          <w:color w:val="auto"/>
          <w:sz w:val="32"/>
          <w:szCs w:val="32"/>
          <w:highlight w:val="none"/>
        </w:rPr>
      </w:pPr>
    </w:p>
    <w:p w14:paraId="7B24EB7B">
      <w:pPr>
        <w:pStyle w:val="3"/>
        <w:numPr>
          <w:ilvl w:val="0"/>
          <w:numId w:val="1"/>
        </w:numPr>
        <w:spacing w:before="0" w:after="0" w:line="240" w:lineRule="auto"/>
        <w:ind w:left="0" w:leftChars="0" w:firstLine="0" w:firstLineChars="0"/>
        <w:jc w:val="center"/>
        <w:rPr>
          <w:rFonts w:hint="eastAsia"/>
          <w:color w:val="auto"/>
          <w:highlight w:val="none"/>
        </w:rPr>
      </w:pPr>
      <w:bookmarkStart w:id="45" w:name="_Toc74322010"/>
      <w:r>
        <w:rPr>
          <w:rFonts w:hint="eastAsia"/>
          <w:color w:val="auto"/>
          <w:highlight w:val="none"/>
        </w:rPr>
        <w:t>采购需求</w:t>
      </w:r>
      <w:bookmarkEnd w:id="45"/>
    </w:p>
    <w:p w14:paraId="35A13F8D">
      <w:pPr>
        <w:bidi w:val="0"/>
        <w:rPr>
          <w:rFonts w:hint="eastAsia"/>
        </w:rPr>
      </w:pPr>
    </w:p>
    <w:p w14:paraId="73F485B6">
      <w:pPr>
        <w:bidi w:val="0"/>
      </w:pPr>
      <w:r>
        <w:rPr>
          <w:rFonts w:hint="eastAsia"/>
        </w:rPr>
        <w:t>说明：</w:t>
      </w:r>
    </w:p>
    <w:p w14:paraId="3BA673AC">
      <w:pPr>
        <w:numPr>
          <w:ilvl w:val="0"/>
          <w:numId w:val="5"/>
        </w:numPr>
        <w:spacing w:line="360" w:lineRule="auto"/>
        <w:ind w:firstLine="424" w:firstLineChars="202"/>
        <w:jc w:val="left"/>
        <w:rPr>
          <w:rFonts w:hint="eastAsia" w:ascii="宋体" w:hAnsi="宋体" w:cs="宋体"/>
          <w:color w:val="auto"/>
          <w:szCs w:val="21"/>
          <w:highlight w:val="none"/>
        </w:rPr>
      </w:pPr>
      <w:r>
        <w:rPr>
          <w:rFonts w:hint="eastAsia"/>
          <w:color w:val="auto"/>
          <w:highlight w:val="none"/>
        </w:rPr>
        <w:t>为落实政府采购政策需满足的要求：</w:t>
      </w:r>
    </w:p>
    <w:p w14:paraId="53BAC0F7">
      <w:pPr>
        <w:numPr>
          <w:ilvl w:val="0"/>
          <w:numId w:val="0"/>
        </w:numPr>
        <w:spacing w:line="360" w:lineRule="auto"/>
        <w:jc w:val="left"/>
        <w:rPr>
          <w:rFonts w:hint="eastAsia" w:ascii="宋体" w:hAnsi="宋体" w:cs="宋体"/>
          <w:color w:val="auto"/>
          <w:szCs w:val="21"/>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rPr>
        <w:t>本项目专门面向中小企业采购，</w:t>
      </w:r>
      <w:r>
        <w:rPr>
          <w:rFonts w:hint="eastAsia" w:ascii="宋体" w:hAnsi="宋体" w:cs="宋体"/>
          <w:color w:val="auto"/>
          <w:szCs w:val="21"/>
          <w:highlight w:val="none"/>
        </w:rPr>
        <w:t>谈判文件所称中小企业必须符合《政府采购促进中小企业发展管理办法》（财库〔2020〕46号）的规定。</w:t>
      </w:r>
    </w:p>
    <w:p w14:paraId="11398846">
      <w:pPr>
        <w:numPr>
          <w:ilvl w:val="0"/>
          <w:numId w:val="0"/>
        </w:numPr>
        <w:spacing w:line="360" w:lineRule="auto"/>
        <w:jc w:val="left"/>
        <w:rPr>
          <w:rFonts w:hint="default" w:ascii="宋体" w:hAnsi="宋体" w:eastAsia="宋体" w:cs="宋体"/>
          <w:color w:val="auto"/>
          <w:szCs w:val="21"/>
          <w:highlight w:val="none"/>
          <w:lang w:val="en-US" w:eastAsia="zh-CN"/>
        </w:rPr>
      </w:pPr>
      <w:r>
        <w:rPr>
          <w:rFonts w:ascii="宋体" w:hAnsi="宋体" w:cs="宋体"/>
          <w:color w:val="auto"/>
          <w:szCs w:val="21"/>
          <w:highlight w:val="none"/>
        </w:rPr>
        <w:t>（</w:t>
      </w:r>
      <w:r>
        <w:rPr>
          <w:rFonts w:hint="eastAsia" w:ascii="宋体" w:hAnsi="宋体" w:cs="宋体"/>
          <w:color w:val="auto"/>
          <w:szCs w:val="21"/>
          <w:highlight w:val="none"/>
        </w:rPr>
        <w:t>2</w:t>
      </w:r>
      <w:r>
        <w:rPr>
          <w:rFonts w:ascii="宋体" w:hAnsi="宋体" w:cs="宋体"/>
          <w:color w:val="auto"/>
          <w:szCs w:val="21"/>
          <w:highlight w:val="none"/>
        </w:rPr>
        <w:t>）根据《财政部 发展改革委 生态环境部 市场监管总局关于调整优化节能产品、环境标志产品政府采购执行机制的通知》（财库〔2019〕9 号）和《关于印发节能产品政府采购品目清单的通知》（财库〔2019〕19 号）的规定，采购需求中的产品属于节能产品政府采购品目清单内标注“★ ”的（详见本章后附的节能产品政府采购品目清单），</w:t>
      </w:r>
      <w:r>
        <w:rPr>
          <w:rFonts w:hint="eastAsia" w:ascii="宋体" w:hAnsi="宋体" w:cs="宋体"/>
          <w:b w:val="0"/>
          <w:bCs w:val="0"/>
          <w:color w:val="auto"/>
          <w:szCs w:val="21"/>
          <w:highlight w:val="none"/>
        </w:rPr>
        <w:t>供应商的竞标货物必须使用政府强制采购的节能产品，供应商必须在响应文件中提供所竞标产品</w:t>
      </w:r>
      <w:r>
        <w:rPr>
          <w:rFonts w:hint="eastAsia"/>
          <w:b w:val="0"/>
          <w:bCs w:val="0"/>
          <w:color w:val="auto"/>
          <w:highlight w:val="none"/>
        </w:rPr>
        <w:t>有效期内</w:t>
      </w:r>
      <w:r>
        <w:rPr>
          <w:rFonts w:hint="eastAsia" w:ascii="宋体" w:hAnsi="宋体" w:cs="宋体"/>
          <w:b w:val="0"/>
          <w:bCs w:val="0"/>
          <w:color w:val="auto"/>
          <w:szCs w:val="21"/>
          <w:highlight w:val="none"/>
        </w:rPr>
        <w:t>的节能产品认证证书复印件（加盖供应商公章），否则响应文件作无效处理。如本项目包含的配套货物属于品目清单内非标注“★”的产品时，应优先采购</w:t>
      </w:r>
      <w:r>
        <w:rPr>
          <w:rFonts w:ascii="宋体" w:hAnsi="宋体" w:cs="宋体"/>
          <w:color w:val="auto"/>
          <w:szCs w:val="21"/>
          <w:highlight w:val="none"/>
        </w:rPr>
        <w:t>。</w:t>
      </w:r>
    </w:p>
    <w:p w14:paraId="369117E3">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 “实质性要求”是指采购需求中带“▲”的条款或者不能负偏离的条款或者已经指明不满足按响应文件按无效处理的条款。</w:t>
      </w:r>
    </w:p>
    <w:p w14:paraId="5A0EE1F3">
      <w:pPr>
        <w:pStyle w:val="2"/>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3.采购需求中如出现品牌、型号等均仅起参考作用，供应商可参照或者选用其他品牌、型号替代，但这些替代的产品要实质上相当于或优于参考品牌型号及其技术参数性能（配置）要求。</w:t>
      </w:r>
    </w:p>
    <w:p w14:paraId="01F08150">
      <w:pPr>
        <w:spacing w:line="360" w:lineRule="auto"/>
        <w:ind w:firstLine="424" w:firstLineChars="202"/>
        <w:jc w:val="left"/>
        <w:rPr>
          <w:rFonts w:hint="eastAsia"/>
          <w:color w:val="auto"/>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.供应商应根据自身实际情况如实响应谈判文件</w:t>
      </w:r>
      <w:r>
        <w:rPr>
          <w:rFonts w:hint="eastAsia" w:ascii="宋体" w:hAnsi="宋体"/>
          <w:color w:val="auto"/>
          <w:szCs w:val="21"/>
          <w:highlight w:val="none"/>
        </w:rPr>
        <w:t>，不得仅将</w:t>
      </w:r>
      <w:r>
        <w:rPr>
          <w:rFonts w:hint="eastAsia" w:ascii="宋体" w:hAnsi="宋体" w:cs="宋体"/>
          <w:color w:val="auto"/>
          <w:szCs w:val="21"/>
          <w:highlight w:val="none"/>
        </w:rPr>
        <w:t>谈判文件</w:t>
      </w:r>
      <w:r>
        <w:rPr>
          <w:rFonts w:hint="eastAsia" w:ascii="宋体" w:hAnsi="宋体"/>
          <w:color w:val="auto"/>
          <w:szCs w:val="21"/>
          <w:highlight w:val="none"/>
        </w:rPr>
        <w:t>内容简单复制粘贴作为竞标响应，还应当提供相关证明材料，否则将按无效响应处理。</w:t>
      </w:r>
      <w:r>
        <w:rPr>
          <w:rFonts w:hint="eastAsia"/>
          <w:color w:val="auto"/>
          <w:highlight w:val="none"/>
        </w:rPr>
        <w:t>对于重要技术条款或技术参数应当在响应文件中提供技术支持资料，技术支持资料以谈判文件中规定的形式为准，否则将视为无效技术支持资料。</w:t>
      </w:r>
    </w:p>
    <w:p w14:paraId="42ED91CC">
      <w:pPr>
        <w:pStyle w:val="2"/>
        <w:ind w:firstLine="422" w:firstLineChars="200"/>
        <w:rPr>
          <w:rFonts w:hint="default" w:ascii="宋体" w:hAnsi="宋体" w:eastAsia="宋体" w:cs="Arial"/>
          <w:b/>
          <w:bCs w:val="0"/>
          <w:color w:val="auto"/>
          <w:szCs w:val="21"/>
          <w:highlight w:val="none"/>
          <w:u w:val="single"/>
          <w:lang w:val="en-US" w:eastAsia="zh-CN"/>
        </w:rPr>
      </w:pPr>
      <w:bookmarkStart w:id="46" w:name="_Hlk48036094"/>
      <w:r>
        <w:rPr>
          <w:rFonts w:hint="eastAsia" w:ascii="宋体" w:hAnsi="宋体" w:cs="Arial"/>
          <w:b/>
          <w:bCs w:val="0"/>
          <w:color w:val="auto"/>
          <w:szCs w:val="21"/>
          <w:highlight w:val="none"/>
          <w:u w:val="none"/>
          <w:lang w:val="en-US" w:eastAsia="zh-CN"/>
        </w:rPr>
        <w:t>5.本项目采购标的</w:t>
      </w:r>
      <w:r>
        <w:rPr>
          <w:rFonts w:hint="eastAsia" w:ascii="宋体" w:hAnsi="宋体" w:eastAsia="宋体" w:cs="宋体"/>
          <w:b/>
          <w:bCs/>
          <w:sz w:val="21"/>
          <w:szCs w:val="21"/>
        </w:rPr>
        <w:t>中小企业划分标准所属行业名称</w:t>
      </w:r>
      <w:r>
        <w:rPr>
          <w:rFonts w:hint="eastAsia" w:ascii="宋体" w:hAnsi="宋体" w:cs="Arial"/>
          <w:b/>
          <w:bCs w:val="0"/>
          <w:color w:val="auto"/>
          <w:szCs w:val="21"/>
          <w:highlight w:val="none"/>
          <w:u w:val="none"/>
          <w:lang w:val="en-US" w:eastAsia="zh-CN"/>
        </w:rPr>
        <w:t>：</w:t>
      </w:r>
      <w:r>
        <w:rPr>
          <w:rFonts w:hint="eastAsia" w:ascii="宋体" w:hAnsi="宋体" w:cs="Arial"/>
          <w:b/>
          <w:bCs w:val="0"/>
          <w:color w:val="auto"/>
          <w:szCs w:val="21"/>
          <w:highlight w:val="none"/>
          <w:u w:val="single"/>
          <w:lang w:val="en-US" w:eastAsia="zh-CN"/>
        </w:rPr>
        <w:t xml:space="preserve"> 工业 </w:t>
      </w:r>
    </w:p>
    <w:p w14:paraId="248B5552">
      <w:pPr>
        <w:spacing w:line="360" w:lineRule="auto"/>
        <w:ind w:firstLine="310" w:firstLineChars="147"/>
        <w:jc w:val="left"/>
        <w:rPr>
          <w:rFonts w:hint="eastAsia" w:ascii="宋体" w:hAnsi="宋体"/>
          <w:b/>
          <w:color w:val="auto"/>
          <w:szCs w:val="21"/>
          <w:highlight w:val="none"/>
        </w:rPr>
      </w:pPr>
    </w:p>
    <w:p w14:paraId="7D8C4E89">
      <w:pPr>
        <w:spacing w:line="360" w:lineRule="auto"/>
        <w:ind w:firstLine="422" w:firstLineChars="200"/>
        <w:rPr>
          <w:rFonts w:hint="eastAsia" w:ascii="宋体" w:hAnsi="宋体" w:cs="Arial"/>
          <w:bCs/>
          <w:color w:val="auto"/>
          <w:szCs w:val="21"/>
          <w:highlight w:val="none"/>
          <w:u w:val="single"/>
        </w:rPr>
      </w:pPr>
      <w:r>
        <w:rPr>
          <w:rFonts w:hint="eastAsia" w:ascii="宋体" w:hAnsi="宋体"/>
          <w:b/>
          <w:color w:val="auto"/>
          <w:szCs w:val="21"/>
          <w:highlight w:val="none"/>
        </w:rPr>
        <w:t>采购预算：</w:t>
      </w:r>
      <w:r>
        <w:rPr>
          <w:rFonts w:hint="eastAsia" w:ascii="宋体" w:hAnsi="宋体" w:eastAsia="宋体" w:cs="Arial"/>
          <w:b/>
          <w:color w:val="auto"/>
          <w:szCs w:val="21"/>
          <w:highlight w:val="none"/>
          <w:u w:val="single"/>
        </w:rPr>
        <w:t xml:space="preserve"> </w:t>
      </w:r>
      <w:r>
        <w:rPr>
          <w:rFonts w:hint="eastAsia" w:ascii="宋体" w:hAnsi="宋体" w:eastAsia="宋体" w:cs="Arial"/>
          <w:b/>
          <w:color w:val="auto"/>
          <w:szCs w:val="21"/>
          <w:highlight w:val="none"/>
          <w:u w:val="single"/>
          <w:lang w:eastAsia="zh-CN"/>
        </w:rPr>
        <w:t>738740.00</w:t>
      </w:r>
      <w:r>
        <w:rPr>
          <w:rFonts w:hint="eastAsia" w:ascii="宋体" w:hAnsi="宋体" w:eastAsia="宋体" w:cs="Arial"/>
          <w:b/>
          <w:color w:val="auto"/>
          <w:szCs w:val="21"/>
          <w:highlight w:val="none"/>
          <w:u w:val="single"/>
        </w:rPr>
        <w:t xml:space="preserve">元 </w:t>
      </w:r>
      <w:r>
        <w:rPr>
          <w:rFonts w:hint="eastAsia" w:ascii="宋体" w:hAnsi="宋体" w:cs="Arial"/>
          <w:b/>
          <w:color w:val="auto"/>
          <w:szCs w:val="21"/>
          <w:highlight w:val="none"/>
          <w:u w:val="single"/>
        </w:rPr>
        <w:t xml:space="preserve"> </w:t>
      </w:r>
    </w:p>
    <w:p w14:paraId="70651638">
      <w:pPr>
        <w:spacing w:line="360" w:lineRule="auto"/>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本</w:t>
      </w:r>
      <w:r>
        <w:rPr>
          <w:rFonts w:hint="eastAsia" w:ascii="宋体" w:hAnsi="宋体"/>
          <w:b/>
          <w:color w:val="auto"/>
          <w:szCs w:val="21"/>
          <w:highlight w:val="none"/>
          <w:lang w:eastAsia="zh-CN"/>
        </w:rPr>
        <w:t>项目</w:t>
      </w:r>
      <w:r>
        <w:rPr>
          <w:rFonts w:hint="eastAsia" w:ascii="宋体" w:hAnsi="宋体"/>
          <w:b/>
          <w:color w:val="auto"/>
          <w:szCs w:val="21"/>
          <w:highlight w:val="none"/>
        </w:rPr>
        <w:t>的核心产品为下表的</w:t>
      </w:r>
      <w:r>
        <w:rPr>
          <w:rFonts w:hint="eastAsia" w:ascii="宋体" w:hAnsi="宋体"/>
          <w:b/>
          <w:color w:val="auto"/>
          <w:szCs w:val="21"/>
          <w:highlight w:val="none"/>
          <w:u w:val="single"/>
        </w:rPr>
        <w:t>第</w:t>
      </w:r>
      <w:r>
        <w:rPr>
          <w:rFonts w:hint="eastAsia" w:ascii="宋体" w:hAnsi="宋体"/>
          <w:b/>
          <w:color w:val="auto"/>
          <w:szCs w:val="21"/>
          <w:highlight w:val="none"/>
          <w:u w:val="single"/>
          <w:lang w:val="en-US" w:eastAsia="zh-CN"/>
        </w:rPr>
        <w:t>1</w:t>
      </w:r>
      <w:r>
        <w:rPr>
          <w:rFonts w:hint="eastAsia" w:ascii="宋体" w:hAnsi="宋体"/>
          <w:b/>
          <w:color w:val="auto"/>
          <w:szCs w:val="21"/>
          <w:highlight w:val="none"/>
          <w:u w:val="single"/>
        </w:rPr>
        <w:t>项</w:t>
      </w:r>
      <w:r>
        <w:rPr>
          <w:rFonts w:hint="eastAsia" w:ascii="宋体" w:hAnsi="宋体"/>
          <w:b/>
          <w:color w:val="auto"/>
          <w:szCs w:val="21"/>
          <w:highlight w:val="none"/>
          <w:u w:val="single"/>
          <w:lang w:eastAsia="zh-CN"/>
        </w:rPr>
        <w:t>、</w:t>
      </w:r>
      <w:r>
        <w:rPr>
          <w:rFonts w:hint="eastAsia" w:ascii="宋体" w:hAnsi="宋体"/>
          <w:b/>
          <w:color w:val="auto"/>
          <w:szCs w:val="21"/>
          <w:highlight w:val="none"/>
          <w:u w:val="single"/>
          <w:lang w:val="en-US" w:eastAsia="zh-CN"/>
        </w:rPr>
        <w:t>第38项</w:t>
      </w:r>
      <w:r>
        <w:rPr>
          <w:rFonts w:hint="eastAsia" w:ascii="宋体" w:hAnsi="宋体"/>
          <w:b/>
          <w:color w:val="auto"/>
          <w:szCs w:val="21"/>
          <w:highlight w:val="none"/>
        </w:rPr>
        <w:t>产品。</w:t>
      </w:r>
    </w:p>
    <w:tbl>
      <w:tblPr>
        <w:tblStyle w:val="25"/>
        <w:tblW w:w="9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160"/>
        <w:gridCol w:w="703"/>
        <w:gridCol w:w="20"/>
        <w:gridCol w:w="648"/>
        <w:gridCol w:w="1268"/>
        <w:gridCol w:w="4751"/>
      </w:tblGrid>
      <w:tr w14:paraId="4198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210" w:type="dxa"/>
            <w:gridSpan w:val="7"/>
            <w:noWrap w:val="0"/>
            <w:vAlign w:val="center"/>
          </w:tcPr>
          <w:p w14:paraId="205211EE">
            <w:pPr>
              <w:jc w:val="both"/>
              <w:rPr>
                <w:rFonts w:hint="default"/>
                <w:b/>
                <w:bCs/>
                <w:vertAlign w:val="baseline"/>
                <w:lang w:val="en-US" w:eastAsia="zh-CN"/>
              </w:rPr>
            </w:pPr>
            <w:r>
              <w:rPr>
                <w:rFonts w:hint="default"/>
                <w:b/>
                <w:bCs/>
                <w:vertAlign w:val="baseline"/>
                <w:lang w:val="en-US" w:eastAsia="zh-CN"/>
              </w:rPr>
              <w:t>DNA检验鉴定试剂耗材</w:t>
            </w:r>
          </w:p>
        </w:tc>
      </w:tr>
      <w:tr w14:paraId="6F69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660" w:type="dxa"/>
            <w:noWrap w:val="0"/>
            <w:vAlign w:val="center"/>
          </w:tcPr>
          <w:p w14:paraId="4C3A3960">
            <w:pPr>
              <w:jc w:val="center"/>
              <w:rPr>
                <w:rFonts w:hint="eastAsia"/>
                <w:vertAlign w:val="baseline"/>
                <w:lang w:val="en-US" w:eastAsia="zh-CN"/>
              </w:rPr>
            </w:pPr>
            <w:r>
              <w:rPr>
                <w:rFonts w:hint="eastAsia"/>
                <w:vertAlign w:val="baseline"/>
                <w:lang w:val="en-US" w:eastAsia="zh-CN"/>
              </w:rPr>
              <w:t>序号</w:t>
            </w:r>
          </w:p>
        </w:tc>
        <w:tc>
          <w:tcPr>
            <w:tcW w:w="1160" w:type="dxa"/>
            <w:noWrap w:val="0"/>
            <w:vAlign w:val="center"/>
          </w:tcPr>
          <w:p w14:paraId="3719B8F6">
            <w:pPr>
              <w:jc w:val="center"/>
              <w:rPr>
                <w:rFonts w:hint="eastAsia"/>
                <w:vertAlign w:val="baseline"/>
                <w:lang w:val="en-US" w:eastAsia="zh-CN"/>
              </w:rPr>
            </w:pPr>
            <w:r>
              <w:rPr>
                <w:rFonts w:hint="eastAsia"/>
                <w:vertAlign w:val="baseline"/>
                <w:lang w:val="en-US" w:eastAsia="zh-CN"/>
              </w:rPr>
              <w:t>名称</w:t>
            </w:r>
          </w:p>
        </w:tc>
        <w:tc>
          <w:tcPr>
            <w:tcW w:w="703" w:type="dxa"/>
            <w:noWrap w:val="0"/>
            <w:vAlign w:val="center"/>
          </w:tcPr>
          <w:p w14:paraId="06DC1FAB">
            <w:pPr>
              <w:jc w:val="center"/>
              <w:rPr>
                <w:rFonts w:hint="eastAsia"/>
                <w:vertAlign w:val="baseline"/>
                <w:lang w:val="en-US" w:eastAsia="zh-CN"/>
              </w:rPr>
            </w:pPr>
            <w:r>
              <w:rPr>
                <w:rFonts w:hint="eastAsia"/>
                <w:vertAlign w:val="baseline"/>
                <w:lang w:val="en-US" w:eastAsia="zh-CN"/>
              </w:rPr>
              <w:t>单位</w:t>
            </w:r>
          </w:p>
        </w:tc>
        <w:tc>
          <w:tcPr>
            <w:tcW w:w="668" w:type="dxa"/>
            <w:gridSpan w:val="2"/>
            <w:noWrap w:val="0"/>
            <w:vAlign w:val="center"/>
          </w:tcPr>
          <w:p w14:paraId="37825191">
            <w:pPr>
              <w:jc w:val="center"/>
              <w:rPr>
                <w:rFonts w:hint="eastAsia"/>
                <w:vertAlign w:val="baseline"/>
                <w:lang w:val="en-US" w:eastAsia="zh-CN"/>
              </w:rPr>
            </w:pPr>
            <w:r>
              <w:rPr>
                <w:rFonts w:hint="eastAsia"/>
                <w:vertAlign w:val="baseline"/>
                <w:lang w:val="en-US" w:eastAsia="zh-CN"/>
              </w:rPr>
              <w:t>数量</w:t>
            </w:r>
          </w:p>
        </w:tc>
        <w:tc>
          <w:tcPr>
            <w:tcW w:w="1268" w:type="dxa"/>
            <w:noWrap w:val="0"/>
            <w:vAlign w:val="center"/>
          </w:tcPr>
          <w:p w14:paraId="6A5F1EDE">
            <w:pPr>
              <w:jc w:val="center"/>
              <w:rPr>
                <w:rFonts w:hint="eastAsia"/>
                <w:vertAlign w:val="baseline"/>
                <w:lang w:val="en-US" w:eastAsia="zh-CN"/>
              </w:rPr>
            </w:pPr>
            <w:r>
              <w:rPr>
                <w:rFonts w:hint="eastAsia"/>
                <w:vertAlign w:val="baseline"/>
                <w:lang w:val="en-US" w:eastAsia="zh-CN"/>
              </w:rPr>
              <w:t>单价（元）</w:t>
            </w:r>
          </w:p>
        </w:tc>
        <w:tc>
          <w:tcPr>
            <w:tcW w:w="4751" w:type="dxa"/>
            <w:noWrap w:val="0"/>
            <w:vAlign w:val="center"/>
          </w:tcPr>
          <w:p w14:paraId="66BDBAA6">
            <w:pPr>
              <w:jc w:val="center"/>
              <w:rPr>
                <w:rFonts w:hint="default"/>
                <w:vertAlign w:val="baseline"/>
                <w:lang w:val="en-US" w:eastAsia="zh-CN"/>
              </w:rPr>
            </w:pPr>
            <w:r>
              <w:rPr>
                <w:rFonts w:hint="eastAsia"/>
                <w:vertAlign w:val="baseline"/>
                <w:lang w:val="en-US" w:eastAsia="zh-CN"/>
              </w:rPr>
              <w:t>技术参数、规格及要求</w:t>
            </w:r>
          </w:p>
        </w:tc>
      </w:tr>
      <w:tr w14:paraId="09CC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0C6EC6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160" w:type="dxa"/>
            <w:noWrap w:val="0"/>
            <w:vAlign w:val="center"/>
          </w:tcPr>
          <w:p w14:paraId="515A0A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32位点扩增荧光检测试剂盒</w:t>
            </w:r>
          </w:p>
          <w:p w14:paraId="6327FCBF">
            <w:pPr>
              <w:pStyle w:val="2"/>
              <w:rPr>
                <w:rFonts w:hint="default"/>
                <w:lang w:val="en-US" w:eastAsia="zh-CN"/>
              </w:rPr>
            </w:pPr>
            <w:r>
              <w:rPr>
                <w:rFonts w:hint="eastAsia" w:ascii="宋体" w:hAnsi="宋体" w:cs="宋体"/>
                <w:b/>
                <w:bCs/>
                <w:i w:val="0"/>
                <w:iCs w:val="0"/>
                <w:color w:val="000000"/>
                <w:kern w:val="0"/>
                <w:sz w:val="21"/>
                <w:szCs w:val="21"/>
                <w:u w:val="none"/>
                <w:lang w:val="en-US" w:eastAsia="zh-CN" w:bidi="ar"/>
              </w:rPr>
              <w:t>（核心产品）</w:t>
            </w:r>
          </w:p>
        </w:tc>
        <w:tc>
          <w:tcPr>
            <w:tcW w:w="703" w:type="dxa"/>
            <w:noWrap w:val="0"/>
            <w:vAlign w:val="center"/>
          </w:tcPr>
          <w:p w14:paraId="1C5604C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411C81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1268" w:type="dxa"/>
            <w:noWrap w:val="0"/>
            <w:vAlign w:val="center"/>
          </w:tcPr>
          <w:p w14:paraId="2DF913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16,700.00 </w:t>
            </w:r>
          </w:p>
        </w:tc>
        <w:tc>
          <w:tcPr>
            <w:tcW w:w="4751" w:type="dxa"/>
            <w:noWrap w:val="0"/>
            <w:vAlign w:val="top"/>
          </w:tcPr>
          <w:p w14:paraId="1CAF4E7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top"/>
              <w:rPr>
                <w:rStyle w:val="65"/>
                <w:rFonts w:hint="eastAsia" w:ascii="宋体" w:hAnsi="宋体" w:eastAsia="宋体" w:cs="宋体"/>
                <w:color w:val="auto"/>
                <w:sz w:val="21"/>
                <w:szCs w:val="21"/>
                <w:lang w:val="en-US" w:eastAsia="zh-CN" w:bidi="ar"/>
              </w:rPr>
            </w:pPr>
            <w:r>
              <w:rPr>
                <w:rStyle w:val="65"/>
                <w:rFonts w:hint="eastAsia" w:ascii="宋体" w:hAnsi="宋体" w:eastAsia="宋体" w:cs="宋体"/>
                <w:color w:val="auto"/>
                <w:sz w:val="21"/>
                <w:szCs w:val="21"/>
                <w:lang w:val="en-US" w:eastAsia="zh-CN" w:bidi="ar"/>
              </w:rPr>
              <w:t>规格：</w:t>
            </w:r>
            <w:r>
              <w:rPr>
                <w:rFonts w:hint="eastAsia" w:ascii="宋体" w:hAnsi="宋体" w:eastAsia="宋体" w:cs="宋体"/>
                <w:i w:val="0"/>
                <w:iCs w:val="0"/>
                <w:color w:val="auto"/>
                <w:kern w:val="0"/>
                <w:sz w:val="21"/>
                <w:szCs w:val="21"/>
                <w:u w:val="none"/>
                <w:lang w:val="en-US" w:eastAsia="zh-CN" w:bidi="ar"/>
              </w:rPr>
              <w:t>200人份/盒</w:t>
            </w:r>
          </w:p>
          <w:p w14:paraId="2CE57A4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top"/>
              <w:rPr>
                <w:rFonts w:hint="eastAsia" w:ascii="宋体" w:hAnsi="宋体" w:eastAsia="宋体" w:cs="宋体"/>
                <w:color w:val="auto"/>
                <w:sz w:val="21"/>
                <w:szCs w:val="21"/>
                <w:vertAlign w:val="baseline"/>
                <w:lang w:val="en-US" w:eastAsia="zh-CN"/>
              </w:rPr>
            </w:pPr>
            <w:r>
              <w:rPr>
                <w:rStyle w:val="65"/>
                <w:rFonts w:hint="eastAsia" w:ascii="宋体" w:hAnsi="宋体" w:eastAsia="宋体" w:cs="宋体"/>
                <w:color w:val="auto"/>
                <w:sz w:val="21"/>
                <w:szCs w:val="21"/>
                <w:lang w:val="en-US" w:eastAsia="zh-CN" w:bidi="ar"/>
              </w:rPr>
              <w:t>▲1、</w:t>
            </w:r>
            <w:r>
              <w:rPr>
                <w:rStyle w:val="65"/>
                <w:rFonts w:hint="eastAsia" w:ascii="宋体" w:hAnsi="宋体" w:eastAsia="宋体" w:cs="宋体"/>
                <w:i w:val="0"/>
                <w:iCs w:val="0"/>
                <w:color w:val="auto"/>
                <w:sz w:val="21"/>
                <w:szCs w:val="21"/>
                <w:lang w:val="en-US" w:eastAsia="zh-CN" w:bidi="ar"/>
              </w:rPr>
              <w:t>本次项目所采用试剂盒采</w:t>
            </w:r>
            <w:r>
              <w:rPr>
                <w:rStyle w:val="66"/>
                <w:rFonts w:hint="eastAsia" w:ascii="宋体" w:hAnsi="宋体" w:eastAsia="宋体" w:cs="宋体"/>
                <w:color w:val="auto"/>
                <w:sz w:val="21"/>
                <w:szCs w:val="21"/>
                <w:lang w:val="en-US" w:eastAsia="zh-CN" w:bidi="ar"/>
              </w:rPr>
              <w:t>用六色荧光技术，符合公安部常规数据库和DNA打拐数据库要求</w:t>
            </w:r>
            <w:r>
              <w:rPr>
                <w:rStyle w:val="65"/>
                <w:rFonts w:hint="eastAsia" w:ascii="宋体" w:hAnsi="宋体" w:eastAsia="宋体" w:cs="宋体"/>
                <w:color w:val="auto"/>
                <w:sz w:val="21"/>
                <w:szCs w:val="21"/>
                <w:lang w:val="en-US" w:eastAsia="zh-CN" w:bidi="ar"/>
              </w:rPr>
              <w:t>，可同时检测以下30个常染色体基因座：D3S1358，TH01，D21S11，D18S51，Penta E，D19S253，D12S391，D6S1043，D2S1338，D15S659，D6S477，D5S818，D13S317，D7S820，D19S433，CSF1PO，Penta D，D2S441，vWA，D8S1179，TPOX，FGA，D4S2366,D3S3045，D16S539，D22S1045，D8S1132，D1S1656，D10S1248，D10S1435。</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2、</w:t>
            </w:r>
            <w:r>
              <w:rPr>
                <w:rStyle w:val="65"/>
                <w:rFonts w:hint="eastAsia" w:ascii="宋体" w:hAnsi="宋体" w:eastAsia="宋体" w:cs="宋体"/>
                <w:i w:val="0"/>
                <w:iCs w:val="0"/>
                <w:color w:val="auto"/>
                <w:sz w:val="21"/>
                <w:szCs w:val="21"/>
                <w:lang w:val="en-US" w:eastAsia="zh-CN" w:bidi="ar"/>
              </w:rPr>
              <w:t>本次项目所采用试剂</w:t>
            </w:r>
            <w:r>
              <w:rPr>
                <w:rStyle w:val="65"/>
                <w:rFonts w:hint="eastAsia" w:ascii="宋体" w:hAnsi="宋体" w:eastAsia="宋体" w:cs="宋体"/>
                <w:color w:val="auto"/>
                <w:sz w:val="21"/>
                <w:szCs w:val="21"/>
                <w:lang w:val="en-US" w:eastAsia="zh-CN" w:bidi="ar"/>
              </w:rPr>
              <w:t>盒包含1个性别标记基因座以及1个Y染色体插入缺失片段。</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3、</w:t>
            </w:r>
            <w:r>
              <w:rPr>
                <w:rStyle w:val="65"/>
                <w:rFonts w:hint="eastAsia" w:ascii="宋体" w:hAnsi="宋体" w:eastAsia="宋体" w:cs="宋体"/>
                <w:i w:val="0"/>
                <w:iCs w:val="0"/>
                <w:color w:val="auto"/>
                <w:sz w:val="21"/>
                <w:szCs w:val="21"/>
                <w:lang w:val="en-US" w:eastAsia="zh-CN" w:bidi="ar"/>
              </w:rPr>
              <w:t>本次项目所采用试</w:t>
            </w:r>
            <w:r>
              <w:rPr>
                <w:rStyle w:val="65"/>
                <w:rFonts w:hint="eastAsia" w:ascii="宋体" w:hAnsi="宋体" w:eastAsia="宋体" w:cs="宋体"/>
                <w:color w:val="auto"/>
                <w:sz w:val="21"/>
                <w:szCs w:val="21"/>
                <w:lang w:val="en-US" w:eastAsia="zh-CN" w:bidi="ar"/>
              </w:rPr>
              <w:t>剂盒最大扩增片段不超过500bp。</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4、试剂盒单次检测不得低于10微升反应体系。</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5、保证建库服务的准确性，建库服务所采用试剂盒实体bin数量不低于440个，实体bin和虚拟bin总数不低于550个。</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6、本次项目所采用试剂盒名称和基因座位点信息已经收录国家数据库，数据可直接导入国家数据库</w:t>
            </w:r>
            <w:r>
              <w:rPr>
                <w:rStyle w:val="65"/>
                <w:rFonts w:hint="eastAsia" w:ascii="宋体" w:hAnsi="宋体" w:eastAsia="宋体" w:cs="宋体"/>
                <w:color w:val="auto"/>
                <w:sz w:val="21"/>
                <w:szCs w:val="21"/>
                <w:highlight w:val="none"/>
                <w:lang w:val="en-US" w:eastAsia="zh-CN" w:bidi="ar"/>
              </w:rPr>
              <w:t>。</w:t>
            </w:r>
            <w:r>
              <w:rPr>
                <w:rStyle w:val="65"/>
                <w:rFonts w:hint="eastAsia" w:ascii="宋体" w:hAnsi="宋体" w:eastAsia="宋体" w:cs="宋体"/>
                <w:i w:val="0"/>
                <w:iCs w:val="0"/>
                <w:color w:val="auto"/>
                <w:sz w:val="21"/>
                <w:szCs w:val="21"/>
                <w:highlight w:val="none"/>
                <w:lang w:val="en-US" w:eastAsia="zh-CN" w:bidi="ar"/>
              </w:rPr>
              <w:t>（提供相应证明文件材料）</w:t>
            </w:r>
            <w:r>
              <w:rPr>
                <w:rStyle w:val="65"/>
                <w:rFonts w:hint="eastAsia" w:ascii="宋体" w:hAnsi="宋体" w:eastAsia="宋体" w:cs="宋体"/>
                <w:i w:val="0"/>
                <w:iCs w:val="0"/>
                <w:color w:val="auto"/>
                <w:sz w:val="21"/>
                <w:szCs w:val="21"/>
                <w:highlight w:val="none"/>
                <w:lang w:val="en-US" w:eastAsia="zh-CN" w:bidi="ar"/>
              </w:rPr>
              <w:br w:type="textWrapping"/>
            </w:r>
            <w:r>
              <w:rPr>
                <w:rStyle w:val="65"/>
                <w:rFonts w:hint="eastAsia" w:ascii="宋体" w:hAnsi="宋体" w:eastAsia="宋体" w:cs="宋体"/>
                <w:color w:val="auto"/>
                <w:sz w:val="21"/>
                <w:szCs w:val="21"/>
                <w:highlight w:val="none"/>
                <w:lang w:val="en-US" w:eastAsia="zh-CN" w:bidi="ar"/>
              </w:rPr>
              <w:t>▲7、</w:t>
            </w:r>
            <w:r>
              <w:rPr>
                <w:rStyle w:val="65"/>
                <w:rFonts w:hint="eastAsia" w:ascii="宋体" w:hAnsi="宋体" w:eastAsia="宋体" w:cs="宋体"/>
                <w:i w:val="0"/>
                <w:iCs w:val="0"/>
                <w:color w:val="auto"/>
                <w:sz w:val="21"/>
                <w:szCs w:val="21"/>
                <w:highlight w:val="none"/>
                <w:lang w:val="en-US" w:eastAsia="zh-CN" w:bidi="ar"/>
              </w:rPr>
              <w:t>本次项目所采用试剂盒须为符合国家质量标准的全新产品，须具有中国安全技术防范认证中心颁发的《中国公共安全产品认证证书》。（提供相应证明文件材料）</w:t>
            </w:r>
            <w:r>
              <w:rPr>
                <w:rStyle w:val="65"/>
                <w:rFonts w:hint="eastAsia" w:ascii="宋体" w:hAnsi="宋体" w:eastAsia="宋体" w:cs="宋体"/>
                <w:i w:val="0"/>
                <w:iCs w:val="0"/>
                <w:color w:val="auto"/>
                <w:sz w:val="21"/>
                <w:szCs w:val="21"/>
                <w:highlight w:val="none"/>
                <w:lang w:val="en-US" w:eastAsia="zh-CN" w:bidi="ar"/>
              </w:rPr>
              <w:br w:type="textWrapping"/>
            </w:r>
            <w:r>
              <w:rPr>
                <w:rStyle w:val="65"/>
                <w:rFonts w:hint="eastAsia" w:ascii="宋体" w:hAnsi="宋体" w:eastAsia="宋体" w:cs="宋体"/>
                <w:color w:val="auto"/>
                <w:sz w:val="21"/>
                <w:szCs w:val="21"/>
                <w:highlight w:val="none"/>
                <w:lang w:val="en-US" w:eastAsia="zh-CN" w:bidi="ar"/>
              </w:rPr>
              <w:t xml:space="preserve">8、试剂盒通过公安部刑事技术产品质量监督检验中心的检测，并录入全国公安机关DNA鉴定关键试剂耗材质检合格产品及制造商名录。    </w:t>
            </w:r>
            <w:r>
              <w:rPr>
                <w:rStyle w:val="65"/>
                <w:rFonts w:hint="eastAsia" w:ascii="宋体" w:hAnsi="宋体" w:eastAsia="宋体" w:cs="宋体"/>
                <w:color w:val="auto"/>
                <w:sz w:val="21"/>
                <w:szCs w:val="21"/>
                <w:lang w:val="en-US" w:eastAsia="zh-CN" w:bidi="ar"/>
              </w:rPr>
              <w:t xml:space="preserve">                                                                                                                                                                                                                                                                                                          </w:t>
            </w:r>
          </w:p>
        </w:tc>
      </w:tr>
      <w:tr w14:paraId="5E7CF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345226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160" w:type="dxa"/>
            <w:noWrap w:val="0"/>
            <w:vAlign w:val="center"/>
          </w:tcPr>
          <w:p w14:paraId="4048F3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常染色体23个位点荧光检测试剂盒</w:t>
            </w:r>
          </w:p>
        </w:tc>
        <w:tc>
          <w:tcPr>
            <w:tcW w:w="703" w:type="dxa"/>
            <w:noWrap w:val="0"/>
            <w:vAlign w:val="center"/>
          </w:tcPr>
          <w:p w14:paraId="29F605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3A289A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268" w:type="dxa"/>
            <w:noWrap w:val="0"/>
            <w:vAlign w:val="center"/>
          </w:tcPr>
          <w:p w14:paraId="09BF20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21,000.00 </w:t>
            </w:r>
          </w:p>
        </w:tc>
        <w:tc>
          <w:tcPr>
            <w:tcW w:w="4751" w:type="dxa"/>
            <w:noWrap w:val="0"/>
            <w:vAlign w:val="top"/>
          </w:tcPr>
          <w:p w14:paraId="332A9DB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top"/>
              <w:rPr>
                <w:rStyle w:val="65"/>
                <w:rFonts w:hint="eastAsia" w:ascii="宋体" w:hAnsi="宋体" w:eastAsia="宋体" w:cs="宋体"/>
                <w:color w:val="auto"/>
                <w:sz w:val="21"/>
                <w:szCs w:val="21"/>
                <w:lang w:val="en-US" w:eastAsia="zh-CN" w:bidi="ar"/>
              </w:rPr>
            </w:pPr>
            <w:r>
              <w:rPr>
                <w:rStyle w:val="65"/>
                <w:rFonts w:hint="eastAsia" w:ascii="宋体" w:hAnsi="宋体" w:eastAsia="宋体" w:cs="宋体"/>
                <w:color w:val="auto"/>
                <w:sz w:val="21"/>
                <w:szCs w:val="21"/>
                <w:lang w:val="en-US" w:eastAsia="zh-CN" w:bidi="ar"/>
              </w:rPr>
              <w:t>规格：</w:t>
            </w:r>
            <w:r>
              <w:rPr>
                <w:rFonts w:hint="eastAsia" w:ascii="宋体" w:hAnsi="宋体" w:eastAsia="宋体" w:cs="宋体"/>
                <w:i w:val="0"/>
                <w:iCs w:val="0"/>
                <w:color w:val="auto"/>
                <w:kern w:val="0"/>
                <w:sz w:val="21"/>
                <w:szCs w:val="21"/>
                <w:u w:val="none"/>
                <w:lang w:val="en-US" w:eastAsia="zh-CN" w:bidi="ar"/>
              </w:rPr>
              <w:t>200人份/盒</w:t>
            </w:r>
          </w:p>
          <w:p w14:paraId="09928D9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top"/>
              <w:rPr>
                <w:rFonts w:hint="eastAsia" w:ascii="宋体" w:hAnsi="宋体" w:eastAsia="宋体" w:cs="宋体"/>
                <w:color w:val="auto"/>
                <w:sz w:val="21"/>
                <w:szCs w:val="21"/>
                <w:vertAlign w:val="baseline"/>
                <w:lang w:val="en-US" w:eastAsia="zh-CN"/>
              </w:rPr>
            </w:pPr>
            <w:r>
              <w:rPr>
                <w:rStyle w:val="65"/>
                <w:rFonts w:hint="eastAsia" w:ascii="宋体" w:hAnsi="宋体" w:eastAsia="宋体" w:cs="宋体"/>
                <w:color w:val="auto"/>
                <w:sz w:val="21"/>
                <w:szCs w:val="21"/>
                <w:lang w:val="en-US" w:eastAsia="zh-CN" w:bidi="ar"/>
              </w:rPr>
              <w:t>1、为方便运输及保存，</w:t>
            </w:r>
            <w:r>
              <w:rPr>
                <w:rStyle w:val="65"/>
                <w:rFonts w:hint="eastAsia" w:ascii="宋体" w:hAnsi="宋体" w:eastAsia="宋体" w:cs="宋体"/>
                <w:i w:val="0"/>
                <w:iCs w:val="0"/>
                <w:color w:val="auto"/>
                <w:sz w:val="21"/>
                <w:szCs w:val="21"/>
                <w:lang w:val="en-US" w:eastAsia="zh-CN" w:bidi="ar"/>
              </w:rPr>
              <w:t>本次项目所采用试</w:t>
            </w:r>
            <w:r>
              <w:rPr>
                <w:rStyle w:val="65"/>
                <w:rFonts w:hint="eastAsia" w:ascii="宋体" w:hAnsi="宋体" w:eastAsia="宋体" w:cs="宋体"/>
                <w:color w:val="auto"/>
                <w:sz w:val="21"/>
                <w:szCs w:val="21"/>
                <w:lang w:val="en-US" w:eastAsia="zh-CN" w:bidi="ar"/>
              </w:rPr>
              <w:t>剂盒为固态试剂形态，可常温运输无需冷藏。</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2、本次项目所采用试剂盒为六色荧光技术，可检测以下基因座：D8S1179、D21S11、D18S51、D2S1338、D2S441、D5S818、D7S820、D6S1043、PentaD、D3S1358、TH01、D19S433、D12S391、TPOX、D16S539、D13S317、</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FGA、CSF1PO、vWA、D1S1656、Penta E、DYS391、和 1 个性别基因座 Amelogenin。</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▲3、为确保产品的准确性，所投产品实体 bin 数</w:t>
            </w:r>
            <w:r>
              <w:rPr>
                <w:rStyle w:val="65"/>
                <w:rFonts w:hint="eastAsia" w:ascii="宋体" w:hAnsi="宋体" w:eastAsia="宋体" w:cs="宋体"/>
                <w:color w:val="auto"/>
                <w:sz w:val="21"/>
                <w:szCs w:val="21"/>
                <w:highlight w:val="none"/>
                <w:lang w:val="en-US" w:eastAsia="zh-CN" w:bidi="ar"/>
              </w:rPr>
              <w:t>量不少于 356 个，bin总数不少于449个。（</w:t>
            </w:r>
            <w:r>
              <w:rPr>
                <w:rStyle w:val="65"/>
                <w:rFonts w:hint="eastAsia" w:ascii="宋体" w:hAnsi="宋体" w:eastAsia="宋体" w:cs="宋体"/>
                <w:i w:val="0"/>
                <w:iCs w:val="0"/>
                <w:color w:val="auto"/>
                <w:sz w:val="21"/>
                <w:szCs w:val="21"/>
                <w:highlight w:val="none"/>
                <w:lang w:val="en-US" w:eastAsia="zh-CN" w:bidi="ar"/>
              </w:rPr>
              <w:t>投标时需提供生产厂商盖章的证明材料</w:t>
            </w:r>
            <w:r>
              <w:rPr>
                <w:rStyle w:val="65"/>
                <w:rFonts w:hint="eastAsia" w:ascii="宋体" w:hAnsi="宋体" w:eastAsia="宋体" w:cs="宋体"/>
                <w:color w:val="auto"/>
                <w:sz w:val="21"/>
                <w:szCs w:val="21"/>
                <w:highlight w:val="none"/>
                <w:lang w:val="en-US" w:eastAsia="zh-CN" w:bidi="ar"/>
              </w:rPr>
              <w:t>）</w:t>
            </w:r>
            <w:r>
              <w:rPr>
                <w:rStyle w:val="65"/>
                <w:rFonts w:hint="eastAsia" w:ascii="宋体" w:hAnsi="宋体" w:eastAsia="宋体" w:cs="宋体"/>
                <w:color w:val="auto"/>
                <w:sz w:val="21"/>
                <w:szCs w:val="21"/>
                <w:highlight w:val="none"/>
                <w:lang w:val="en-US" w:eastAsia="zh-CN" w:bidi="ar"/>
              </w:rPr>
              <w:br w:type="textWrapping"/>
            </w:r>
            <w:r>
              <w:rPr>
                <w:rStyle w:val="65"/>
                <w:rFonts w:hint="eastAsia" w:ascii="宋体" w:hAnsi="宋体" w:eastAsia="宋体" w:cs="宋体"/>
                <w:color w:val="auto"/>
                <w:sz w:val="21"/>
                <w:szCs w:val="21"/>
                <w:highlight w:val="none"/>
                <w:lang w:val="en-US" w:eastAsia="zh-CN" w:bidi="ar"/>
              </w:rPr>
              <w:t>▲4、</w:t>
            </w:r>
            <w:r>
              <w:rPr>
                <w:rStyle w:val="65"/>
                <w:rFonts w:hint="eastAsia" w:ascii="宋体" w:hAnsi="宋体" w:eastAsia="宋体" w:cs="宋体"/>
                <w:i w:val="0"/>
                <w:iCs w:val="0"/>
                <w:color w:val="auto"/>
                <w:sz w:val="21"/>
                <w:szCs w:val="21"/>
                <w:highlight w:val="none"/>
                <w:lang w:val="en-US" w:eastAsia="zh-CN" w:bidi="ar"/>
              </w:rPr>
              <w:t>本次项目采用的试</w:t>
            </w:r>
            <w:r>
              <w:rPr>
                <w:rStyle w:val="65"/>
                <w:rFonts w:hint="eastAsia" w:ascii="宋体" w:hAnsi="宋体" w:eastAsia="宋体" w:cs="宋体"/>
                <w:color w:val="auto"/>
                <w:sz w:val="21"/>
                <w:szCs w:val="21"/>
                <w:highlight w:val="none"/>
                <w:lang w:val="en-US" w:eastAsia="zh-CN" w:bidi="ar"/>
              </w:rPr>
              <w:t>剂盒所有基因座最大扩增片段不超过400bp，其中不少于15个小于250bp的基因座。（</w:t>
            </w:r>
            <w:r>
              <w:rPr>
                <w:rStyle w:val="65"/>
                <w:rFonts w:hint="eastAsia" w:ascii="宋体" w:hAnsi="宋体" w:eastAsia="宋体" w:cs="宋体"/>
                <w:i w:val="0"/>
                <w:iCs w:val="0"/>
                <w:color w:val="auto"/>
                <w:sz w:val="21"/>
                <w:szCs w:val="21"/>
                <w:highlight w:val="none"/>
                <w:lang w:val="en-US" w:eastAsia="zh-CN" w:bidi="ar"/>
              </w:rPr>
              <w:t>投标时需提供生产厂商盖章的证明材料）</w:t>
            </w:r>
            <w:r>
              <w:rPr>
                <w:rStyle w:val="65"/>
                <w:rFonts w:hint="eastAsia" w:ascii="宋体" w:hAnsi="宋体" w:eastAsia="宋体" w:cs="宋体"/>
                <w:i w:val="0"/>
                <w:iCs w:val="0"/>
                <w:color w:val="auto"/>
                <w:sz w:val="21"/>
                <w:szCs w:val="21"/>
                <w:highlight w:val="none"/>
                <w:lang w:val="en-US" w:eastAsia="zh-CN" w:bidi="ar"/>
              </w:rPr>
              <w:br w:type="textWrapping"/>
            </w:r>
            <w:r>
              <w:rPr>
                <w:rStyle w:val="65"/>
                <w:rFonts w:hint="eastAsia" w:ascii="宋体" w:hAnsi="宋体" w:eastAsia="宋体" w:cs="宋体"/>
                <w:color w:val="auto"/>
                <w:sz w:val="21"/>
                <w:szCs w:val="21"/>
                <w:highlight w:val="none"/>
                <w:lang w:val="en-US" w:eastAsia="zh-CN" w:bidi="ar"/>
              </w:rPr>
              <w:t>5、</w:t>
            </w:r>
            <w:r>
              <w:rPr>
                <w:rStyle w:val="65"/>
                <w:rFonts w:hint="eastAsia" w:ascii="宋体" w:hAnsi="宋体" w:eastAsia="宋体" w:cs="宋体"/>
                <w:i w:val="0"/>
                <w:iCs w:val="0"/>
                <w:color w:val="auto"/>
                <w:sz w:val="21"/>
                <w:szCs w:val="21"/>
                <w:highlight w:val="none"/>
                <w:lang w:val="en-US" w:eastAsia="zh-CN" w:bidi="ar"/>
              </w:rPr>
              <w:t>本次项目采用的试</w:t>
            </w:r>
            <w:r>
              <w:rPr>
                <w:rStyle w:val="65"/>
                <w:rFonts w:hint="eastAsia" w:ascii="宋体" w:hAnsi="宋体" w:eastAsia="宋体" w:cs="宋体"/>
                <w:color w:val="auto"/>
                <w:sz w:val="21"/>
                <w:szCs w:val="21"/>
                <w:highlight w:val="none"/>
                <w:lang w:val="en-US" w:eastAsia="zh-CN" w:bidi="ar"/>
              </w:rPr>
              <w:t xml:space="preserve">剂盒可采用全体系加样，提高极微量样本检出率。                                          </w:t>
            </w:r>
            <w:r>
              <w:rPr>
                <w:rStyle w:val="65"/>
                <w:rFonts w:hint="eastAsia" w:ascii="宋体" w:hAnsi="宋体" w:eastAsia="宋体" w:cs="宋体"/>
                <w:color w:val="auto"/>
                <w:sz w:val="21"/>
                <w:szCs w:val="21"/>
                <w:highlight w:val="none"/>
                <w:lang w:val="en-US" w:eastAsia="zh-CN" w:bidi="ar"/>
              </w:rPr>
              <w:br w:type="textWrapping"/>
            </w:r>
            <w:r>
              <w:rPr>
                <w:rStyle w:val="65"/>
                <w:rFonts w:hint="eastAsia" w:ascii="宋体" w:hAnsi="宋体" w:eastAsia="宋体" w:cs="宋体"/>
                <w:color w:val="auto"/>
                <w:sz w:val="21"/>
                <w:szCs w:val="21"/>
                <w:highlight w:val="none"/>
                <w:lang w:val="en-US" w:eastAsia="zh-CN" w:bidi="ar"/>
              </w:rPr>
              <w:t xml:space="preserve"> ▲6、</w:t>
            </w:r>
            <w:r>
              <w:rPr>
                <w:rStyle w:val="65"/>
                <w:rFonts w:hint="eastAsia" w:ascii="宋体" w:hAnsi="宋体" w:eastAsia="宋体" w:cs="宋体"/>
                <w:i w:val="0"/>
                <w:iCs w:val="0"/>
                <w:color w:val="auto"/>
                <w:sz w:val="21"/>
                <w:szCs w:val="21"/>
                <w:highlight w:val="none"/>
                <w:lang w:val="en-US" w:eastAsia="zh-CN" w:bidi="ar"/>
              </w:rPr>
              <w:t>所采用的检测试剂产品需具备中国安全技术防范认证中心颁发的《中国公共安全产品认证证书》（提供证明文件）。</w:t>
            </w:r>
          </w:p>
        </w:tc>
      </w:tr>
      <w:tr w14:paraId="3276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0C5756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160" w:type="dxa"/>
            <w:noWrap w:val="0"/>
            <w:vAlign w:val="center"/>
          </w:tcPr>
          <w:p w14:paraId="272BF9B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POP4胶-3500/384</w:t>
            </w:r>
          </w:p>
        </w:tc>
        <w:tc>
          <w:tcPr>
            <w:tcW w:w="703" w:type="dxa"/>
            <w:noWrap w:val="0"/>
            <w:vAlign w:val="center"/>
          </w:tcPr>
          <w:p w14:paraId="7C4C92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37CAF9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268" w:type="dxa"/>
            <w:noWrap w:val="0"/>
            <w:vAlign w:val="center"/>
          </w:tcPr>
          <w:p w14:paraId="6808614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2,700.00 </w:t>
            </w:r>
          </w:p>
        </w:tc>
        <w:tc>
          <w:tcPr>
            <w:tcW w:w="4751" w:type="dxa"/>
            <w:noWrap w:val="0"/>
            <w:vAlign w:val="center"/>
          </w:tcPr>
          <w:p w14:paraId="13AA1408">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规格：384人份/盒</w:t>
            </w:r>
          </w:p>
          <w:p w14:paraId="20CF665D">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1、适用于采购人使用单位目前现有3500系列DNA测序仪，竞标人必须保证所提供产品能在该设备上良好运行，作为DNA片段分析电泳分离的介质。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2、设计成即插即用型，进样即可运行的袋装。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3、可检验384个样品（在3500系列DNA测序仪系统上最多进样16次）。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4、具有RFID标签，实时监控毛细管使用信息。</w:t>
            </w:r>
          </w:p>
        </w:tc>
      </w:tr>
      <w:tr w14:paraId="21B4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551EEE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1160" w:type="dxa"/>
            <w:noWrap w:val="0"/>
            <w:vAlign w:val="center"/>
          </w:tcPr>
          <w:p w14:paraId="1419A2E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阳极缓冲液</w:t>
            </w:r>
          </w:p>
        </w:tc>
        <w:tc>
          <w:tcPr>
            <w:tcW w:w="703" w:type="dxa"/>
            <w:noWrap w:val="0"/>
            <w:vAlign w:val="center"/>
          </w:tcPr>
          <w:p w14:paraId="533DF1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35ED6E3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268" w:type="dxa"/>
            <w:noWrap w:val="0"/>
            <w:vAlign w:val="center"/>
          </w:tcPr>
          <w:p w14:paraId="1B2DC2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1,500.00 </w:t>
            </w:r>
          </w:p>
        </w:tc>
        <w:tc>
          <w:tcPr>
            <w:tcW w:w="4751" w:type="dxa"/>
            <w:noWrap w:val="0"/>
            <w:vAlign w:val="center"/>
          </w:tcPr>
          <w:p w14:paraId="72818A81">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规格：4瓶/盒</w:t>
            </w:r>
          </w:p>
          <w:p w14:paraId="1C7CCAAB">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1、适用于采购人使用单位目前现有3500系列DNA测序仪，竞标人须保证所提供产品能在该设备上良好运行。</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2、槽中预装1×缓冲液来维持离子源，以及电泳中正确的pH。</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3、具有RFID标签，实时监控毛细管使用信息。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4、调解电泳系统的酸碱度，以维持在一个恒定的pH范围。</w:t>
            </w:r>
          </w:p>
        </w:tc>
      </w:tr>
      <w:tr w14:paraId="473F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299532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1160" w:type="dxa"/>
            <w:noWrap w:val="0"/>
            <w:vAlign w:val="center"/>
          </w:tcPr>
          <w:p w14:paraId="4087EED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阴极缓冲液</w:t>
            </w:r>
          </w:p>
        </w:tc>
        <w:tc>
          <w:tcPr>
            <w:tcW w:w="703" w:type="dxa"/>
            <w:noWrap w:val="0"/>
            <w:vAlign w:val="center"/>
          </w:tcPr>
          <w:p w14:paraId="0CE499D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5324F8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268" w:type="dxa"/>
            <w:noWrap w:val="0"/>
            <w:vAlign w:val="center"/>
          </w:tcPr>
          <w:p w14:paraId="7F1360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2,000.00 </w:t>
            </w:r>
          </w:p>
        </w:tc>
        <w:tc>
          <w:tcPr>
            <w:tcW w:w="4751" w:type="dxa"/>
            <w:noWrap w:val="0"/>
            <w:vAlign w:val="center"/>
          </w:tcPr>
          <w:p w14:paraId="4A8B6150">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规格：4瓶/盒</w:t>
            </w:r>
          </w:p>
          <w:p w14:paraId="61714D91">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1、适用于采购人使用单位目前现有3500系列DNA测序仪，竞标人须保证所提供产品能在该设备上良好运行。</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2、槽中预装1×缓冲液来支持所有的电泳应用。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3、具有RFID标签，实时监控毛细管使用信息。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4、调解电泳系统的酸碱度，以维持在一个恒定的pH范围。</w:t>
            </w:r>
          </w:p>
        </w:tc>
      </w:tr>
      <w:tr w14:paraId="4686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5A308F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160" w:type="dxa"/>
            <w:noWrap w:val="0"/>
            <w:vAlign w:val="center"/>
          </w:tcPr>
          <w:p w14:paraId="01E8410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高纯甲酰胺</w:t>
            </w:r>
          </w:p>
        </w:tc>
        <w:tc>
          <w:tcPr>
            <w:tcW w:w="703" w:type="dxa"/>
            <w:noWrap w:val="0"/>
            <w:vAlign w:val="center"/>
          </w:tcPr>
          <w:p w14:paraId="477DE0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4866818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268" w:type="dxa"/>
            <w:noWrap w:val="0"/>
            <w:vAlign w:val="center"/>
          </w:tcPr>
          <w:p w14:paraId="0A4CA4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1,230.00 </w:t>
            </w:r>
          </w:p>
        </w:tc>
        <w:tc>
          <w:tcPr>
            <w:tcW w:w="4751" w:type="dxa"/>
            <w:noWrap w:val="0"/>
            <w:vAlign w:val="center"/>
          </w:tcPr>
          <w:p w14:paraId="00657C8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5ml*4/盒，每瓶5ml，用作化学变性，适用于3500系列基因分析仪。</w:t>
            </w:r>
          </w:p>
        </w:tc>
      </w:tr>
      <w:tr w14:paraId="414D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0B26CA2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7</w:t>
            </w:r>
          </w:p>
        </w:tc>
        <w:tc>
          <w:tcPr>
            <w:tcW w:w="1160" w:type="dxa"/>
            <w:noWrap w:val="0"/>
            <w:vAlign w:val="center"/>
          </w:tcPr>
          <w:p w14:paraId="1B8642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半裙边96孔反应板</w:t>
            </w:r>
          </w:p>
        </w:tc>
        <w:tc>
          <w:tcPr>
            <w:tcW w:w="703" w:type="dxa"/>
            <w:noWrap w:val="0"/>
            <w:vAlign w:val="center"/>
          </w:tcPr>
          <w:p w14:paraId="4818437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1FDA2F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1268" w:type="dxa"/>
            <w:noWrap w:val="0"/>
            <w:vAlign w:val="center"/>
          </w:tcPr>
          <w:p w14:paraId="691E84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260.00 </w:t>
            </w:r>
          </w:p>
        </w:tc>
        <w:tc>
          <w:tcPr>
            <w:tcW w:w="4751" w:type="dxa"/>
            <w:noWrap w:val="0"/>
            <w:vAlign w:val="center"/>
          </w:tcPr>
          <w:p w14:paraId="4B103D6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1、高效的PCR扩增提供了无可比拟的温度精确性和均一性，该板由单一刚性聚丙烯材料制成。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2、用于PCR扩增及电泳，规格：10块/盒。</w:t>
            </w:r>
          </w:p>
        </w:tc>
      </w:tr>
      <w:tr w14:paraId="5FAD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3FFE89A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1160" w:type="dxa"/>
            <w:noWrap w:val="0"/>
            <w:vAlign w:val="center"/>
          </w:tcPr>
          <w:p w14:paraId="70E28FC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调节试剂</w:t>
            </w:r>
          </w:p>
        </w:tc>
        <w:tc>
          <w:tcPr>
            <w:tcW w:w="703" w:type="dxa"/>
            <w:noWrap w:val="0"/>
            <w:vAlign w:val="center"/>
          </w:tcPr>
          <w:p w14:paraId="7A7632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0A6FC2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268" w:type="dxa"/>
            <w:noWrap w:val="0"/>
            <w:vAlign w:val="center"/>
          </w:tcPr>
          <w:p w14:paraId="28B6E0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500.00 </w:t>
            </w:r>
          </w:p>
        </w:tc>
        <w:tc>
          <w:tcPr>
            <w:tcW w:w="4751" w:type="dxa"/>
            <w:noWrap w:val="0"/>
            <w:vAlign w:val="center"/>
          </w:tcPr>
          <w:p w14:paraId="5B055E2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1个/盒，3500系列调节试剂</w:t>
            </w:r>
          </w:p>
        </w:tc>
      </w:tr>
      <w:tr w14:paraId="1940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79451A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w:t>
            </w:r>
          </w:p>
        </w:tc>
        <w:tc>
          <w:tcPr>
            <w:tcW w:w="1160" w:type="dxa"/>
            <w:noWrap w:val="0"/>
            <w:vAlign w:val="center"/>
          </w:tcPr>
          <w:p w14:paraId="1EBFDD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液态蛋白酶K</w:t>
            </w:r>
          </w:p>
        </w:tc>
        <w:tc>
          <w:tcPr>
            <w:tcW w:w="703" w:type="dxa"/>
            <w:noWrap w:val="0"/>
            <w:vAlign w:val="center"/>
          </w:tcPr>
          <w:p w14:paraId="326E36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瓶</w:t>
            </w:r>
          </w:p>
        </w:tc>
        <w:tc>
          <w:tcPr>
            <w:tcW w:w="668" w:type="dxa"/>
            <w:gridSpan w:val="2"/>
            <w:noWrap w:val="0"/>
            <w:vAlign w:val="center"/>
          </w:tcPr>
          <w:p w14:paraId="215296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268" w:type="dxa"/>
            <w:noWrap w:val="0"/>
            <w:vAlign w:val="center"/>
          </w:tcPr>
          <w:p w14:paraId="743FBC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1,025.00 </w:t>
            </w:r>
          </w:p>
        </w:tc>
        <w:tc>
          <w:tcPr>
            <w:tcW w:w="4751" w:type="dxa"/>
            <w:noWrap w:val="0"/>
            <w:vAlign w:val="center"/>
          </w:tcPr>
          <w:p w14:paraId="6020971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2ml/瓶，用于生物样品中蛋白质的一般性消化，经纯化去除了DNA酶和RNA酶活性。</w:t>
            </w:r>
          </w:p>
        </w:tc>
      </w:tr>
      <w:tr w14:paraId="2103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73E707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1160" w:type="dxa"/>
            <w:noWrap w:val="0"/>
            <w:vAlign w:val="center"/>
          </w:tcPr>
          <w:p w14:paraId="6C6D33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小号脱落细胞粘取器</w:t>
            </w:r>
          </w:p>
        </w:tc>
        <w:tc>
          <w:tcPr>
            <w:tcW w:w="703" w:type="dxa"/>
            <w:noWrap w:val="0"/>
            <w:vAlign w:val="center"/>
          </w:tcPr>
          <w:p w14:paraId="4BDD3D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5C8AB8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268" w:type="dxa"/>
            <w:noWrap w:val="0"/>
            <w:vAlign w:val="center"/>
          </w:tcPr>
          <w:p w14:paraId="476578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600.00 </w:t>
            </w:r>
          </w:p>
        </w:tc>
        <w:tc>
          <w:tcPr>
            <w:tcW w:w="4751" w:type="dxa"/>
            <w:noWrap w:val="0"/>
            <w:vAlign w:val="center"/>
          </w:tcPr>
          <w:p w14:paraId="5F93F99E">
            <w:pPr>
              <w:keepNext w:val="0"/>
              <w:keepLines w:val="0"/>
              <w:pageBreakBefore w:val="0"/>
              <w:widowControl/>
              <w:numPr>
                <w:ilvl w:val="0"/>
                <w:numId w:val="6"/>
              </w:numPr>
              <w:suppressLineNumbers w:val="0"/>
              <w:kinsoku/>
              <w:wordWrap/>
              <w:overflowPunct/>
              <w:topLinePunct w:val="0"/>
              <w:autoSpaceDE/>
              <w:autoSpaceDN/>
              <w:bidi w:val="0"/>
              <w:adjustRightInd/>
              <w:snapToGrid/>
              <w:spacing w:line="288" w:lineRule="auto"/>
              <w:jc w:val="left"/>
              <w:textAlignment w:val="center"/>
              <w:rPr>
                <w:rStyle w:val="65"/>
                <w:rFonts w:hint="eastAsia" w:ascii="宋体" w:hAnsi="宋体" w:eastAsia="宋体" w:cs="宋体"/>
                <w:color w:val="auto"/>
                <w:sz w:val="21"/>
                <w:szCs w:val="21"/>
                <w:lang w:val="en-US" w:eastAsia="zh-CN" w:bidi="ar"/>
              </w:rPr>
            </w:pPr>
            <w:r>
              <w:rPr>
                <w:rStyle w:val="67"/>
                <w:rFonts w:hint="eastAsia" w:ascii="宋体" w:hAnsi="宋体" w:eastAsia="宋体" w:cs="宋体"/>
                <w:color w:val="auto"/>
                <w:sz w:val="21"/>
                <w:szCs w:val="21"/>
                <w:lang w:val="en-US" w:eastAsia="zh-CN" w:bidi="ar"/>
              </w:rPr>
              <w:t>使用方法简单，配备专门撕膜镊使用更加方便</w:t>
            </w:r>
            <w:r>
              <w:rPr>
                <w:rStyle w:val="67"/>
                <w:rFonts w:hint="eastAsia" w:ascii="宋体" w:hAnsi="宋体" w:eastAsia="宋体" w:cs="宋体"/>
                <w:color w:val="auto"/>
                <w:sz w:val="21"/>
                <w:szCs w:val="21"/>
                <w:lang w:val="en-US" w:eastAsia="zh-CN" w:bidi="ar"/>
              </w:rPr>
              <w:br w:type="textWrapping"/>
            </w:r>
            <w:r>
              <w:rPr>
                <w:rStyle w:val="67"/>
                <w:rFonts w:hint="eastAsia" w:ascii="宋体" w:hAnsi="宋体" w:eastAsia="宋体" w:cs="宋体"/>
                <w:color w:val="auto"/>
                <w:sz w:val="21"/>
                <w:szCs w:val="21"/>
                <w:lang w:val="en-US" w:eastAsia="zh-CN" w:bidi="ar"/>
              </w:rPr>
              <w:t>2、提取膜片粘性强</w:t>
            </w:r>
            <w:r>
              <w:rPr>
                <w:rStyle w:val="65"/>
                <w:rFonts w:hint="eastAsia" w:ascii="宋体" w:hAnsi="宋体" w:eastAsia="宋体" w:cs="宋体"/>
                <w:color w:val="auto"/>
                <w:sz w:val="21"/>
                <w:szCs w:val="21"/>
                <w:lang w:val="en-US" w:eastAsia="zh-CN" w:bidi="ar"/>
              </w:rPr>
              <w:t>，膜片与胶本身不与市面上常见的DNA提取试剂发生反应</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3、无菌，无外源DNA的条件下生产，绝无外源DNA污染，</w:t>
            </w:r>
          </w:p>
          <w:p w14:paraId="779D6021">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center"/>
              <w:rPr>
                <w:rStyle w:val="65"/>
                <w:rFonts w:hint="eastAsia" w:ascii="宋体" w:hAnsi="宋体" w:eastAsia="宋体" w:cs="宋体"/>
                <w:color w:val="auto"/>
                <w:sz w:val="21"/>
                <w:szCs w:val="21"/>
                <w:lang w:val="en-US" w:eastAsia="zh-CN" w:bidi="ar"/>
              </w:rPr>
            </w:pPr>
            <w:r>
              <w:rPr>
                <w:rStyle w:val="65"/>
                <w:rFonts w:hint="eastAsia" w:ascii="宋体" w:hAnsi="宋体" w:eastAsia="宋体" w:cs="宋体"/>
                <w:color w:val="auto"/>
                <w:sz w:val="21"/>
                <w:szCs w:val="21"/>
                <w:lang w:val="en-US" w:eastAsia="zh-CN" w:bidi="ar"/>
              </w:rPr>
              <w:t>4、规格：</w:t>
            </w:r>
            <w:r>
              <w:rPr>
                <w:rFonts w:hint="eastAsia" w:ascii="宋体" w:hAnsi="宋体" w:eastAsia="宋体" w:cs="宋体"/>
                <w:i w:val="0"/>
                <w:iCs w:val="0"/>
                <w:color w:val="auto"/>
                <w:kern w:val="0"/>
                <w:sz w:val="21"/>
                <w:szCs w:val="21"/>
                <w:u w:val="none"/>
                <w:lang w:val="en-US" w:eastAsia="zh-CN" w:bidi="ar"/>
              </w:rPr>
              <w:t>100个/盒，</w:t>
            </w:r>
            <w:r>
              <w:rPr>
                <w:rStyle w:val="65"/>
                <w:rFonts w:hint="eastAsia" w:ascii="宋体" w:hAnsi="宋体" w:eastAsia="宋体" w:cs="宋体"/>
                <w:color w:val="auto"/>
                <w:sz w:val="21"/>
                <w:szCs w:val="21"/>
                <w:lang w:val="en-US" w:eastAsia="zh-CN" w:bidi="ar"/>
              </w:rPr>
              <w:t>规格10*10mm</w:t>
            </w:r>
          </w:p>
        </w:tc>
      </w:tr>
      <w:tr w14:paraId="310E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0E90D8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11</w:t>
            </w:r>
          </w:p>
        </w:tc>
        <w:tc>
          <w:tcPr>
            <w:tcW w:w="1160" w:type="dxa"/>
            <w:noWrap w:val="0"/>
            <w:vAlign w:val="center"/>
          </w:tcPr>
          <w:p w14:paraId="26866A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大号脱落细胞粘取器</w:t>
            </w:r>
          </w:p>
        </w:tc>
        <w:tc>
          <w:tcPr>
            <w:tcW w:w="703" w:type="dxa"/>
            <w:noWrap w:val="0"/>
            <w:vAlign w:val="center"/>
          </w:tcPr>
          <w:p w14:paraId="142AB29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5E1679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268" w:type="dxa"/>
            <w:noWrap w:val="0"/>
            <w:vAlign w:val="center"/>
          </w:tcPr>
          <w:p w14:paraId="6A4A23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900.00 </w:t>
            </w:r>
          </w:p>
        </w:tc>
        <w:tc>
          <w:tcPr>
            <w:tcW w:w="4751" w:type="dxa"/>
            <w:noWrap w:val="0"/>
            <w:vAlign w:val="center"/>
          </w:tcPr>
          <w:p w14:paraId="1229CA44">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center"/>
              <w:rPr>
                <w:rStyle w:val="67"/>
                <w:rFonts w:hint="eastAsia" w:ascii="宋体" w:hAnsi="宋体" w:eastAsia="宋体" w:cs="宋体"/>
                <w:color w:val="auto"/>
                <w:sz w:val="21"/>
                <w:szCs w:val="21"/>
                <w:lang w:val="en-US" w:eastAsia="zh-CN" w:bidi="ar"/>
              </w:rPr>
            </w:pPr>
            <w:r>
              <w:rPr>
                <w:rStyle w:val="65"/>
                <w:rFonts w:hint="eastAsia" w:ascii="宋体" w:hAnsi="宋体" w:eastAsia="宋体" w:cs="宋体"/>
                <w:color w:val="auto"/>
                <w:sz w:val="21"/>
                <w:szCs w:val="21"/>
                <w:lang w:val="en-US" w:eastAsia="zh-CN" w:bidi="ar"/>
              </w:rPr>
              <w:t>规格：</w:t>
            </w:r>
            <w:r>
              <w:rPr>
                <w:rFonts w:hint="eastAsia" w:ascii="宋体" w:hAnsi="宋体" w:eastAsia="宋体" w:cs="宋体"/>
                <w:i w:val="0"/>
                <w:iCs w:val="0"/>
                <w:color w:val="auto"/>
                <w:kern w:val="0"/>
                <w:sz w:val="21"/>
                <w:szCs w:val="21"/>
                <w:u w:val="none"/>
                <w:lang w:val="en-US" w:eastAsia="zh-CN" w:bidi="ar"/>
              </w:rPr>
              <w:t>100个/盒，15*15mm</w:t>
            </w:r>
          </w:p>
          <w:p w14:paraId="045A3E69">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center"/>
              <w:rPr>
                <w:rStyle w:val="65"/>
                <w:rFonts w:hint="eastAsia" w:ascii="宋体" w:hAnsi="宋体" w:eastAsia="宋体" w:cs="宋体"/>
                <w:color w:val="auto"/>
                <w:sz w:val="21"/>
                <w:szCs w:val="21"/>
                <w:lang w:val="en-US" w:eastAsia="zh-CN" w:bidi="ar"/>
              </w:rPr>
            </w:pPr>
            <w:r>
              <w:rPr>
                <w:rStyle w:val="67"/>
                <w:rFonts w:hint="eastAsia" w:ascii="宋体" w:hAnsi="宋体" w:eastAsia="宋体" w:cs="宋体"/>
                <w:color w:val="auto"/>
                <w:sz w:val="21"/>
                <w:szCs w:val="21"/>
                <w:lang w:val="en-US" w:eastAsia="zh-CN" w:bidi="ar"/>
              </w:rPr>
              <w:t>1、使用方法简单，配备专门撕膜镊使用更加方便</w:t>
            </w:r>
            <w:r>
              <w:rPr>
                <w:rStyle w:val="67"/>
                <w:rFonts w:hint="eastAsia" w:ascii="宋体" w:hAnsi="宋体" w:eastAsia="宋体" w:cs="宋体"/>
                <w:color w:val="auto"/>
                <w:sz w:val="21"/>
                <w:szCs w:val="21"/>
                <w:lang w:val="en-US" w:eastAsia="zh-CN" w:bidi="ar"/>
              </w:rPr>
              <w:br w:type="textWrapping"/>
            </w:r>
            <w:r>
              <w:rPr>
                <w:rStyle w:val="67"/>
                <w:rFonts w:hint="eastAsia" w:ascii="宋体" w:hAnsi="宋体" w:eastAsia="宋体" w:cs="宋体"/>
                <w:color w:val="auto"/>
                <w:sz w:val="21"/>
                <w:szCs w:val="21"/>
                <w:lang w:val="en-US" w:eastAsia="zh-CN" w:bidi="ar"/>
              </w:rPr>
              <w:t>2、提取膜片粘性强</w:t>
            </w:r>
            <w:r>
              <w:rPr>
                <w:rStyle w:val="65"/>
                <w:rFonts w:hint="eastAsia" w:ascii="宋体" w:hAnsi="宋体" w:eastAsia="宋体" w:cs="宋体"/>
                <w:color w:val="auto"/>
                <w:sz w:val="21"/>
                <w:szCs w:val="21"/>
                <w:lang w:val="en-US" w:eastAsia="zh-CN" w:bidi="ar"/>
              </w:rPr>
              <w:t>，膜片与胶本身不与市面上常见的DNA提取试剂发生反应</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3、无菌，无外源DNA的条件下生产，绝无外源DNA污染</w:t>
            </w:r>
          </w:p>
        </w:tc>
      </w:tr>
      <w:tr w14:paraId="2D7E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764CEF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1160" w:type="dxa"/>
            <w:noWrap w:val="0"/>
            <w:vAlign w:val="center"/>
          </w:tcPr>
          <w:p w14:paraId="0CD920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生物物证提取棉签（III型）</w:t>
            </w:r>
          </w:p>
        </w:tc>
        <w:tc>
          <w:tcPr>
            <w:tcW w:w="703" w:type="dxa"/>
            <w:noWrap w:val="0"/>
            <w:vAlign w:val="center"/>
          </w:tcPr>
          <w:p w14:paraId="1EA502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758F06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268" w:type="dxa"/>
            <w:noWrap w:val="0"/>
            <w:vAlign w:val="center"/>
          </w:tcPr>
          <w:p w14:paraId="3E94D6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140.00 </w:t>
            </w:r>
          </w:p>
        </w:tc>
        <w:tc>
          <w:tcPr>
            <w:tcW w:w="4751" w:type="dxa"/>
            <w:noWrap w:val="0"/>
            <w:vAlign w:val="center"/>
          </w:tcPr>
          <w:p w14:paraId="710EA09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40份/盒；用于生物物证的提取与保存。</w:t>
            </w:r>
          </w:p>
        </w:tc>
      </w:tr>
      <w:tr w14:paraId="559D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3CE65DA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13</w:t>
            </w:r>
          </w:p>
        </w:tc>
        <w:tc>
          <w:tcPr>
            <w:tcW w:w="1160" w:type="dxa"/>
            <w:noWrap w:val="0"/>
            <w:vAlign w:val="center"/>
          </w:tcPr>
          <w:p w14:paraId="47DC5B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PCR纯化试剂盒</w:t>
            </w:r>
          </w:p>
        </w:tc>
        <w:tc>
          <w:tcPr>
            <w:tcW w:w="703" w:type="dxa"/>
            <w:noWrap w:val="0"/>
            <w:vAlign w:val="center"/>
          </w:tcPr>
          <w:p w14:paraId="5619BB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485A36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268" w:type="dxa"/>
            <w:noWrap w:val="0"/>
            <w:vAlign w:val="center"/>
          </w:tcPr>
          <w:p w14:paraId="46ED56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5,200.00 </w:t>
            </w:r>
          </w:p>
        </w:tc>
        <w:tc>
          <w:tcPr>
            <w:tcW w:w="4751" w:type="dxa"/>
            <w:noWrap w:val="0"/>
            <w:vAlign w:val="center"/>
          </w:tcPr>
          <w:p w14:paraId="458AF8C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1、250人份/盒，试剂盒包含离心柱、缓冲液和收集管，用于纯化100 bp以上的 PCR DNA 片段。</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2、通过快速、方便的结合-洗涤-洗脱步骤纯化10kb以内的DNA片段，洗脱体积为 30～50微升，适用于骨骼等检材的DNA提取。</w:t>
            </w:r>
          </w:p>
        </w:tc>
      </w:tr>
      <w:tr w14:paraId="0E2E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5FD9DA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14</w:t>
            </w:r>
          </w:p>
        </w:tc>
        <w:tc>
          <w:tcPr>
            <w:tcW w:w="1160" w:type="dxa"/>
            <w:noWrap w:val="0"/>
            <w:vAlign w:val="center"/>
          </w:tcPr>
          <w:p w14:paraId="4900BEC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超微量磁珠法DNA提取试剂盒（24道全自动专用，48次）</w:t>
            </w:r>
          </w:p>
        </w:tc>
        <w:tc>
          <w:tcPr>
            <w:tcW w:w="703" w:type="dxa"/>
            <w:noWrap w:val="0"/>
            <w:vAlign w:val="center"/>
          </w:tcPr>
          <w:p w14:paraId="66AB8F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69DE55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268" w:type="dxa"/>
            <w:noWrap w:val="0"/>
            <w:vAlign w:val="center"/>
          </w:tcPr>
          <w:p w14:paraId="3FADDD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2,400.00 </w:t>
            </w:r>
          </w:p>
        </w:tc>
        <w:tc>
          <w:tcPr>
            <w:tcW w:w="4751" w:type="dxa"/>
            <w:noWrap w:val="0"/>
            <w:vAlign w:val="center"/>
          </w:tcPr>
          <w:p w14:paraId="04606AC0">
            <w:pPr>
              <w:keepNext w:val="0"/>
              <w:keepLines w:val="0"/>
              <w:pageBreakBefore w:val="0"/>
              <w:widowControl/>
              <w:numPr>
                <w:ilvl w:val="0"/>
                <w:numId w:val="7"/>
              </w:numPr>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color w:val="auto"/>
                <w:sz w:val="21"/>
                <w:szCs w:val="21"/>
                <w:vertAlign w:val="baseline"/>
                <w:lang w:val="en-US" w:eastAsia="zh-CN"/>
              </w:rPr>
            </w:pPr>
            <w:r>
              <w:rPr>
                <w:rStyle w:val="65"/>
                <w:rFonts w:hint="eastAsia" w:ascii="宋体" w:hAnsi="宋体" w:eastAsia="宋体" w:cs="宋体"/>
                <w:color w:val="auto"/>
                <w:sz w:val="21"/>
                <w:szCs w:val="21"/>
                <w:lang w:val="en-US" w:eastAsia="zh-CN" w:bidi="ar"/>
              </w:rPr>
              <w:t>超微量磁珠法DNA提取试剂盒（全自动专用）为一体式封装试剂，用于DNA提取的磁珠和各种试剂通过塑料膜密封在可与全自动24道微量DNA提取工作站配套使用的塑料反应板内，使用时撕开密封膜置于全自动24道微量DNA提取工作站中即可直接用于全自动DNA的自动化提取；</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2、一个完整试剂盒包装含有封装试剂的反应板共有12块且均为48孔深孔板，另配有试剂相应数量的盒装吸头（吸头为封装好的盒装吸头，撕开外包装即可整盒放在工作站上使用），封装好的消化液（一次性使用，无需二次整体转移消化液，撕开封膜即可放在工作站上使用），12块8孔磁套及12块8孔空白洗脱板，洗脱板可以实现20ul小体积洗脱；</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3、完整试剂盒外另配和试剂盒规格相应数量的24孔离心套板，该24孔离心套板为嵌套反应板，上下部分可分离；</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4、专用洗脱液，可有效降低洗脱产物的，长期保存DNA保存性能好，不降解、不分层；</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5、产品规格：48次/盒</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6、样本适用性：配有在全自动24道微量DNA提取工作站上使用的浓缩、纯化及提取程序，可用于血液(斑)、唾液(斑)、精液(斑)、毛发、组织等常规检材及陈旧、污染、降解和微量检材等疑难检材的DNA提取纯化；</w:t>
            </w:r>
          </w:p>
        </w:tc>
      </w:tr>
      <w:tr w14:paraId="2141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20682A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15</w:t>
            </w:r>
          </w:p>
        </w:tc>
        <w:tc>
          <w:tcPr>
            <w:tcW w:w="1160" w:type="dxa"/>
            <w:noWrap w:val="0"/>
            <w:vAlign w:val="center"/>
          </w:tcPr>
          <w:p w14:paraId="61ACBB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超微量磁珠法DNA提取试剂盒（24道全自动专用，96次）</w:t>
            </w:r>
          </w:p>
        </w:tc>
        <w:tc>
          <w:tcPr>
            <w:tcW w:w="703" w:type="dxa"/>
            <w:noWrap w:val="0"/>
            <w:vAlign w:val="center"/>
          </w:tcPr>
          <w:p w14:paraId="682FBB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630B74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268" w:type="dxa"/>
            <w:noWrap w:val="0"/>
            <w:vAlign w:val="center"/>
          </w:tcPr>
          <w:p w14:paraId="30F540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4,800.00 </w:t>
            </w:r>
          </w:p>
        </w:tc>
        <w:tc>
          <w:tcPr>
            <w:tcW w:w="4751" w:type="dxa"/>
            <w:noWrap w:val="0"/>
            <w:vAlign w:val="center"/>
          </w:tcPr>
          <w:p w14:paraId="69DA5780">
            <w:pPr>
              <w:keepNext w:val="0"/>
              <w:keepLines w:val="0"/>
              <w:pageBreakBefore w:val="0"/>
              <w:widowControl/>
              <w:numPr>
                <w:ilvl w:val="0"/>
                <w:numId w:val="8"/>
              </w:numPr>
              <w:suppressLineNumbers w:val="0"/>
              <w:kinsoku/>
              <w:wordWrap/>
              <w:overflowPunct/>
              <w:topLinePunct w:val="0"/>
              <w:autoSpaceDE/>
              <w:autoSpaceDN/>
              <w:bidi w:val="0"/>
              <w:adjustRightInd/>
              <w:snapToGrid/>
              <w:spacing w:line="288" w:lineRule="auto"/>
              <w:jc w:val="left"/>
              <w:textAlignment w:val="center"/>
              <w:rPr>
                <w:rStyle w:val="65"/>
                <w:rFonts w:hint="eastAsia" w:ascii="宋体" w:hAnsi="宋体" w:eastAsia="宋体" w:cs="宋体"/>
                <w:color w:val="auto"/>
                <w:sz w:val="21"/>
                <w:szCs w:val="21"/>
                <w:lang w:val="en-US" w:eastAsia="zh-CN" w:bidi="ar"/>
              </w:rPr>
            </w:pPr>
            <w:r>
              <w:rPr>
                <w:rStyle w:val="65"/>
                <w:rFonts w:hint="eastAsia" w:ascii="宋体" w:hAnsi="宋体" w:eastAsia="宋体" w:cs="宋体"/>
                <w:color w:val="auto"/>
                <w:sz w:val="21"/>
                <w:szCs w:val="21"/>
                <w:lang w:val="en-US" w:eastAsia="zh-CN" w:bidi="ar"/>
              </w:rPr>
              <w:t>超微量磁珠法DNA提取试剂盒（全自动专用）为一体式封装试剂，用于DNA提取的磁珠和各种试剂通过塑料膜密封在可与全自动24道微量DNA提取工作站配套使用的塑料反应板内，使用时撕开密封膜置于全自动24道微量DNA提取工作站中即可直接用于全自动DNA的自动化提取；</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2、一个完整试剂盒包装含有封装试剂的反应板共有12块且均为48孔深孔板，另配有试剂相应数量的盒装吸头（吸头为封装好的盒装吸头，撕开外包装即可整盒放在工作站上使用），封装好的消化液（一次性使用，无需二次整体转移消化液，撕开封膜即可放在工作站上使用），12块8孔磁套及12块8孔空白洗脱板，洗脱板可以实现20ul小体积洗脱；</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3、完整试剂盒外另配和试剂盒规格相应数量的24孔离心套板，该24孔离心套板为嵌套反应板，上下部分可分离；</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4、专用洗脱液，可有效降低洗脱产物的，长期保存DNA保存性能好，不降解、不分层；</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5、产品规格：96次/盒；</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6、样本适用性：配有在全自动24道微量DNA提取工作站上使用的浓缩、纯化及提取程序，可用于血液(斑)、唾液(斑)、精液(斑)、毛发、组织等常规检材及陈旧、污染、降解和微量检材等疑难检材的DNA提取纯化；</w:t>
            </w:r>
          </w:p>
        </w:tc>
      </w:tr>
      <w:tr w14:paraId="7029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58FAA6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1160" w:type="dxa"/>
            <w:noWrap w:val="0"/>
            <w:vAlign w:val="center"/>
          </w:tcPr>
          <w:p w14:paraId="29D3DB4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0.2ml扩增管</w:t>
            </w:r>
          </w:p>
        </w:tc>
        <w:tc>
          <w:tcPr>
            <w:tcW w:w="703" w:type="dxa"/>
            <w:noWrap w:val="0"/>
            <w:vAlign w:val="center"/>
          </w:tcPr>
          <w:p w14:paraId="05FCEB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0B1367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268" w:type="dxa"/>
            <w:noWrap w:val="0"/>
            <w:vAlign w:val="center"/>
          </w:tcPr>
          <w:p w14:paraId="1AAFEF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300.00 </w:t>
            </w:r>
          </w:p>
        </w:tc>
        <w:tc>
          <w:tcPr>
            <w:tcW w:w="4751" w:type="dxa"/>
            <w:noWrap w:val="0"/>
            <w:vAlign w:val="center"/>
          </w:tcPr>
          <w:p w14:paraId="4A1A2B0C">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center"/>
              <w:rPr>
                <w:rStyle w:val="65"/>
                <w:rFonts w:hint="eastAsia" w:ascii="宋体" w:hAnsi="宋体" w:eastAsia="宋体" w:cs="宋体"/>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规格：1000个/盒</w:t>
            </w:r>
          </w:p>
          <w:p w14:paraId="6FF3792E">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center"/>
              <w:rPr>
                <w:rStyle w:val="65"/>
                <w:rFonts w:hint="eastAsia" w:ascii="宋体" w:hAnsi="宋体" w:eastAsia="宋体" w:cs="宋体"/>
                <w:color w:val="auto"/>
                <w:sz w:val="21"/>
                <w:szCs w:val="21"/>
                <w:lang w:val="en-US" w:eastAsia="zh-CN" w:bidi="ar"/>
              </w:rPr>
            </w:pPr>
            <w:r>
              <w:rPr>
                <w:rStyle w:val="65"/>
                <w:rFonts w:hint="eastAsia" w:ascii="宋体" w:hAnsi="宋体" w:eastAsia="宋体" w:cs="宋体"/>
                <w:color w:val="auto"/>
                <w:sz w:val="21"/>
                <w:szCs w:val="21"/>
                <w:lang w:val="en-US" w:eastAsia="zh-CN" w:bidi="ar"/>
              </w:rPr>
              <w:t>1、管壁需薄且均匀，保证传热速度和样品受热均匀。</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2、</w:t>
            </w:r>
            <w:r>
              <w:rPr>
                <w:rStyle w:val="65"/>
                <w:rFonts w:hint="eastAsia" w:ascii="宋体" w:hAnsi="宋体" w:eastAsia="宋体" w:cs="宋体"/>
                <w:i w:val="0"/>
                <w:iCs w:val="0"/>
                <w:color w:val="auto"/>
                <w:sz w:val="21"/>
                <w:szCs w:val="21"/>
                <w:lang w:val="en-US" w:eastAsia="zh-CN" w:bidi="ar"/>
              </w:rPr>
              <w:t>管盖较普通的PCR管盖更长，</w:t>
            </w:r>
            <w:r>
              <w:rPr>
                <w:rStyle w:val="65"/>
                <w:rFonts w:hint="eastAsia" w:ascii="宋体" w:hAnsi="宋体" w:eastAsia="宋体" w:cs="宋体"/>
                <w:color w:val="auto"/>
                <w:sz w:val="21"/>
                <w:szCs w:val="21"/>
                <w:lang w:val="en-US" w:eastAsia="zh-CN" w:bidi="ar"/>
              </w:rPr>
              <w:t>在热循环过程中可承受更大的压力及消除样品蒸发的危险。</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3、规格:0.2ml；有很好的密封性，耐高温，适用于PCR扩增。</w:t>
            </w:r>
          </w:p>
        </w:tc>
      </w:tr>
      <w:tr w14:paraId="0221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7AB64A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17</w:t>
            </w:r>
          </w:p>
        </w:tc>
        <w:tc>
          <w:tcPr>
            <w:tcW w:w="1160" w:type="dxa"/>
            <w:noWrap w:val="0"/>
            <w:vAlign w:val="center"/>
          </w:tcPr>
          <w:p w14:paraId="1E62B8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0.6ml扩增管</w:t>
            </w:r>
          </w:p>
        </w:tc>
        <w:tc>
          <w:tcPr>
            <w:tcW w:w="703" w:type="dxa"/>
            <w:noWrap w:val="0"/>
            <w:vAlign w:val="center"/>
          </w:tcPr>
          <w:p w14:paraId="56AF40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1606DA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268" w:type="dxa"/>
            <w:noWrap w:val="0"/>
            <w:vAlign w:val="center"/>
          </w:tcPr>
          <w:p w14:paraId="107AC05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200.00 </w:t>
            </w:r>
          </w:p>
        </w:tc>
        <w:tc>
          <w:tcPr>
            <w:tcW w:w="4751" w:type="dxa"/>
            <w:noWrap w:val="0"/>
            <w:vAlign w:val="center"/>
          </w:tcPr>
          <w:p w14:paraId="27B978DE">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center"/>
              <w:rPr>
                <w:rStyle w:val="65"/>
                <w:rFonts w:hint="eastAsia" w:ascii="宋体" w:hAnsi="宋体" w:eastAsia="宋体" w:cs="宋体"/>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规格：1000个/盒</w:t>
            </w:r>
          </w:p>
          <w:p w14:paraId="474E2EB2">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center"/>
              <w:rPr>
                <w:rStyle w:val="65"/>
                <w:rFonts w:hint="eastAsia" w:ascii="宋体" w:hAnsi="宋体" w:eastAsia="宋体" w:cs="宋体"/>
                <w:color w:val="auto"/>
                <w:sz w:val="21"/>
                <w:szCs w:val="21"/>
                <w:lang w:val="en-US" w:eastAsia="zh-CN" w:bidi="ar"/>
              </w:rPr>
            </w:pPr>
            <w:r>
              <w:rPr>
                <w:rStyle w:val="65"/>
                <w:rFonts w:hint="eastAsia" w:ascii="宋体" w:hAnsi="宋体" w:eastAsia="宋体" w:cs="宋体"/>
                <w:color w:val="auto"/>
                <w:sz w:val="21"/>
                <w:szCs w:val="21"/>
                <w:lang w:val="en-US" w:eastAsia="zh-CN" w:bidi="ar"/>
              </w:rPr>
              <w:t>1、管壁需薄且均匀，保证传热速度和样品受热均匀。</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2、</w:t>
            </w:r>
            <w:r>
              <w:rPr>
                <w:rStyle w:val="65"/>
                <w:rFonts w:hint="eastAsia" w:ascii="宋体" w:hAnsi="宋体" w:eastAsia="宋体" w:cs="宋体"/>
                <w:i w:val="0"/>
                <w:iCs w:val="0"/>
                <w:color w:val="auto"/>
                <w:sz w:val="21"/>
                <w:szCs w:val="21"/>
                <w:lang w:val="en-US" w:eastAsia="zh-CN" w:bidi="ar"/>
              </w:rPr>
              <w:t>管盖较普通的PCR管盖更长，</w:t>
            </w:r>
            <w:r>
              <w:rPr>
                <w:rStyle w:val="65"/>
                <w:rFonts w:hint="eastAsia" w:ascii="宋体" w:hAnsi="宋体" w:eastAsia="宋体" w:cs="宋体"/>
                <w:color w:val="auto"/>
                <w:sz w:val="21"/>
                <w:szCs w:val="21"/>
                <w:lang w:val="en-US" w:eastAsia="zh-CN" w:bidi="ar"/>
              </w:rPr>
              <w:t>在热循环过程中可承受更大的压力及消除样品蒸发的危险。</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3、规格:0.6ml；有很好的密封性，耐高温，适用于PCR扩增。</w:t>
            </w:r>
          </w:p>
        </w:tc>
      </w:tr>
      <w:tr w14:paraId="3072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0E0687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18</w:t>
            </w:r>
          </w:p>
        </w:tc>
        <w:tc>
          <w:tcPr>
            <w:tcW w:w="1160" w:type="dxa"/>
            <w:noWrap w:val="0"/>
            <w:vAlign w:val="center"/>
          </w:tcPr>
          <w:p w14:paraId="6F26966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1.5ml离心管</w:t>
            </w:r>
          </w:p>
        </w:tc>
        <w:tc>
          <w:tcPr>
            <w:tcW w:w="703" w:type="dxa"/>
            <w:noWrap w:val="0"/>
            <w:vAlign w:val="center"/>
          </w:tcPr>
          <w:p w14:paraId="061C3F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05C44F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268" w:type="dxa"/>
            <w:noWrap w:val="0"/>
            <w:vAlign w:val="center"/>
          </w:tcPr>
          <w:p w14:paraId="49F6DE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80.00 </w:t>
            </w:r>
          </w:p>
        </w:tc>
        <w:tc>
          <w:tcPr>
            <w:tcW w:w="4751" w:type="dxa"/>
            <w:noWrap w:val="0"/>
            <w:vAlign w:val="center"/>
          </w:tcPr>
          <w:p w14:paraId="31531790">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center"/>
              <w:rPr>
                <w:rStyle w:val="65"/>
                <w:rFonts w:hint="eastAsia" w:ascii="宋体" w:hAnsi="宋体" w:eastAsia="宋体" w:cs="宋体"/>
                <w:color w:val="auto"/>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规格：500个/盒</w:t>
            </w:r>
          </w:p>
          <w:p w14:paraId="6BE134FC">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center"/>
              <w:rPr>
                <w:rStyle w:val="65"/>
                <w:rFonts w:hint="eastAsia" w:ascii="宋体" w:hAnsi="宋体" w:eastAsia="宋体" w:cs="宋体"/>
                <w:color w:val="auto"/>
                <w:sz w:val="21"/>
                <w:szCs w:val="21"/>
                <w:lang w:val="en-US" w:eastAsia="zh-CN" w:bidi="ar"/>
              </w:rPr>
            </w:pPr>
            <w:r>
              <w:rPr>
                <w:rStyle w:val="65"/>
                <w:rFonts w:hint="eastAsia" w:ascii="宋体" w:hAnsi="宋体" w:eastAsia="宋体" w:cs="宋体"/>
                <w:color w:val="auto"/>
                <w:sz w:val="21"/>
                <w:szCs w:val="21"/>
                <w:lang w:val="en-US" w:eastAsia="zh-CN" w:bidi="ar"/>
              </w:rPr>
              <w:t>1、管壁需薄且均匀，保证传热速度和样品受热均匀。</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2、</w:t>
            </w:r>
            <w:r>
              <w:rPr>
                <w:rStyle w:val="65"/>
                <w:rFonts w:hint="eastAsia" w:ascii="宋体" w:hAnsi="宋体" w:eastAsia="宋体" w:cs="宋体"/>
                <w:i w:val="0"/>
                <w:iCs w:val="0"/>
                <w:color w:val="auto"/>
                <w:sz w:val="21"/>
                <w:szCs w:val="21"/>
                <w:lang w:val="en-US" w:eastAsia="zh-CN" w:bidi="ar"/>
              </w:rPr>
              <w:t>管盖较普通的PCR管盖更长，</w:t>
            </w:r>
            <w:r>
              <w:rPr>
                <w:rStyle w:val="65"/>
                <w:rFonts w:hint="eastAsia" w:ascii="宋体" w:hAnsi="宋体" w:eastAsia="宋体" w:cs="宋体"/>
                <w:color w:val="auto"/>
                <w:sz w:val="21"/>
                <w:szCs w:val="21"/>
                <w:lang w:val="en-US" w:eastAsia="zh-CN" w:bidi="ar"/>
              </w:rPr>
              <w:t>在热循环过程中可承受更大的压力及消除样品蒸发的危险。</w:t>
            </w:r>
            <w:r>
              <w:rPr>
                <w:rStyle w:val="65"/>
                <w:rFonts w:hint="eastAsia" w:ascii="宋体" w:hAnsi="宋体" w:eastAsia="宋体" w:cs="宋体"/>
                <w:color w:val="auto"/>
                <w:sz w:val="21"/>
                <w:szCs w:val="21"/>
                <w:lang w:val="en-US" w:eastAsia="zh-CN" w:bidi="ar"/>
              </w:rPr>
              <w:br w:type="textWrapping"/>
            </w:r>
            <w:r>
              <w:rPr>
                <w:rStyle w:val="65"/>
                <w:rFonts w:hint="eastAsia" w:ascii="宋体" w:hAnsi="宋体" w:eastAsia="宋体" w:cs="宋体"/>
                <w:color w:val="auto"/>
                <w:sz w:val="21"/>
                <w:szCs w:val="21"/>
                <w:lang w:val="en-US" w:eastAsia="zh-CN" w:bidi="ar"/>
              </w:rPr>
              <w:t>3、规格:1.5ml；有很好的密封性，耐高温，适用于PCR扩增。</w:t>
            </w:r>
          </w:p>
        </w:tc>
      </w:tr>
      <w:tr w14:paraId="2186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60115E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19</w:t>
            </w:r>
          </w:p>
        </w:tc>
        <w:tc>
          <w:tcPr>
            <w:tcW w:w="1160" w:type="dxa"/>
            <w:noWrap w:val="0"/>
            <w:vAlign w:val="center"/>
          </w:tcPr>
          <w:p w14:paraId="5F8851C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10ul袋装透明短吸头</w:t>
            </w:r>
          </w:p>
        </w:tc>
        <w:tc>
          <w:tcPr>
            <w:tcW w:w="703" w:type="dxa"/>
            <w:noWrap w:val="0"/>
            <w:vAlign w:val="center"/>
          </w:tcPr>
          <w:p w14:paraId="6D647F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包</w:t>
            </w:r>
          </w:p>
        </w:tc>
        <w:tc>
          <w:tcPr>
            <w:tcW w:w="668" w:type="dxa"/>
            <w:gridSpan w:val="2"/>
            <w:noWrap w:val="0"/>
            <w:vAlign w:val="center"/>
          </w:tcPr>
          <w:p w14:paraId="65D996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1268" w:type="dxa"/>
            <w:noWrap w:val="0"/>
            <w:vAlign w:val="center"/>
          </w:tcPr>
          <w:p w14:paraId="4367D5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100.00 </w:t>
            </w:r>
          </w:p>
        </w:tc>
        <w:tc>
          <w:tcPr>
            <w:tcW w:w="4751" w:type="dxa"/>
            <w:noWrap w:val="0"/>
            <w:vAlign w:val="center"/>
          </w:tcPr>
          <w:p w14:paraId="0CB563F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规格：1000个/包；</w:t>
            </w:r>
          </w:p>
          <w:p w14:paraId="39D4622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高质量的聚丙烯材料，耐高温，透明度好，洁净、疏水性表面使液体残留量降至最低，加工精度高，适用于10μl量程移液器。</w:t>
            </w:r>
          </w:p>
        </w:tc>
      </w:tr>
      <w:tr w14:paraId="346C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05BD774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20</w:t>
            </w:r>
          </w:p>
        </w:tc>
        <w:tc>
          <w:tcPr>
            <w:tcW w:w="1160" w:type="dxa"/>
            <w:noWrap w:val="0"/>
            <w:vAlign w:val="center"/>
          </w:tcPr>
          <w:p w14:paraId="19CCE34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200ul袋装黄色吸头</w:t>
            </w:r>
          </w:p>
        </w:tc>
        <w:tc>
          <w:tcPr>
            <w:tcW w:w="703" w:type="dxa"/>
            <w:noWrap w:val="0"/>
            <w:vAlign w:val="center"/>
          </w:tcPr>
          <w:p w14:paraId="2DD4C99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包</w:t>
            </w:r>
          </w:p>
        </w:tc>
        <w:tc>
          <w:tcPr>
            <w:tcW w:w="668" w:type="dxa"/>
            <w:gridSpan w:val="2"/>
            <w:noWrap w:val="0"/>
            <w:vAlign w:val="center"/>
          </w:tcPr>
          <w:p w14:paraId="40300B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268" w:type="dxa"/>
            <w:noWrap w:val="0"/>
            <w:vAlign w:val="center"/>
          </w:tcPr>
          <w:p w14:paraId="19D01F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100.00 </w:t>
            </w:r>
          </w:p>
        </w:tc>
        <w:tc>
          <w:tcPr>
            <w:tcW w:w="4751" w:type="dxa"/>
            <w:noWrap w:val="0"/>
            <w:vAlign w:val="center"/>
          </w:tcPr>
          <w:p w14:paraId="4D73420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规格：1000个/包；</w:t>
            </w:r>
          </w:p>
          <w:p w14:paraId="2B99A0A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高质量的聚丙烯材料，耐高温，透明度好，洁净、疏水性表面使液体残留量降至最低，加工精度高，适用于200μl量程移液器。</w:t>
            </w:r>
          </w:p>
        </w:tc>
      </w:tr>
      <w:tr w14:paraId="1974F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1E781D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21</w:t>
            </w:r>
          </w:p>
        </w:tc>
        <w:tc>
          <w:tcPr>
            <w:tcW w:w="1160" w:type="dxa"/>
            <w:noWrap w:val="0"/>
            <w:vAlign w:val="center"/>
          </w:tcPr>
          <w:p w14:paraId="4A23FD6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1000ul袋装蓝色吸头</w:t>
            </w:r>
          </w:p>
        </w:tc>
        <w:tc>
          <w:tcPr>
            <w:tcW w:w="703" w:type="dxa"/>
            <w:noWrap w:val="0"/>
            <w:vAlign w:val="center"/>
          </w:tcPr>
          <w:p w14:paraId="4EBB7B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包</w:t>
            </w:r>
          </w:p>
        </w:tc>
        <w:tc>
          <w:tcPr>
            <w:tcW w:w="668" w:type="dxa"/>
            <w:gridSpan w:val="2"/>
            <w:noWrap w:val="0"/>
            <w:vAlign w:val="center"/>
          </w:tcPr>
          <w:p w14:paraId="6AA19C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268" w:type="dxa"/>
            <w:noWrap w:val="0"/>
            <w:vAlign w:val="center"/>
          </w:tcPr>
          <w:p w14:paraId="359387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100.00 </w:t>
            </w:r>
          </w:p>
        </w:tc>
        <w:tc>
          <w:tcPr>
            <w:tcW w:w="4751" w:type="dxa"/>
            <w:noWrap w:val="0"/>
            <w:vAlign w:val="center"/>
          </w:tcPr>
          <w:p w14:paraId="4691FE1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规格：1000个/包；</w:t>
            </w:r>
          </w:p>
          <w:p w14:paraId="3360242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高质量的聚丙烯材料，耐高温，透明度好，洁净、疏水性表面使液体残留量降至最低，加工精度高，适用于1000μl量程移液器。</w:t>
            </w:r>
          </w:p>
        </w:tc>
      </w:tr>
      <w:tr w14:paraId="47D1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0582A5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22</w:t>
            </w:r>
          </w:p>
        </w:tc>
        <w:tc>
          <w:tcPr>
            <w:tcW w:w="1160" w:type="dxa"/>
            <w:noWrap w:val="0"/>
            <w:vAlign w:val="center"/>
          </w:tcPr>
          <w:p w14:paraId="72DF0E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丁腈橡胶手套</w:t>
            </w:r>
          </w:p>
        </w:tc>
        <w:tc>
          <w:tcPr>
            <w:tcW w:w="703" w:type="dxa"/>
            <w:noWrap w:val="0"/>
            <w:vAlign w:val="center"/>
          </w:tcPr>
          <w:p w14:paraId="19E00BB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箱</w:t>
            </w:r>
          </w:p>
        </w:tc>
        <w:tc>
          <w:tcPr>
            <w:tcW w:w="668" w:type="dxa"/>
            <w:gridSpan w:val="2"/>
            <w:noWrap w:val="0"/>
            <w:vAlign w:val="center"/>
          </w:tcPr>
          <w:p w14:paraId="35D558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268" w:type="dxa"/>
            <w:noWrap w:val="0"/>
            <w:vAlign w:val="center"/>
          </w:tcPr>
          <w:p w14:paraId="6DFC2AA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720.00 </w:t>
            </w:r>
          </w:p>
        </w:tc>
        <w:tc>
          <w:tcPr>
            <w:tcW w:w="4751" w:type="dxa"/>
            <w:noWrap w:val="0"/>
            <w:vAlign w:val="center"/>
          </w:tcPr>
          <w:p w14:paraId="2081D7B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规格：10盒/箱×100只/盒；</w:t>
            </w:r>
          </w:p>
          <w:p w14:paraId="71E8D70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丁腈手套.无粉.小号.蓝</w:t>
            </w:r>
          </w:p>
        </w:tc>
      </w:tr>
      <w:tr w14:paraId="544A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0A3E57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23</w:t>
            </w:r>
          </w:p>
        </w:tc>
        <w:tc>
          <w:tcPr>
            <w:tcW w:w="1160" w:type="dxa"/>
            <w:noWrap w:val="0"/>
            <w:vAlign w:val="center"/>
          </w:tcPr>
          <w:p w14:paraId="6E5D3D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丁腈橡胶手套</w:t>
            </w:r>
          </w:p>
        </w:tc>
        <w:tc>
          <w:tcPr>
            <w:tcW w:w="703" w:type="dxa"/>
            <w:noWrap w:val="0"/>
            <w:vAlign w:val="center"/>
          </w:tcPr>
          <w:p w14:paraId="7DE473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箱</w:t>
            </w:r>
          </w:p>
        </w:tc>
        <w:tc>
          <w:tcPr>
            <w:tcW w:w="668" w:type="dxa"/>
            <w:gridSpan w:val="2"/>
            <w:noWrap w:val="0"/>
            <w:vAlign w:val="center"/>
          </w:tcPr>
          <w:p w14:paraId="0B6EBF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268" w:type="dxa"/>
            <w:noWrap w:val="0"/>
            <w:vAlign w:val="center"/>
          </w:tcPr>
          <w:p w14:paraId="3717140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720.00 </w:t>
            </w:r>
          </w:p>
        </w:tc>
        <w:tc>
          <w:tcPr>
            <w:tcW w:w="4751" w:type="dxa"/>
            <w:noWrap w:val="0"/>
            <w:vAlign w:val="center"/>
          </w:tcPr>
          <w:p w14:paraId="6C82BC2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规格：10盒/箱×100只/盒；</w:t>
            </w:r>
          </w:p>
          <w:p w14:paraId="57BD517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丁腈手套.无粉.中号.蓝</w:t>
            </w:r>
          </w:p>
        </w:tc>
      </w:tr>
      <w:tr w14:paraId="4A602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2376E3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24</w:t>
            </w:r>
          </w:p>
        </w:tc>
        <w:tc>
          <w:tcPr>
            <w:tcW w:w="1160" w:type="dxa"/>
            <w:noWrap w:val="0"/>
            <w:vAlign w:val="center"/>
          </w:tcPr>
          <w:p w14:paraId="6ABAEE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一次性使用口罩</w:t>
            </w:r>
          </w:p>
        </w:tc>
        <w:tc>
          <w:tcPr>
            <w:tcW w:w="703" w:type="dxa"/>
            <w:noWrap w:val="0"/>
            <w:vAlign w:val="center"/>
          </w:tcPr>
          <w:p w14:paraId="712EC1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5384B0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20</w:t>
            </w:r>
          </w:p>
        </w:tc>
        <w:tc>
          <w:tcPr>
            <w:tcW w:w="1268" w:type="dxa"/>
            <w:noWrap w:val="0"/>
            <w:vAlign w:val="center"/>
          </w:tcPr>
          <w:p w14:paraId="2DC75D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18.00 </w:t>
            </w:r>
          </w:p>
        </w:tc>
        <w:tc>
          <w:tcPr>
            <w:tcW w:w="4751" w:type="dxa"/>
            <w:noWrap w:val="0"/>
            <w:vAlign w:val="center"/>
          </w:tcPr>
          <w:p w14:paraId="1F77D6C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独立包装；50个/盒；</w:t>
            </w:r>
          </w:p>
          <w:p w14:paraId="578D27E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一次性口罩，独立灭菌包装，防护用品。</w:t>
            </w:r>
          </w:p>
        </w:tc>
      </w:tr>
      <w:tr w14:paraId="476F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0946A1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25</w:t>
            </w:r>
          </w:p>
        </w:tc>
        <w:tc>
          <w:tcPr>
            <w:tcW w:w="1160" w:type="dxa"/>
            <w:noWrap w:val="0"/>
            <w:vAlign w:val="center"/>
          </w:tcPr>
          <w:p w14:paraId="4EF896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一次性垫巾（小）</w:t>
            </w:r>
          </w:p>
        </w:tc>
        <w:tc>
          <w:tcPr>
            <w:tcW w:w="703" w:type="dxa"/>
            <w:noWrap w:val="0"/>
            <w:vAlign w:val="center"/>
          </w:tcPr>
          <w:p w14:paraId="083B14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Style w:val="68"/>
                <w:rFonts w:hint="eastAsia" w:ascii="宋体" w:hAnsi="宋体" w:eastAsia="宋体" w:cs="宋体"/>
                <w:sz w:val="21"/>
                <w:szCs w:val="21"/>
                <w:lang w:val="en-US" w:eastAsia="zh-CN" w:bidi="ar"/>
              </w:rPr>
              <w:t>包</w:t>
            </w:r>
          </w:p>
        </w:tc>
        <w:tc>
          <w:tcPr>
            <w:tcW w:w="668" w:type="dxa"/>
            <w:gridSpan w:val="2"/>
            <w:noWrap w:val="0"/>
            <w:vAlign w:val="center"/>
          </w:tcPr>
          <w:p w14:paraId="556126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30</w:t>
            </w:r>
          </w:p>
        </w:tc>
        <w:tc>
          <w:tcPr>
            <w:tcW w:w="1268" w:type="dxa"/>
            <w:noWrap w:val="0"/>
            <w:vAlign w:val="center"/>
          </w:tcPr>
          <w:p w14:paraId="04412D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10.00 </w:t>
            </w:r>
          </w:p>
        </w:tc>
        <w:tc>
          <w:tcPr>
            <w:tcW w:w="4751" w:type="dxa"/>
            <w:noWrap w:val="0"/>
            <w:vAlign w:val="center"/>
          </w:tcPr>
          <w:p w14:paraId="7F33702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Style w:val="68"/>
                <w:rFonts w:hint="eastAsia" w:ascii="宋体" w:hAnsi="宋体" w:eastAsia="宋体" w:cs="宋体"/>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规格：</w:t>
            </w:r>
            <w:r>
              <w:rPr>
                <w:rStyle w:val="65"/>
                <w:rFonts w:hint="eastAsia" w:ascii="宋体" w:hAnsi="宋体" w:eastAsia="宋体" w:cs="宋体"/>
                <w:sz w:val="21"/>
                <w:szCs w:val="21"/>
                <w:lang w:val="en-US" w:eastAsia="zh-CN" w:bidi="ar"/>
              </w:rPr>
              <w:t>50*60cm;10张/包</w:t>
            </w:r>
            <w:r>
              <w:rPr>
                <w:rStyle w:val="68"/>
                <w:rFonts w:hint="eastAsia" w:ascii="宋体" w:hAnsi="宋体" w:eastAsia="宋体" w:cs="宋体"/>
                <w:sz w:val="21"/>
                <w:szCs w:val="21"/>
                <w:lang w:val="en-US" w:eastAsia="zh-CN" w:bidi="ar"/>
              </w:rPr>
              <w:t>；</w:t>
            </w:r>
          </w:p>
          <w:p w14:paraId="6C24127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sz w:val="21"/>
                <w:szCs w:val="21"/>
                <w:vertAlign w:val="baseline"/>
                <w:lang w:val="en-US" w:eastAsia="zh-CN"/>
              </w:rPr>
            </w:pPr>
            <w:r>
              <w:rPr>
                <w:rStyle w:val="65"/>
                <w:rFonts w:hint="eastAsia" w:ascii="宋体" w:hAnsi="宋体" w:eastAsia="宋体" w:cs="宋体"/>
                <w:sz w:val="21"/>
                <w:szCs w:val="21"/>
                <w:lang w:val="en-US" w:eastAsia="zh-CN" w:bidi="ar"/>
              </w:rPr>
              <w:t>一次性垫巾，灭菌、防油、防水。</w:t>
            </w:r>
          </w:p>
        </w:tc>
      </w:tr>
      <w:tr w14:paraId="34D2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2CA50D7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26</w:t>
            </w:r>
          </w:p>
        </w:tc>
        <w:tc>
          <w:tcPr>
            <w:tcW w:w="1160" w:type="dxa"/>
            <w:noWrap w:val="0"/>
            <w:vAlign w:val="center"/>
          </w:tcPr>
          <w:p w14:paraId="4E7848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一次性垫巾（大）</w:t>
            </w:r>
          </w:p>
        </w:tc>
        <w:tc>
          <w:tcPr>
            <w:tcW w:w="703" w:type="dxa"/>
            <w:noWrap w:val="0"/>
            <w:vAlign w:val="center"/>
          </w:tcPr>
          <w:p w14:paraId="50ACF0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包</w:t>
            </w:r>
          </w:p>
        </w:tc>
        <w:tc>
          <w:tcPr>
            <w:tcW w:w="668" w:type="dxa"/>
            <w:gridSpan w:val="2"/>
            <w:noWrap w:val="0"/>
            <w:vAlign w:val="center"/>
          </w:tcPr>
          <w:p w14:paraId="1C4C0B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20</w:t>
            </w:r>
          </w:p>
        </w:tc>
        <w:tc>
          <w:tcPr>
            <w:tcW w:w="1268" w:type="dxa"/>
            <w:noWrap w:val="0"/>
            <w:vAlign w:val="center"/>
          </w:tcPr>
          <w:p w14:paraId="0FA25DE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60.00 </w:t>
            </w:r>
          </w:p>
        </w:tc>
        <w:tc>
          <w:tcPr>
            <w:tcW w:w="4751" w:type="dxa"/>
            <w:noWrap w:val="0"/>
            <w:vAlign w:val="center"/>
          </w:tcPr>
          <w:p w14:paraId="3057AC0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规格：100*200cm;10张/包；</w:t>
            </w:r>
          </w:p>
          <w:p w14:paraId="7635EB2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一次性垫巾，灭菌、防油、防水。</w:t>
            </w:r>
          </w:p>
        </w:tc>
      </w:tr>
      <w:tr w14:paraId="0EBB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10" w:type="dxa"/>
            <w:gridSpan w:val="7"/>
            <w:noWrap w:val="0"/>
            <w:vAlign w:val="center"/>
          </w:tcPr>
          <w:p w14:paraId="1B448A6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痕迹检验和现场勘察试剂耗材</w:t>
            </w:r>
          </w:p>
        </w:tc>
      </w:tr>
      <w:tr w14:paraId="247F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60" w:type="dxa"/>
            <w:noWrap w:val="0"/>
            <w:vAlign w:val="center"/>
          </w:tcPr>
          <w:p w14:paraId="4FA486F8">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序号</w:t>
            </w:r>
          </w:p>
        </w:tc>
        <w:tc>
          <w:tcPr>
            <w:tcW w:w="1160" w:type="dxa"/>
            <w:noWrap w:val="0"/>
            <w:vAlign w:val="center"/>
          </w:tcPr>
          <w:p w14:paraId="4EFCDA65">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名称</w:t>
            </w:r>
          </w:p>
        </w:tc>
        <w:tc>
          <w:tcPr>
            <w:tcW w:w="703" w:type="dxa"/>
            <w:noWrap w:val="0"/>
            <w:vAlign w:val="center"/>
          </w:tcPr>
          <w:p w14:paraId="21CB0F7D">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单位</w:t>
            </w:r>
          </w:p>
        </w:tc>
        <w:tc>
          <w:tcPr>
            <w:tcW w:w="668" w:type="dxa"/>
            <w:gridSpan w:val="2"/>
            <w:noWrap w:val="0"/>
            <w:vAlign w:val="center"/>
          </w:tcPr>
          <w:p w14:paraId="7129CED3">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数量</w:t>
            </w:r>
          </w:p>
        </w:tc>
        <w:tc>
          <w:tcPr>
            <w:tcW w:w="1268" w:type="dxa"/>
            <w:noWrap w:val="0"/>
            <w:vAlign w:val="center"/>
          </w:tcPr>
          <w:p w14:paraId="7306A5AB">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单价（元）</w:t>
            </w:r>
          </w:p>
        </w:tc>
        <w:tc>
          <w:tcPr>
            <w:tcW w:w="4751" w:type="dxa"/>
            <w:noWrap w:val="0"/>
            <w:vAlign w:val="center"/>
          </w:tcPr>
          <w:p w14:paraId="2B22E157">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技术参数、规格及要求</w:t>
            </w:r>
          </w:p>
        </w:tc>
      </w:tr>
      <w:tr w14:paraId="3B35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52E28D1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27</w:t>
            </w:r>
          </w:p>
        </w:tc>
        <w:tc>
          <w:tcPr>
            <w:tcW w:w="1160" w:type="dxa"/>
            <w:noWrap w:val="0"/>
            <w:vAlign w:val="center"/>
          </w:tcPr>
          <w:p w14:paraId="67B47773">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蓝星试剂</w:t>
            </w:r>
          </w:p>
        </w:tc>
        <w:tc>
          <w:tcPr>
            <w:tcW w:w="703" w:type="dxa"/>
            <w:noWrap w:val="0"/>
            <w:vAlign w:val="center"/>
          </w:tcPr>
          <w:p w14:paraId="7C35EF77">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668" w:type="dxa"/>
            <w:gridSpan w:val="2"/>
            <w:noWrap w:val="0"/>
            <w:vAlign w:val="center"/>
          </w:tcPr>
          <w:p w14:paraId="4B7CB8BC">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1268" w:type="dxa"/>
            <w:noWrap w:val="0"/>
            <w:vAlign w:val="center"/>
          </w:tcPr>
          <w:p w14:paraId="5024E0EB">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565.00</w:t>
            </w:r>
          </w:p>
        </w:tc>
        <w:tc>
          <w:tcPr>
            <w:tcW w:w="4751" w:type="dxa"/>
            <w:noWrap w:val="0"/>
            <w:vAlign w:val="top"/>
          </w:tcPr>
          <w:p w14:paraId="26647CF6">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鲁米诺潜在血迹显现试剂</w:t>
            </w:r>
          </w:p>
          <w:p w14:paraId="292D2799">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产品用途</w:t>
            </w:r>
          </w:p>
          <w:p w14:paraId="5CB0E50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用于发现潜在血迹。</w:t>
            </w:r>
          </w:p>
          <w:p w14:paraId="01D511A0">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工作原理</w:t>
            </w:r>
          </w:p>
          <w:p w14:paraId="3CF3E0F7">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主要成分有鲁米诺、氧化剂。血迹中的血红素催化氧化剂对鲁米诺的氧化过程，被氧化的鲁米诺发出蓝光，在黑暗的环境中可以清晰观察。</w:t>
            </w:r>
          </w:p>
          <w:p w14:paraId="30DC88A4">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显现效果</w:t>
            </w:r>
          </w:p>
          <w:p w14:paraId="1235413F">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可以发现血液稀释一万倍形成的血迹。能够检测到被洗涤剂清洗过的血迹和陈旧血迹，显现剂处理过的血迹不影响DNA分析工作。</w:t>
            </w:r>
          </w:p>
          <w:p w14:paraId="27659BDD">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假阳性</w:t>
            </w:r>
          </w:p>
          <w:p w14:paraId="71C600D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果汁、酱油等斑迹也可以使鲁米诺潜血显现试剂产生蓝色荧光。</w:t>
            </w:r>
          </w:p>
          <w:p w14:paraId="19153628">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产品规格</w:t>
            </w:r>
          </w:p>
          <w:p w14:paraId="2EBB018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包装形式：纸盒</w:t>
            </w:r>
          </w:p>
          <w:p w14:paraId="09434AC7">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包装清单：4支试剂A，4支试剂B，1个喷瓶</w:t>
            </w:r>
          </w:p>
          <w:p w14:paraId="55865A7D">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包装尺寸：92x72x175mm</w:t>
            </w:r>
          </w:p>
          <w:p w14:paraId="04E515EA">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包装重量：120g</w:t>
            </w:r>
          </w:p>
        </w:tc>
      </w:tr>
      <w:tr w14:paraId="58380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6A9829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28</w:t>
            </w:r>
          </w:p>
        </w:tc>
        <w:tc>
          <w:tcPr>
            <w:tcW w:w="1160" w:type="dxa"/>
            <w:noWrap w:val="0"/>
            <w:vAlign w:val="center"/>
          </w:tcPr>
          <w:p w14:paraId="18A42335">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生物物证可视化荧光标记试剂</w:t>
            </w:r>
          </w:p>
        </w:tc>
        <w:tc>
          <w:tcPr>
            <w:tcW w:w="703" w:type="dxa"/>
            <w:noWrap w:val="0"/>
            <w:vAlign w:val="center"/>
          </w:tcPr>
          <w:p w14:paraId="3DA62F94">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瓶</w:t>
            </w:r>
          </w:p>
        </w:tc>
        <w:tc>
          <w:tcPr>
            <w:tcW w:w="668" w:type="dxa"/>
            <w:gridSpan w:val="2"/>
            <w:noWrap w:val="0"/>
            <w:vAlign w:val="center"/>
          </w:tcPr>
          <w:p w14:paraId="39C547AD">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1268" w:type="dxa"/>
            <w:noWrap w:val="0"/>
            <w:vAlign w:val="center"/>
          </w:tcPr>
          <w:p w14:paraId="20989228">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600.00</w:t>
            </w:r>
          </w:p>
        </w:tc>
        <w:tc>
          <w:tcPr>
            <w:tcW w:w="4751" w:type="dxa"/>
            <w:noWrap w:val="0"/>
            <w:vAlign w:val="top"/>
          </w:tcPr>
          <w:p w14:paraId="4283CE00">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产品用途：汗液、皮屑、脱落细胞、精斑、血迹、人体体液斑迹等都含有蛋白质和氨基酸。用超声波雾化器将物理吸附型生物物证激光靶向试剂雾化，让雾化的试剂飘落物体表面上，试剂会吸附在上述生物物证上。用520nm或445nm激光照射，佩戴滤光眼镜观察，可以看到上述生物物证发出荧光；</w:t>
            </w:r>
          </w:p>
          <w:p w14:paraId="05C91A1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试剂颜色：橘红色； </w:t>
            </w:r>
          </w:p>
          <w:p w14:paraId="2C419BD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容量：约30ml；</w:t>
            </w:r>
          </w:p>
          <w:p w14:paraId="15E2A21E">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其他：透明塑料瓶包装，常温保存，保质期1年。   </w:t>
            </w:r>
          </w:p>
        </w:tc>
      </w:tr>
      <w:tr w14:paraId="445B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11C1A4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29</w:t>
            </w:r>
          </w:p>
        </w:tc>
        <w:tc>
          <w:tcPr>
            <w:tcW w:w="1160" w:type="dxa"/>
            <w:noWrap w:val="0"/>
            <w:vAlign w:val="center"/>
          </w:tcPr>
          <w:p w14:paraId="03E34F06">
            <w:pPr>
              <w:keepNext w:val="0"/>
              <w:keepLines w:val="0"/>
              <w:pageBreakBefore w:val="0"/>
              <w:kinsoku/>
              <w:wordWrap/>
              <w:overflowPunct/>
              <w:topLinePunct w:val="0"/>
              <w:autoSpaceDE/>
              <w:autoSpaceDN/>
              <w:bidi w:val="0"/>
              <w:adjustRightInd/>
              <w:snapToGrid/>
              <w:spacing w:line="288"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7.5# 医用橡胶手套</w:t>
            </w:r>
          </w:p>
        </w:tc>
        <w:tc>
          <w:tcPr>
            <w:tcW w:w="703" w:type="dxa"/>
            <w:noWrap w:val="0"/>
            <w:vAlign w:val="center"/>
          </w:tcPr>
          <w:p w14:paraId="0A7F6F5E">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盒</w:t>
            </w:r>
          </w:p>
        </w:tc>
        <w:tc>
          <w:tcPr>
            <w:tcW w:w="668" w:type="dxa"/>
            <w:gridSpan w:val="2"/>
            <w:noWrap w:val="0"/>
            <w:vAlign w:val="center"/>
          </w:tcPr>
          <w:p w14:paraId="7771DF42">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268" w:type="dxa"/>
            <w:noWrap w:val="0"/>
            <w:vAlign w:val="center"/>
          </w:tcPr>
          <w:p w14:paraId="53B4B6B5">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190.00</w:t>
            </w:r>
          </w:p>
        </w:tc>
        <w:tc>
          <w:tcPr>
            <w:tcW w:w="4751" w:type="dxa"/>
            <w:noWrap w:val="0"/>
            <w:vAlign w:val="center"/>
          </w:tcPr>
          <w:p w14:paraId="17635DFA">
            <w:pPr>
              <w:keepNext w:val="0"/>
              <w:keepLines w:val="0"/>
              <w:pageBreakBefore w:val="0"/>
              <w:kinsoku/>
              <w:wordWrap/>
              <w:overflowPunct/>
              <w:topLinePunct w:val="0"/>
              <w:autoSpaceDE/>
              <w:autoSpaceDN/>
              <w:bidi w:val="0"/>
              <w:adjustRightInd/>
              <w:snapToGrid/>
              <w:spacing w:line="288"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7.5#医用橡胶手套，50对/盒</w:t>
            </w:r>
          </w:p>
        </w:tc>
      </w:tr>
      <w:tr w14:paraId="2F18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5F4F11A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30</w:t>
            </w:r>
          </w:p>
        </w:tc>
        <w:tc>
          <w:tcPr>
            <w:tcW w:w="1160" w:type="dxa"/>
            <w:noWrap w:val="0"/>
            <w:vAlign w:val="center"/>
          </w:tcPr>
          <w:p w14:paraId="38D58BA8">
            <w:pPr>
              <w:keepNext w:val="0"/>
              <w:keepLines w:val="0"/>
              <w:pageBreakBefore w:val="0"/>
              <w:kinsoku/>
              <w:wordWrap/>
              <w:overflowPunct/>
              <w:topLinePunct w:val="0"/>
              <w:autoSpaceDE/>
              <w:autoSpaceDN/>
              <w:bidi w:val="0"/>
              <w:adjustRightInd/>
              <w:snapToGrid/>
              <w:spacing w:line="288"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 医用橡胶手套</w:t>
            </w:r>
          </w:p>
        </w:tc>
        <w:tc>
          <w:tcPr>
            <w:tcW w:w="703" w:type="dxa"/>
            <w:noWrap w:val="0"/>
            <w:vAlign w:val="center"/>
          </w:tcPr>
          <w:p w14:paraId="7C9E89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1CBA81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268" w:type="dxa"/>
            <w:noWrap w:val="0"/>
            <w:vAlign w:val="center"/>
          </w:tcPr>
          <w:p w14:paraId="400EB7D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190.00</w:t>
            </w:r>
          </w:p>
        </w:tc>
        <w:tc>
          <w:tcPr>
            <w:tcW w:w="4751" w:type="dxa"/>
            <w:noWrap w:val="0"/>
            <w:vAlign w:val="center"/>
          </w:tcPr>
          <w:p w14:paraId="0E3251C9">
            <w:pPr>
              <w:keepNext w:val="0"/>
              <w:keepLines w:val="0"/>
              <w:pageBreakBefore w:val="0"/>
              <w:kinsoku/>
              <w:wordWrap/>
              <w:overflowPunct/>
              <w:topLinePunct w:val="0"/>
              <w:autoSpaceDE/>
              <w:autoSpaceDN/>
              <w:bidi w:val="0"/>
              <w:adjustRightInd/>
              <w:snapToGrid/>
              <w:spacing w:line="288"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8#医用橡胶手套，50对/盒</w:t>
            </w:r>
          </w:p>
        </w:tc>
      </w:tr>
      <w:tr w14:paraId="3619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653E0F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31</w:t>
            </w:r>
          </w:p>
        </w:tc>
        <w:tc>
          <w:tcPr>
            <w:tcW w:w="1160" w:type="dxa"/>
            <w:noWrap w:val="0"/>
            <w:vAlign w:val="center"/>
          </w:tcPr>
          <w:p w14:paraId="50B3A5E2">
            <w:pPr>
              <w:keepNext w:val="0"/>
              <w:keepLines w:val="0"/>
              <w:pageBreakBefore w:val="0"/>
              <w:kinsoku/>
              <w:wordWrap/>
              <w:overflowPunct/>
              <w:topLinePunct w:val="0"/>
              <w:autoSpaceDE/>
              <w:autoSpaceDN/>
              <w:bidi w:val="0"/>
              <w:adjustRightInd/>
              <w:snapToGrid/>
              <w:spacing w:line="288"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8.5# 医用橡胶手套</w:t>
            </w:r>
          </w:p>
        </w:tc>
        <w:tc>
          <w:tcPr>
            <w:tcW w:w="703" w:type="dxa"/>
            <w:noWrap w:val="0"/>
            <w:vAlign w:val="center"/>
          </w:tcPr>
          <w:p w14:paraId="6A5D4A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604489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1268" w:type="dxa"/>
            <w:noWrap w:val="0"/>
            <w:vAlign w:val="center"/>
          </w:tcPr>
          <w:p w14:paraId="6999CC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190.00</w:t>
            </w:r>
          </w:p>
        </w:tc>
        <w:tc>
          <w:tcPr>
            <w:tcW w:w="4751" w:type="dxa"/>
            <w:noWrap w:val="0"/>
            <w:vAlign w:val="center"/>
          </w:tcPr>
          <w:p w14:paraId="0C0A61F2">
            <w:pPr>
              <w:keepNext w:val="0"/>
              <w:keepLines w:val="0"/>
              <w:pageBreakBefore w:val="0"/>
              <w:kinsoku/>
              <w:wordWrap/>
              <w:overflowPunct/>
              <w:topLinePunct w:val="0"/>
              <w:autoSpaceDE/>
              <w:autoSpaceDN/>
              <w:bidi w:val="0"/>
              <w:adjustRightInd/>
              <w:snapToGrid/>
              <w:spacing w:line="288"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8.5#医用橡胶手套，50对/盒</w:t>
            </w:r>
          </w:p>
        </w:tc>
      </w:tr>
      <w:tr w14:paraId="7A76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311093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32</w:t>
            </w:r>
          </w:p>
        </w:tc>
        <w:tc>
          <w:tcPr>
            <w:tcW w:w="1160" w:type="dxa"/>
            <w:noWrap w:val="0"/>
            <w:vAlign w:val="center"/>
          </w:tcPr>
          <w:p w14:paraId="1695E1BE">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警用围挡</w:t>
            </w:r>
          </w:p>
        </w:tc>
        <w:tc>
          <w:tcPr>
            <w:tcW w:w="703" w:type="dxa"/>
            <w:noWrap w:val="0"/>
            <w:vAlign w:val="center"/>
          </w:tcPr>
          <w:p w14:paraId="78F5EA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套</w:t>
            </w:r>
          </w:p>
        </w:tc>
        <w:tc>
          <w:tcPr>
            <w:tcW w:w="668" w:type="dxa"/>
            <w:gridSpan w:val="2"/>
            <w:noWrap w:val="0"/>
            <w:vAlign w:val="center"/>
          </w:tcPr>
          <w:p w14:paraId="2962A7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268" w:type="dxa"/>
            <w:noWrap w:val="0"/>
            <w:vAlign w:val="center"/>
          </w:tcPr>
          <w:p w14:paraId="11102D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1,380.00 </w:t>
            </w:r>
          </w:p>
        </w:tc>
        <w:tc>
          <w:tcPr>
            <w:tcW w:w="4751" w:type="dxa"/>
            <w:noWrap w:val="0"/>
            <w:vAlign w:val="top"/>
          </w:tcPr>
          <w:p w14:paraId="2DF01CB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一、主要特点：</w:t>
            </w:r>
          </w:p>
          <w:p w14:paraId="173924F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1.主体：铝合金支撑架和防水牛津布；</w:t>
            </w:r>
          </w:p>
          <w:p w14:paraId="38045341">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2.颜色：警蓝色外观，背面PU涂层，正面防水处理；</w:t>
            </w:r>
          </w:p>
          <w:p w14:paraId="700A7372">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3.由2组折叠支撑架、2块防水围挡布和2个底盒组成；</w:t>
            </w:r>
          </w:p>
          <w:p w14:paraId="5327796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4.展开尺寸：≥2050mm×2110mm；</w:t>
            </w:r>
          </w:p>
          <w:p w14:paraId="07B70168">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5.装箱体积：≤1200mm×500mm×80mm；</w:t>
            </w:r>
          </w:p>
          <w:p w14:paraId="531B7B80">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6.底座尺寸：≤1200mm×500mm×40mm；</w:t>
            </w:r>
          </w:p>
          <w:p w14:paraId="00B57E99">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7.重量：≤25 kg（其中底盒15kg）；</w:t>
            </w:r>
          </w:p>
          <w:p w14:paraId="2C83AEE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8.折叠支撑架为自锁机构，展开到固定位置时会自动锁紧，折叠支撑架底部与底座盒有扣锁止装置，连接牢固不易晃动；折叠支撑架能承受200N静压力后不产生永久变形或损坏；折叠支撑架有毛刺； 围布上沿、左侧、右侧有毛刺，与折叠支撑架粘贴；</w:t>
            </w:r>
          </w:p>
          <w:p w14:paraId="019ED06D">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9.防水围挡布性能</w:t>
            </w:r>
          </w:p>
          <w:p w14:paraId="727E542D">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纤维含量（试验方法GB/T38015-2019）：100%尼龙</w:t>
            </w:r>
          </w:p>
          <w:p w14:paraId="7B44136D">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面料撕破强力（试验方法GB/T3917.3-2019）：经向≥150N，纬向≥100N</w:t>
            </w:r>
          </w:p>
          <w:p w14:paraId="536CD1B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面料断裂强力（试验方法GB/T3923.1-2013）：经向≥900N，纬向≥500N</w:t>
            </w:r>
          </w:p>
          <w:p w14:paraId="09529BF7">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面料耐磨性（试验方法201196.2-2007）：≥30000次</w:t>
            </w:r>
          </w:p>
          <w:p w14:paraId="523ABC7E">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表面抗湿性能（防水）（试验方法GB/T4745-2012：27℃±2℃）：≥4级</w:t>
            </w:r>
          </w:p>
          <w:p w14:paraId="4CCBC8B6">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甲醛含量（试验方法GB/T2912.2-2019）：未检出</w:t>
            </w:r>
          </w:p>
          <w:p w14:paraId="4449845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色牢度：耐水洗色牢度（试验方法GB/T5713-2013）：≥4～5级；</w:t>
            </w:r>
          </w:p>
          <w:p w14:paraId="54BBBD57">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耐汗渍色牢度（试验方法GB/T3922-2013）：≥4～5级；</w:t>
            </w:r>
          </w:p>
          <w:p w14:paraId="4E794CD2">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耐摩擦色牢度（试验方法GB/T3920-2008）：≥4～5级；</w:t>
            </w:r>
          </w:p>
          <w:p w14:paraId="385710A2">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耐光照色牢度（试验方法GB/T8427-2019）：≥4～5级；</w:t>
            </w:r>
          </w:p>
          <w:p w14:paraId="0B40650D">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耐皂洗色牢度（试验方法GB/T3921-2008）：≥4～5级 。</w:t>
            </w:r>
          </w:p>
          <w:p w14:paraId="6808D16E">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10.状态转换时间:二人操作单片围挡展开≤180秒，收缩时间≤180秒。</w:t>
            </w:r>
          </w:p>
          <w:p w14:paraId="0C32A89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11.齐套性：重型两折围挡、“警徽、警POLICE察” 和“严禁靠近 请勿拍摄”字帖各两套、合格证、说明书；</w:t>
            </w:r>
          </w:p>
          <w:p w14:paraId="29573E50">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12.环境要求：高温耐受≥40℃,4h后无变形、开裂、破损等现象。</w:t>
            </w:r>
          </w:p>
          <w:p w14:paraId="10603A4E">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二、配置要求</w:t>
            </w:r>
          </w:p>
          <w:p w14:paraId="3A8A040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1.围挡正反面上下各设置2条暗灰高强度反光材料反光条，规格：单根长2000mm±5mm，宽50mm±1.5mm；上方反光条距顶部边缘：300mm；上下反光条间距：1085mm，下方反光条距底部边缘：515mm；</w:t>
            </w:r>
          </w:p>
          <w:p w14:paraId="65E3FAB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2.单套配有“警徽、警POLICE察” 和“严禁靠近 请勿拍摄”字帖各两套、合格证、说明书。字帖采用可拆卸形式，可做双按扣或子母扣形式，双按扣围布铆双公扣，字帖铆母扣，“警徽及警POLICE察”字帖母扣铆4颗，“严禁靠近 请勿拍摄”母扣铆8颗；采用子母扣时，围布、字帖打孔，“警徽及警POLICE察”字帖打孔4个，“严禁靠近 请勿拍摄” 打孔8个；配备12套子母扣。</w:t>
            </w:r>
          </w:p>
          <w:p w14:paraId="3F870059">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3.按扣材质：铜；</w:t>
            </w:r>
          </w:p>
          <w:p w14:paraId="7266082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4.“警徽及警POLICE察”字帖规格：字体黑体，高：550mm，宽：730mm，“警徽”高度：300mm，宽度：285mm，“警POLICE察”字长度：680mm，字宽度：135mm，“严禁靠近 ”字长：637mm，字高：140mm，请勿拍摄字长：637mm，字高：140mm”字帖规格：长：1600mm，宽：190mm，位置在上下反光条中间居中位置。</w:t>
            </w:r>
          </w:p>
          <w:p w14:paraId="2597EB0D">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三、应用范围：</w:t>
            </w:r>
          </w:p>
          <w:p w14:paraId="75BD660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适合各种公共场合应急处置时使用，如案发现场、人质解救现场、恶性交通事故现场、机场、火车站、汽车站、地铁站，广场、各种大型活动举办现场等。</w:t>
            </w:r>
          </w:p>
        </w:tc>
      </w:tr>
      <w:tr w14:paraId="0884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3B687C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33</w:t>
            </w:r>
          </w:p>
        </w:tc>
        <w:tc>
          <w:tcPr>
            <w:tcW w:w="1160" w:type="dxa"/>
            <w:noWrap w:val="0"/>
            <w:vAlign w:val="center"/>
          </w:tcPr>
          <w:p w14:paraId="0C399D54">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DNA荧光示踪剂</w:t>
            </w:r>
          </w:p>
        </w:tc>
        <w:tc>
          <w:tcPr>
            <w:tcW w:w="703" w:type="dxa"/>
            <w:noWrap w:val="0"/>
            <w:vAlign w:val="center"/>
          </w:tcPr>
          <w:p w14:paraId="47D2BD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套</w:t>
            </w:r>
          </w:p>
        </w:tc>
        <w:tc>
          <w:tcPr>
            <w:tcW w:w="668" w:type="dxa"/>
            <w:gridSpan w:val="2"/>
            <w:noWrap w:val="0"/>
            <w:vAlign w:val="center"/>
          </w:tcPr>
          <w:p w14:paraId="168CB9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1268" w:type="dxa"/>
            <w:noWrap w:val="0"/>
            <w:vAlign w:val="center"/>
          </w:tcPr>
          <w:p w14:paraId="6D080B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 xml:space="preserve">425.00 </w:t>
            </w:r>
          </w:p>
        </w:tc>
        <w:tc>
          <w:tcPr>
            <w:tcW w:w="4751" w:type="dxa"/>
            <w:noWrap w:val="0"/>
            <w:vAlign w:val="top"/>
          </w:tcPr>
          <w:p w14:paraId="37359A04">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1.陈旧渗透性客体上汗液指印显现，微量接触性痕迹显现，可适用各种纸张、砖头、木头、布料等渗透性及半渗透性客体；</w:t>
            </w:r>
          </w:p>
          <w:p w14:paraId="50085F8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2.试剂只与氨基酸、不破坏DNA链；</w:t>
            </w:r>
          </w:p>
          <w:p w14:paraId="6318896D">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3.灵敏度高，纹线清晰，不扩散；</w:t>
            </w:r>
          </w:p>
          <w:p w14:paraId="7900F25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4.不溶解书写墨水；</w:t>
            </w:r>
          </w:p>
          <w:p w14:paraId="49A6D65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5.采用环保型溶剂，挥发快；</w:t>
            </w:r>
          </w:p>
          <w:p w14:paraId="436DCFD5">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6.操作简单，10min左右即可显现出潜在痕迹；</w:t>
            </w:r>
          </w:p>
          <w:p w14:paraId="33F56115">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7.显色持久，方便随时观察、拍照记录；</w:t>
            </w:r>
          </w:p>
        </w:tc>
      </w:tr>
      <w:tr w14:paraId="633C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704C44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34</w:t>
            </w:r>
          </w:p>
        </w:tc>
        <w:tc>
          <w:tcPr>
            <w:tcW w:w="1160" w:type="dxa"/>
            <w:noWrap w:val="0"/>
            <w:vAlign w:val="center"/>
          </w:tcPr>
          <w:p w14:paraId="39341ED5">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潜血指掌印荧光显现试剂</w:t>
            </w:r>
          </w:p>
        </w:tc>
        <w:tc>
          <w:tcPr>
            <w:tcW w:w="703" w:type="dxa"/>
            <w:noWrap w:val="0"/>
            <w:vAlign w:val="center"/>
          </w:tcPr>
          <w:p w14:paraId="5503E1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套</w:t>
            </w:r>
          </w:p>
        </w:tc>
        <w:tc>
          <w:tcPr>
            <w:tcW w:w="668" w:type="dxa"/>
            <w:gridSpan w:val="2"/>
            <w:noWrap w:val="0"/>
            <w:vAlign w:val="center"/>
          </w:tcPr>
          <w:p w14:paraId="23C0FE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1268" w:type="dxa"/>
            <w:noWrap w:val="0"/>
            <w:vAlign w:val="center"/>
          </w:tcPr>
          <w:p w14:paraId="3B6536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800.00 </w:t>
            </w:r>
          </w:p>
        </w:tc>
        <w:tc>
          <w:tcPr>
            <w:tcW w:w="4751" w:type="dxa"/>
            <w:noWrap w:val="0"/>
            <w:vAlign w:val="top"/>
          </w:tcPr>
          <w:p w14:paraId="74414F7F">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1.溶液无色透明，用于潜在指印痕迹和微量潜血的显现；</w:t>
            </w:r>
          </w:p>
          <w:p w14:paraId="3A54CDE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2.适用于渗透性及半渗透性客体；</w:t>
            </w:r>
          </w:p>
          <w:p w14:paraId="09165EC9">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3.试剂与氨基酸、蛋白质反应，不破坏DNA；</w:t>
            </w:r>
          </w:p>
          <w:p w14:paraId="66B5073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4.灵敏度高，纹线清晰，不扩散；</w:t>
            </w:r>
          </w:p>
          <w:p w14:paraId="6B0C5E09">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5.不溶解书写墨水，不影响热敏纸显现；</w:t>
            </w:r>
          </w:p>
          <w:p w14:paraId="1C7578B0">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sz w:val="21"/>
                <w:szCs w:val="21"/>
                <w:vertAlign w:val="baseline"/>
                <w:lang w:val="en-US" w:eastAsia="zh-CN"/>
              </w:rPr>
              <w:t>6.采用环保型溶剂，无刺激性气味、不燃烧、表面</w:t>
            </w:r>
            <w:r>
              <w:rPr>
                <w:rFonts w:hint="eastAsia" w:ascii="宋体" w:hAnsi="宋体" w:eastAsia="宋体" w:cs="宋体"/>
                <w:color w:val="auto"/>
                <w:sz w:val="21"/>
                <w:szCs w:val="21"/>
                <w:vertAlign w:val="baseline"/>
                <w:lang w:val="en-US" w:eastAsia="zh-CN"/>
              </w:rPr>
              <w:t>张力低、挥发快；</w:t>
            </w:r>
          </w:p>
          <w:p w14:paraId="68782CD5">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7.操作简单，快速显现出潜在痕迹；</w:t>
            </w:r>
          </w:p>
          <w:p w14:paraId="5A6FB5D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8.显现后指纹在绿光激发下可以发出明亮荧光；</w:t>
            </w:r>
          </w:p>
          <w:p w14:paraId="3FBE72B0">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vertAlign w:val="baseline"/>
                <w:lang w:val="en-US" w:eastAsia="zh-CN"/>
              </w:rPr>
              <w:t>9. 显色持久，方便随时观察、拍照记录；</w:t>
            </w:r>
          </w:p>
        </w:tc>
      </w:tr>
      <w:tr w14:paraId="0FCC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1159F9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35</w:t>
            </w:r>
          </w:p>
        </w:tc>
        <w:tc>
          <w:tcPr>
            <w:tcW w:w="1160" w:type="dxa"/>
            <w:noWrap w:val="0"/>
            <w:vAlign w:val="center"/>
          </w:tcPr>
          <w:p w14:paraId="2A583B66">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法医勘察箱</w:t>
            </w:r>
          </w:p>
        </w:tc>
        <w:tc>
          <w:tcPr>
            <w:tcW w:w="703" w:type="dxa"/>
            <w:noWrap w:val="0"/>
            <w:vAlign w:val="center"/>
          </w:tcPr>
          <w:p w14:paraId="0632A2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套</w:t>
            </w:r>
          </w:p>
        </w:tc>
        <w:tc>
          <w:tcPr>
            <w:tcW w:w="668" w:type="dxa"/>
            <w:gridSpan w:val="2"/>
            <w:noWrap w:val="0"/>
            <w:vAlign w:val="center"/>
          </w:tcPr>
          <w:p w14:paraId="192DE9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2</w:t>
            </w:r>
          </w:p>
        </w:tc>
        <w:tc>
          <w:tcPr>
            <w:tcW w:w="1268" w:type="dxa"/>
            <w:noWrap w:val="0"/>
            <w:vAlign w:val="center"/>
          </w:tcPr>
          <w:p w14:paraId="157BF4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 xml:space="preserve">2,700.00 </w:t>
            </w:r>
          </w:p>
        </w:tc>
        <w:tc>
          <w:tcPr>
            <w:tcW w:w="4751" w:type="dxa"/>
            <w:noWrap w:val="0"/>
            <w:vAlign w:val="top"/>
          </w:tcPr>
          <w:p w14:paraId="111AAE7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型号：ATFK-III型法医勘察箱</w:t>
            </w:r>
          </w:p>
          <w:p w14:paraId="3B32F055">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产品功能:解剖尸体、检测尸体温度、收集保存各种尸体组织样本、采集尸体指纹、干净的手术器械固定在不锈钢 “手术器械存放盘”中。</w:t>
            </w:r>
          </w:p>
          <w:p w14:paraId="2436EE4A">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用过的器械放入不锈钢“手术器械清洗盒”进行清洗。</w:t>
            </w:r>
          </w:p>
          <w:p w14:paraId="79A02FE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尸体腐臭抑制剂可有效抑制尸体的腐臭气味。</w:t>
            </w:r>
          </w:p>
          <w:p w14:paraId="44460415">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产品配置：</w:t>
            </w:r>
          </w:p>
          <w:p w14:paraId="10C5C3A0">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可充电白光手电 1个、玻璃尸体温度计 1个、骨锯 1把、骨膜剥离器 1个、骨锤 1个、肋骨剪 1个、骨凿 1个、截断刀 1把、丁字凿 1把、大号手术刀柄 2把、大号手术刀片 2包、弯头手术剪 1把、直圆手术剪 1把、弯头止血钳 1把、直头止血钳 1把、组织镊子 1把、敷料镊子 1把、大号缝合针 1包、白色医用缝合线 1轴、黑色医用缝合线 1轴、不锈钢勺 1把、穿刺探针 1个、勾状探针 1个、球状探针 1个、推子 1个、剃刀 1个、指甲刀 1个、手术器械清洗盘 1个、手术器械存放盘 1个、大号手指扳直器 1个、小号手指扳直器 1个、尸体指纹捺印器 1本、指纹捺印盒 1个、左手指纹捺印卡 1本、右手指纹捺印卡 1个、30cm钢板尺 1把、5m钢卷尺 1个、尸体腐臭抑制剂 1瓶、手术衣 2套、乳胶手套 2付、汗布手套 2付、一次性塑料手套 10付、毛巾 2块、棉签 1包、纱布 10片、纸物证袋 5个、塑料物证袋 5个、物证瓶 6个、5ml注射器 5个、10ml注射器 2个、带盖塑料试管 5个、医用胶布 1盒、红色记号笔 1支、黑色记号笔 1支、黑色不干胶尺 1张、白色不干胶尺 1张、物证标签 1张、放大镜 1个、指南针 1个、铝合金箱 1个。</w:t>
            </w:r>
          </w:p>
        </w:tc>
      </w:tr>
      <w:tr w14:paraId="7BDA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2" w:hRule="atLeast"/>
        </w:trPr>
        <w:tc>
          <w:tcPr>
            <w:tcW w:w="660" w:type="dxa"/>
            <w:noWrap w:val="0"/>
            <w:vAlign w:val="center"/>
          </w:tcPr>
          <w:p w14:paraId="7DAA2B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36</w:t>
            </w:r>
          </w:p>
        </w:tc>
        <w:tc>
          <w:tcPr>
            <w:tcW w:w="1160" w:type="dxa"/>
            <w:noWrap w:val="0"/>
            <w:vAlign w:val="center"/>
          </w:tcPr>
          <w:p w14:paraId="1D977BD7">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现场勘察箱</w:t>
            </w:r>
          </w:p>
        </w:tc>
        <w:tc>
          <w:tcPr>
            <w:tcW w:w="703" w:type="dxa"/>
            <w:noWrap w:val="0"/>
            <w:vAlign w:val="center"/>
          </w:tcPr>
          <w:p w14:paraId="3D28E8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套</w:t>
            </w:r>
          </w:p>
        </w:tc>
        <w:tc>
          <w:tcPr>
            <w:tcW w:w="668" w:type="dxa"/>
            <w:gridSpan w:val="2"/>
            <w:noWrap w:val="0"/>
            <w:vAlign w:val="center"/>
          </w:tcPr>
          <w:p w14:paraId="541C32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268" w:type="dxa"/>
            <w:noWrap w:val="0"/>
            <w:vAlign w:val="center"/>
          </w:tcPr>
          <w:p w14:paraId="334EBB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 xml:space="preserve">3,200.00 </w:t>
            </w:r>
          </w:p>
        </w:tc>
        <w:tc>
          <w:tcPr>
            <w:tcW w:w="4751" w:type="dxa"/>
            <w:noWrap w:val="0"/>
            <w:vAlign w:val="top"/>
          </w:tcPr>
          <w:p w14:paraId="760CF757">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BTHX-VI-L型现场痕迹勘查箱</w:t>
            </w:r>
          </w:p>
          <w:p w14:paraId="6BA5AF10">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配套物品：</w:t>
            </w:r>
          </w:p>
          <w:p w14:paraId="2721062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 可充电白光手电 1只 为现场勘查提供照明</w:t>
            </w:r>
          </w:p>
          <w:p w14:paraId="4B545CBA">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 可充电紫光手电 1只 用荧光粉显现复杂背景表面的指纹，紫光手电可以激发荧光粉的荧光</w:t>
            </w:r>
          </w:p>
          <w:p w14:paraId="513ACED5">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3 羽毛指纹刷 2支 </w:t>
            </w:r>
          </w:p>
          <w:p w14:paraId="02E2352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4 球形红色荧光粉 1瓶 </w:t>
            </w:r>
          </w:p>
          <w:p w14:paraId="15B742E2">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5 球形黄色荧光粉 1瓶 </w:t>
            </w:r>
          </w:p>
          <w:p w14:paraId="03CF69C9">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6 红色荧光磁性粉 1瓶 </w:t>
            </w:r>
          </w:p>
          <w:p w14:paraId="3C3A765D">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7 黄色荧光磁性粉 1瓶 </w:t>
            </w:r>
          </w:p>
          <w:p w14:paraId="644AF014">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8 圆形灰鼠毛刷 1支 非荧光粉末显现、提取光滑表面上的指纹</w:t>
            </w:r>
          </w:p>
          <w:p w14:paraId="257425A1">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9 扁形灰鼠毛刷 1支 </w:t>
            </w:r>
          </w:p>
          <w:p w14:paraId="65B98ADF">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10 大号磁性指纹刷 1支 </w:t>
            </w:r>
          </w:p>
          <w:p w14:paraId="560CFE21">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11 小号磁性指纹刷 1支 </w:t>
            </w:r>
          </w:p>
          <w:p w14:paraId="61456B57">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12 球形金色指纹粉 1瓶 </w:t>
            </w:r>
          </w:p>
          <w:p w14:paraId="7C9C7060">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13 球形银色指纹粉 1瓶 </w:t>
            </w:r>
          </w:p>
          <w:p w14:paraId="67DB8F2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14 黑色磁性粉 1瓶 </w:t>
            </w:r>
          </w:p>
          <w:p w14:paraId="2628BF84">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15 银黑双色磁性粉 1瓶 </w:t>
            </w:r>
          </w:p>
          <w:p w14:paraId="126E71BE">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16 银色磁性粉 1瓶 </w:t>
            </w:r>
          </w:p>
          <w:p w14:paraId="10D5314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17 吹粉球 1个 </w:t>
            </w:r>
          </w:p>
          <w:p w14:paraId="6D1F6DEE">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18 指纹胶带 1卷 </w:t>
            </w:r>
          </w:p>
          <w:p w14:paraId="491B0527">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19 掌纹胶带 1卷 </w:t>
            </w:r>
          </w:p>
          <w:p w14:paraId="64A1629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20 白色掌纹衬底 20张 </w:t>
            </w:r>
          </w:p>
          <w:p w14:paraId="710BDF0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21 黑色掌纹衬底 20张 </w:t>
            </w:r>
          </w:p>
          <w:p w14:paraId="67795837">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22 脱胶502 1瓶  502胶冷熏法显现深色粗糙表面上指纹</w:t>
            </w:r>
          </w:p>
          <w:p w14:paraId="132C272D">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23 502胶冷熏杯罩 1个 </w:t>
            </w:r>
          </w:p>
          <w:p w14:paraId="6985F171">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24 定性滤纸 10张 </w:t>
            </w:r>
          </w:p>
          <w:p w14:paraId="6A8EEE5A">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25 碘熏管 6支 碘熏法显现浅色粗糙表面上的油性指纹</w:t>
            </w:r>
          </w:p>
          <w:p w14:paraId="6943694F">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26 四甲基联苯胺溶液 3支 显现潜血指纹</w:t>
            </w:r>
          </w:p>
          <w:p w14:paraId="0310F911">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27 脱脂棉 1包 </w:t>
            </w:r>
          </w:p>
          <w:p w14:paraId="53AE0392">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28 镊子 1把 </w:t>
            </w:r>
          </w:p>
          <w:p w14:paraId="76FAA5D5">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29 血手印固定剂 1瓶 </w:t>
            </w:r>
          </w:p>
          <w:p w14:paraId="3E7EB932">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30 茚三酮喷罐 1瓶 显现纸张上的指纹</w:t>
            </w:r>
          </w:p>
          <w:p w14:paraId="309F272F">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31 陶瓷板掌纹捺印盒 1个 采集现场相关人员的指纹、掌纹样本</w:t>
            </w:r>
          </w:p>
          <w:p w14:paraId="0DB7D140">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32 十指指纹信息卡 5张 </w:t>
            </w:r>
          </w:p>
          <w:p w14:paraId="003D03A5">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33 折叠马蹄镜 1个 比对现场指纹和样本指纹</w:t>
            </w:r>
          </w:p>
          <w:p w14:paraId="5BD5592F">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34 Ⅴ型静电吸附器 1套 静电吸附法提取平面灰尘足迹</w:t>
            </w:r>
          </w:p>
          <w:p w14:paraId="665B7D56">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35 成趟足迹静电膜 6卷 </w:t>
            </w:r>
          </w:p>
          <w:p w14:paraId="565FF0F2">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36 单个足迹静电膜 10张 </w:t>
            </w:r>
          </w:p>
          <w:p w14:paraId="2AA587B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37 黑色硅胶足迹提取片 2张 粘贴法提取水渍足迹</w:t>
            </w:r>
          </w:p>
          <w:p w14:paraId="7CA1BA0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38 生物物证专用棉签 10支 提取现场生物物证</w:t>
            </w:r>
          </w:p>
          <w:p w14:paraId="2444AB19">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39 棉签保存盒 5个 </w:t>
            </w:r>
          </w:p>
          <w:p w14:paraId="0D317250">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40 DNA采集植绒拭子 2支 </w:t>
            </w:r>
          </w:p>
          <w:p w14:paraId="509F5548">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41 脱落细胞粘取器 5个 </w:t>
            </w:r>
          </w:p>
          <w:p w14:paraId="1B1C5F1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42 口腔式子 5个 采集现场相关人员口腔细胞</w:t>
            </w:r>
          </w:p>
          <w:p w14:paraId="5894C06A">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43 口腔细胞采集卡 5个 </w:t>
            </w:r>
          </w:p>
          <w:p w14:paraId="6EBAE5E5">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44 血样采集卡 10张 采集现场相关人员血液样本</w:t>
            </w:r>
          </w:p>
          <w:p w14:paraId="0256B6D7">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45 无菌采血针 10支 </w:t>
            </w:r>
          </w:p>
          <w:p w14:paraId="3517A87D">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46 碘伏消毒棉签 10支 </w:t>
            </w:r>
          </w:p>
          <w:p w14:paraId="5595C754">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47 止血棉签 10支 </w:t>
            </w:r>
          </w:p>
          <w:p w14:paraId="2E3CC29F">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48 血样采集卡保存袋 10个 </w:t>
            </w:r>
          </w:p>
          <w:p w14:paraId="4DA4BFB6">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49 灰色硅橡胶 1套 制作工具痕迹的模型</w:t>
            </w:r>
          </w:p>
          <w:p w14:paraId="0AD37A9F">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50 照明放大镜 1把 发现提取微量物证</w:t>
            </w:r>
          </w:p>
          <w:p w14:paraId="4878C3AE">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51 尖头镊子 1把 </w:t>
            </w:r>
          </w:p>
          <w:p w14:paraId="6B75A02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52 剪子 1把 拆卸承载痕迹的物体，带回实验室处理</w:t>
            </w:r>
          </w:p>
          <w:p w14:paraId="61D41697">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53 钢丝钳 1把 </w:t>
            </w:r>
          </w:p>
          <w:p w14:paraId="190BDDE5">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54 盒装组合旋具 1套 </w:t>
            </w:r>
          </w:p>
          <w:p w14:paraId="51318C4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55 迷你型钢锯 1把 </w:t>
            </w:r>
          </w:p>
          <w:p w14:paraId="06621E0F">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56 小号羊角锤 1把 </w:t>
            </w:r>
          </w:p>
          <w:p w14:paraId="6E1594F6">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57 试电笔 1个 </w:t>
            </w:r>
          </w:p>
          <w:p w14:paraId="37BB9BB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58 20m纤维卷尺 1个 测量现场</w:t>
            </w:r>
          </w:p>
          <w:p w14:paraId="32E01641">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59 指南针 1个 </w:t>
            </w:r>
          </w:p>
          <w:p w14:paraId="3161F861">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60 黑色记号笔 1支 标记痕迹物证</w:t>
            </w:r>
          </w:p>
          <w:p w14:paraId="48A3628E">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61 红色记号笔 1支 </w:t>
            </w:r>
          </w:p>
          <w:p w14:paraId="7C773C69">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62 红黄白粉笔   3支 </w:t>
            </w:r>
          </w:p>
          <w:p w14:paraId="01D11B94">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63 文件夹 1个 制作现场笔录</w:t>
            </w:r>
          </w:p>
          <w:p w14:paraId="3811809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64 现场勘查笔录 1本 </w:t>
            </w:r>
          </w:p>
          <w:p w14:paraId="5BE7075A">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65 三角板 1套 </w:t>
            </w:r>
          </w:p>
          <w:p w14:paraId="00213E6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66 签字笔 1支 </w:t>
            </w:r>
          </w:p>
          <w:p w14:paraId="197D0FA7">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67 铅笔 1支 </w:t>
            </w:r>
          </w:p>
          <w:p w14:paraId="70C50676">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68 铅笔刀 1把 </w:t>
            </w:r>
          </w:p>
          <w:p w14:paraId="459E56FE">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69 橡皮 1块 </w:t>
            </w:r>
          </w:p>
          <w:p w14:paraId="59F60CB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70 两折塑料物证牌[1-10号] 1套  对物证进行编号</w:t>
            </w:r>
          </w:p>
          <w:p w14:paraId="45856BF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71 不干胶物证号码本 1本 </w:t>
            </w:r>
          </w:p>
          <w:p w14:paraId="24FAE971">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72 不干胶比例尺本 1本  为物证拍照提供比例尺</w:t>
            </w:r>
          </w:p>
          <w:p w14:paraId="5374DF8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73 15cm黑色PVC比例尺 1把 </w:t>
            </w:r>
          </w:p>
          <w:p w14:paraId="26133605">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74 15cm白色PVC比例尺 1把 </w:t>
            </w:r>
          </w:p>
          <w:p w14:paraId="11206DD8">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75 小号塑料物证袋 20个 包装物证</w:t>
            </w:r>
          </w:p>
          <w:p w14:paraId="24BC973A">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76 毛巾 1块      清理现场</w:t>
            </w:r>
          </w:p>
          <w:p w14:paraId="03919A31">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77 汗布手套 2付  保护现场</w:t>
            </w:r>
          </w:p>
          <w:p w14:paraId="62032FA9">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78 PE手套 1包 </w:t>
            </w:r>
          </w:p>
          <w:p w14:paraId="4A7A99E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79 一次性鞋套 2双 </w:t>
            </w:r>
          </w:p>
          <w:p w14:paraId="1475E1B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80 一次性口罩 5个 </w:t>
            </w:r>
          </w:p>
          <w:p w14:paraId="7E56F501">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81 一次性帽子 5个 </w:t>
            </w:r>
          </w:p>
          <w:p w14:paraId="3B8AB972">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82 尼龙拉杆箱，尼龙包 1个  承载上述物品</w:t>
            </w:r>
          </w:p>
        </w:tc>
      </w:tr>
      <w:tr w14:paraId="04F1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2A1918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37</w:t>
            </w:r>
          </w:p>
        </w:tc>
        <w:tc>
          <w:tcPr>
            <w:tcW w:w="1160" w:type="dxa"/>
            <w:noWrap w:val="0"/>
            <w:vAlign w:val="center"/>
          </w:tcPr>
          <w:p w14:paraId="37E920BA">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电动开颅锯</w:t>
            </w:r>
          </w:p>
        </w:tc>
        <w:tc>
          <w:tcPr>
            <w:tcW w:w="703" w:type="dxa"/>
            <w:noWrap w:val="0"/>
            <w:vAlign w:val="center"/>
          </w:tcPr>
          <w:p w14:paraId="05238F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套</w:t>
            </w:r>
          </w:p>
        </w:tc>
        <w:tc>
          <w:tcPr>
            <w:tcW w:w="668" w:type="dxa"/>
            <w:gridSpan w:val="2"/>
            <w:noWrap w:val="0"/>
            <w:vAlign w:val="center"/>
          </w:tcPr>
          <w:p w14:paraId="7F3203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268" w:type="dxa"/>
            <w:noWrap w:val="0"/>
            <w:vAlign w:val="center"/>
          </w:tcPr>
          <w:p w14:paraId="47DEFD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 xml:space="preserve">5,000.00 </w:t>
            </w:r>
          </w:p>
        </w:tc>
        <w:tc>
          <w:tcPr>
            <w:tcW w:w="4751" w:type="dxa"/>
            <w:noWrap w:val="0"/>
            <w:vAlign w:val="top"/>
          </w:tcPr>
          <w:p w14:paraId="53DBAC8F">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型号：BTLJ-V型电动开颅锯</w:t>
            </w:r>
          </w:p>
          <w:p w14:paraId="6935C721">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产品要求：</w:t>
            </w:r>
          </w:p>
          <w:p w14:paraId="4C0B2CD5">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用于切割尸体的颅骨，锯片高速摆动，只对骨头、木材等没有弹性的材料有切割作用，对皮肤、肌肉等有弹性的组织没有切割作用。</w:t>
            </w:r>
          </w:p>
          <w:p w14:paraId="35D6D0B8">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配置内容：</w:t>
            </w:r>
          </w:p>
          <w:p w14:paraId="6B9869B2">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 主机 1台</w:t>
            </w:r>
          </w:p>
          <w:p w14:paraId="6BB00B3A">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 蓄电池 1个</w:t>
            </w:r>
          </w:p>
          <w:p w14:paraId="6EA00177">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 电源适配器 1个</w:t>
            </w:r>
          </w:p>
          <w:p w14:paraId="59D40DA7">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 充电器 1个</w:t>
            </w:r>
          </w:p>
          <w:p w14:paraId="55EFA636">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 清洗刷 1把</w:t>
            </w:r>
          </w:p>
          <w:p w14:paraId="26C28BC1">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6. 棉签 1袋</w:t>
            </w:r>
          </w:p>
          <w:p w14:paraId="0A10B31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7. 清洁润滑油 1瓶</w:t>
            </w:r>
          </w:p>
          <w:p w14:paraId="556DDC96">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8. 扳手 2把</w:t>
            </w:r>
          </w:p>
          <w:p w14:paraId="42FCDB25">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9. 使用说明书 1份</w:t>
            </w:r>
          </w:p>
          <w:p w14:paraId="6B54A246">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10.铝合金外箱 1个</w:t>
            </w:r>
          </w:p>
          <w:p w14:paraId="33868FA6">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技术参数：</w:t>
            </w:r>
          </w:p>
          <w:p w14:paraId="2036E177">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 额定电压 DC24V</w:t>
            </w:r>
          </w:p>
          <w:p w14:paraId="1834C0D7">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 空载电流 2A</w:t>
            </w:r>
          </w:p>
          <w:p w14:paraId="3E380681">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 满载电流 5A</w:t>
            </w:r>
          </w:p>
          <w:p w14:paraId="1DE61C74">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 满载功率 120W</w:t>
            </w:r>
          </w:p>
          <w:p w14:paraId="2BE8F759">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 电池容量 4.5AH</w:t>
            </w:r>
          </w:p>
          <w:p w14:paraId="7A26DBB8">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6. 充电时间 3小时</w:t>
            </w:r>
          </w:p>
          <w:p w14:paraId="0C26DA2A">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7. 供电时间 60分钟</w:t>
            </w:r>
          </w:p>
          <w:p w14:paraId="0287296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8. 摆动速率 10000次/分钟</w:t>
            </w:r>
          </w:p>
          <w:p w14:paraId="1189A911">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9. 主机重量 1.0 kg</w:t>
            </w:r>
          </w:p>
          <w:p w14:paraId="6AC17907">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10.主机全长 265mm</w:t>
            </w:r>
          </w:p>
          <w:p w14:paraId="5D550744">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11.轴长 50mm</w:t>
            </w:r>
          </w:p>
          <w:p w14:paraId="0671AC58">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12.外箱尺寸 445x305x130mm</w:t>
            </w:r>
          </w:p>
        </w:tc>
      </w:tr>
      <w:tr w14:paraId="672E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439F4D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38</w:t>
            </w:r>
          </w:p>
        </w:tc>
        <w:tc>
          <w:tcPr>
            <w:tcW w:w="1160" w:type="dxa"/>
            <w:noWrap w:val="0"/>
            <w:vAlign w:val="center"/>
          </w:tcPr>
          <w:p w14:paraId="7055B5F3">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生物物证勘察箱</w:t>
            </w:r>
            <w:r>
              <w:rPr>
                <w:rFonts w:hint="eastAsia" w:ascii="宋体" w:hAnsi="宋体" w:cs="宋体"/>
                <w:b/>
                <w:bCs/>
                <w:i w:val="0"/>
                <w:iCs w:val="0"/>
                <w:color w:val="000000"/>
                <w:kern w:val="0"/>
                <w:sz w:val="21"/>
                <w:szCs w:val="21"/>
                <w:u w:val="none"/>
                <w:lang w:val="en-US" w:eastAsia="zh-CN" w:bidi="ar"/>
              </w:rPr>
              <w:t>（核心产品）</w:t>
            </w:r>
          </w:p>
        </w:tc>
        <w:tc>
          <w:tcPr>
            <w:tcW w:w="703" w:type="dxa"/>
            <w:noWrap w:val="0"/>
            <w:vAlign w:val="top"/>
          </w:tcPr>
          <w:p w14:paraId="76C80101">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p>
        </w:tc>
        <w:tc>
          <w:tcPr>
            <w:tcW w:w="668" w:type="dxa"/>
            <w:gridSpan w:val="2"/>
            <w:noWrap w:val="0"/>
            <w:vAlign w:val="center"/>
          </w:tcPr>
          <w:p w14:paraId="134604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268" w:type="dxa"/>
            <w:noWrap w:val="0"/>
            <w:vAlign w:val="center"/>
          </w:tcPr>
          <w:p w14:paraId="3DFDDC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 xml:space="preserve">6,000.00 </w:t>
            </w:r>
          </w:p>
        </w:tc>
        <w:tc>
          <w:tcPr>
            <w:tcW w:w="4751" w:type="dxa"/>
            <w:noWrap w:val="0"/>
            <w:vAlign w:val="top"/>
          </w:tcPr>
          <w:p w14:paraId="7B24132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型号：ATDN-IV高档生物物证勘察箱</w:t>
            </w:r>
          </w:p>
          <w:p w14:paraId="69D9878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产品功能：</w:t>
            </w:r>
          </w:p>
          <w:p w14:paraId="44E4C7FE">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棉签擦拭提取可以印迹中的DNA</w:t>
            </w:r>
          </w:p>
          <w:p w14:paraId="362B002D">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脱落细胞粘取器粘贴提取脱落细胞</w:t>
            </w:r>
          </w:p>
          <w:p w14:paraId="71119779">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脱落细胞负压提取仪大范围收集脱落细胞</w:t>
            </w:r>
          </w:p>
          <w:p w14:paraId="5222E86D">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直接提取小件含有DNA的物体</w:t>
            </w:r>
          </w:p>
          <w:p w14:paraId="27DDE878">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分割提取大件含有DNA的物体</w:t>
            </w:r>
          </w:p>
          <w:p w14:paraId="17591CD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采集相关人员血液样本</w:t>
            </w:r>
          </w:p>
          <w:p w14:paraId="097877ED">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采集相关人员口腔细胞</w:t>
            </w:r>
          </w:p>
          <w:p w14:paraId="54F6A12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采集相关人员唾液样本</w:t>
            </w:r>
          </w:p>
          <w:p w14:paraId="1119CBD5">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包装、标记各种DNA物证</w:t>
            </w:r>
          </w:p>
          <w:p w14:paraId="4CFC3E59">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检测可疑斑迹是否为人血</w:t>
            </w:r>
          </w:p>
          <w:p w14:paraId="6B0BA23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检测可疑斑迹是否为人精斑</w:t>
            </w:r>
          </w:p>
          <w:p w14:paraId="2FCF9E9E">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配置内容</w:t>
            </w:r>
          </w:p>
          <w:p w14:paraId="7643F8AE">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可充电白光手电 1只、照明放大镜 1个、脱落细胞粘取器 4个、生物物证提取棉签 40支、提取棉签保存盒 20个、口腔擦拭棒 5根、唾液采集卡 5张、血液采集卡 20张、无菌采血针 20根、碘伏消毒棉签 40根、止血棉签 20根、医用创伤贴 1包、直头眼科剪子 1把、弯头眼科剪子 1把、眼科镊子 1把、手术刀柄 1把、手术刀片 10片、壁纸刀 1把、牙签 1盒、1.5ml离心管 10个、5ml注射器 2个、75%乙醇（100ml） 1瓶、滤纸 1盒、物证包装纸 2张、大号塑料物证袋 10个、中号塑料物证袋 10个、小号塑料物证袋 10个、DNA专用物证袋 10个、硫酸纸检材袋 20个、一次性消毒口罩 1包、一次性丁晴手套 1包、一次性消毒帽子 1包、一次性脚套 2双、记号笔 1支、签字笔 1支、不干胶比例尺本 1本、不干胶号码本 1本、现场勘查笔录本 1本、文件夹 1本、血痕预实验试剂盒 1盒、抗人血红蛋白试剂条 10条、抗人精试剂条 10条、脱落细胞负压提取仪 1套、脱落细胞吸头 1盒、ABS密封箱 1个。</w:t>
            </w:r>
          </w:p>
        </w:tc>
      </w:tr>
      <w:tr w14:paraId="7EF7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320334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39</w:t>
            </w:r>
          </w:p>
        </w:tc>
        <w:tc>
          <w:tcPr>
            <w:tcW w:w="1160" w:type="dxa"/>
            <w:noWrap w:val="0"/>
            <w:vAlign w:val="center"/>
          </w:tcPr>
          <w:p w14:paraId="4B907B8B">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现场毒物检验箱</w:t>
            </w:r>
          </w:p>
        </w:tc>
        <w:tc>
          <w:tcPr>
            <w:tcW w:w="703" w:type="dxa"/>
            <w:noWrap w:val="0"/>
            <w:vAlign w:val="center"/>
          </w:tcPr>
          <w:p w14:paraId="723B93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套</w:t>
            </w:r>
          </w:p>
        </w:tc>
        <w:tc>
          <w:tcPr>
            <w:tcW w:w="668" w:type="dxa"/>
            <w:gridSpan w:val="2"/>
            <w:noWrap w:val="0"/>
            <w:vAlign w:val="center"/>
          </w:tcPr>
          <w:p w14:paraId="16DD21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268" w:type="dxa"/>
            <w:noWrap w:val="0"/>
            <w:vAlign w:val="center"/>
          </w:tcPr>
          <w:p w14:paraId="07803F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 xml:space="preserve">6,600.00 </w:t>
            </w:r>
          </w:p>
        </w:tc>
        <w:tc>
          <w:tcPr>
            <w:tcW w:w="4751" w:type="dxa"/>
            <w:noWrap w:val="0"/>
            <w:vAlign w:val="top"/>
          </w:tcPr>
          <w:p w14:paraId="3CF50B1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使用金标筛选试剂盒及化学试纸对可疑物进行现场检测。 </w:t>
            </w:r>
          </w:p>
          <w:p w14:paraId="3697143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根据公安系统毒物检验现场的特点而特别设计，操作简便快速，操作者只要参照产品说明书就可以对毒物进行检测分析；</w:t>
            </w:r>
          </w:p>
          <w:p w14:paraId="6D330895">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本检验箱使用金标筛选试剂盒及化学试纸对可疑物进行现场检测；阴性结果可排除砷化物、氰化物、有机磷农药、吗啡、甲基安非他命、摇头丸、可卡因、苯二氮卓、安非他命、大麻、巴比妥等毒物、毒品的存在；阳性结果应送毒品实验室采用TLC、GC、HPLC、GC／MS、FTIR等分析方法进行确证分析。</w:t>
            </w:r>
          </w:p>
          <w:p w14:paraId="0C55BE8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要求配置：</w:t>
            </w:r>
          </w:p>
          <w:p w14:paraId="45436D0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 砷化物检测试纸 100条</w:t>
            </w:r>
          </w:p>
          <w:p w14:paraId="58D5BBEE">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 氰化物检测试纸 100条</w:t>
            </w:r>
          </w:p>
          <w:p w14:paraId="0C526A5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 农药速测卡 20份</w:t>
            </w:r>
          </w:p>
          <w:p w14:paraId="4D9BF8E4">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 苯二氮卓检测试剂盒 5份</w:t>
            </w:r>
          </w:p>
          <w:p w14:paraId="7D6AB329">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 巴比妥类检测试剂盒 5份</w:t>
            </w:r>
          </w:p>
          <w:p w14:paraId="005F387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6 吗啡检测试剂盒 5份</w:t>
            </w:r>
          </w:p>
          <w:p w14:paraId="37BE7F26">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7 摇头丸检测试剂盒 5份</w:t>
            </w:r>
          </w:p>
          <w:p w14:paraId="4E92866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8 甲基安非他明检测试剂盒 5份</w:t>
            </w:r>
          </w:p>
          <w:p w14:paraId="3A27AE31">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9 安非他明检测试剂盒 5份</w:t>
            </w:r>
          </w:p>
          <w:p w14:paraId="42DA8327">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10 可卡因检测试剂盒 5份</w:t>
            </w:r>
          </w:p>
          <w:p w14:paraId="3E8E13C4">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11 大麻检测试剂盒 5份</w:t>
            </w:r>
          </w:p>
          <w:p w14:paraId="21E16D69">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12 氯胺酮检测试剂盒 5份</w:t>
            </w:r>
          </w:p>
          <w:p w14:paraId="7E3E8335">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13 样品瓶 5个</w:t>
            </w:r>
          </w:p>
          <w:p w14:paraId="799DC3DF">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14 一次性尿杯 25只</w:t>
            </w:r>
          </w:p>
          <w:p w14:paraId="0A414175">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15 塑料离心管 10支</w:t>
            </w:r>
          </w:p>
          <w:p w14:paraId="6D6E18B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16 注射器 20支</w:t>
            </w:r>
          </w:p>
          <w:p w14:paraId="0CC0D414">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17 过滤吸头 20只</w:t>
            </w:r>
          </w:p>
          <w:p w14:paraId="2D373C68">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18 吸管  20支</w:t>
            </w:r>
          </w:p>
          <w:p w14:paraId="5F2476A7">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19 pH试纸  1本</w:t>
            </w:r>
          </w:p>
          <w:p w14:paraId="1ADCCBA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 定性滤纸  1盒</w:t>
            </w:r>
          </w:p>
          <w:p w14:paraId="6D93FB31">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21 纯净水  1瓶</w:t>
            </w:r>
          </w:p>
          <w:p w14:paraId="425F242A">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22 药勺  20支</w:t>
            </w:r>
          </w:p>
          <w:p w14:paraId="3CFDBF9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23 剪刀  1把</w:t>
            </w:r>
          </w:p>
          <w:p w14:paraId="09FC445F">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24 指甲钳  1个</w:t>
            </w:r>
          </w:p>
          <w:p w14:paraId="6477C6EE">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25 镊子  1把</w:t>
            </w:r>
          </w:p>
          <w:p w14:paraId="46E1804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26 牙签  1筒</w:t>
            </w:r>
          </w:p>
          <w:p w14:paraId="2FB465E8">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27 记号笔  1支</w:t>
            </w:r>
          </w:p>
          <w:p w14:paraId="0ED52B11">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28 标签纸  1张</w:t>
            </w:r>
          </w:p>
          <w:p w14:paraId="1D53827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29 小号塑料物证袋  20个</w:t>
            </w:r>
          </w:p>
          <w:p w14:paraId="30E0C9AF">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30 一次性口罩  5个</w:t>
            </w:r>
          </w:p>
          <w:p w14:paraId="7FF966CE">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31 PE手套  50只</w:t>
            </w:r>
          </w:p>
          <w:p w14:paraId="47ADF865">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32 汗布手套  2付</w:t>
            </w:r>
          </w:p>
          <w:p w14:paraId="658B93C4">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33 铝合金箱  1只</w:t>
            </w:r>
          </w:p>
        </w:tc>
      </w:tr>
      <w:tr w14:paraId="42C86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693BD9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40</w:t>
            </w:r>
          </w:p>
        </w:tc>
        <w:tc>
          <w:tcPr>
            <w:tcW w:w="1160" w:type="dxa"/>
            <w:noWrap w:val="0"/>
            <w:vAlign w:val="center"/>
          </w:tcPr>
          <w:p w14:paraId="308158C4">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鼓风干燥箱</w:t>
            </w:r>
          </w:p>
        </w:tc>
        <w:tc>
          <w:tcPr>
            <w:tcW w:w="703" w:type="dxa"/>
            <w:noWrap w:val="0"/>
            <w:vAlign w:val="center"/>
          </w:tcPr>
          <w:p w14:paraId="14E297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台</w:t>
            </w:r>
          </w:p>
        </w:tc>
        <w:tc>
          <w:tcPr>
            <w:tcW w:w="668" w:type="dxa"/>
            <w:gridSpan w:val="2"/>
            <w:noWrap w:val="0"/>
            <w:vAlign w:val="center"/>
          </w:tcPr>
          <w:p w14:paraId="034CC1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268" w:type="dxa"/>
            <w:noWrap w:val="0"/>
            <w:vAlign w:val="center"/>
          </w:tcPr>
          <w:p w14:paraId="3A781C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 xml:space="preserve">3,500.00 </w:t>
            </w:r>
          </w:p>
        </w:tc>
        <w:tc>
          <w:tcPr>
            <w:tcW w:w="4751" w:type="dxa"/>
            <w:noWrap w:val="0"/>
            <w:vAlign w:val="top"/>
          </w:tcPr>
          <w:p w14:paraId="7807585E">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F101-0型鼓风干燥箱</w:t>
            </w:r>
          </w:p>
          <w:p w14:paraId="6DB58B09">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产品特点</w:t>
            </w:r>
          </w:p>
          <w:p w14:paraId="1B2E25BB">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1、冷扎钢板外壳、不锈钢内胆。</w:t>
            </w:r>
          </w:p>
          <w:p w14:paraId="1FBF8C71">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2、箱门中间设有双层钢化玻璃观察窗。</w:t>
            </w:r>
          </w:p>
          <w:p w14:paraId="2DC3650F">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3、内部隔板可自由调节高度。</w:t>
            </w:r>
          </w:p>
          <w:p w14:paraId="31EF59D2">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4、硅橡胶磁性胶条，密封良好。</w:t>
            </w:r>
          </w:p>
          <w:p w14:paraId="4A5517C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技术参数</w:t>
            </w:r>
          </w:p>
          <w:p w14:paraId="210D4AD6">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1、工作电压：220v±10%,50Hz</w:t>
            </w:r>
          </w:p>
          <w:p w14:paraId="2A431E05">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2、温控范围：室温+10 〜 250℃</w:t>
            </w:r>
          </w:p>
          <w:p w14:paraId="1BEE652C">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3、温度波动：±1℃</w:t>
            </w:r>
          </w:p>
          <w:p w14:paraId="5644571E">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4、功率：1.6kw</w:t>
            </w:r>
          </w:p>
          <w:p w14:paraId="0E90D2F2">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5、工作室尺寸：350 x 350 x 350mm</w:t>
            </w:r>
          </w:p>
        </w:tc>
      </w:tr>
      <w:tr w14:paraId="4CBF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316EFEC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41</w:t>
            </w:r>
          </w:p>
        </w:tc>
        <w:tc>
          <w:tcPr>
            <w:tcW w:w="1160" w:type="dxa"/>
            <w:noWrap w:val="0"/>
            <w:vAlign w:val="center"/>
          </w:tcPr>
          <w:p w14:paraId="01FB1EBA">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大号塑料物证袋</w:t>
            </w:r>
          </w:p>
        </w:tc>
        <w:tc>
          <w:tcPr>
            <w:tcW w:w="703" w:type="dxa"/>
            <w:noWrap w:val="0"/>
            <w:vAlign w:val="center"/>
          </w:tcPr>
          <w:p w14:paraId="63E64A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袋</w:t>
            </w:r>
          </w:p>
        </w:tc>
        <w:tc>
          <w:tcPr>
            <w:tcW w:w="668" w:type="dxa"/>
            <w:gridSpan w:val="2"/>
            <w:noWrap w:val="0"/>
            <w:vAlign w:val="center"/>
          </w:tcPr>
          <w:p w14:paraId="09D6A02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1268" w:type="dxa"/>
            <w:noWrap w:val="0"/>
            <w:vAlign w:val="center"/>
          </w:tcPr>
          <w:p w14:paraId="2C68F3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130.00</w:t>
            </w:r>
          </w:p>
        </w:tc>
        <w:tc>
          <w:tcPr>
            <w:tcW w:w="4751" w:type="dxa"/>
            <w:noWrap w:val="0"/>
            <w:vAlign w:val="center"/>
          </w:tcPr>
          <w:p w14:paraId="4D838C7F">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大号塑料物证袋（100个/每袋）</w:t>
            </w:r>
          </w:p>
        </w:tc>
      </w:tr>
      <w:tr w14:paraId="6258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557699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42</w:t>
            </w:r>
          </w:p>
        </w:tc>
        <w:tc>
          <w:tcPr>
            <w:tcW w:w="1160" w:type="dxa"/>
            <w:noWrap w:val="0"/>
            <w:vAlign w:val="center"/>
          </w:tcPr>
          <w:p w14:paraId="05F7D8B1">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中号塑料物证袋</w:t>
            </w:r>
          </w:p>
        </w:tc>
        <w:tc>
          <w:tcPr>
            <w:tcW w:w="703" w:type="dxa"/>
            <w:noWrap w:val="0"/>
            <w:vAlign w:val="center"/>
          </w:tcPr>
          <w:p w14:paraId="2ED8C2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袋</w:t>
            </w:r>
          </w:p>
        </w:tc>
        <w:tc>
          <w:tcPr>
            <w:tcW w:w="668" w:type="dxa"/>
            <w:gridSpan w:val="2"/>
            <w:noWrap w:val="0"/>
            <w:vAlign w:val="center"/>
          </w:tcPr>
          <w:p w14:paraId="000087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14</w:t>
            </w:r>
          </w:p>
        </w:tc>
        <w:tc>
          <w:tcPr>
            <w:tcW w:w="1268" w:type="dxa"/>
            <w:noWrap w:val="0"/>
            <w:vAlign w:val="center"/>
          </w:tcPr>
          <w:p w14:paraId="1B1867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100.00</w:t>
            </w:r>
          </w:p>
        </w:tc>
        <w:tc>
          <w:tcPr>
            <w:tcW w:w="4751" w:type="dxa"/>
            <w:noWrap w:val="0"/>
            <w:vAlign w:val="center"/>
          </w:tcPr>
          <w:p w14:paraId="75A3F2D3">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中号塑料物证袋（100个/每袋）</w:t>
            </w:r>
          </w:p>
        </w:tc>
      </w:tr>
      <w:tr w14:paraId="759F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5D0D07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43</w:t>
            </w:r>
          </w:p>
        </w:tc>
        <w:tc>
          <w:tcPr>
            <w:tcW w:w="1160" w:type="dxa"/>
            <w:noWrap w:val="0"/>
            <w:vAlign w:val="center"/>
          </w:tcPr>
          <w:p w14:paraId="2A0BFFEE">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小号塑料物证袋</w:t>
            </w:r>
          </w:p>
        </w:tc>
        <w:tc>
          <w:tcPr>
            <w:tcW w:w="703" w:type="dxa"/>
            <w:noWrap w:val="0"/>
            <w:vAlign w:val="center"/>
          </w:tcPr>
          <w:p w14:paraId="54758E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袋</w:t>
            </w:r>
          </w:p>
        </w:tc>
        <w:tc>
          <w:tcPr>
            <w:tcW w:w="668" w:type="dxa"/>
            <w:gridSpan w:val="2"/>
            <w:noWrap w:val="0"/>
            <w:vAlign w:val="center"/>
          </w:tcPr>
          <w:p w14:paraId="48ABBA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1268" w:type="dxa"/>
            <w:noWrap w:val="0"/>
            <w:vAlign w:val="center"/>
          </w:tcPr>
          <w:p w14:paraId="66D701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75.00</w:t>
            </w:r>
          </w:p>
        </w:tc>
        <w:tc>
          <w:tcPr>
            <w:tcW w:w="4751" w:type="dxa"/>
            <w:noWrap w:val="0"/>
            <w:vAlign w:val="center"/>
          </w:tcPr>
          <w:p w14:paraId="5E3137D5">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小号塑料物证袋（100个/每袋）</w:t>
            </w:r>
          </w:p>
        </w:tc>
      </w:tr>
      <w:tr w14:paraId="7D20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9210" w:type="dxa"/>
            <w:gridSpan w:val="7"/>
            <w:noWrap w:val="0"/>
            <w:vAlign w:val="center"/>
          </w:tcPr>
          <w:p w14:paraId="481F6AE3">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非案件亲子鉴定检验试剂耗材</w:t>
            </w:r>
          </w:p>
        </w:tc>
      </w:tr>
      <w:tr w14:paraId="2E9D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60" w:type="dxa"/>
            <w:noWrap w:val="0"/>
            <w:vAlign w:val="center"/>
          </w:tcPr>
          <w:p w14:paraId="74C45FA8">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1160" w:type="dxa"/>
            <w:noWrap w:val="0"/>
            <w:vAlign w:val="center"/>
          </w:tcPr>
          <w:p w14:paraId="125ED08A">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名称</w:t>
            </w:r>
          </w:p>
        </w:tc>
        <w:tc>
          <w:tcPr>
            <w:tcW w:w="703" w:type="dxa"/>
            <w:noWrap w:val="0"/>
            <w:vAlign w:val="center"/>
          </w:tcPr>
          <w:p w14:paraId="6FA8DF25">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单位</w:t>
            </w:r>
          </w:p>
        </w:tc>
        <w:tc>
          <w:tcPr>
            <w:tcW w:w="668" w:type="dxa"/>
            <w:gridSpan w:val="2"/>
            <w:noWrap w:val="0"/>
            <w:vAlign w:val="center"/>
          </w:tcPr>
          <w:p w14:paraId="4EC36021">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数量</w:t>
            </w:r>
          </w:p>
        </w:tc>
        <w:tc>
          <w:tcPr>
            <w:tcW w:w="1268" w:type="dxa"/>
            <w:noWrap w:val="0"/>
            <w:vAlign w:val="center"/>
          </w:tcPr>
          <w:p w14:paraId="15F6C2C0">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单价（元）</w:t>
            </w:r>
          </w:p>
        </w:tc>
        <w:tc>
          <w:tcPr>
            <w:tcW w:w="4751" w:type="dxa"/>
            <w:noWrap w:val="0"/>
            <w:vAlign w:val="center"/>
          </w:tcPr>
          <w:p w14:paraId="79774A76">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技术参数、规格及要求</w:t>
            </w:r>
          </w:p>
        </w:tc>
      </w:tr>
      <w:tr w14:paraId="71F4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7F2316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44</w:t>
            </w:r>
          </w:p>
        </w:tc>
        <w:tc>
          <w:tcPr>
            <w:tcW w:w="1160" w:type="dxa"/>
            <w:noWrap w:val="0"/>
            <w:vAlign w:val="center"/>
          </w:tcPr>
          <w:p w14:paraId="3F0CF379">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32位点扩增荧光检测试剂盒</w:t>
            </w:r>
          </w:p>
        </w:tc>
        <w:tc>
          <w:tcPr>
            <w:tcW w:w="703" w:type="dxa"/>
            <w:noWrap w:val="0"/>
            <w:vAlign w:val="center"/>
          </w:tcPr>
          <w:p w14:paraId="1F70E2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7175CD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18</w:t>
            </w:r>
          </w:p>
        </w:tc>
        <w:tc>
          <w:tcPr>
            <w:tcW w:w="1268" w:type="dxa"/>
            <w:noWrap w:val="0"/>
            <w:vAlign w:val="center"/>
          </w:tcPr>
          <w:p w14:paraId="1CFF3D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16700.00</w:t>
            </w:r>
          </w:p>
        </w:tc>
        <w:tc>
          <w:tcPr>
            <w:tcW w:w="4751" w:type="dxa"/>
            <w:noWrap w:val="0"/>
            <w:vAlign w:val="top"/>
          </w:tcPr>
          <w:p w14:paraId="7E10A53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▲1、本次项目所采用试剂盒采用六色荧光技术，符合公安部常规数据库和DNA打拐数据库要求，可同时检测以下30个常染色体基因座：D3S1358，TH01，D21S11，D18S51，Penta E，D19S253，D12S391，D6S1043，D2S1338，D15S659，D6S477，D5S818，D13S317，D7S820，D19S433，CSF1PO，Penta D，D2S441，vWA，D8S1179，TPOX，FGA，D4S2366,D3S3045，D16S539，D22S1045，D8S1132，D1S1656，D10S1248，D10S1435。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2、本次项目所采用试剂盒包含1个性别标记基因座以及1个Y染色体插入缺失片段。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3、本次项目所采用试剂盒最大扩增片段不超过500bp。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4、试剂盒单次检测不得低于10微升反应体系。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5、保证建库服务的准确性，建库服务所采用试剂盒实体bin数量不低于440个，实体bin和虚拟bin总数不低于550个。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6、本次项目所采用试剂盒名称和基因座位点信息已经收录国家数据库，数据可直接导入国家数据库。（提供相应证明文件材料）</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▲7、本次项目所采用试剂盒须为符合国家质量标准的全新产品，须具有中国安全技术防范认证中心颁发的《中国公共安全产品认证证书》。（提供相应证明文件材料）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8、试剂盒通过公安部刑事技术产品质量监督检验中心的检测，并录入全国公安机关DNA鉴定关键试剂耗材质检合格产品及制造商名录。</w:t>
            </w:r>
          </w:p>
          <w:p w14:paraId="23C13CF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9、规格200人份/盒</w:t>
            </w:r>
          </w:p>
        </w:tc>
      </w:tr>
      <w:tr w14:paraId="4665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7A907FC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45</w:t>
            </w:r>
          </w:p>
        </w:tc>
        <w:tc>
          <w:tcPr>
            <w:tcW w:w="1160" w:type="dxa"/>
            <w:noWrap w:val="0"/>
            <w:vAlign w:val="center"/>
          </w:tcPr>
          <w:p w14:paraId="2C82F12E">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常染色体23个位点荧光检测试剂盒</w:t>
            </w:r>
          </w:p>
        </w:tc>
        <w:tc>
          <w:tcPr>
            <w:tcW w:w="703" w:type="dxa"/>
            <w:noWrap w:val="0"/>
            <w:vAlign w:val="center"/>
          </w:tcPr>
          <w:p w14:paraId="6FB71F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5FBBAD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268" w:type="dxa"/>
            <w:noWrap w:val="0"/>
            <w:vAlign w:val="center"/>
          </w:tcPr>
          <w:p w14:paraId="03E389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21000.00</w:t>
            </w:r>
          </w:p>
        </w:tc>
        <w:tc>
          <w:tcPr>
            <w:tcW w:w="4751" w:type="dxa"/>
            <w:noWrap w:val="0"/>
            <w:vAlign w:val="top"/>
          </w:tcPr>
          <w:p w14:paraId="54807CD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top"/>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1、为方便运输及保存，本次项目所采用试剂盒为固态试剂形态，可常温运输无需冷藏。规格200人份/盒。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2、本次项目所采用试剂盒为六色荧光技术，可检测以下基因座：D8S1179、D21S11、D18S51、D2S1338、D2S441、D5S818、D7S820、D6S1043、PentaD、D3S1358、TH01、D19S433、D12S391、TPOX、D16S539、D13S317、</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FGA、CSF1PO、vWA、D1S1656、Penta E、DYS391、和 1 个性别基因座 Amelogenin。</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为确保产品的准确性，所投产品实体 bin 数量不少于 356 个，bin总数不少于449个。（投标时需提供生产厂商盖章的证明材料）</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▲4、本次项目采用的试剂盒所有基因座最大扩增片段不超过400bp，其中不少于15个小于250bp的基因座。（投标时需提供生产厂商盖章的证明材料）</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5、本次项目采用的试剂盒</w:t>
            </w:r>
            <w:r>
              <w:rPr>
                <w:rFonts w:hint="eastAsia" w:ascii="宋体" w:hAnsi="宋体" w:eastAsia="宋体" w:cs="宋体"/>
                <w:i w:val="0"/>
                <w:iCs w:val="0"/>
                <w:color w:val="000000"/>
                <w:kern w:val="0"/>
                <w:sz w:val="21"/>
                <w:szCs w:val="21"/>
                <w:u w:val="none"/>
                <w:lang w:val="en-US" w:eastAsia="zh-CN" w:bidi="ar"/>
              </w:rPr>
              <w:t xml:space="preserve">可采用全体系加样，提高极微量样本检出率。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 6、所采用的检测试剂产品需具备中国安全技术防范认证中心颁发的《中国公共安全产品认证证书》。</w:t>
            </w:r>
          </w:p>
        </w:tc>
      </w:tr>
      <w:tr w14:paraId="2375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11DC51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46</w:t>
            </w:r>
          </w:p>
        </w:tc>
        <w:tc>
          <w:tcPr>
            <w:tcW w:w="1160" w:type="dxa"/>
            <w:noWrap w:val="0"/>
            <w:vAlign w:val="center"/>
          </w:tcPr>
          <w:p w14:paraId="106DF7C6">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POP4胶-3500/384</w:t>
            </w:r>
          </w:p>
        </w:tc>
        <w:tc>
          <w:tcPr>
            <w:tcW w:w="703" w:type="dxa"/>
            <w:noWrap w:val="0"/>
            <w:vAlign w:val="center"/>
          </w:tcPr>
          <w:p w14:paraId="6BB5CC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76E1C3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268" w:type="dxa"/>
            <w:noWrap w:val="0"/>
            <w:vAlign w:val="center"/>
          </w:tcPr>
          <w:p w14:paraId="1B8277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2700.00</w:t>
            </w:r>
          </w:p>
        </w:tc>
        <w:tc>
          <w:tcPr>
            <w:tcW w:w="4751" w:type="dxa"/>
            <w:noWrap w:val="0"/>
            <w:vAlign w:val="center"/>
          </w:tcPr>
          <w:p w14:paraId="7EFF174E">
            <w:pPr>
              <w:keepNext w:val="0"/>
              <w:keepLines w:val="0"/>
              <w:pageBreakBefore w:val="0"/>
              <w:widowControl/>
              <w:numPr>
                <w:ilvl w:val="0"/>
                <w:numId w:val="9"/>
              </w:numPr>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适用于采购人使用单位目前现有3500系列DNA测序仪，竞标人必须保证所提供产品能在该设备上良好运行，作为DNA片段分析电泳分离的介质。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2、设计成即插即用型，进样即可运行的袋装。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3、可检验384个样品（在3500系列DNA测序仪系统上最多进样16次）。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4、具有RFID标签，实时监控毛细管使用信息。</w:t>
            </w:r>
          </w:p>
          <w:p w14:paraId="7F77613B">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5、规格384人份/盒</w:t>
            </w:r>
          </w:p>
        </w:tc>
      </w:tr>
      <w:tr w14:paraId="51CB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2D6261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47</w:t>
            </w:r>
          </w:p>
        </w:tc>
        <w:tc>
          <w:tcPr>
            <w:tcW w:w="1160" w:type="dxa"/>
            <w:noWrap w:val="0"/>
            <w:vAlign w:val="center"/>
          </w:tcPr>
          <w:p w14:paraId="54842405">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阳极缓冲液</w:t>
            </w:r>
          </w:p>
        </w:tc>
        <w:tc>
          <w:tcPr>
            <w:tcW w:w="703" w:type="dxa"/>
            <w:noWrap w:val="0"/>
            <w:vAlign w:val="center"/>
          </w:tcPr>
          <w:p w14:paraId="3BA2AA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313BB9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268" w:type="dxa"/>
            <w:noWrap w:val="0"/>
            <w:vAlign w:val="center"/>
          </w:tcPr>
          <w:p w14:paraId="61074E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1500.00</w:t>
            </w:r>
          </w:p>
        </w:tc>
        <w:tc>
          <w:tcPr>
            <w:tcW w:w="4751" w:type="dxa"/>
            <w:noWrap w:val="0"/>
            <w:vAlign w:val="center"/>
          </w:tcPr>
          <w:p w14:paraId="27388FAF">
            <w:pPr>
              <w:keepNext w:val="0"/>
              <w:keepLines w:val="0"/>
              <w:pageBreakBefore w:val="0"/>
              <w:widowControl/>
              <w:numPr>
                <w:ilvl w:val="0"/>
                <w:numId w:val="10"/>
              </w:numPr>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适用于采购人使用单位目前现有3500系列DNA测序仪，竞标人须保证所提供产品能在该设备上良好运行。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2、槽中预装1×缓冲液来维持离子源，以及电泳中正确的pH。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3、具有RFID标签，实时监控毛细管使用信息。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4、调解电泳系统的酸碱度，以维持在一个恒定的pH范围。</w:t>
            </w:r>
          </w:p>
          <w:p w14:paraId="111C0618">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5、规格4瓶/盒</w:t>
            </w:r>
          </w:p>
        </w:tc>
      </w:tr>
      <w:tr w14:paraId="003B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1B9B10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1160" w:type="dxa"/>
            <w:noWrap w:val="0"/>
            <w:vAlign w:val="center"/>
          </w:tcPr>
          <w:p w14:paraId="07F50389">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阴极缓冲液</w:t>
            </w:r>
          </w:p>
        </w:tc>
        <w:tc>
          <w:tcPr>
            <w:tcW w:w="703" w:type="dxa"/>
            <w:noWrap w:val="0"/>
            <w:vAlign w:val="center"/>
          </w:tcPr>
          <w:p w14:paraId="003F5E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22FE20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268" w:type="dxa"/>
            <w:noWrap w:val="0"/>
            <w:vAlign w:val="center"/>
          </w:tcPr>
          <w:p w14:paraId="54F5F0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2000.00</w:t>
            </w:r>
          </w:p>
        </w:tc>
        <w:tc>
          <w:tcPr>
            <w:tcW w:w="4751" w:type="dxa"/>
            <w:noWrap w:val="0"/>
            <w:vAlign w:val="center"/>
          </w:tcPr>
          <w:p w14:paraId="3C5A99C8">
            <w:pPr>
              <w:keepNext w:val="0"/>
              <w:keepLines w:val="0"/>
              <w:pageBreakBefore w:val="0"/>
              <w:widowControl/>
              <w:numPr>
                <w:ilvl w:val="0"/>
                <w:numId w:val="11"/>
              </w:numPr>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适用于采购人使用单位目前现有3500系列DNA测序仪，竞标人须保证所提供产品能在该设备上良好运行。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2、槽中预装1×缓冲液来支持所有的电泳应用。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3、具有RFID标签，实时监控毛细管使用信息。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4、调解电泳系统的酸碱度，以维持在一个恒定的pH范围。</w:t>
            </w:r>
          </w:p>
          <w:p w14:paraId="21B54CB1">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5、规格4瓶/盒</w:t>
            </w:r>
          </w:p>
        </w:tc>
      </w:tr>
      <w:tr w14:paraId="26DE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18B571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49</w:t>
            </w:r>
          </w:p>
        </w:tc>
        <w:tc>
          <w:tcPr>
            <w:tcW w:w="1160" w:type="dxa"/>
            <w:noWrap w:val="0"/>
            <w:vAlign w:val="center"/>
          </w:tcPr>
          <w:p w14:paraId="6A79E895">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高纯甲酰胺</w:t>
            </w:r>
          </w:p>
        </w:tc>
        <w:tc>
          <w:tcPr>
            <w:tcW w:w="703" w:type="dxa"/>
            <w:noWrap w:val="0"/>
            <w:vAlign w:val="center"/>
          </w:tcPr>
          <w:p w14:paraId="69388C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2FEBFA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1268" w:type="dxa"/>
            <w:noWrap w:val="0"/>
            <w:vAlign w:val="center"/>
          </w:tcPr>
          <w:p w14:paraId="5915C39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1230.00</w:t>
            </w:r>
          </w:p>
        </w:tc>
        <w:tc>
          <w:tcPr>
            <w:tcW w:w="4751" w:type="dxa"/>
            <w:noWrap w:val="0"/>
            <w:vAlign w:val="center"/>
          </w:tcPr>
          <w:p w14:paraId="77E7D13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每瓶5ml，用作化学变性，适用于3500系列基因分析仪。规格5ml*4/盒</w:t>
            </w:r>
          </w:p>
        </w:tc>
      </w:tr>
      <w:tr w14:paraId="098FD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34BE02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50</w:t>
            </w:r>
          </w:p>
        </w:tc>
        <w:tc>
          <w:tcPr>
            <w:tcW w:w="1160" w:type="dxa"/>
            <w:noWrap w:val="0"/>
            <w:vAlign w:val="center"/>
          </w:tcPr>
          <w:p w14:paraId="6CAF002B">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半裙边96孔反应板</w:t>
            </w:r>
          </w:p>
        </w:tc>
        <w:tc>
          <w:tcPr>
            <w:tcW w:w="703" w:type="dxa"/>
            <w:noWrap w:val="0"/>
            <w:vAlign w:val="center"/>
          </w:tcPr>
          <w:p w14:paraId="394330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1161BF7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1268" w:type="dxa"/>
            <w:noWrap w:val="0"/>
            <w:vAlign w:val="center"/>
          </w:tcPr>
          <w:p w14:paraId="00C187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260.00</w:t>
            </w:r>
          </w:p>
        </w:tc>
        <w:tc>
          <w:tcPr>
            <w:tcW w:w="4751" w:type="dxa"/>
            <w:noWrap w:val="0"/>
            <w:vAlign w:val="center"/>
          </w:tcPr>
          <w:p w14:paraId="4FEA440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1、高效的PCR扩增提供了无可比拟的温度精确性和均一性，该板由单一刚性聚丙烯材料制成。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2、用于PCR扩增及电泳，规格：10块/盒。</w:t>
            </w:r>
          </w:p>
        </w:tc>
      </w:tr>
      <w:tr w14:paraId="2A53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22DB29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51</w:t>
            </w:r>
          </w:p>
        </w:tc>
        <w:tc>
          <w:tcPr>
            <w:tcW w:w="1160" w:type="dxa"/>
            <w:noWrap w:val="0"/>
            <w:vAlign w:val="center"/>
          </w:tcPr>
          <w:p w14:paraId="4B363828">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调节试剂</w:t>
            </w:r>
          </w:p>
        </w:tc>
        <w:tc>
          <w:tcPr>
            <w:tcW w:w="703" w:type="dxa"/>
            <w:noWrap w:val="0"/>
            <w:vAlign w:val="center"/>
          </w:tcPr>
          <w:p w14:paraId="25B087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20F5CD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268" w:type="dxa"/>
            <w:noWrap w:val="0"/>
            <w:vAlign w:val="center"/>
          </w:tcPr>
          <w:p w14:paraId="26E567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500.00</w:t>
            </w:r>
          </w:p>
        </w:tc>
        <w:tc>
          <w:tcPr>
            <w:tcW w:w="4751" w:type="dxa"/>
            <w:noWrap w:val="0"/>
            <w:vAlign w:val="center"/>
          </w:tcPr>
          <w:p w14:paraId="061B218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3500系列调节试剂，规格1个/盒。</w:t>
            </w:r>
          </w:p>
        </w:tc>
      </w:tr>
      <w:tr w14:paraId="1CB1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4BE480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52</w:t>
            </w:r>
          </w:p>
        </w:tc>
        <w:tc>
          <w:tcPr>
            <w:tcW w:w="1160" w:type="dxa"/>
            <w:noWrap w:val="0"/>
            <w:vAlign w:val="center"/>
          </w:tcPr>
          <w:p w14:paraId="252AC04C">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液态蛋白酶K</w:t>
            </w:r>
          </w:p>
        </w:tc>
        <w:tc>
          <w:tcPr>
            <w:tcW w:w="703" w:type="dxa"/>
            <w:noWrap w:val="0"/>
            <w:vAlign w:val="center"/>
          </w:tcPr>
          <w:p w14:paraId="3D3B15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瓶</w:t>
            </w:r>
          </w:p>
        </w:tc>
        <w:tc>
          <w:tcPr>
            <w:tcW w:w="668" w:type="dxa"/>
            <w:gridSpan w:val="2"/>
            <w:noWrap w:val="0"/>
            <w:vAlign w:val="center"/>
          </w:tcPr>
          <w:p w14:paraId="7B891D7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268" w:type="dxa"/>
            <w:noWrap w:val="0"/>
            <w:vAlign w:val="center"/>
          </w:tcPr>
          <w:p w14:paraId="6440EE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1025.00</w:t>
            </w:r>
          </w:p>
        </w:tc>
        <w:tc>
          <w:tcPr>
            <w:tcW w:w="4751" w:type="dxa"/>
            <w:noWrap w:val="0"/>
            <w:vAlign w:val="center"/>
          </w:tcPr>
          <w:p w14:paraId="6B160A4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用于生物样品中蛋白质的一般性消化，经纯化去除了DNA酶和RNA酶活性。</w:t>
            </w:r>
          </w:p>
          <w:p w14:paraId="75967FD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规格2ml/瓶</w:t>
            </w:r>
          </w:p>
        </w:tc>
      </w:tr>
      <w:tr w14:paraId="0372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262334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53</w:t>
            </w:r>
          </w:p>
        </w:tc>
        <w:tc>
          <w:tcPr>
            <w:tcW w:w="1160" w:type="dxa"/>
            <w:noWrap w:val="0"/>
            <w:vAlign w:val="center"/>
          </w:tcPr>
          <w:p w14:paraId="0C166520">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小号脱落细胞粘取器</w:t>
            </w:r>
          </w:p>
        </w:tc>
        <w:tc>
          <w:tcPr>
            <w:tcW w:w="703" w:type="dxa"/>
            <w:noWrap w:val="0"/>
            <w:vAlign w:val="center"/>
          </w:tcPr>
          <w:p w14:paraId="2A86C0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61A623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268" w:type="dxa"/>
            <w:noWrap w:val="0"/>
            <w:vAlign w:val="center"/>
          </w:tcPr>
          <w:p w14:paraId="31BDC0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600.00</w:t>
            </w:r>
          </w:p>
        </w:tc>
        <w:tc>
          <w:tcPr>
            <w:tcW w:w="4751" w:type="dxa"/>
            <w:noWrap w:val="0"/>
            <w:vAlign w:val="center"/>
          </w:tcPr>
          <w:p w14:paraId="3C0B117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1、使用方法简单，配备专门撕膜镊使用更加方便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2、提取膜片粘性强，膜片与胶本身不与市面上常见的DNA提取试剂发生反应</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3、无菌，无外源DNA的条件下生产，绝无外源DNA污染，规格100个/盒，10*10mm</w:t>
            </w:r>
          </w:p>
        </w:tc>
      </w:tr>
      <w:tr w14:paraId="2C08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33780D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54</w:t>
            </w:r>
          </w:p>
        </w:tc>
        <w:tc>
          <w:tcPr>
            <w:tcW w:w="1160" w:type="dxa"/>
            <w:noWrap w:val="0"/>
            <w:vAlign w:val="center"/>
          </w:tcPr>
          <w:p w14:paraId="115AEA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大号脱落细胞粘取器</w:t>
            </w:r>
          </w:p>
        </w:tc>
        <w:tc>
          <w:tcPr>
            <w:tcW w:w="703" w:type="dxa"/>
            <w:noWrap w:val="0"/>
            <w:vAlign w:val="center"/>
          </w:tcPr>
          <w:p w14:paraId="2F0DE9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506694C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268" w:type="dxa"/>
            <w:noWrap w:val="0"/>
            <w:vAlign w:val="center"/>
          </w:tcPr>
          <w:p w14:paraId="172DE0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900.00</w:t>
            </w:r>
          </w:p>
        </w:tc>
        <w:tc>
          <w:tcPr>
            <w:tcW w:w="4751" w:type="dxa"/>
            <w:noWrap w:val="0"/>
            <w:vAlign w:val="center"/>
          </w:tcPr>
          <w:p w14:paraId="09406B0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1、使用方法简单，配备专门撕膜镊使用更加方便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2、提取膜片粘性强，膜片与胶本身不与市面上常见的DNA提取试剂发生反应</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3、无菌，无外源DNA的条件下生产，绝无外源DNA污染，规格100个/盒，15*15mm</w:t>
            </w:r>
          </w:p>
        </w:tc>
      </w:tr>
      <w:tr w14:paraId="1012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392D05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55</w:t>
            </w:r>
          </w:p>
        </w:tc>
        <w:tc>
          <w:tcPr>
            <w:tcW w:w="1160" w:type="dxa"/>
            <w:noWrap w:val="0"/>
            <w:vAlign w:val="center"/>
          </w:tcPr>
          <w:p w14:paraId="195A7C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生物物证提取棉签（III型）</w:t>
            </w:r>
          </w:p>
        </w:tc>
        <w:tc>
          <w:tcPr>
            <w:tcW w:w="703" w:type="dxa"/>
            <w:noWrap w:val="0"/>
            <w:vAlign w:val="center"/>
          </w:tcPr>
          <w:p w14:paraId="04CA9C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3B8572B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1268" w:type="dxa"/>
            <w:noWrap w:val="0"/>
            <w:vAlign w:val="center"/>
          </w:tcPr>
          <w:p w14:paraId="08EA44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140.00</w:t>
            </w:r>
          </w:p>
        </w:tc>
        <w:tc>
          <w:tcPr>
            <w:tcW w:w="4751" w:type="dxa"/>
            <w:noWrap w:val="0"/>
            <w:vAlign w:val="center"/>
          </w:tcPr>
          <w:p w14:paraId="296C33F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40份/盒；用于生物物证的提取与保存。</w:t>
            </w:r>
          </w:p>
        </w:tc>
      </w:tr>
      <w:tr w14:paraId="76A2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50E7B9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56</w:t>
            </w:r>
          </w:p>
        </w:tc>
        <w:tc>
          <w:tcPr>
            <w:tcW w:w="1160" w:type="dxa"/>
            <w:noWrap w:val="0"/>
            <w:vAlign w:val="center"/>
          </w:tcPr>
          <w:p w14:paraId="04745A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PCR纯化试剂盒</w:t>
            </w:r>
          </w:p>
        </w:tc>
        <w:tc>
          <w:tcPr>
            <w:tcW w:w="703" w:type="dxa"/>
            <w:noWrap w:val="0"/>
            <w:vAlign w:val="center"/>
          </w:tcPr>
          <w:p w14:paraId="5A3977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1F8212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268" w:type="dxa"/>
            <w:noWrap w:val="0"/>
            <w:vAlign w:val="center"/>
          </w:tcPr>
          <w:p w14:paraId="43C8B5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5200.00</w:t>
            </w:r>
          </w:p>
        </w:tc>
        <w:tc>
          <w:tcPr>
            <w:tcW w:w="4751" w:type="dxa"/>
            <w:noWrap w:val="0"/>
            <w:vAlign w:val="center"/>
          </w:tcPr>
          <w:p w14:paraId="4CCC912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1、250人份/盒，试剂盒包含离心柱、缓冲液和收集管，用于纯化100 bp以上的 PCR DNA 片段。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2、通过快速、方便的结合-洗涤-洗脱步骤纯化10kb以内的DNA片段，洗脱体积为 30～50微升，适用于骨骼等检材的DNA提取。</w:t>
            </w:r>
          </w:p>
        </w:tc>
      </w:tr>
      <w:tr w14:paraId="4C087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29C102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57</w:t>
            </w:r>
          </w:p>
        </w:tc>
        <w:tc>
          <w:tcPr>
            <w:tcW w:w="1160" w:type="dxa"/>
            <w:noWrap w:val="0"/>
            <w:vAlign w:val="center"/>
          </w:tcPr>
          <w:p w14:paraId="1F5419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超微量磁珠法DNA提取试剂盒（24道全自动专用，48次）</w:t>
            </w:r>
          </w:p>
        </w:tc>
        <w:tc>
          <w:tcPr>
            <w:tcW w:w="703" w:type="dxa"/>
            <w:noWrap w:val="0"/>
            <w:vAlign w:val="center"/>
          </w:tcPr>
          <w:p w14:paraId="181E52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110BA8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268" w:type="dxa"/>
            <w:noWrap w:val="0"/>
            <w:vAlign w:val="center"/>
          </w:tcPr>
          <w:p w14:paraId="6A75BA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2400.00</w:t>
            </w:r>
          </w:p>
        </w:tc>
        <w:tc>
          <w:tcPr>
            <w:tcW w:w="4751" w:type="dxa"/>
            <w:noWrap w:val="0"/>
            <w:vAlign w:val="center"/>
          </w:tcPr>
          <w:p w14:paraId="02D71AD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超微量磁珠法DNA提取试剂盒（全自动专用）为一体式封装试剂，用于DNA提取的磁珠和各种试剂通过塑料膜密封在可与全自动24道微量DNA提取工作站配套使用的塑料反应板内，使用时撕开密封膜置于全自动24道微量DNA提取工作站中即可直接用于全自动DNA的自动化提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一个完整试剂盒包装含有封装试剂的反应板共有12块且均为48孔深孔板，另配有试剂相应数量的盒装吸头（吸头为封装好的盒装吸头，撕开外包装即可整盒放在工作站上使用），封装好的消化液（一次性使用，无需二次整体转移消化液，撕开封膜即可放在工作站上使用），12块8孔磁套及12块8孔空白洗脱板，洗脱板可以实现20ul小体积洗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3、完整试剂盒外另配和试剂盒规格相应数量的24孔离心套板，该24孔离心套板为嵌套反应板，上下部分可分离；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4、专用洗脱液，可有效降低洗脱产物的，长期保存DNA保存性能好，不降解、不分层；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5、产品规格：48次/盒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6、样本适用性：配有在全自动24道微量DNA提取工作站上使用的浓缩、纯化及提取程序，可用于血液(斑)、唾液(斑)、精液(斑)、毛发、组织等常规检材及陈旧、污染、降解和微量检材等疑难检材的DNA提取纯化；</w:t>
            </w:r>
          </w:p>
        </w:tc>
      </w:tr>
      <w:tr w14:paraId="2E3F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67EF53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58</w:t>
            </w:r>
          </w:p>
        </w:tc>
        <w:tc>
          <w:tcPr>
            <w:tcW w:w="1160" w:type="dxa"/>
            <w:noWrap w:val="0"/>
            <w:vAlign w:val="center"/>
          </w:tcPr>
          <w:p w14:paraId="3323AC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超微量磁珠法DNA提取试剂盒（24道全自动专用，96次）</w:t>
            </w:r>
          </w:p>
        </w:tc>
        <w:tc>
          <w:tcPr>
            <w:tcW w:w="703" w:type="dxa"/>
            <w:noWrap w:val="0"/>
            <w:vAlign w:val="center"/>
          </w:tcPr>
          <w:p w14:paraId="7054C1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5B9C2B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268" w:type="dxa"/>
            <w:noWrap w:val="0"/>
            <w:vAlign w:val="center"/>
          </w:tcPr>
          <w:p w14:paraId="0C50C6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4800.00</w:t>
            </w:r>
          </w:p>
        </w:tc>
        <w:tc>
          <w:tcPr>
            <w:tcW w:w="4751" w:type="dxa"/>
            <w:noWrap w:val="0"/>
            <w:vAlign w:val="center"/>
          </w:tcPr>
          <w:p w14:paraId="1858176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超微量磁珠法DNA提取试剂盒（全自动专用）为一体式封装试剂，用于DNA提取的磁珠和各种试剂通过塑料膜密封在可与全自动24道微量DNA提取工作站配套使用的塑料反应板内，使用时撕开密封膜置于全自动24道微量DNA提取工作站中即可直接用于全自动DNA的自动化提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一个完整试剂盒包装含有封装试剂的反应板共有12块且均为48孔深孔板，另配有试剂相应数量的盒装吸头（吸头为封装好的盒装吸头，撕开外包装即可整盒放在工作站上使用），封装好的消化液（一次性使用，无需二次整体转移消化液，撕开封膜即可放在工作站上使用），12块8孔磁套及12块8孔空白洗脱板，洗脱板可以实现20ul小体积洗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3、完整试剂盒外另配和试剂盒规格相应数量的24孔离心套板，该24孔离心套板为嵌套反应板，上下部分可分离；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4、专用洗脱液，可有效降低洗脱产物的，长期保存DNA保存性能好，不降解、不分层；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5、产品规格：96次/盒；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6、样本适用性：配有在全自动24道微量DNA提取工作站上使用的浓缩、纯化及提取程序，可用于血液(斑)、唾液(斑)、精液(斑)、毛发、组织等常规检材及陈旧、污染、降解和微量检材等疑难检材的DNA提取纯化；</w:t>
            </w:r>
          </w:p>
        </w:tc>
      </w:tr>
      <w:tr w14:paraId="6400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43B823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59</w:t>
            </w:r>
          </w:p>
        </w:tc>
        <w:tc>
          <w:tcPr>
            <w:tcW w:w="1160" w:type="dxa"/>
            <w:noWrap w:val="0"/>
            <w:vAlign w:val="center"/>
          </w:tcPr>
          <w:p w14:paraId="599867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0.2ml扩增管</w:t>
            </w:r>
          </w:p>
        </w:tc>
        <w:tc>
          <w:tcPr>
            <w:tcW w:w="703" w:type="dxa"/>
            <w:noWrap w:val="0"/>
            <w:vAlign w:val="center"/>
          </w:tcPr>
          <w:p w14:paraId="74B9D6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082754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7</w:t>
            </w:r>
          </w:p>
        </w:tc>
        <w:tc>
          <w:tcPr>
            <w:tcW w:w="1268" w:type="dxa"/>
            <w:noWrap w:val="0"/>
            <w:vAlign w:val="center"/>
          </w:tcPr>
          <w:p w14:paraId="5E02E0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300.00</w:t>
            </w:r>
          </w:p>
        </w:tc>
        <w:tc>
          <w:tcPr>
            <w:tcW w:w="4751" w:type="dxa"/>
            <w:noWrap w:val="0"/>
            <w:vAlign w:val="center"/>
          </w:tcPr>
          <w:p w14:paraId="1D3A3FB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1、管壁需薄且均匀，保证传热速度和样品受热均匀。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2、管盖较普通的PCR管盖更长，在热循环过程中可承受更大的压力及消除样品蒸发的危险。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3、规格:0.2ml，1000个/盒。有很好的密封性，耐高温，适用于PCR扩增。</w:t>
            </w:r>
          </w:p>
        </w:tc>
      </w:tr>
      <w:tr w14:paraId="135B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4DA470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60</w:t>
            </w:r>
          </w:p>
        </w:tc>
        <w:tc>
          <w:tcPr>
            <w:tcW w:w="1160" w:type="dxa"/>
            <w:noWrap w:val="0"/>
            <w:vAlign w:val="center"/>
          </w:tcPr>
          <w:p w14:paraId="47617D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0.6ml扩增管</w:t>
            </w:r>
          </w:p>
        </w:tc>
        <w:tc>
          <w:tcPr>
            <w:tcW w:w="703" w:type="dxa"/>
            <w:noWrap w:val="0"/>
            <w:vAlign w:val="center"/>
          </w:tcPr>
          <w:p w14:paraId="5E97FA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126C88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268" w:type="dxa"/>
            <w:noWrap w:val="0"/>
            <w:vAlign w:val="center"/>
          </w:tcPr>
          <w:p w14:paraId="7BC6F8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200.00</w:t>
            </w:r>
          </w:p>
        </w:tc>
        <w:tc>
          <w:tcPr>
            <w:tcW w:w="4751" w:type="dxa"/>
            <w:noWrap w:val="0"/>
            <w:vAlign w:val="center"/>
          </w:tcPr>
          <w:p w14:paraId="0DEF542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1、管壁需薄且均匀，保证传热速度和样品受热均匀。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2、管盖较普通的PCR管盖更长，在热循环过程中可承受更大的压力及消除样品蒸发的危险。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3、规格:0.6ml，1000个/盒。有很好的密封性，耐高温，适用于PCR扩增。</w:t>
            </w:r>
          </w:p>
        </w:tc>
      </w:tr>
      <w:tr w14:paraId="1EC8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7771D1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61</w:t>
            </w:r>
          </w:p>
        </w:tc>
        <w:tc>
          <w:tcPr>
            <w:tcW w:w="1160" w:type="dxa"/>
            <w:noWrap w:val="0"/>
            <w:vAlign w:val="center"/>
          </w:tcPr>
          <w:p w14:paraId="516C10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1.5ml离心管</w:t>
            </w:r>
          </w:p>
        </w:tc>
        <w:tc>
          <w:tcPr>
            <w:tcW w:w="703" w:type="dxa"/>
            <w:noWrap w:val="0"/>
            <w:vAlign w:val="center"/>
          </w:tcPr>
          <w:p w14:paraId="4336D3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75C89A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268" w:type="dxa"/>
            <w:noWrap w:val="0"/>
            <w:vAlign w:val="center"/>
          </w:tcPr>
          <w:p w14:paraId="766F6B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80.00</w:t>
            </w:r>
          </w:p>
        </w:tc>
        <w:tc>
          <w:tcPr>
            <w:tcW w:w="4751" w:type="dxa"/>
            <w:noWrap w:val="0"/>
            <w:vAlign w:val="center"/>
          </w:tcPr>
          <w:p w14:paraId="027F8F4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1、管壁需薄且均匀，保证传热速度和样品受热均匀。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2、管盖较普通的PCR管盖更长，在热循环过程中可承受更大的压力及消除样品蒸发的危险。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3、规格:1.5ml，500个/盒。有很好的密封性，耐高温，适用于PCR扩增。</w:t>
            </w:r>
          </w:p>
        </w:tc>
      </w:tr>
      <w:tr w14:paraId="2F90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6B194F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62</w:t>
            </w:r>
          </w:p>
        </w:tc>
        <w:tc>
          <w:tcPr>
            <w:tcW w:w="1160" w:type="dxa"/>
            <w:noWrap w:val="0"/>
            <w:vAlign w:val="center"/>
          </w:tcPr>
          <w:p w14:paraId="45AC23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10ul袋装透明短吸头</w:t>
            </w:r>
          </w:p>
        </w:tc>
        <w:tc>
          <w:tcPr>
            <w:tcW w:w="703" w:type="dxa"/>
            <w:noWrap w:val="0"/>
            <w:vAlign w:val="center"/>
          </w:tcPr>
          <w:p w14:paraId="49B958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包</w:t>
            </w:r>
          </w:p>
        </w:tc>
        <w:tc>
          <w:tcPr>
            <w:tcW w:w="668" w:type="dxa"/>
            <w:gridSpan w:val="2"/>
            <w:noWrap w:val="0"/>
            <w:vAlign w:val="center"/>
          </w:tcPr>
          <w:p w14:paraId="6D64EB3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1268" w:type="dxa"/>
            <w:noWrap w:val="0"/>
            <w:vAlign w:val="center"/>
          </w:tcPr>
          <w:p w14:paraId="5B90DB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100.00</w:t>
            </w:r>
          </w:p>
        </w:tc>
        <w:tc>
          <w:tcPr>
            <w:tcW w:w="4751" w:type="dxa"/>
            <w:noWrap w:val="0"/>
            <w:vAlign w:val="center"/>
          </w:tcPr>
          <w:p w14:paraId="043945C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高质量的聚丙烯材料，耐高温，透明度好，洁净、疏水性表面使液体残留量降至最低，加工精度高，适用于10μl量程移液器。</w:t>
            </w:r>
          </w:p>
          <w:p w14:paraId="422FA35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规格1000个/包</w:t>
            </w:r>
          </w:p>
        </w:tc>
      </w:tr>
      <w:tr w14:paraId="7575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078B6B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63</w:t>
            </w:r>
          </w:p>
        </w:tc>
        <w:tc>
          <w:tcPr>
            <w:tcW w:w="1160" w:type="dxa"/>
            <w:noWrap w:val="0"/>
            <w:vAlign w:val="center"/>
          </w:tcPr>
          <w:p w14:paraId="6B090B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200ul袋装黄色吸头</w:t>
            </w:r>
          </w:p>
        </w:tc>
        <w:tc>
          <w:tcPr>
            <w:tcW w:w="703" w:type="dxa"/>
            <w:noWrap w:val="0"/>
            <w:vAlign w:val="center"/>
          </w:tcPr>
          <w:p w14:paraId="59CA0A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包</w:t>
            </w:r>
          </w:p>
        </w:tc>
        <w:tc>
          <w:tcPr>
            <w:tcW w:w="668" w:type="dxa"/>
            <w:gridSpan w:val="2"/>
            <w:noWrap w:val="0"/>
            <w:vAlign w:val="center"/>
          </w:tcPr>
          <w:p w14:paraId="3462CE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1268" w:type="dxa"/>
            <w:noWrap w:val="0"/>
            <w:vAlign w:val="center"/>
          </w:tcPr>
          <w:p w14:paraId="2BD237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100.00</w:t>
            </w:r>
          </w:p>
        </w:tc>
        <w:tc>
          <w:tcPr>
            <w:tcW w:w="4751" w:type="dxa"/>
            <w:noWrap w:val="0"/>
            <w:vAlign w:val="center"/>
          </w:tcPr>
          <w:p w14:paraId="7694FC2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高质量的聚丙烯材料，耐高温，透明度好，洁净、疏水性表面使液体残留量降至最低，加工精度高，适用于200μl量程移液器。</w:t>
            </w:r>
          </w:p>
          <w:p w14:paraId="0CFC166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规格1000个/包</w:t>
            </w:r>
          </w:p>
        </w:tc>
      </w:tr>
      <w:tr w14:paraId="273B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0E3AE5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1160" w:type="dxa"/>
            <w:noWrap w:val="0"/>
            <w:vAlign w:val="center"/>
          </w:tcPr>
          <w:p w14:paraId="0D045F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1000ul袋装蓝色吸头</w:t>
            </w:r>
          </w:p>
        </w:tc>
        <w:tc>
          <w:tcPr>
            <w:tcW w:w="703" w:type="dxa"/>
            <w:noWrap w:val="0"/>
            <w:vAlign w:val="center"/>
          </w:tcPr>
          <w:p w14:paraId="6549C3C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包</w:t>
            </w:r>
          </w:p>
        </w:tc>
        <w:tc>
          <w:tcPr>
            <w:tcW w:w="668" w:type="dxa"/>
            <w:gridSpan w:val="2"/>
            <w:noWrap w:val="0"/>
            <w:vAlign w:val="center"/>
          </w:tcPr>
          <w:p w14:paraId="61264B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1268" w:type="dxa"/>
            <w:noWrap w:val="0"/>
            <w:vAlign w:val="center"/>
          </w:tcPr>
          <w:p w14:paraId="04CAF6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100.00</w:t>
            </w:r>
          </w:p>
        </w:tc>
        <w:tc>
          <w:tcPr>
            <w:tcW w:w="4751" w:type="dxa"/>
            <w:noWrap w:val="0"/>
            <w:vAlign w:val="center"/>
          </w:tcPr>
          <w:p w14:paraId="21C32EB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高质量的聚丙烯材料，耐高温，透明度好，洁净、疏水性表面使液体残留量降至最低，加工精度高，适用于1000μl量程移液器。</w:t>
            </w:r>
          </w:p>
          <w:p w14:paraId="6D2D6BE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规格1000个/包</w:t>
            </w:r>
          </w:p>
        </w:tc>
      </w:tr>
      <w:tr w14:paraId="44F0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339723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65</w:t>
            </w:r>
          </w:p>
        </w:tc>
        <w:tc>
          <w:tcPr>
            <w:tcW w:w="1160" w:type="dxa"/>
            <w:noWrap w:val="0"/>
            <w:vAlign w:val="center"/>
          </w:tcPr>
          <w:p w14:paraId="41A68C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丁腈橡胶手套</w:t>
            </w:r>
          </w:p>
        </w:tc>
        <w:tc>
          <w:tcPr>
            <w:tcW w:w="703" w:type="dxa"/>
            <w:noWrap w:val="0"/>
            <w:vAlign w:val="center"/>
          </w:tcPr>
          <w:p w14:paraId="6FE0DFC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箱</w:t>
            </w:r>
          </w:p>
        </w:tc>
        <w:tc>
          <w:tcPr>
            <w:tcW w:w="668" w:type="dxa"/>
            <w:gridSpan w:val="2"/>
            <w:noWrap w:val="0"/>
            <w:vAlign w:val="center"/>
          </w:tcPr>
          <w:p w14:paraId="48CD53A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268" w:type="dxa"/>
            <w:noWrap w:val="0"/>
            <w:vAlign w:val="center"/>
          </w:tcPr>
          <w:p w14:paraId="73297DB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720.00</w:t>
            </w:r>
          </w:p>
        </w:tc>
        <w:tc>
          <w:tcPr>
            <w:tcW w:w="4751" w:type="dxa"/>
            <w:noWrap w:val="0"/>
            <w:vAlign w:val="center"/>
          </w:tcPr>
          <w:p w14:paraId="1EBFE03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丁腈手套.无粉.小号.蓝</w:t>
            </w:r>
          </w:p>
          <w:p w14:paraId="1CB9BAC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 10盒/箱×100只/盒</w:t>
            </w:r>
          </w:p>
        </w:tc>
      </w:tr>
      <w:tr w14:paraId="3AEE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509389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66</w:t>
            </w:r>
          </w:p>
        </w:tc>
        <w:tc>
          <w:tcPr>
            <w:tcW w:w="1160" w:type="dxa"/>
            <w:noWrap w:val="0"/>
            <w:vAlign w:val="center"/>
          </w:tcPr>
          <w:p w14:paraId="50AE92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丁腈橡胶手套</w:t>
            </w:r>
          </w:p>
        </w:tc>
        <w:tc>
          <w:tcPr>
            <w:tcW w:w="703" w:type="dxa"/>
            <w:noWrap w:val="0"/>
            <w:vAlign w:val="center"/>
          </w:tcPr>
          <w:p w14:paraId="72F1D16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箱</w:t>
            </w:r>
          </w:p>
        </w:tc>
        <w:tc>
          <w:tcPr>
            <w:tcW w:w="668" w:type="dxa"/>
            <w:gridSpan w:val="2"/>
            <w:noWrap w:val="0"/>
            <w:vAlign w:val="center"/>
          </w:tcPr>
          <w:p w14:paraId="4A9E85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268" w:type="dxa"/>
            <w:noWrap w:val="0"/>
            <w:vAlign w:val="center"/>
          </w:tcPr>
          <w:p w14:paraId="5B99AF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720.00</w:t>
            </w:r>
          </w:p>
        </w:tc>
        <w:tc>
          <w:tcPr>
            <w:tcW w:w="4751" w:type="dxa"/>
            <w:noWrap w:val="0"/>
            <w:vAlign w:val="center"/>
          </w:tcPr>
          <w:p w14:paraId="521EDA0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丁腈手套.无粉.中号.蓝</w:t>
            </w:r>
          </w:p>
          <w:p w14:paraId="2A6F463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 10盒/箱×100只/盒</w:t>
            </w:r>
          </w:p>
        </w:tc>
      </w:tr>
      <w:tr w14:paraId="686F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55C6F94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67</w:t>
            </w:r>
          </w:p>
        </w:tc>
        <w:tc>
          <w:tcPr>
            <w:tcW w:w="1160" w:type="dxa"/>
            <w:noWrap w:val="0"/>
            <w:vAlign w:val="center"/>
          </w:tcPr>
          <w:p w14:paraId="5899CB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一次性使用口罩</w:t>
            </w:r>
          </w:p>
        </w:tc>
        <w:tc>
          <w:tcPr>
            <w:tcW w:w="703" w:type="dxa"/>
            <w:noWrap w:val="0"/>
            <w:vAlign w:val="center"/>
          </w:tcPr>
          <w:p w14:paraId="0F8C28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盒</w:t>
            </w:r>
          </w:p>
        </w:tc>
        <w:tc>
          <w:tcPr>
            <w:tcW w:w="668" w:type="dxa"/>
            <w:gridSpan w:val="2"/>
            <w:noWrap w:val="0"/>
            <w:vAlign w:val="center"/>
          </w:tcPr>
          <w:p w14:paraId="567F9C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20</w:t>
            </w:r>
          </w:p>
        </w:tc>
        <w:tc>
          <w:tcPr>
            <w:tcW w:w="1268" w:type="dxa"/>
            <w:noWrap w:val="0"/>
            <w:vAlign w:val="center"/>
          </w:tcPr>
          <w:p w14:paraId="652594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18.00</w:t>
            </w:r>
          </w:p>
        </w:tc>
        <w:tc>
          <w:tcPr>
            <w:tcW w:w="4751" w:type="dxa"/>
            <w:noWrap w:val="0"/>
            <w:vAlign w:val="center"/>
          </w:tcPr>
          <w:p w14:paraId="3659AFD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一次性口罩，独立灭菌包装，防护用品。</w:t>
            </w:r>
          </w:p>
          <w:p w14:paraId="34A7D70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 独立包装；50个/盒</w:t>
            </w:r>
          </w:p>
        </w:tc>
      </w:tr>
      <w:tr w14:paraId="35FA5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273C82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68</w:t>
            </w:r>
          </w:p>
        </w:tc>
        <w:tc>
          <w:tcPr>
            <w:tcW w:w="1160" w:type="dxa"/>
            <w:noWrap w:val="0"/>
            <w:vAlign w:val="center"/>
          </w:tcPr>
          <w:p w14:paraId="5A2DE7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一次性垫巾（小）</w:t>
            </w:r>
          </w:p>
        </w:tc>
        <w:tc>
          <w:tcPr>
            <w:tcW w:w="703" w:type="dxa"/>
            <w:noWrap w:val="0"/>
            <w:vAlign w:val="center"/>
          </w:tcPr>
          <w:p w14:paraId="63E66F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包</w:t>
            </w:r>
          </w:p>
        </w:tc>
        <w:tc>
          <w:tcPr>
            <w:tcW w:w="668" w:type="dxa"/>
            <w:gridSpan w:val="2"/>
            <w:noWrap w:val="0"/>
            <w:vAlign w:val="center"/>
          </w:tcPr>
          <w:p w14:paraId="312E6A5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65</w:t>
            </w:r>
          </w:p>
        </w:tc>
        <w:tc>
          <w:tcPr>
            <w:tcW w:w="1268" w:type="dxa"/>
            <w:noWrap w:val="0"/>
            <w:vAlign w:val="center"/>
          </w:tcPr>
          <w:p w14:paraId="6E25A82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10.00</w:t>
            </w:r>
          </w:p>
        </w:tc>
        <w:tc>
          <w:tcPr>
            <w:tcW w:w="4751" w:type="dxa"/>
            <w:noWrap w:val="0"/>
            <w:vAlign w:val="center"/>
          </w:tcPr>
          <w:p w14:paraId="17D4563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50*60cm;10张/包；一次性垫巾，灭菌、防油、防水。</w:t>
            </w:r>
          </w:p>
        </w:tc>
      </w:tr>
      <w:tr w14:paraId="71CD1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00017AC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69</w:t>
            </w:r>
          </w:p>
        </w:tc>
        <w:tc>
          <w:tcPr>
            <w:tcW w:w="1160" w:type="dxa"/>
            <w:noWrap w:val="0"/>
            <w:vAlign w:val="center"/>
          </w:tcPr>
          <w:p w14:paraId="4B3298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一次性垫巾（大）</w:t>
            </w:r>
          </w:p>
        </w:tc>
        <w:tc>
          <w:tcPr>
            <w:tcW w:w="703" w:type="dxa"/>
            <w:noWrap w:val="0"/>
            <w:vAlign w:val="center"/>
          </w:tcPr>
          <w:p w14:paraId="5A952E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包</w:t>
            </w:r>
          </w:p>
        </w:tc>
        <w:tc>
          <w:tcPr>
            <w:tcW w:w="668" w:type="dxa"/>
            <w:gridSpan w:val="2"/>
            <w:noWrap w:val="0"/>
            <w:vAlign w:val="center"/>
          </w:tcPr>
          <w:p w14:paraId="425E0F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25</w:t>
            </w:r>
          </w:p>
        </w:tc>
        <w:tc>
          <w:tcPr>
            <w:tcW w:w="1268" w:type="dxa"/>
            <w:noWrap w:val="0"/>
            <w:vAlign w:val="center"/>
          </w:tcPr>
          <w:p w14:paraId="31DC9F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60.00</w:t>
            </w:r>
          </w:p>
        </w:tc>
        <w:tc>
          <w:tcPr>
            <w:tcW w:w="4751" w:type="dxa"/>
            <w:noWrap w:val="0"/>
            <w:vAlign w:val="center"/>
          </w:tcPr>
          <w:p w14:paraId="7A838E9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100*200cm;10张/包；一次性垫巾，灭菌、防油、防水。</w:t>
            </w:r>
          </w:p>
        </w:tc>
      </w:tr>
      <w:tr w14:paraId="4B2B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9210" w:type="dxa"/>
            <w:gridSpan w:val="7"/>
            <w:noWrap w:val="0"/>
            <w:vAlign w:val="center"/>
          </w:tcPr>
          <w:p w14:paraId="42B35CC0">
            <w:pPr>
              <w:jc w:val="left"/>
              <w:rPr>
                <w:rFonts w:hint="eastAsia" w:ascii="宋体" w:hAnsi="宋体" w:eastAsia="宋体" w:cs="宋体"/>
                <w:i w:val="0"/>
                <w:iCs w:val="0"/>
                <w:color w:val="000000"/>
                <w:kern w:val="0"/>
                <w:sz w:val="20"/>
                <w:szCs w:val="20"/>
                <w:u w:val="none"/>
                <w:lang w:val="en-US" w:eastAsia="zh-CN" w:bidi="ar"/>
              </w:rPr>
            </w:pPr>
            <w:r>
              <w:rPr>
                <w:rFonts w:hint="eastAsia"/>
                <w:b/>
                <w:bCs/>
                <w:color w:val="auto"/>
                <w:sz w:val="28"/>
                <w:szCs w:val="36"/>
                <w:highlight w:val="none"/>
                <w:vertAlign w:val="baseline"/>
                <w:lang w:eastAsia="zh-CN"/>
              </w:rPr>
              <w:t>商务条款要求</w:t>
            </w:r>
          </w:p>
        </w:tc>
      </w:tr>
      <w:tr w14:paraId="6AAF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dxa"/>
            <w:gridSpan w:val="4"/>
            <w:noWrap w:val="0"/>
            <w:vAlign w:val="center"/>
          </w:tcPr>
          <w:p w14:paraId="3FBAFBB0">
            <w:pPr>
              <w:pStyle w:val="2"/>
              <w:jc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color w:val="auto"/>
                <w:szCs w:val="21"/>
                <w:highlight w:val="none"/>
              </w:rPr>
              <w:t>交付时间（期限）及地点</w:t>
            </w:r>
          </w:p>
        </w:tc>
        <w:tc>
          <w:tcPr>
            <w:tcW w:w="6667" w:type="dxa"/>
            <w:gridSpan w:val="3"/>
            <w:noWrap w:val="0"/>
            <w:vAlign w:val="center"/>
          </w:tcPr>
          <w:p w14:paraId="41A30457">
            <w:pPr>
              <w:pStyle w:val="53"/>
              <w:spacing w:before="83" w:line="360" w:lineRule="auto"/>
              <w:rPr>
                <w:rFonts w:hint="eastAsia" w:ascii="宋体" w:hAnsi="宋体" w:cs="宋体"/>
                <w:color w:val="auto"/>
                <w:szCs w:val="21"/>
                <w:highlight w:val="none"/>
                <w:shd w:val="clear" w:color="auto" w:fill="000000"/>
                <w:lang w:eastAsia="zh-CN"/>
              </w:rPr>
            </w:pPr>
            <w:r>
              <w:rPr>
                <w:rFonts w:hint="eastAsia" w:ascii="宋体" w:hAnsi="宋体" w:cs="宋体"/>
                <w:color w:val="auto"/>
                <w:szCs w:val="21"/>
                <w:highlight w:val="none"/>
                <w:lang w:eastAsia="zh-CN"/>
              </w:rPr>
              <w:t>交付时间：</w:t>
            </w:r>
            <w:r>
              <w:rPr>
                <w:rFonts w:hint="eastAsia" w:ascii="宋体" w:hAnsi="宋体" w:cs="宋体"/>
                <w:color w:val="auto"/>
                <w:szCs w:val="21"/>
                <w:highlight w:val="none"/>
              </w:rPr>
              <w:t>自签订合同之日起</w:t>
            </w:r>
            <w:r>
              <w:rPr>
                <w:rFonts w:hint="eastAsia" w:ascii="宋体" w:hAnsi="宋体" w:cs="宋体"/>
                <w:color w:val="auto"/>
                <w:szCs w:val="21"/>
                <w:highlight w:val="none"/>
                <w:u w:val="single"/>
                <w:lang w:val="en-US" w:eastAsia="zh-CN"/>
              </w:rPr>
              <w:t xml:space="preserve"> 一年</w:t>
            </w:r>
            <w:r>
              <w:rPr>
                <w:rFonts w:hint="eastAsia" w:ascii="宋体" w:hAnsi="宋体" w:cs="宋体"/>
                <w:color w:val="auto"/>
                <w:szCs w:val="21"/>
                <w:highlight w:val="none"/>
                <w:u w:val="none"/>
              </w:rPr>
              <w:t>内</w:t>
            </w:r>
            <w:r>
              <w:rPr>
                <w:rFonts w:hint="eastAsia" w:ascii="宋体" w:hAnsi="宋体" w:cs="宋体"/>
                <w:color w:val="auto"/>
                <w:szCs w:val="21"/>
                <w:highlight w:val="none"/>
                <w:lang w:eastAsia="zh-CN"/>
              </w:rPr>
              <w:t>供货</w:t>
            </w:r>
            <w:r>
              <w:rPr>
                <w:rFonts w:hint="eastAsia" w:ascii="宋体" w:hAnsi="宋体" w:cs="宋体"/>
                <w:color w:val="auto"/>
                <w:szCs w:val="21"/>
                <w:highlight w:val="none"/>
              </w:rPr>
              <w:t>完毕</w:t>
            </w:r>
            <w:r>
              <w:rPr>
                <w:rFonts w:hint="eastAsia" w:ascii="宋体" w:hAnsi="宋体" w:cs="宋体"/>
                <w:color w:val="auto"/>
                <w:spacing w:val="6"/>
                <w:sz w:val="20"/>
                <w:szCs w:val="20"/>
                <w:highlight w:val="none"/>
                <w:lang w:eastAsia="zh-CN"/>
              </w:rPr>
              <w:t>。</w:t>
            </w:r>
            <w:r>
              <w:rPr>
                <w:rFonts w:hint="eastAsia" w:ascii="宋体" w:hAnsi="宋体" w:cs="宋体"/>
                <w:color w:val="auto"/>
                <w:szCs w:val="21"/>
                <w:highlight w:val="none"/>
                <w:lang w:val="en-US" w:eastAsia="zh-CN"/>
              </w:rPr>
              <w:t xml:space="preserve"> </w:t>
            </w:r>
          </w:p>
          <w:p w14:paraId="6B2DFBF5">
            <w:pPr>
              <w:spacing w:line="360" w:lineRule="auto"/>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color w:val="auto"/>
                <w:szCs w:val="21"/>
                <w:highlight w:val="none"/>
              </w:rPr>
              <w:t>地点：采购人指定地点。</w:t>
            </w:r>
          </w:p>
        </w:tc>
      </w:tr>
      <w:tr w14:paraId="6E9A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dxa"/>
            <w:gridSpan w:val="4"/>
            <w:noWrap w:val="0"/>
            <w:vAlign w:val="center"/>
          </w:tcPr>
          <w:p w14:paraId="1B85BB50">
            <w:pPr>
              <w:spacing w:line="360" w:lineRule="auto"/>
              <w:jc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olor w:val="auto"/>
                <w:szCs w:val="21"/>
                <w:highlight w:val="none"/>
              </w:rPr>
              <w:t>合同签订时间</w:t>
            </w:r>
          </w:p>
        </w:tc>
        <w:tc>
          <w:tcPr>
            <w:tcW w:w="6667" w:type="dxa"/>
            <w:gridSpan w:val="3"/>
            <w:noWrap w:val="0"/>
            <w:vAlign w:val="center"/>
          </w:tcPr>
          <w:p w14:paraId="0F8ECB18">
            <w:pPr>
              <w:spacing w:line="360" w:lineRule="auto"/>
              <w:rPr>
                <w:rFonts w:hint="eastAsia" w:ascii="宋体" w:hAnsi="宋体" w:eastAsia="宋体" w:cs="宋体"/>
                <w:i w:val="0"/>
                <w:iCs w:val="0"/>
                <w:color w:val="000000"/>
                <w:kern w:val="0"/>
                <w:sz w:val="20"/>
                <w:szCs w:val="20"/>
                <w:u w:val="none"/>
                <w:lang w:val="en-US" w:eastAsia="zh-CN" w:bidi="ar"/>
              </w:rPr>
            </w:pPr>
            <w:r>
              <w:rPr>
                <w:rFonts w:hint="eastAsia" w:ascii="宋体" w:hAnsi="宋体"/>
                <w:color w:val="auto"/>
                <w:szCs w:val="21"/>
                <w:highlight w:val="none"/>
              </w:rPr>
              <w:t>自成交通知书发出之日起15日内签订，因不可抗力原因延迟签订合同的，自不可抗力事由消除之日起5个工作日内完成合同签订事宜。</w:t>
            </w:r>
          </w:p>
        </w:tc>
      </w:tr>
      <w:tr w14:paraId="0023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dxa"/>
            <w:gridSpan w:val="4"/>
            <w:noWrap w:val="0"/>
            <w:vAlign w:val="center"/>
          </w:tcPr>
          <w:p w14:paraId="465262C4">
            <w:pPr>
              <w:spacing w:line="360" w:lineRule="auto"/>
              <w:jc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b w:val="0"/>
                <w:bCs w:val="0"/>
                <w:color w:val="auto"/>
                <w:szCs w:val="21"/>
                <w:highlight w:val="none"/>
              </w:rPr>
              <w:t>付款</w:t>
            </w:r>
            <w:r>
              <w:rPr>
                <w:rFonts w:hint="eastAsia" w:ascii="宋体" w:hAnsi="宋体"/>
                <w:b w:val="0"/>
                <w:bCs w:val="0"/>
                <w:color w:val="auto"/>
                <w:szCs w:val="21"/>
                <w:highlight w:val="none"/>
                <w:lang w:eastAsia="zh-CN"/>
              </w:rPr>
              <w:t>方式</w:t>
            </w:r>
          </w:p>
        </w:tc>
        <w:tc>
          <w:tcPr>
            <w:tcW w:w="6667" w:type="dxa"/>
            <w:gridSpan w:val="3"/>
            <w:noWrap w:val="0"/>
            <w:vAlign w:val="center"/>
          </w:tcPr>
          <w:p w14:paraId="17637179">
            <w:pPr>
              <w:spacing w:line="360" w:lineRule="auto"/>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olor w:val="auto"/>
                <w:szCs w:val="21"/>
                <w:highlight w:val="none"/>
                <w:lang w:val="en-US" w:eastAsia="zh-CN"/>
              </w:rPr>
              <w:t>本项目无预付款，</w:t>
            </w:r>
            <w:r>
              <w:rPr>
                <w:rFonts w:hint="eastAsia" w:ascii="宋体" w:hAnsi="宋体"/>
                <w:color w:val="auto"/>
                <w:szCs w:val="21"/>
                <w:highlight w:val="none"/>
              </w:rPr>
              <w:t>合同签订后</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待成交供应商</w:t>
            </w:r>
            <w:r>
              <w:rPr>
                <w:rFonts w:hint="eastAsia" w:ascii="宋体" w:hAnsi="宋体"/>
                <w:color w:val="auto"/>
                <w:kern w:val="0"/>
                <w:szCs w:val="21"/>
                <w:highlight w:val="none"/>
                <w:lang w:val="en-US" w:eastAsia="zh-CN"/>
              </w:rPr>
              <w:t>按要求交付所有货物</w:t>
            </w:r>
            <w:r>
              <w:rPr>
                <w:rFonts w:hint="eastAsia" w:ascii="宋体" w:hAnsi="宋体"/>
                <w:color w:val="auto"/>
                <w:kern w:val="0"/>
                <w:szCs w:val="21"/>
                <w:highlight w:val="none"/>
                <w:lang w:eastAsia="zh-CN"/>
              </w:rPr>
              <w:t>并经</w:t>
            </w:r>
            <w:r>
              <w:rPr>
                <w:rFonts w:hint="eastAsia" w:ascii="宋体" w:hAnsi="宋体"/>
                <w:color w:val="auto"/>
                <w:kern w:val="0"/>
                <w:szCs w:val="21"/>
                <w:highlight w:val="none"/>
              </w:rPr>
              <w:t>验收合格</w:t>
            </w:r>
            <w:r>
              <w:rPr>
                <w:rFonts w:hint="eastAsia" w:ascii="宋体" w:hAnsi="宋体"/>
                <w:color w:val="auto"/>
                <w:kern w:val="0"/>
                <w:szCs w:val="21"/>
                <w:highlight w:val="none"/>
                <w:lang w:eastAsia="zh-CN"/>
              </w:rPr>
              <w:t>后，</w:t>
            </w:r>
            <w:r>
              <w:rPr>
                <w:rFonts w:hint="eastAsia" w:ascii="宋体" w:hAnsi="宋体" w:eastAsia="宋体" w:cs="宋体"/>
                <w:color w:val="auto"/>
                <w:spacing w:val="8"/>
                <w:highlight w:val="none"/>
                <w:lang w:eastAsia="zh-CN"/>
              </w:rPr>
              <w:t>采购人</w:t>
            </w:r>
            <w:r>
              <w:rPr>
                <w:rFonts w:hint="eastAsia" w:ascii="宋体" w:hAnsi="宋体" w:eastAsia="宋体" w:cs="宋体"/>
                <w:color w:val="auto"/>
                <w:spacing w:val="8"/>
                <w:highlight w:val="none"/>
                <w:lang w:val="en-US" w:eastAsia="zh-CN"/>
              </w:rPr>
              <w:t>在收到</w:t>
            </w:r>
            <w:r>
              <w:rPr>
                <w:rFonts w:hint="eastAsia" w:ascii="宋体" w:hAnsi="宋体" w:eastAsia="宋体" w:cs="宋体"/>
                <w:color w:val="auto"/>
                <w:spacing w:val="8"/>
                <w:highlight w:val="none"/>
                <w:lang w:eastAsia="zh-CN"/>
              </w:rPr>
              <w:t>成交供应商</w:t>
            </w:r>
            <w:r>
              <w:rPr>
                <w:rFonts w:hint="eastAsia" w:ascii="宋体" w:hAnsi="宋体" w:eastAsia="宋体" w:cs="宋体"/>
                <w:color w:val="auto"/>
                <w:spacing w:val="8"/>
                <w:highlight w:val="none"/>
                <w:lang w:val="en-US" w:eastAsia="zh-CN"/>
              </w:rPr>
              <w:t>开具的合法有效的</w:t>
            </w:r>
            <w:r>
              <w:rPr>
                <w:rFonts w:hint="eastAsia" w:ascii="宋体" w:hAnsi="宋体" w:eastAsia="宋体" w:cs="宋体"/>
                <w:color w:val="auto"/>
                <w:spacing w:val="8"/>
                <w:highlight w:val="none"/>
                <w:lang w:eastAsia="zh-CN"/>
              </w:rPr>
              <w:t>增值税发票之日起</w:t>
            </w:r>
            <w:r>
              <w:rPr>
                <w:rFonts w:hint="eastAsia" w:ascii="宋体" w:hAnsi="宋体" w:eastAsia="宋体" w:cs="宋体"/>
                <w:color w:val="auto"/>
                <w:spacing w:val="8"/>
                <w:highlight w:val="none"/>
                <w:lang w:val="en-US" w:eastAsia="zh-CN"/>
              </w:rPr>
              <w:t>15</w:t>
            </w:r>
            <w:r>
              <w:rPr>
                <w:rFonts w:hint="eastAsia" w:ascii="宋体" w:hAnsi="宋体" w:eastAsia="宋体" w:cs="宋体"/>
                <w:color w:val="auto"/>
                <w:spacing w:val="8"/>
                <w:highlight w:val="none"/>
                <w:lang w:eastAsia="zh-CN"/>
              </w:rPr>
              <w:t>日内</w:t>
            </w:r>
            <w:r>
              <w:rPr>
                <w:rFonts w:hint="eastAsia" w:ascii="宋体" w:hAnsi="宋体"/>
                <w:color w:val="auto"/>
                <w:kern w:val="0"/>
                <w:szCs w:val="21"/>
                <w:highlight w:val="none"/>
                <w:lang w:val="en-US" w:eastAsia="zh-CN"/>
              </w:rPr>
              <w:t>一次性付清合同价款。</w:t>
            </w:r>
          </w:p>
        </w:tc>
      </w:tr>
      <w:tr w14:paraId="11260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dxa"/>
            <w:gridSpan w:val="4"/>
            <w:noWrap w:val="0"/>
            <w:vAlign w:val="center"/>
          </w:tcPr>
          <w:p w14:paraId="6BBAB667">
            <w:pPr>
              <w:spacing w:line="360" w:lineRule="auto"/>
              <w:jc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val="0"/>
                <w:bCs w:val="0"/>
                <w:color w:val="auto"/>
                <w:spacing w:val="-2"/>
                <w:sz w:val="21"/>
                <w:szCs w:val="21"/>
                <w:highlight w:val="none"/>
              </w:rPr>
              <w:t>验收标</w:t>
            </w:r>
            <w:r>
              <w:rPr>
                <w:rFonts w:hint="eastAsia" w:ascii="宋体" w:hAnsi="宋体" w:eastAsia="宋体" w:cs="宋体"/>
                <w:b w:val="0"/>
                <w:bCs w:val="0"/>
                <w:color w:val="auto"/>
                <w:spacing w:val="-2"/>
                <w:sz w:val="21"/>
                <w:szCs w:val="21"/>
                <w:highlight w:val="none"/>
                <w:lang w:eastAsia="zh-CN"/>
              </w:rPr>
              <w:t>准</w:t>
            </w:r>
          </w:p>
        </w:tc>
        <w:tc>
          <w:tcPr>
            <w:tcW w:w="6667" w:type="dxa"/>
            <w:gridSpan w:val="3"/>
            <w:noWrap w:val="0"/>
            <w:vAlign w:val="center"/>
          </w:tcPr>
          <w:p w14:paraId="5ECC2115">
            <w:pPr>
              <w:numPr>
                <w:ilvl w:val="0"/>
                <w:numId w:val="0"/>
              </w:numPr>
              <w:snapToGrid w:val="0"/>
              <w:spacing w:line="360" w:lineRule="auto"/>
              <w:ind w:left="0" w:leftChars="0"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供货验收时，要求供应产品须符合谈判文件的要求，供货时出示对应产品的出厂合格证，第三方检验合格报告或其他相关证明等文件材料，按采购文件要求、响应文件的响应标准验收；验收包括数量、规格、外观、质量、性能等，所供货物应符合其规定的性能或满足其参数要求。</w:t>
            </w:r>
          </w:p>
          <w:p w14:paraId="3839605B">
            <w:pPr>
              <w:pStyle w:val="62"/>
              <w:numPr>
                <w:ilvl w:val="0"/>
                <w:numId w:val="0"/>
              </w:numPr>
              <w:spacing w:before="128" w:line="360" w:lineRule="auto"/>
              <w:ind w:left="0" w:leftChars="0"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交付的所有货物应无瑕疵和缺陷，同时外包装印有明确的制造厂商及执行标准。交货时必须原包装拆封验收合格，采购人如对质量有异议，可邀请第三方检测机构参与验收，验收费用由成交供应商承担，经检验后不符合验收条件的，责令三日内对货物做出调整，调整过后仍达不到验收条件的，采购人将上报同级财政监管管理部门对供应商依法处理，取消成交资格，并追究相关违约责任，由此造成的一切损失及法律责任由成交供应商自行承担。</w:t>
            </w:r>
          </w:p>
          <w:p w14:paraId="7D640E2B">
            <w:pPr>
              <w:pStyle w:val="62"/>
              <w:numPr>
                <w:ilvl w:val="0"/>
                <w:numId w:val="0"/>
              </w:numPr>
              <w:spacing w:before="128" w:line="360" w:lineRule="auto"/>
              <w:ind w:left="0" w:leftChars="0" w:firstLine="0" w:firstLineChars="0"/>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color w:val="auto"/>
                <w:spacing w:val="-3"/>
                <w:sz w:val="21"/>
                <w:szCs w:val="21"/>
                <w:highlight w:val="none"/>
                <w:lang w:val="en-US" w:eastAsia="zh-CN"/>
              </w:rPr>
              <w:t>3、</w:t>
            </w:r>
            <w:r>
              <w:rPr>
                <w:rFonts w:hint="eastAsia" w:ascii="宋体" w:hAnsi="宋体" w:eastAsia="宋体" w:cs="宋体"/>
                <w:color w:val="auto"/>
                <w:spacing w:val="-3"/>
                <w:sz w:val="21"/>
                <w:szCs w:val="21"/>
                <w:highlight w:val="none"/>
              </w:rPr>
              <w:t xml:space="preserve">其他未尽事宜应严格按照《关于印发广西壮族自治区政府采购项目履约验收管理办法的通知》[桂财采〔2015〕22 号]以及《财政部关于进一步加强政府采购需求和履约验收管理的指导意见》[财库〔2016〕205 号]规定执行。 </w:t>
            </w:r>
          </w:p>
        </w:tc>
      </w:tr>
      <w:tr w14:paraId="2ABA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dxa"/>
            <w:gridSpan w:val="4"/>
            <w:noWrap w:val="0"/>
            <w:vAlign w:val="center"/>
          </w:tcPr>
          <w:p w14:paraId="7961ACFA">
            <w:pPr>
              <w:spacing w:line="360" w:lineRule="auto"/>
              <w:jc w:val="center"/>
              <w:rPr>
                <w:rFonts w:hint="eastAsia" w:ascii="宋体" w:hAnsi="宋体" w:eastAsia="宋体" w:cs="宋体"/>
                <w:i w:val="0"/>
                <w:iCs w:val="0"/>
                <w:color w:val="000000"/>
                <w:kern w:val="0"/>
                <w:sz w:val="20"/>
                <w:szCs w:val="20"/>
                <w:u w:val="none"/>
                <w:lang w:val="en-US" w:eastAsia="zh-CN" w:bidi="ar"/>
              </w:rPr>
            </w:pPr>
            <w:r>
              <w:rPr>
                <w:rFonts w:hint="eastAsia"/>
                <w:color w:val="auto"/>
                <w:highlight w:val="none"/>
              </w:rPr>
              <w:t>售后服务要求</w:t>
            </w:r>
          </w:p>
        </w:tc>
        <w:tc>
          <w:tcPr>
            <w:tcW w:w="6667" w:type="dxa"/>
            <w:gridSpan w:val="3"/>
            <w:noWrap w:val="0"/>
            <w:vAlign w:val="center"/>
          </w:tcPr>
          <w:p w14:paraId="2D5B540C">
            <w:pPr>
              <w:numPr>
                <w:ilvl w:val="0"/>
                <w:numId w:val="12"/>
              </w:numPr>
              <w:snapToGrid w:val="0"/>
              <w:spacing w:line="360" w:lineRule="auto"/>
              <w:ind w:left="0" w:leftChars="0" w:firstLine="0" w:firstLineChars="0"/>
              <w:rPr>
                <w:rFonts w:hint="default"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bidi="ar"/>
              </w:rPr>
              <w:t>质量保证期：</w:t>
            </w: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val="en-US" w:eastAsia="zh-CN" w:bidi="ar"/>
              </w:rPr>
              <w:t>1</w:t>
            </w: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bidi="ar"/>
              </w:rPr>
              <w:t>供应商应明确承诺：技术参数要求表中如无特别要求，则质保期为自验收合格之日起一年，技术参数要求表中有特别要求的则以技术参数要求表为准。</w:t>
            </w: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bidi="ar"/>
              </w:rPr>
              <w:t>2</w:t>
            </w: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bidi="ar"/>
              </w:rPr>
              <w:t>属于国家规定“三包”范围的，其质量保证期按国家规定的厂家承诺实行“三包”规定。</w:t>
            </w:r>
            <w:r>
              <w:rPr>
                <w:rFonts w:hint="eastAsia" w:ascii="宋体" w:hAnsi="宋体" w:cs="宋体"/>
                <w:color w:val="auto"/>
                <w:kern w:val="0"/>
                <w:szCs w:val="21"/>
                <w:highlight w:val="none"/>
                <w:lang w:eastAsia="zh-CN" w:bidi="ar"/>
              </w:rPr>
              <w:t>成交供应商</w:t>
            </w:r>
            <w:r>
              <w:rPr>
                <w:rFonts w:hint="eastAsia" w:ascii="宋体" w:hAnsi="宋体" w:cs="宋体"/>
                <w:color w:val="auto"/>
                <w:kern w:val="0"/>
                <w:szCs w:val="21"/>
                <w:highlight w:val="none"/>
                <w:lang w:bidi="ar"/>
              </w:rPr>
              <w:t>承诺质量保证期优于国家“三包”规定的，或优于</w:t>
            </w:r>
            <w:r>
              <w:rPr>
                <w:rFonts w:hint="eastAsia" w:ascii="宋体" w:hAnsi="宋体" w:cs="宋体"/>
                <w:color w:val="auto"/>
                <w:kern w:val="0"/>
                <w:szCs w:val="21"/>
                <w:highlight w:val="none"/>
                <w:lang w:eastAsia="zh-CN" w:bidi="ar"/>
              </w:rPr>
              <w:t>谈判</w:t>
            </w:r>
            <w:r>
              <w:rPr>
                <w:rFonts w:hint="eastAsia" w:ascii="宋体" w:hAnsi="宋体" w:cs="宋体"/>
                <w:color w:val="auto"/>
                <w:kern w:val="0"/>
                <w:szCs w:val="21"/>
                <w:highlight w:val="none"/>
                <w:lang w:bidi="ar"/>
              </w:rPr>
              <w:t>文件规定的，按中标人实际承诺执行。</w:t>
            </w:r>
          </w:p>
          <w:p w14:paraId="79F2EFC6">
            <w:pPr>
              <w:numPr>
                <w:ilvl w:val="0"/>
                <w:numId w:val="12"/>
              </w:numPr>
              <w:snapToGrid w:val="0"/>
              <w:spacing w:line="360" w:lineRule="auto"/>
              <w:ind w:left="0" w:leftChars="0" w:firstLine="0" w:firstLineChars="0"/>
              <w:rPr>
                <w:rFonts w:hint="default"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bidi="ar"/>
              </w:rPr>
              <w:t>保证质量，如发现任何质量问题，一律无条件退换</w:t>
            </w: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bidi="ar"/>
              </w:rPr>
              <w:t>交货时须保证产品必须</w:t>
            </w:r>
            <w:r>
              <w:rPr>
                <w:rFonts w:hint="eastAsia" w:ascii="宋体" w:hAnsi="宋体" w:cs="宋体"/>
                <w:color w:val="auto"/>
                <w:kern w:val="0"/>
                <w:szCs w:val="21"/>
                <w:highlight w:val="none"/>
                <w:lang w:eastAsia="zh-CN" w:bidi="ar"/>
              </w:rPr>
              <w:t>是全新、</w:t>
            </w:r>
            <w:r>
              <w:rPr>
                <w:rFonts w:hint="eastAsia" w:ascii="宋体" w:hAnsi="宋体" w:cs="宋体"/>
                <w:color w:val="auto"/>
                <w:kern w:val="0"/>
                <w:szCs w:val="21"/>
                <w:highlight w:val="none"/>
                <w:lang w:bidi="ar"/>
              </w:rPr>
              <w:t>完好无损，</w:t>
            </w:r>
            <w:r>
              <w:rPr>
                <w:rFonts w:hint="eastAsia" w:ascii="宋体" w:hAnsi="宋体"/>
                <w:color w:val="auto"/>
                <w:szCs w:val="21"/>
                <w:highlight w:val="none"/>
                <w:lang w:val="en-US" w:eastAsia="zh-CN"/>
              </w:rPr>
              <w:t>若产品在运输及安装过程中损坏须无偿调换同样产品，期间发生的费用由供应商负责。</w:t>
            </w:r>
          </w:p>
          <w:p w14:paraId="2DE31739">
            <w:pPr>
              <w:numPr>
                <w:ilvl w:val="0"/>
                <w:numId w:val="12"/>
              </w:numPr>
              <w:snapToGrid w:val="0"/>
              <w:spacing w:line="360" w:lineRule="auto"/>
              <w:ind w:left="0" w:leftChars="0" w:firstLine="0" w:firstLineChars="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货物交货后，如发现型号不对、质量等问题，成交供应商应</w:t>
            </w:r>
            <w:r>
              <w:rPr>
                <w:rFonts w:hint="eastAsia" w:ascii="宋体" w:hAnsi="宋体" w:cs="宋体"/>
                <w:color w:val="auto"/>
                <w:kern w:val="0"/>
                <w:szCs w:val="21"/>
                <w:highlight w:val="none"/>
                <w:lang w:eastAsia="zh-CN" w:bidi="ar"/>
              </w:rPr>
              <w:t>承诺</w:t>
            </w:r>
            <w:r>
              <w:rPr>
                <w:rFonts w:hint="eastAsia" w:ascii="宋体" w:hAnsi="宋体" w:cs="宋体"/>
                <w:color w:val="auto"/>
                <w:kern w:val="0"/>
                <w:szCs w:val="21"/>
                <w:highlight w:val="none"/>
                <w:lang w:bidi="ar"/>
              </w:rPr>
              <w:t>按照采购人的要求</w:t>
            </w:r>
            <w:r>
              <w:rPr>
                <w:rFonts w:hint="eastAsia" w:ascii="宋体" w:hAnsi="宋体" w:cs="宋体"/>
                <w:color w:val="auto"/>
                <w:kern w:val="0"/>
                <w:szCs w:val="21"/>
                <w:highlight w:val="none"/>
                <w:lang w:val="en-US" w:eastAsia="zh-CN" w:bidi="ar"/>
              </w:rPr>
              <w:t>24小时</w:t>
            </w:r>
            <w:r>
              <w:rPr>
                <w:rFonts w:hint="eastAsia" w:ascii="宋体" w:hAnsi="宋体" w:cs="宋体"/>
                <w:color w:val="auto"/>
                <w:kern w:val="0"/>
                <w:szCs w:val="21"/>
                <w:highlight w:val="none"/>
                <w:lang w:bidi="ar"/>
              </w:rPr>
              <w:t>内进行修改或调换。</w:t>
            </w:r>
          </w:p>
          <w:p w14:paraId="77B30346">
            <w:pPr>
              <w:numPr>
                <w:ilvl w:val="0"/>
                <w:numId w:val="12"/>
              </w:numPr>
              <w:snapToGrid w:val="0"/>
              <w:spacing w:line="360" w:lineRule="auto"/>
              <w:ind w:left="0" w:leftChars="0" w:firstLine="0" w:firstLineChars="0"/>
              <w:rPr>
                <w:rFonts w:hint="eastAsia" w:ascii="宋体" w:hAnsi="宋体" w:eastAsia="宋体" w:cs="宋体"/>
                <w:i w:val="0"/>
                <w:iCs w:val="0"/>
                <w:color w:val="000000"/>
                <w:kern w:val="0"/>
                <w:sz w:val="20"/>
                <w:szCs w:val="20"/>
                <w:u w:val="none"/>
                <w:lang w:val="en-US" w:eastAsia="zh-CN" w:bidi="ar"/>
              </w:rPr>
            </w:pPr>
            <w:r>
              <w:rPr>
                <w:rFonts w:hint="eastAsia" w:ascii="宋体" w:hAnsi="宋体"/>
                <w:color w:val="auto"/>
                <w:kern w:val="0"/>
                <w:szCs w:val="21"/>
                <w:highlight w:val="none"/>
                <w:lang w:eastAsia="zh-CN"/>
              </w:rPr>
              <w:t>如有需要，成交供应商应在</w:t>
            </w:r>
            <w:r>
              <w:rPr>
                <w:color w:val="auto"/>
                <w:spacing w:val="1"/>
                <w:highlight w:val="none"/>
              </w:rPr>
              <w:t>用户使用地免费培训操作人员掌握设备操作及日常维护</w:t>
            </w:r>
            <w:r>
              <w:rPr>
                <w:rFonts w:hint="eastAsia"/>
                <w:color w:val="auto"/>
                <w:spacing w:val="2"/>
                <w:highlight w:val="none"/>
                <w:lang w:eastAsia="zh-CN"/>
              </w:rPr>
              <w:t>并</w:t>
            </w:r>
            <w:r>
              <w:rPr>
                <w:color w:val="auto"/>
                <w:spacing w:val="2"/>
                <w:highlight w:val="none"/>
              </w:rPr>
              <w:t>提供</w:t>
            </w:r>
            <w:r>
              <w:rPr>
                <w:rFonts w:hint="eastAsia"/>
                <w:color w:val="auto"/>
                <w:spacing w:val="2"/>
                <w:highlight w:val="none"/>
                <w:lang w:eastAsia="zh-CN"/>
              </w:rPr>
              <w:t>货物相关</w:t>
            </w:r>
            <w:r>
              <w:rPr>
                <w:color w:val="auto"/>
                <w:spacing w:val="2"/>
                <w:highlight w:val="none"/>
              </w:rPr>
              <w:t>技术资料</w:t>
            </w:r>
            <w:r>
              <w:rPr>
                <w:rFonts w:hint="eastAsia"/>
                <w:color w:val="auto"/>
                <w:spacing w:val="2"/>
                <w:highlight w:val="none"/>
                <w:lang w:eastAsia="zh-CN"/>
              </w:rPr>
              <w:t>（如</w:t>
            </w:r>
            <w:r>
              <w:rPr>
                <w:color w:val="auto"/>
                <w:spacing w:val="2"/>
                <w:highlight w:val="none"/>
              </w:rPr>
              <w:t>技术规格和指标</w:t>
            </w:r>
            <w:r>
              <w:rPr>
                <w:rFonts w:hint="eastAsia"/>
                <w:color w:val="auto"/>
                <w:spacing w:val="2"/>
                <w:highlight w:val="none"/>
                <w:lang w:eastAsia="zh-CN"/>
              </w:rPr>
              <w:t>、</w:t>
            </w:r>
            <w:r>
              <w:rPr>
                <w:color w:val="auto"/>
                <w:spacing w:val="2"/>
                <w:highlight w:val="none"/>
              </w:rPr>
              <w:t>各部件型号和参数清单</w:t>
            </w:r>
            <w:r>
              <w:rPr>
                <w:rFonts w:hint="eastAsia"/>
                <w:color w:val="auto"/>
                <w:spacing w:val="2"/>
                <w:highlight w:val="none"/>
                <w:lang w:eastAsia="zh-CN"/>
              </w:rPr>
              <w:t>、</w:t>
            </w:r>
            <w:r>
              <w:rPr>
                <w:color w:val="auto"/>
                <w:spacing w:val="2"/>
                <w:highlight w:val="none"/>
              </w:rPr>
              <w:t>操作使用说明手册</w:t>
            </w:r>
            <w:r>
              <w:rPr>
                <w:rFonts w:hint="eastAsia"/>
                <w:color w:val="auto"/>
                <w:spacing w:val="-4"/>
                <w:highlight w:val="none"/>
                <w:lang w:eastAsia="zh-CN"/>
              </w:rPr>
              <w:t>等）。</w:t>
            </w:r>
          </w:p>
        </w:tc>
      </w:tr>
      <w:tr w14:paraId="6B18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dxa"/>
            <w:gridSpan w:val="4"/>
            <w:noWrap w:val="0"/>
            <w:vAlign w:val="center"/>
          </w:tcPr>
          <w:p w14:paraId="0EAA3FCC">
            <w:pPr>
              <w:spacing w:line="360" w:lineRule="auto"/>
              <w:jc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olor w:val="auto"/>
                <w:kern w:val="0"/>
                <w:szCs w:val="21"/>
                <w:highlight w:val="none"/>
              </w:rPr>
              <w:t>报价要求</w:t>
            </w:r>
          </w:p>
        </w:tc>
        <w:tc>
          <w:tcPr>
            <w:tcW w:w="6667" w:type="dxa"/>
            <w:gridSpan w:val="3"/>
            <w:noWrap w:val="0"/>
            <w:vAlign w:val="center"/>
          </w:tcPr>
          <w:p w14:paraId="38530636">
            <w:pPr>
              <w:widowControl/>
              <w:numPr>
                <w:ilvl w:val="0"/>
                <w:numId w:val="0"/>
              </w:numPr>
              <w:spacing w:line="360" w:lineRule="auto"/>
              <w:rPr>
                <w:rFonts w:hint="eastAsia" w:ascii="宋体" w:hAnsi="宋体"/>
                <w:color w:val="auto"/>
                <w:kern w:val="0"/>
                <w:szCs w:val="21"/>
                <w:highlight w:val="none"/>
              </w:rPr>
            </w:pPr>
            <w:r>
              <w:rPr>
                <w:rFonts w:hint="eastAsia" w:ascii="宋体" w:hAnsi="宋体"/>
                <w:color w:val="auto"/>
                <w:kern w:val="0"/>
                <w:szCs w:val="21"/>
                <w:highlight w:val="none"/>
                <w:lang w:val="en-US" w:eastAsia="zh-CN"/>
              </w:rPr>
              <w:t>1、</w:t>
            </w:r>
            <w:r>
              <w:rPr>
                <w:rFonts w:hint="eastAsia" w:ascii="宋体" w:hAnsi="宋体"/>
                <w:color w:val="auto"/>
                <w:kern w:val="0"/>
                <w:szCs w:val="21"/>
                <w:highlight w:val="none"/>
              </w:rPr>
              <w:t>竞标报价包含设备、随配附件、备品备件、辅助材料、工具、运抵指定交货地点、保险、现场安装调试</w:t>
            </w:r>
            <w:r>
              <w:rPr>
                <w:rFonts w:hint="eastAsia" w:ascii="宋体" w:hAnsi="宋体"/>
                <w:color w:val="auto"/>
                <w:kern w:val="0"/>
                <w:szCs w:val="21"/>
                <w:highlight w:val="none"/>
                <w:lang w:eastAsia="zh-CN"/>
              </w:rPr>
              <w:t>（</w:t>
            </w:r>
            <w:r>
              <w:rPr>
                <w:rFonts w:hint="eastAsia" w:ascii="宋体" w:hAnsi="宋体"/>
                <w:color w:val="auto"/>
                <w:kern w:val="0"/>
                <w:szCs w:val="21"/>
                <w:highlight w:val="none"/>
                <w:lang w:val="en-US" w:eastAsia="zh-CN"/>
              </w:rPr>
              <w:t>如有）</w:t>
            </w:r>
            <w:r>
              <w:rPr>
                <w:rFonts w:hint="eastAsia" w:ascii="宋体" w:hAnsi="宋体"/>
                <w:color w:val="auto"/>
                <w:kern w:val="0"/>
                <w:szCs w:val="21"/>
                <w:highlight w:val="none"/>
              </w:rPr>
              <w:t>及验收、售后服务、培训费、人工费、税金、产品检测费、产品质保期内维护等及其他所有成本费用的总和，合同履行过程中，采购人不再支付合同以外的其他费用。</w:t>
            </w:r>
          </w:p>
          <w:p w14:paraId="32FEBCEF">
            <w:pPr>
              <w:widowControl/>
              <w:numPr>
                <w:ilvl w:val="0"/>
                <w:numId w:val="0"/>
              </w:numPr>
              <w:spacing w:line="360" w:lineRule="auto"/>
              <w:ind w:left="0" w:leftChars="0" w:firstLine="0" w:firstLineChars="0"/>
              <w:rPr>
                <w:rFonts w:hint="eastAsia" w:ascii="宋体" w:hAnsi="宋体" w:eastAsia="宋体" w:cs="宋体"/>
                <w:i w:val="0"/>
                <w:iCs w:val="0"/>
                <w:color w:val="000000"/>
                <w:kern w:val="0"/>
                <w:sz w:val="20"/>
                <w:szCs w:val="20"/>
                <w:u w:val="none"/>
                <w:lang w:val="en-US" w:eastAsia="zh-CN" w:bidi="ar"/>
              </w:rPr>
            </w:pPr>
            <w:r>
              <w:rPr>
                <w:rFonts w:hint="eastAsia" w:ascii="宋体" w:hAnsi="宋体"/>
                <w:b/>
                <w:bCs/>
                <w:color w:val="auto"/>
                <w:kern w:val="0"/>
                <w:szCs w:val="21"/>
                <w:highlight w:val="none"/>
                <w:lang w:val="en-US" w:eastAsia="zh-CN"/>
              </w:rPr>
              <w:t>2、</w:t>
            </w:r>
            <w:r>
              <w:rPr>
                <w:rFonts w:hint="eastAsia" w:ascii="宋体" w:hAnsi="宋体"/>
                <w:b/>
                <w:bCs/>
                <w:color w:val="auto"/>
                <w:kern w:val="0"/>
                <w:szCs w:val="21"/>
                <w:highlight w:val="none"/>
                <w:lang w:eastAsia="zh-CN"/>
              </w:rPr>
              <w:t>供应商的单项报价不得超过控制单价，否则响应文件按无效处理。</w:t>
            </w:r>
          </w:p>
        </w:tc>
      </w:tr>
      <w:tr w14:paraId="5DA3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dxa"/>
            <w:gridSpan w:val="4"/>
            <w:noWrap w:val="0"/>
            <w:vAlign w:val="center"/>
          </w:tcPr>
          <w:p w14:paraId="017AA312">
            <w:pPr>
              <w:spacing w:line="360" w:lineRule="auto"/>
              <w:jc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olor w:val="auto"/>
                <w:szCs w:val="21"/>
                <w:highlight w:val="none"/>
              </w:rPr>
              <w:t>其它</w:t>
            </w:r>
          </w:p>
        </w:tc>
        <w:tc>
          <w:tcPr>
            <w:tcW w:w="6667" w:type="dxa"/>
            <w:gridSpan w:val="3"/>
            <w:noWrap w:val="0"/>
            <w:vAlign w:val="center"/>
          </w:tcPr>
          <w:p w14:paraId="12FAB04B">
            <w:pPr>
              <w:numPr>
                <w:ilvl w:val="0"/>
                <w:numId w:val="0"/>
              </w:numPr>
              <w:snapToGrid w:val="0"/>
              <w:spacing w:line="360" w:lineRule="auto"/>
              <w:ind w:left="0" w:leftChars="0"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1、成交供应商所提供的货物达不到验收标准或出现质量问题，责令整顿后仍达不到要求的，采购人有权对所供货物作退货处理，并有权终止合同并追究供应商相关民事赔偿责任。</w:t>
            </w:r>
          </w:p>
          <w:p w14:paraId="073E9D6D">
            <w:pPr>
              <w:spacing w:line="360" w:lineRule="auto"/>
              <w:rPr>
                <w:rFonts w:hint="eastAsia" w:ascii="宋体" w:hAnsi="宋体" w:eastAsia="宋体" w:cs="宋体"/>
                <w:i w:val="0"/>
                <w:iCs w:val="0"/>
                <w:color w:val="000000"/>
                <w:kern w:val="0"/>
                <w:sz w:val="20"/>
                <w:szCs w:val="20"/>
                <w:u w:val="none"/>
                <w:lang w:val="en-US" w:eastAsia="zh-CN" w:bidi="ar"/>
              </w:rPr>
            </w:pPr>
            <w:r>
              <w:rPr>
                <w:rFonts w:hint="eastAsia" w:ascii="宋体" w:hAnsi="宋体"/>
                <w:color w:val="auto"/>
                <w:szCs w:val="21"/>
                <w:highlight w:val="none"/>
                <w:lang w:val="en-US" w:eastAsia="zh-CN"/>
              </w:rPr>
              <w:t>2、</w:t>
            </w:r>
            <w:r>
              <w:rPr>
                <w:rFonts w:hint="eastAsia" w:ascii="宋体" w:hAnsi="宋体"/>
                <w:color w:val="auto"/>
                <w:szCs w:val="21"/>
                <w:highlight w:val="none"/>
              </w:rPr>
              <w:t>本表所涉及的货物不接受整机进口产品（即通过中国海关报关验放进入中国境内且产自关境外的产品）参与竞标，</w:t>
            </w:r>
            <w:r>
              <w:rPr>
                <w:rFonts w:hint="eastAsia" w:ascii="宋体" w:hAnsi="宋体"/>
                <w:b w:val="0"/>
                <w:bCs/>
                <w:color w:val="auto"/>
                <w:szCs w:val="21"/>
                <w:highlight w:val="none"/>
              </w:rPr>
              <w:t>如有进口产品参与竞标的作无效</w:t>
            </w:r>
            <w:r>
              <w:rPr>
                <w:rFonts w:hint="eastAsia" w:ascii="宋体" w:hAnsi="宋体"/>
                <w:b w:val="0"/>
                <w:bCs/>
                <w:color w:val="auto"/>
                <w:szCs w:val="21"/>
                <w:highlight w:val="none"/>
                <w:lang w:eastAsia="zh-CN"/>
              </w:rPr>
              <w:t>响应</w:t>
            </w:r>
            <w:r>
              <w:rPr>
                <w:rFonts w:hint="eastAsia" w:ascii="宋体" w:hAnsi="宋体"/>
                <w:b w:val="0"/>
                <w:bCs/>
                <w:color w:val="auto"/>
                <w:szCs w:val="21"/>
                <w:highlight w:val="none"/>
              </w:rPr>
              <w:t>处理。</w:t>
            </w:r>
          </w:p>
        </w:tc>
      </w:tr>
    </w:tbl>
    <w:p w14:paraId="378A5FE1">
      <w:pPr>
        <w:pStyle w:val="2"/>
        <w:rPr>
          <w:rFonts w:hint="eastAsia"/>
        </w:rPr>
      </w:pPr>
    </w:p>
    <w:bookmarkEnd w:id="46"/>
    <w:p w14:paraId="6DF94ED9">
      <w:pPr>
        <w:spacing w:line="428" w:lineRule="exact"/>
        <w:rPr>
          <w:rFonts w:hint="eastAsia" w:ascii="黑体" w:hAnsi="黑体" w:eastAsia="黑体" w:cs="黑体"/>
          <w:color w:val="auto"/>
          <w:sz w:val="32"/>
          <w:szCs w:val="32"/>
          <w:highlight w:val="none"/>
        </w:rPr>
      </w:pPr>
    </w:p>
    <w:p w14:paraId="6423D14D">
      <w:pPr>
        <w:pStyle w:val="2"/>
        <w:rPr>
          <w:rFonts w:hint="eastAsia" w:ascii="黑体" w:hAnsi="黑体" w:eastAsia="黑体" w:cs="黑体"/>
          <w:color w:val="auto"/>
          <w:sz w:val="32"/>
          <w:szCs w:val="32"/>
          <w:highlight w:val="none"/>
        </w:rPr>
      </w:pPr>
    </w:p>
    <w:p w14:paraId="58710209">
      <w:pPr>
        <w:pStyle w:val="2"/>
        <w:rPr>
          <w:rFonts w:hint="eastAsia" w:ascii="黑体" w:hAnsi="黑体" w:eastAsia="黑体" w:cs="黑体"/>
          <w:color w:val="auto"/>
          <w:sz w:val="32"/>
          <w:szCs w:val="32"/>
          <w:highlight w:val="none"/>
        </w:rPr>
      </w:pPr>
    </w:p>
    <w:p w14:paraId="637AE76B">
      <w:pPr>
        <w:pStyle w:val="2"/>
        <w:rPr>
          <w:rFonts w:hint="eastAsia" w:ascii="黑体" w:hAnsi="黑体" w:eastAsia="黑体" w:cs="黑体"/>
          <w:color w:val="auto"/>
          <w:sz w:val="32"/>
          <w:szCs w:val="32"/>
          <w:highlight w:val="none"/>
        </w:rPr>
      </w:pPr>
    </w:p>
    <w:p w14:paraId="49BDA905">
      <w:pPr>
        <w:pStyle w:val="2"/>
        <w:rPr>
          <w:rFonts w:hint="eastAsia" w:ascii="黑体" w:hAnsi="黑体" w:eastAsia="黑体" w:cs="黑体"/>
          <w:color w:val="auto"/>
          <w:sz w:val="32"/>
          <w:szCs w:val="32"/>
          <w:highlight w:val="none"/>
        </w:rPr>
      </w:pPr>
    </w:p>
    <w:p w14:paraId="490C640E">
      <w:pPr>
        <w:pStyle w:val="2"/>
        <w:rPr>
          <w:rFonts w:hint="eastAsia" w:ascii="黑体" w:hAnsi="黑体" w:eastAsia="黑体" w:cs="黑体"/>
          <w:color w:val="auto"/>
          <w:sz w:val="32"/>
          <w:szCs w:val="32"/>
          <w:highlight w:val="none"/>
        </w:rPr>
      </w:pPr>
    </w:p>
    <w:p w14:paraId="092FB663">
      <w:pPr>
        <w:pStyle w:val="2"/>
        <w:rPr>
          <w:rFonts w:hint="eastAsia" w:ascii="黑体" w:hAnsi="黑体" w:eastAsia="黑体" w:cs="黑体"/>
          <w:color w:val="auto"/>
          <w:sz w:val="32"/>
          <w:szCs w:val="32"/>
          <w:highlight w:val="none"/>
        </w:rPr>
      </w:pPr>
    </w:p>
    <w:p w14:paraId="6A664950">
      <w:pPr>
        <w:pStyle w:val="2"/>
        <w:rPr>
          <w:rFonts w:hint="eastAsia" w:ascii="黑体" w:hAnsi="黑体" w:eastAsia="黑体" w:cs="黑体"/>
          <w:color w:val="auto"/>
          <w:sz w:val="32"/>
          <w:szCs w:val="32"/>
          <w:highlight w:val="none"/>
        </w:rPr>
      </w:pPr>
    </w:p>
    <w:p w14:paraId="0A6C9941">
      <w:pPr>
        <w:spacing w:line="428" w:lineRule="exact"/>
        <w:ind w:left="119"/>
        <w:rPr>
          <w:rFonts w:ascii="Arial Unicode MS" w:hAnsi="Arial Unicode MS" w:eastAsia="Arial Unicode MS" w:cs="Arial Unicode MS"/>
          <w:color w:val="auto"/>
          <w:sz w:val="32"/>
          <w:szCs w:val="32"/>
          <w:highlight w:val="none"/>
        </w:rPr>
      </w:pPr>
      <w:r>
        <w:rPr>
          <w:rFonts w:hint="eastAsia" w:ascii="黑体" w:hAnsi="黑体" w:eastAsia="黑体" w:cs="黑体"/>
          <w:color w:val="auto"/>
          <w:sz w:val="32"/>
          <w:szCs w:val="32"/>
          <w:highlight w:val="none"/>
        </w:rPr>
        <w:t>附件1：</w:t>
      </w:r>
    </w:p>
    <w:p w14:paraId="08001425">
      <w:pPr>
        <w:spacing w:before="7"/>
        <w:rPr>
          <w:rFonts w:hint="eastAsia" w:ascii="Arial Unicode MS" w:hAnsi="Arial Unicode MS" w:eastAsia="Arial Unicode MS" w:cs="Arial Unicode MS"/>
          <w:color w:val="auto"/>
          <w:sz w:val="17"/>
          <w:szCs w:val="17"/>
          <w:highlight w:val="none"/>
        </w:rPr>
      </w:pPr>
    </w:p>
    <w:p w14:paraId="01695408">
      <w:pPr>
        <w:spacing w:line="528" w:lineRule="exact"/>
        <w:ind w:left="1871"/>
        <w:rPr>
          <w:rFonts w:hint="eastAsia" w:ascii="Arial Unicode MS" w:hAnsi="Arial Unicode MS" w:eastAsia="Arial Unicode MS" w:cs="Arial Unicode MS"/>
          <w:color w:val="auto"/>
          <w:sz w:val="40"/>
          <w:szCs w:val="40"/>
          <w:highlight w:val="none"/>
        </w:rPr>
      </w:pPr>
      <w:r>
        <w:rPr>
          <w:rFonts w:hint="eastAsia" w:ascii="方正小标宋简体" w:hAnsi="方正小标宋简体" w:eastAsia="方正小标宋简体" w:cs="方正小标宋简体"/>
          <w:color w:val="auto"/>
          <w:sz w:val="44"/>
          <w:szCs w:val="44"/>
          <w:highlight w:val="none"/>
        </w:rPr>
        <w:t>节能产品政府采购品目清单</w:t>
      </w:r>
    </w:p>
    <w:tbl>
      <w:tblPr>
        <w:tblStyle w:val="24"/>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496"/>
        <w:gridCol w:w="1378"/>
        <w:gridCol w:w="4279"/>
      </w:tblGrid>
      <w:tr w14:paraId="73FB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4F80BF7F">
            <w:pPr>
              <w:jc w:val="center"/>
              <w:rPr>
                <w:rFonts w:ascii="Calibri" w:hAnsi="Calibri"/>
                <w:color w:val="auto"/>
                <w:szCs w:val="22"/>
                <w:highlight w:val="none"/>
              </w:rPr>
            </w:pPr>
            <w:r>
              <w:rPr>
                <w:rFonts w:hint="eastAsia" w:ascii="宋体" w:hAnsi="宋体" w:cs="宋体"/>
                <w:b/>
                <w:bCs/>
                <w:color w:val="auto"/>
                <w:w w:val="99"/>
                <w:highlight w:val="none"/>
              </w:rPr>
              <w:t>品目序号</w:t>
            </w:r>
          </w:p>
        </w:tc>
        <w:tc>
          <w:tcPr>
            <w:tcW w:w="4296" w:type="dxa"/>
            <w:gridSpan w:val="3"/>
            <w:tcBorders>
              <w:top w:val="single" w:color="000000" w:sz="4" w:space="0"/>
              <w:left w:val="single" w:color="000000" w:sz="4" w:space="0"/>
              <w:bottom w:val="single" w:color="000000" w:sz="4" w:space="0"/>
              <w:right w:val="single" w:color="000000" w:sz="4" w:space="0"/>
            </w:tcBorders>
            <w:noWrap w:val="0"/>
            <w:vAlign w:val="center"/>
          </w:tcPr>
          <w:p w14:paraId="5DDB00F0">
            <w:pPr>
              <w:jc w:val="center"/>
              <w:rPr>
                <w:rFonts w:ascii="Calibri" w:hAnsi="Calibri"/>
                <w:color w:val="auto"/>
                <w:szCs w:val="22"/>
                <w:highlight w:val="none"/>
              </w:rPr>
            </w:pPr>
            <w:r>
              <w:rPr>
                <w:rFonts w:hint="eastAsia" w:ascii="宋体" w:hAnsi="宋体" w:cs="宋体"/>
                <w:b/>
                <w:bCs/>
                <w:color w:val="auto"/>
                <w:w w:val="99"/>
                <w:highlight w:val="none"/>
              </w:rPr>
              <w:t>名称</w:t>
            </w:r>
          </w:p>
        </w:tc>
        <w:tc>
          <w:tcPr>
            <w:tcW w:w="4279" w:type="dxa"/>
            <w:tcBorders>
              <w:top w:val="single" w:color="000000" w:sz="4" w:space="0"/>
              <w:left w:val="single" w:color="000000" w:sz="4" w:space="0"/>
              <w:bottom w:val="single" w:color="000000" w:sz="4" w:space="0"/>
              <w:right w:val="single" w:color="000000" w:sz="4" w:space="0"/>
            </w:tcBorders>
            <w:noWrap w:val="0"/>
            <w:vAlign w:val="center"/>
          </w:tcPr>
          <w:p w14:paraId="1ADDC802">
            <w:pPr>
              <w:jc w:val="center"/>
              <w:rPr>
                <w:rFonts w:ascii="Calibri" w:hAnsi="Calibri"/>
                <w:color w:val="auto"/>
                <w:szCs w:val="22"/>
                <w:highlight w:val="none"/>
              </w:rPr>
            </w:pPr>
            <w:r>
              <w:rPr>
                <w:rFonts w:hint="eastAsia" w:ascii="宋体" w:hAnsi="宋体" w:cs="宋体"/>
                <w:b/>
                <w:bCs/>
                <w:color w:val="auto"/>
                <w:w w:val="99"/>
                <w:highlight w:val="none"/>
              </w:rPr>
              <w:t>依据的标准</w:t>
            </w:r>
          </w:p>
        </w:tc>
      </w:tr>
      <w:tr w14:paraId="1DDA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53389672">
            <w:pPr>
              <w:jc w:val="center"/>
              <w:rPr>
                <w:rFonts w:ascii="宋体" w:hAnsi="宋体"/>
                <w:color w:val="auto"/>
                <w:szCs w:val="21"/>
                <w:highlight w:val="none"/>
              </w:rPr>
            </w:pPr>
            <w:r>
              <w:rPr>
                <w:rFonts w:hint="eastAsia" w:ascii="宋体" w:hAnsi="宋体"/>
                <w:color w:val="auto"/>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316B8FF6">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A02010100计算机</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3BE7C4DD">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★A02010105台式计算机</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E5A31D8">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31DEE5ED">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《微型计算机能效限定值及能效等级》（GB28380）</w:t>
            </w:r>
          </w:p>
        </w:tc>
      </w:tr>
      <w:tr w14:paraId="0B89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FAB8B99">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9B31CF7">
            <w:pPr>
              <w:pStyle w:val="53"/>
              <w:spacing w:before="30"/>
              <w:ind w:left="7"/>
              <w:jc w:val="center"/>
              <w:rPr>
                <w:rFonts w:hint="eastAsia" w:ascii="宋体" w:hAnsi="宋体" w:cs="宋体"/>
                <w:color w:val="auto"/>
                <w:kern w:val="2"/>
                <w:sz w:val="21"/>
                <w:szCs w:val="21"/>
                <w:highlight w:val="none"/>
                <w:lang w:eastAsia="zh-CN"/>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637A5506">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★A02010108便携式计算机</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F37F927">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45F899A2">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《微型计算机能效限定值及能效等级》（GB28380）</w:t>
            </w:r>
          </w:p>
        </w:tc>
      </w:tr>
      <w:tr w14:paraId="2B32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0FFABF4">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B195EB9">
            <w:pPr>
              <w:pStyle w:val="53"/>
              <w:spacing w:before="30"/>
              <w:ind w:left="7"/>
              <w:jc w:val="center"/>
              <w:rPr>
                <w:rFonts w:hint="eastAsia" w:ascii="宋体" w:hAnsi="宋体" w:cs="宋体"/>
                <w:color w:val="auto"/>
                <w:kern w:val="2"/>
                <w:sz w:val="21"/>
                <w:szCs w:val="21"/>
                <w:highlight w:val="none"/>
                <w:lang w:eastAsia="zh-CN"/>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00CEA3DA">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★A02010109平板式计算机</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B76B2C1">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3C84C755">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《微型计算机能效限定值及能效等级》（GB28380）</w:t>
            </w:r>
          </w:p>
        </w:tc>
      </w:tr>
      <w:tr w14:paraId="2FB7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518F802F">
            <w:pPr>
              <w:jc w:val="center"/>
              <w:rPr>
                <w:rFonts w:ascii="宋体" w:hAnsi="宋体"/>
                <w:color w:val="auto"/>
                <w:szCs w:val="21"/>
                <w:highlight w:val="none"/>
              </w:rPr>
            </w:pPr>
            <w:r>
              <w:rPr>
                <w:rFonts w:hint="eastAsia" w:ascii="宋体" w:hAnsi="宋体"/>
                <w:color w:val="auto"/>
                <w:szCs w:val="21"/>
                <w:highlight w:val="none"/>
              </w:rPr>
              <w:t>2</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5E9120E2">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A02020000办公设备</w:t>
            </w: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73C58962">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A02021000打印机</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B63B787">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A02021001 A3黑白打印机</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3451323B">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《复印机、打印机和传真机能效限定值及能效等级》（GB21521）</w:t>
            </w:r>
          </w:p>
        </w:tc>
      </w:tr>
      <w:tr w14:paraId="6975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9F33D54">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D7722DC">
            <w:pPr>
              <w:pStyle w:val="53"/>
              <w:spacing w:before="30"/>
              <w:ind w:left="7"/>
              <w:jc w:val="center"/>
              <w:rPr>
                <w:rFonts w:hint="eastAsia" w:ascii="宋体" w:hAnsi="宋体" w:cs="宋体"/>
                <w:color w:val="auto"/>
                <w:kern w:val="2"/>
                <w:sz w:val="21"/>
                <w:szCs w:val="21"/>
                <w:highlight w:val="none"/>
                <w:lang w:eastAsia="zh-CN"/>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F3E6B71">
            <w:pPr>
              <w:pStyle w:val="53"/>
              <w:spacing w:before="30"/>
              <w:ind w:left="7"/>
              <w:jc w:val="center"/>
              <w:rPr>
                <w:rFonts w:hint="eastAsia" w:ascii="宋体" w:hAnsi="宋体" w:cs="宋体"/>
                <w:color w:val="auto"/>
                <w:kern w:val="2"/>
                <w:sz w:val="21"/>
                <w:szCs w:val="21"/>
                <w:highlight w:val="none"/>
                <w:lang w:eastAsia="zh-CN"/>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E4D216A">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A02021002 A3彩色打印机</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1E7EBAEB">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《复印机、打印机和传真机能效限定值及能效等级》（GB21521）</w:t>
            </w:r>
          </w:p>
        </w:tc>
      </w:tr>
      <w:tr w14:paraId="6E31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FB7803C">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A27A980">
            <w:pPr>
              <w:pStyle w:val="53"/>
              <w:spacing w:before="30"/>
              <w:ind w:left="7"/>
              <w:jc w:val="center"/>
              <w:rPr>
                <w:rFonts w:hint="eastAsia" w:ascii="宋体" w:hAnsi="宋体" w:cs="宋体"/>
                <w:color w:val="auto"/>
                <w:kern w:val="2"/>
                <w:sz w:val="21"/>
                <w:szCs w:val="21"/>
                <w:highlight w:val="none"/>
                <w:lang w:eastAsia="zh-CN"/>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F575796">
            <w:pPr>
              <w:pStyle w:val="53"/>
              <w:spacing w:before="30"/>
              <w:ind w:left="7"/>
              <w:jc w:val="center"/>
              <w:rPr>
                <w:rFonts w:hint="eastAsia" w:ascii="宋体" w:hAnsi="宋体" w:cs="宋体"/>
                <w:color w:val="auto"/>
                <w:kern w:val="2"/>
                <w:sz w:val="21"/>
                <w:szCs w:val="21"/>
                <w:highlight w:val="none"/>
                <w:lang w:eastAsia="zh-CN"/>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2329686">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A02021003 A4黑白打印机</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6DD5A019">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《复印机、打印机和传真机能效限定值及能效等级》（GB21521）</w:t>
            </w:r>
          </w:p>
        </w:tc>
      </w:tr>
      <w:tr w14:paraId="30A9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F585672">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F3C8031">
            <w:pPr>
              <w:pStyle w:val="53"/>
              <w:spacing w:before="30"/>
              <w:ind w:left="7"/>
              <w:jc w:val="center"/>
              <w:rPr>
                <w:rFonts w:hint="eastAsia" w:ascii="宋体" w:hAnsi="宋体" w:cs="宋体"/>
                <w:color w:val="auto"/>
                <w:kern w:val="2"/>
                <w:sz w:val="21"/>
                <w:szCs w:val="21"/>
                <w:highlight w:val="none"/>
                <w:lang w:eastAsia="zh-CN"/>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8D16CE8">
            <w:pPr>
              <w:pStyle w:val="53"/>
              <w:spacing w:before="30"/>
              <w:ind w:left="7"/>
              <w:jc w:val="center"/>
              <w:rPr>
                <w:rFonts w:hint="eastAsia" w:ascii="宋体" w:hAnsi="宋体" w:cs="宋体"/>
                <w:color w:val="auto"/>
                <w:kern w:val="2"/>
                <w:sz w:val="21"/>
                <w:szCs w:val="21"/>
                <w:highlight w:val="none"/>
                <w:lang w:eastAsia="zh-CN"/>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E0FD33A">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A02021004 A4彩色打印机</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539B486A">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《复印机、打印机和传真机能效限定值及能效等级》（GB21521）</w:t>
            </w:r>
          </w:p>
        </w:tc>
      </w:tr>
      <w:tr w14:paraId="4A8B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D8CF9F4">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18B6B8D">
            <w:pPr>
              <w:pStyle w:val="53"/>
              <w:spacing w:before="30"/>
              <w:ind w:left="7"/>
              <w:jc w:val="center"/>
              <w:rPr>
                <w:rFonts w:hint="eastAsia" w:ascii="宋体" w:hAnsi="宋体" w:cs="宋体"/>
                <w:color w:val="auto"/>
                <w:kern w:val="2"/>
                <w:sz w:val="21"/>
                <w:szCs w:val="21"/>
                <w:highlight w:val="none"/>
                <w:lang w:eastAsia="zh-CN"/>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8A6F56F">
            <w:pPr>
              <w:pStyle w:val="53"/>
              <w:spacing w:before="30"/>
              <w:ind w:left="7"/>
              <w:jc w:val="center"/>
              <w:rPr>
                <w:rFonts w:hint="eastAsia" w:ascii="宋体" w:hAnsi="宋体" w:cs="宋体"/>
                <w:color w:val="auto"/>
                <w:kern w:val="2"/>
                <w:sz w:val="21"/>
                <w:szCs w:val="21"/>
                <w:highlight w:val="none"/>
                <w:lang w:eastAsia="zh-CN"/>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4D99DB6">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A02021005 3D打印机</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36CFD9E7">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《复印机、打印机和传真机能效限定值及能效等级》（GB21521）</w:t>
            </w:r>
          </w:p>
        </w:tc>
      </w:tr>
      <w:tr w14:paraId="2D96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7416831">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AE4C6BA">
            <w:pPr>
              <w:pStyle w:val="53"/>
              <w:spacing w:before="30"/>
              <w:ind w:left="7"/>
              <w:jc w:val="center"/>
              <w:rPr>
                <w:rFonts w:hint="eastAsia" w:ascii="宋体" w:hAnsi="宋体" w:cs="宋体"/>
                <w:color w:val="auto"/>
                <w:kern w:val="2"/>
                <w:sz w:val="21"/>
                <w:szCs w:val="21"/>
                <w:highlight w:val="none"/>
                <w:lang w:eastAsia="zh-CN"/>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5438C74">
            <w:pPr>
              <w:pStyle w:val="53"/>
              <w:spacing w:before="30"/>
              <w:ind w:left="7"/>
              <w:jc w:val="center"/>
              <w:rPr>
                <w:rFonts w:hint="eastAsia" w:ascii="宋体" w:hAnsi="宋体" w:cs="宋体"/>
                <w:color w:val="auto"/>
                <w:kern w:val="2"/>
                <w:sz w:val="21"/>
                <w:szCs w:val="21"/>
                <w:highlight w:val="none"/>
                <w:lang w:eastAsia="zh-CN"/>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B9DB40A">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A02021006票据打印机</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0407DEC6">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《复印机、打印机和传真机能效限定值及能效等级》（GB21521）</w:t>
            </w:r>
          </w:p>
        </w:tc>
      </w:tr>
      <w:tr w14:paraId="4231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B6765B0">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55C62FD">
            <w:pPr>
              <w:pStyle w:val="53"/>
              <w:spacing w:before="30"/>
              <w:ind w:left="7"/>
              <w:jc w:val="center"/>
              <w:rPr>
                <w:rFonts w:hint="eastAsia" w:ascii="宋体" w:hAnsi="宋体" w:cs="宋体"/>
                <w:color w:val="auto"/>
                <w:kern w:val="2"/>
                <w:sz w:val="21"/>
                <w:szCs w:val="21"/>
                <w:highlight w:val="none"/>
                <w:lang w:eastAsia="zh-CN"/>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23DC817">
            <w:pPr>
              <w:pStyle w:val="53"/>
              <w:spacing w:before="30"/>
              <w:ind w:left="7"/>
              <w:jc w:val="center"/>
              <w:rPr>
                <w:rFonts w:hint="eastAsia" w:ascii="宋体" w:hAnsi="宋体" w:cs="宋体"/>
                <w:color w:val="auto"/>
                <w:kern w:val="2"/>
                <w:sz w:val="21"/>
                <w:szCs w:val="21"/>
                <w:highlight w:val="none"/>
                <w:lang w:eastAsia="zh-CN"/>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444B770">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A02021007条码打印机</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1259FA69">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《复印机、打印机和传真机能效限定值及能效等级》（GB21521）</w:t>
            </w:r>
          </w:p>
        </w:tc>
      </w:tr>
      <w:tr w14:paraId="1899A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CD983BC">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2C00F0F">
            <w:pPr>
              <w:pStyle w:val="53"/>
              <w:spacing w:before="30"/>
              <w:ind w:left="7"/>
              <w:jc w:val="center"/>
              <w:rPr>
                <w:rFonts w:hint="eastAsia" w:ascii="宋体" w:hAnsi="宋体" w:cs="宋体"/>
                <w:color w:val="auto"/>
                <w:kern w:val="2"/>
                <w:sz w:val="21"/>
                <w:szCs w:val="21"/>
                <w:highlight w:val="none"/>
                <w:lang w:eastAsia="zh-CN"/>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DD03157">
            <w:pPr>
              <w:pStyle w:val="53"/>
              <w:spacing w:before="30"/>
              <w:ind w:left="7"/>
              <w:jc w:val="center"/>
              <w:rPr>
                <w:rFonts w:hint="eastAsia" w:ascii="宋体" w:hAnsi="宋体" w:cs="宋体"/>
                <w:color w:val="auto"/>
                <w:kern w:val="2"/>
                <w:sz w:val="21"/>
                <w:szCs w:val="21"/>
                <w:highlight w:val="none"/>
                <w:lang w:eastAsia="zh-CN"/>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F8CFA34">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A02021008地址打印机</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0DA22590">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《复印机、打印机和传真机能效限定值及能效等级》（GB21521）</w:t>
            </w:r>
          </w:p>
        </w:tc>
      </w:tr>
      <w:tr w14:paraId="47F7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1A945A4">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39751BC">
            <w:pPr>
              <w:pStyle w:val="53"/>
              <w:spacing w:before="30"/>
              <w:ind w:left="7"/>
              <w:jc w:val="center"/>
              <w:rPr>
                <w:rFonts w:hint="eastAsia" w:ascii="宋体" w:hAnsi="宋体" w:cs="宋体"/>
                <w:color w:val="auto"/>
                <w:kern w:val="2"/>
                <w:sz w:val="21"/>
                <w:szCs w:val="21"/>
                <w:highlight w:val="none"/>
                <w:lang w:eastAsia="zh-CN"/>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47311B5">
            <w:pPr>
              <w:pStyle w:val="53"/>
              <w:spacing w:before="30"/>
              <w:ind w:left="7"/>
              <w:jc w:val="center"/>
              <w:rPr>
                <w:rFonts w:hint="eastAsia" w:ascii="宋体" w:hAnsi="宋体" w:cs="宋体"/>
                <w:color w:val="auto"/>
                <w:kern w:val="2"/>
                <w:sz w:val="21"/>
                <w:szCs w:val="21"/>
                <w:highlight w:val="none"/>
                <w:lang w:eastAsia="zh-CN"/>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170D9DA">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A02021099其他打印机</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7A5FA534">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《复印机、打印机和传真机能效限定值及能效等级》（GB21521）</w:t>
            </w:r>
          </w:p>
        </w:tc>
      </w:tr>
      <w:tr w14:paraId="6381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F1A0E54">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EF2B243">
            <w:pPr>
              <w:pStyle w:val="53"/>
              <w:spacing w:before="30"/>
              <w:ind w:left="7"/>
              <w:jc w:val="center"/>
              <w:rPr>
                <w:rFonts w:hint="eastAsia" w:ascii="宋体" w:hAnsi="宋体" w:cs="宋体"/>
                <w:color w:val="auto"/>
                <w:kern w:val="2"/>
                <w:sz w:val="21"/>
                <w:szCs w:val="21"/>
                <w:highlight w:val="none"/>
                <w:lang w:eastAsia="zh-CN"/>
              </w:rPr>
            </w:pP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604F63B0">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A02021100输入输出设备</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E13CB5B">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A02021104液晶显示器</w:t>
            </w:r>
          </w:p>
        </w:tc>
        <w:tc>
          <w:tcPr>
            <w:tcW w:w="4279" w:type="dxa"/>
            <w:tcBorders>
              <w:top w:val="single" w:color="000000" w:sz="4" w:space="0"/>
              <w:left w:val="single" w:color="000000" w:sz="4" w:space="0"/>
              <w:bottom w:val="single" w:color="000000" w:sz="4" w:space="0"/>
              <w:right w:val="single" w:color="000000" w:sz="4" w:space="0"/>
            </w:tcBorders>
            <w:noWrap w:val="0"/>
            <w:vAlign w:val="center"/>
          </w:tcPr>
          <w:p w14:paraId="0BD6A572">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《计算机显示器能效限定值及能效等级》（GB21520）</w:t>
            </w:r>
          </w:p>
        </w:tc>
      </w:tr>
      <w:tr w14:paraId="55A4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8011DE2">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D819E28">
            <w:pPr>
              <w:pStyle w:val="53"/>
              <w:spacing w:before="30"/>
              <w:ind w:left="7"/>
              <w:jc w:val="center"/>
              <w:rPr>
                <w:rFonts w:hint="eastAsia" w:ascii="宋体" w:hAnsi="宋体" w:cs="宋体"/>
                <w:color w:val="auto"/>
                <w:kern w:val="2"/>
                <w:sz w:val="21"/>
                <w:szCs w:val="21"/>
                <w:highlight w:val="none"/>
                <w:lang w:eastAsia="zh-CN"/>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8101F6F">
            <w:pPr>
              <w:pStyle w:val="53"/>
              <w:spacing w:before="30"/>
              <w:ind w:left="7"/>
              <w:jc w:val="center"/>
              <w:rPr>
                <w:rFonts w:hint="eastAsia" w:ascii="宋体" w:hAnsi="宋体" w:cs="宋体"/>
                <w:color w:val="auto"/>
                <w:kern w:val="2"/>
                <w:sz w:val="21"/>
                <w:szCs w:val="21"/>
                <w:highlight w:val="none"/>
                <w:lang w:eastAsia="zh-CN"/>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F305796">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A02021118扫描仪</w:t>
            </w:r>
          </w:p>
        </w:tc>
        <w:tc>
          <w:tcPr>
            <w:tcW w:w="4279" w:type="dxa"/>
            <w:tcBorders>
              <w:top w:val="single" w:color="000000" w:sz="4" w:space="0"/>
              <w:left w:val="single" w:color="000000" w:sz="4" w:space="0"/>
              <w:bottom w:val="single" w:color="000000" w:sz="4" w:space="0"/>
              <w:right w:val="single" w:color="000000" w:sz="4" w:space="0"/>
            </w:tcBorders>
            <w:noWrap w:val="0"/>
            <w:vAlign w:val="center"/>
          </w:tcPr>
          <w:p w14:paraId="19912CCC">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参照《复印机、打印机和传真机能效限定值及能效等级》（GB21521）中打印速度为15页/分的针式打印机相关要求</w:t>
            </w:r>
          </w:p>
        </w:tc>
      </w:tr>
      <w:tr w14:paraId="39ED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04AC00C6">
            <w:pPr>
              <w:jc w:val="center"/>
              <w:rPr>
                <w:rFonts w:ascii="宋体" w:hAnsi="宋体"/>
                <w:color w:val="auto"/>
                <w:szCs w:val="21"/>
                <w:highlight w:val="none"/>
              </w:rPr>
            </w:pPr>
            <w:r>
              <w:rPr>
                <w:rFonts w:hint="eastAsia" w:ascii="宋体" w:hAnsi="宋体"/>
                <w:color w:val="auto"/>
                <w:w w:val="99"/>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31F87561">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A02020200投影仪</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429FA3E1">
            <w:pPr>
              <w:pStyle w:val="53"/>
              <w:spacing w:before="30"/>
              <w:ind w:left="7"/>
              <w:jc w:val="center"/>
              <w:rPr>
                <w:rFonts w:hint="eastAsia" w:ascii="宋体" w:hAnsi="宋体" w:cs="宋体"/>
                <w:color w:val="auto"/>
                <w:kern w:val="2"/>
                <w:sz w:val="21"/>
                <w:szCs w:val="21"/>
                <w:highlight w:val="none"/>
                <w:lang w:eastAsia="zh-CN"/>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A0D4A64">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center"/>
          </w:tcPr>
          <w:p w14:paraId="434BE72B">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《投影机能效限定值及能效等级》（GB32028）</w:t>
            </w:r>
          </w:p>
        </w:tc>
      </w:tr>
      <w:tr w14:paraId="4359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238FCE91">
            <w:pPr>
              <w:jc w:val="center"/>
              <w:rPr>
                <w:rFonts w:ascii="宋体" w:hAnsi="宋体"/>
                <w:color w:val="auto"/>
                <w:szCs w:val="21"/>
                <w:highlight w:val="none"/>
              </w:rPr>
            </w:pPr>
            <w:r>
              <w:rPr>
                <w:rFonts w:hint="eastAsia" w:ascii="宋体" w:hAnsi="宋体"/>
                <w:color w:val="auto"/>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161D32E0">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A02020400多功能一体机</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4FC2350F">
            <w:pPr>
              <w:pStyle w:val="53"/>
              <w:spacing w:before="30"/>
              <w:ind w:left="7"/>
              <w:jc w:val="center"/>
              <w:rPr>
                <w:rFonts w:hint="eastAsia" w:ascii="宋体" w:hAnsi="宋体" w:cs="宋体"/>
                <w:color w:val="auto"/>
                <w:kern w:val="2"/>
                <w:sz w:val="21"/>
                <w:szCs w:val="21"/>
                <w:highlight w:val="none"/>
                <w:lang w:eastAsia="zh-CN"/>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CD60525">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center"/>
          </w:tcPr>
          <w:p w14:paraId="2BF5E2AC">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《复印机、打印机和传真机能效限定值及能效等级》（GB21521）</w:t>
            </w:r>
          </w:p>
        </w:tc>
      </w:tr>
      <w:tr w14:paraId="62BF9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6A557927">
            <w:pPr>
              <w:pStyle w:val="53"/>
              <w:spacing w:before="160"/>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5</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47E4C40D">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A02051900泵</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3AC61F60">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A02051901离心泵</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09335C0">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0C3A9C8E">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《清水离心泵能效限定值及节能评价值》（GB19762）</w:t>
            </w:r>
          </w:p>
        </w:tc>
      </w:tr>
      <w:tr w14:paraId="1880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31B273B8">
            <w:pPr>
              <w:jc w:val="center"/>
              <w:rPr>
                <w:rFonts w:ascii="宋体" w:hAnsi="宋体"/>
                <w:color w:val="auto"/>
                <w:szCs w:val="21"/>
                <w:highlight w:val="none"/>
              </w:rPr>
            </w:pPr>
            <w:r>
              <w:rPr>
                <w:rFonts w:hint="eastAsia" w:ascii="宋体" w:hAnsi="宋体"/>
                <w:color w:val="auto"/>
                <w:szCs w:val="21"/>
                <w:highlight w:val="none"/>
              </w:rPr>
              <w:t>6</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49217AF8">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A02052300制冷空调设备</w:t>
            </w: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3C6D9E58">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★A02052301制冷压缩机</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F73964F">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冷水机组</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30459A19">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《冷水机组能效限定值及能效等级》（GB19577），《低环境温度空气源热泵（冷水）机组能效限定值及能效等级》（GB37480）</w:t>
            </w:r>
          </w:p>
        </w:tc>
      </w:tr>
      <w:tr w14:paraId="03BF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55ABEA4">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142CEC7">
            <w:pPr>
              <w:pStyle w:val="53"/>
              <w:spacing w:before="30"/>
              <w:ind w:left="7"/>
              <w:jc w:val="center"/>
              <w:rPr>
                <w:rFonts w:hint="eastAsia" w:ascii="宋体" w:hAnsi="宋体" w:cs="宋体"/>
                <w:color w:val="auto"/>
                <w:kern w:val="2"/>
                <w:sz w:val="21"/>
                <w:szCs w:val="21"/>
                <w:highlight w:val="none"/>
                <w:lang w:eastAsia="zh-CN"/>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5776540">
            <w:pPr>
              <w:pStyle w:val="53"/>
              <w:spacing w:before="30"/>
              <w:ind w:left="7"/>
              <w:jc w:val="center"/>
              <w:rPr>
                <w:rFonts w:hint="eastAsia" w:ascii="宋体" w:hAnsi="宋体" w:cs="宋体"/>
                <w:color w:val="auto"/>
                <w:kern w:val="2"/>
                <w:sz w:val="21"/>
                <w:szCs w:val="21"/>
                <w:highlight w:val="none"/>
                <w:lang w:eastAsia="zh-CN"/>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A018650">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溴化锂吸收式冷水机组</w:t>
            </w:r>
          </w:p>
        </w:tc>
        <w:tc>
          <w:tcPr>
            <w:tcW w:w="4279" w:type="dxa"/>
            <w:tcBorders>
              <w:top w:val="single" w:color="000000" w:sz="4" w:space="0"/>
              <w:left w:val="single" w:color="000000" w:sz="4" w:space="0"/>
              <w:bottom w:val="single" w:color="000000" w:sz="4" w:space="0"/>
              <w:right w:val="single" w:color="000000" w:sz="4" w:space="0"/>
            </w:tcBorders>
            <w:noWrap w:val="0"/>
            <w:vAlign w:val="center"/>
          </w:tcPr>
          <w:p w14:paraId="0801D706">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《溴化锂吸收式冷水机组能效限</w:t>
            </w:r>
          </w:p>
          <w:p w14:paraId="1E0F3B94">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定值及能效等级》（GB29540）</w:t>
            </w:r>
          </w:p>
        </w:tc>
      </w:tr>
      <w:tr w14:paraId="61C9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AEF3078">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66C39F5">
            <w:pPr>
              <w:pStyle w:val="53"/>
              <w:spacing w:before="30"/>
              <w:ind w:left="7"/>
              <w:jc w:val="center"/>
              <w:rPr>
                <w:rFonts w:hint="eastAsia" w:ascii="宋体" w:hAnsi="宋体" w:cs="宋体"/>
                <w:color w:val="auto"/>
                <w:kern w:val="2"/>
                <w:sz w:val="21"/>
                <w:szCs w:val="21"/>
                <w:highlight w:val="none"/>
                <w:lang w:eastAsia="zh-CN"/>
              </w:rPr>
            </w:pP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44A88617">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★A02052305空调机组</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CBBDA1E">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多联式空调（热泵）机组（制冷量&gt;14000W）</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53EDBCB2">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《多联式空调（热泵）机组能效限定值及能源效率等级》（GB21454）</w:t>
            </w:r>
          </w:p>
        </w:tc>
      </w:tr>
      <w:tr w14:paraId="5D06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88D0F70">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B589879">
            <w:pPr>
              <w:pStyle w:val="53"/>
              <w:spacing w:before="30"/>
              <w:ind w:left="7"/>
              <w:jc w:val="center"/>
              <w:rPr>
                <w:rFonts w:hint="eastAsia" w:ascii="宋体" w:hAnsi="宋体" w:cs="宋体"/>
                <w:color w:val="auto"/>
                <w:kern w:val="2"/>
                <w:sz w:val="21"/>
                <w:szCs w:val="21"/>
                <w:highlight w:val="none"/>
                <w:lang w:eastAsia="zh-CN"/>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6E30019">
            <w:pPr>
              <w:pStyle w:val="53"/>
              <w:spacing w:before="30"/>
              <w:ind w:left="7"/>
              <w:jc w:val="center"/>
              <w:rPr>
                <w:rFonts w:hint="eastAsia" w:ascii="宋体" w:hAnsi="宋体" w:cs="宋体"/>
                <w:color w:val="auto"/>
                <w:kern w:val="2"/>
                <w:sz w:val="21"/>
                <w:szCs w:val="21"/>
                <w:highlight w:val="none"/>
                <w:lang w:eastAsia="zh-CN"/>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CA97E67">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单元式空气调节机</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0CC2E283">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《单元式空气调节机能效限定值及能效等级》（GB19576）《风管送风式空调机组能效限定值及能效等级》（GB37479）</w:t>
            </w:r>
          </w:p>
        </w:tc>
      </w:tr>
      <w:tr w14:paraId="0062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BBC3D7D">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0C95AD0">
            <w:pPr>
              <w:pStyle w:val="53"/>
              <w:spacing w:before="30"/>
              <w:ind w:left="7"/>
              <w:jc w:val="center"/>
              <w:rPr>
                <w:rFonts w:hint="eastAsia" w:ascii="宋体" w:hAnsi="宋体" w:cs="宋体"/>
                <w:color w:val="auto"/>
                <w:kern w:val="2"/>
                <w:sz w:val="21"/>
                <w:szCs w:val="21"/>
                <w:highlight w:val="none"/>
                <w:lang w:eastAsia="zh-CN"/>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39546314">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★A02052309专用制冷、空调设备</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57DDD5C">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机房空调</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2D4BE47A">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《单元式空气调节机能效限定值</w:t>
            </w:r>
          </w:p>
          <w:p w14:paraId="7F0DD5F6">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及能效等级》（GB19576）</w:t>
            </w:r>
          </w:p>
        </w:tc>
      </w:tr>
      <w:tr w14:paraId="6538C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C20FB4B">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D51B5AD">
            <w:pPr>
              <w:pStyle w:val="53"/>
              <w:spacing w:before="30"/>
              <w:ind w:left="7"/>
              <w:jc w:val="center"/>
              <w:rPr>
                <w:rFonts w:hint="eastAsia" w:ascii="宋体" w:hAnsi="宋体" w:cs="宋体"/>
                <w:color w:val="auto"/>
                <w:kern w:val="2"/>
                <w:sz w:val="21"/>
                <w:szCs w:val="21"/>
                <w:highlight w:val="none"/>
                <w:lang w:eastAsia="zh-CN"/>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280C918B">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A02052399其他制冷</w:t>
            </w:r>
          </w:p>
          <w:p w14:paraId="3666DE2A">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空调设备</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A741509">
            <w:pPr>
              <w:pStyle w:val="53"/>
              <w:spacing w:before="30"/>
              <w:ind w:left="7"/>
              <w:jc w:val="center"/>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lang w:eastAsia="zh-CN"/>
              </w:rPr>
              <w:t>冷却塔</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48ED8834">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《机械通风冷却塔第1部分：中小型开式冷却塔》（GB/T7190.1）</w:t>
            </w:r>
          </w:p>
          <w:p w14:paraId="180E14B6">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《机械通风冷却塔第2部分：大型开式冷却塔》（GB/T7190.2）</w:t>
            </w:r>
          </w:p>
        </w:tc>
      </w:tr>
      <w:tr w14:paraId="61DB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494470F7">
            <w:pPr>
              <w:pStyle w:val="53"/>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7</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6B5BC298">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A02060100电机</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6EC46375">
            <w:pPr>
              <w:pStyle w:val="53"/>
              <w:spacing w:before="30"/>
              <w:ind w:left="7"/>
              <w:jc w:val="center"/>
              <w:rPr>
                <w:rFonts w:hint="eastAsia" w:ascii="宋体" w:hAnsi="宋体" w:cs="宋体"/>
                <w:color w:val="auto"/>
                <w:kern w:val="2"/>
                <w:sz w:val="21"/>
                <w:szCs w:val="21"/>
                <w:highlight w:val="none"/>
                <w:lang w:eastAsia="zh-CN"/>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73C7EBC">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1943418F">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《中小型三相异步电动机能效限定值及能效等级》（GB18613）</w:t>
            </w:r>
          </w:p>
        </w:tc>
      </w:tr>
      <w:tr w14:paraId="4B0B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42A0CD46">
            <w:pPr>
              <w:pStyle w:val="53"/>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8</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44664CF4">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A02060200变压</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27B335B1">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配电变压器</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C07AB5C">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7B8AA1A1">
            <w:pPr>
              <w:pStyle w:val="53"/>
              <w:spacing w:before="30"/>
              <w:ind w:left="7"/>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《三相配电变压器能效限定值及能效等级》（GB 20052）</w:t>
            </w:r>
          </w:p>
        </w:tc>
      </w:tr>
      <w:tr w14:paraId="2130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4202EEF1">
            <w:pPr>
              <w:pStyle w:val="53"/>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9</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26894467">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★A02060900镇流器</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34BC4FB3">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管型荧光灯镇流器</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5C12A9F">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00F35540">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《管形荧光灯镇流器能效限定值及能效等级》（GB17896）</w:t>
            </w:r>
          </w:p>
        </w:tc>
      </w:tr>
      <w:tr w14:paraId="4DEE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62B11E10">
            <w:pPr>
              <w:pStyle w:val="53"/>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10</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0474F84E">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A02061800生活用电器</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0D914762">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A02061801电冰箱</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1657199">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376941D7">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《家用电冰箱耗电量限定值及能效等级》（GB12021.2）</w:t>
            </w:r>
          </w:p>
        </w:tc>
      </w:tr>
      <w:tr w14:paraId="257C4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23713B1">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0DAF82D">
            <w:pPr>
              <w:pStyle w:val="53"/>
              <w:spacing w:before="30"/>
              <w:ind w:left="7"/>
              <w:jc w:val="center"/>
              <w:rPr>
                <w:rFonts w:hint="eastAsia" w:ascii="宋体" w:hAnsi="宋体" w:cs="宋体"/>
                <w:color w:val="auto"/>
                <w:kern w:val="2"/>
                <w:sz w:val="21"/>
                <w:szCs w:val="21"/>
                <w:highlight w:val="none"/>
                <w:lang w:eastAsia="zh-CN"/>
              </w:rPr>
            </w:pP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0F1A6C3A">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★A02061804空调机</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8C97F9A">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房间空气调节器</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26F19A02">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《房间空气调节器能效限定值及能效等级》（GB21455-2019）</w:t>
            </w:r>
          </w:p>
        </w:tc>
      </w:tr>
      <w:tr w14:paraId="05E2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D1BDA72">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81AEF73">
            <w:pPr>
              <w:pStyle w:val="53"/>
              <w:spacing w:before="30"/>
              <w:ind w:left="7"/>
              <w:jc w:val="center"/>
              <w:rPr>
                <w:rFonts w:hint="eastAsia" w:ascii="宋体" w:hAnsi="宋体" w:cs="宋体"/>
                <w:color w:val="auto"/>
                <w:kern w:val="2"/>
                <w:sz w:val="21"/>
                <w:szCs w:val="21"/>
                <w:highlight w:val="none"/>
                <w:lang w:eastAsia="zh-CN"/>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07995B0">
            <w:pPr>
              <w:pStyle w:val="53"/>
              <w:spacing w:before="30"/>
              <w:ind w:left="7"/>
              <w:jc w:val="center"/>
              <w:rPr>
                <w:rFonts w:hint="eastAsia" w:ascii="宋体" w:hAnsi="宋体" w:cs="宋体"/>
                <w:color w:val="auto"/>
                <w:kern w:val="2"/>
                <w:sz w:val="21"/>
                <w:szCs w:val="21"/>
                <w:highlight w:val="none"/>
                <w:lang w:eastAsia="zh-CN"/>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F335E93">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多联式空调（热泵）机组（制冷量≤ 14000W）</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7AA65A16">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《多联式空调（热泵）机组能效限定值及能源效率等级》（GB21454）</w:t>
            </w:r>
          </w:p>
        </w:tc>
      </w:tr>
      <w:tr w14:paraId="608D4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4A99E8A">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C4CD414">
            <w:pPr>
              <w:pStyle w:val="53"/>
              <w:spacing w:before="30"/>
              <w:ind w:left="7"/>
              <w:jc w:val="center"/>
              <w:rPr>
                <w:rFonts w:hint="eastAsia" w:ascii="宋体" w:hAnsi="宋体" w:cs="宋体"/>
                <w:color w:val="auto"/>
                <w:kern w:val="2"/>
                <w:sz w:val="21"/>
                <w:szCs w:val="21"/>
                <w:highlight w:val="none"/>
                <w:lang w:eastAsia="zh-CN"/>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14E57D2">
            <w:pPr>
              <w:pStyle w:val="53"/>
              <w:spacing w:before="30"/>
              <w:ind w:left="7"/>
              <w:jc w:val="center"/>
              <w:rPr>
                <w:rFonts w:hint="eastAsia" w:ascii="宋体" w:hAnsi="宋体" w:cs="宋体"/>
                <w:color w:val="auto"/>
                <w:kern w:val="2"/>
                <w:sz w:val="21"/>
                <w:szCs w:val="21"/>
                <w:highlight w:val="none"/>
                <w:lang w:eastAsia="zh-CN"/>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393CF22">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单元式空气调节机（制冷量≤ 14000W）</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05FC27EA">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《单元式空气调节机能效限定值及能源效率等级》（GB19576）《风管送风式空调机组能效限定值及能效等级》（GB37479）</w:t>
            </w:r>
          </w:p>
        </w:tc>
      </w:tr>
      <w:tr w14:paraId="7FFE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BD96EEB">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B6B1409">
            <w:pPr>
              <w:pStyle w:val="53"/>
              <w:spacing w:before="30"/>
              <w:ind w:left="7"/>
              <w:jc w:val="center"/>
              <w:rPr>
                <w:rFonts w:hint="eastAsia" w:ascii="宋体" w:hAnsi="宋体" w:cs="宋体"/>
                <w:color w:val="auto"/>
                <w:kern w:val="2"/>
                <w:sz w:val="21"/>
                <w:szCs w:val="21"/>
                <w:highlight w:val="none"/>
                <w:lang w:eastAsia="zh-CN"/>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14650E0D">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A02061810洗衣机</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A78CE9F">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44AE3C6F">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《电动洗衣机能效水效限定值及等级》（GB12021.4）</w:t>
            </w:r>
          </w:p>
        </w:tc>
      </w:tr>
      <w:tr w14:paraId="6B29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B8A4AC6">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EBAEE1B">
            <w:pPr>
              <w:pStyle w:val="53"/>
              <w:spacing w:before="30"/>
              <w:ind w:left="7"/>
              <w:jc w:val="center"/>
              <w:rPr>
                <w:rFonts w:hint="eastAsia" w:ascii="宋体" w:hAnsi="宋体" w:cs="宋体"/>
                <w:color w:val="auto"/>
                <w:kern w:val="2"/>
                <w:sz w:val="21"/>
                <w:szCs w:val="21"/>
                <w:highlight w:val="none"/>
                <w:lang w:eastAsia="zh-CN"/>
              </w:rPr>
            </w:pP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3F7E2A4F">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A02061819热水器</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D91498D">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★电热水器</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1EBF6B23">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《储水式电热水器能效限定值及能效等级》（GB21519）</w:t>
            </w:r>
          </w:p>
        </w:tc>
      </w:tr>
      <w:tr w14:paraId="588C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92088F2">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DD481B9">
            <w:pPr>
              <w:pStyle w:val="53"/>
              <w:spacing w:before="30"/>
              <w:ind w:left="7"/>
              <w:jc w:val="center"/>
              <w:rPr>
                <w:rFonts w:hint="eastAsia" w:ascii="宋体" w:hAnsi="宋体" w:cs="宋体"/>
                <w:color w:val="auto"/>
                <w:kern w:val="2"/>
                <w:sz w:val="21"/>
                <w:szCs w:val="21"/>
                <w:highlight w:val="none"/>
                <w:lang w:eastAsia="zh-CN"/>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C36BFB8">
            <w:pPr>
              <w:pStyle w:val="53"/>
              <w:spacing w:before="30"/>
              <w:ind w:left="7"/>
              <w:jc w:val="center"/>
              <w:rPr>
                <w:rFonts w:hint="eastAsia" w:ascii="宋体" w:hAnsi="宋体" w:cs="宋体"/>
                <w:color w:val="auto"/>
                <w:kern w:val="2"/>
                <w:sz w:val="21"/>
                <w:szCs w:val="21"/>
                <w:highlight w:val="none"/>
                <w:lang w:eastAsia="zh-CN"/>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368030B">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燃气热水器</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7B6D8071">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《家用燃气快速热水器和燃气采暖热水炉能效限定值及能效等级》（GB20665）</w:t>
            </w:r>
          </w:p>
        </w:tc>
      </w:tr>
      <w:tr w14:paraId="0DC5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A9AB1E7">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79C2DDE">
            <w:pPr>
              <w:pStyle w:val="53"/>
              <w:spacing w:before="30"/>
              <w:ind w:left="7"/>
              <w:jc w:val="center"/>
              <w:rPr>
                <w:rFonts w:hint="eastAsia" w:ascii="宋体" w:hAnsi="宋体" w:cs="宋体"/>
                <w:color w:val="auto"/>
                <w:kern w:val="2"/>
                <w:sz w:val="21"/>
                <w:szCs w:val="21"/>
                <w:highlight w:val="none"/>
                <w:lang w:eastAsia="zh-CN"/>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1D5678C">
            <w:pPr>
              <w:pStyle w:val="53"/>
              <w:spacing w:before="30"/>
              <w:ind w:left="7"/>
              <w:jc w:val="center"/>
              <w:rPr>
                <w:rFonts w:hint="eastAsia" w:ascii="宋体" w:hAnsi="宋体" w:cs="宋体"/>
                <w:color w:val="auto"/>
                <w:kern w:val="2"/>
                <w:sz w:val="21"/>
                <w:szCs w:val="21"/>
                <w:highlight w:val="none"/>
                <w:lang w:eastAsia="zh-CN"/>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45D6C49">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热泵热水器</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5B84C5D5">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《热泵热水机（器）能效限定值及能效等级》（GB29541）</w:t>
            </w:r>
          </w:p>
        </w:tc>
      </w:tr>
      <w:tr w14:paraId="081D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82130E5">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DD78627">
            <w:pPr>
              <w:pStyle w:val="53"/>
              <w:spacing w:before="30"/>
              <w:ind w:left="7"/>
              <w:jc w:val="center"/>
              <w:rPr>
                <w:rFonts w:hint="eastAsia" w:ascii="宋体" w:hAnsi="宋体" w:cs="宋体"/>
                <w:color w:val="auto"/>
                <w:kern w:val="2"/>
                <w:sz w:val="21"/>
                <w:szCs w:val="21"/>
                <w:highlight w:val="none"/>
                <w:lang w:eastAsia="zh-CN"/>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EADF3E9">
            <w:pPr>
              <w:pStyle w:val="53"/>
              <w:spacing w:before="30"/>
              <w:ind w:left="7"/>
              <w:jc w:val="center"/>
              <w:rPr>
                <w:rFonts w:hint="eastAsia" w:ascii="宋体" w:hAnsi="宋体" w:cs="宋体"/>
                <w:color w:val="auto"/>
                <w:kern w:val="2"/>
                <w:sz w:val="21"/>
                <w:szCs w:val="21"/>
                <w:highlight w:val="none"/>
                <w:lang w:eastAsia="zh-CN"/>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21D54EE">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太阳能热水系统</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0B9F9122">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《家用太阳能热水系统能效限定值及能效等级》（GB26969）</w:t>
            </w:r>
          </w:p>
        </w:tc>
      </w:tr>
      <w:tr w14:paraId="7D61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73359EFA">
            <w:pPr>
              <w:pStyle w:val="53"/>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646A6221">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A02061900照明设备</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5CFB0083">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★普通照明用端荧光灯</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099D0C0">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0225C2D4">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《普通照明用双端荧光灯能效限定值及能效等级》（GB19043）</w:t>
            </w:r>
          </w:p>
        </w:tc>
      </w:tr>
      <w:tr w14:paraId="75BC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E6A9AD8">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419A14F">
            <w:pPr>
              <w:pStyle w:val="53"/>
              <w:spacing w:before="30"/>
              <w:ind w:left="7"/>
              <w:jc w:val="center"/>
              <w:rPr>
                <w:rFonts w:hint="eastAsia" w:ascii="宋体" w:hAnsi="宋体" w:cs="宋体"/>
                <w:color w:val="auto"/>
                <w:kern w:val="2"/>
                <w:sz w:val="21"/>
                <w:szCs w:val="21"/>
                <w:highlight w:val="none"/>
                <w:lang w:eastAsia="zh-CN"/>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06DF5007">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LED道路/隧道照明产品</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BD2AEC9">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324FDEC3">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《道路和隧道照明用LED灯具能效限定值及能效等级》（GB37478</w:t>
            </w:r>
          </w:p>
        </w:tc>
      </w:tr>
      <w:tr w14:paraId="757D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74EB3A8">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86D4F3B">
            <w:pPr>
              <w:pStyle w:val="53"/>
              <w:spacing w:before="30"/>
              <w:ind w:left="7"/>
              <w:jc w:val="center"/>
              <w:rPr>
                <w:rFonts w:hint="eastAsia" w:ascii="宋体" w:hAnsi="宋体" w:cs="宋体"/>
                <w:color w:val="auto"/>
                <w:kern w:val="2"/>
                <w:sz w:val="21"/>
                <w:szCs w:val="21"/>
                <w:highlight w:val="none"/>
                <w:lang w:eastAsia="zh-CN"/>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41F807D5">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LED筒灯</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A87D571">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24D2BEB5">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《室内照明用LED产品能效限定值及能效等级》（GB30255）</w:t>
            </w:r>
          </w:p>
        </w:tc>
      </w:tr>
      <w:tr w14:paraId="3E49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B236F3B">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63F83AB">
            <w:pPr>
              <w:pStyle w:val="53"/>
              <w:spacing w:before="30"/>
              <w:ind w:left="7"/>
              <w:jc w:val="center"/>
              <w:rPr>
                <w:rFonts w:hint="eastAsia" w:ascii="宋体" w:hAnsi="宋体" w:cs="宋体"/>
                <w:color w:val="auto"/>
                <w:kern w:val="2"/>
                <w:sz w:val="21"/>
                <w:szCs w:val="21"/>
                <w:highlight w:val="none"/>
                <w:lang w:eastAsia="zh-CN"/>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53FCB534">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普通照明用非定向自镇流LED灯</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0D68C1A">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4F5AC746">
            <w:pPr>
              <w:pStyle w:val="53"/>
              <w:spacing w:before="30"/>
              <w:ind w:left="7"/>
              <w:rPr>
                <w:rFonts w:hint="eastAsia" w:ascii="宋体" w:hAnsi="宋体" w:cs="宋体"/>
                <w:color w:val="auto"/>
                <w:kern w:val="2"/>
                <w:sz w:val="21"/>
                <w:szCs w:val="21"/>
                <w:highlight w:val="none"/>
                <w:lang w:eastAsia="zh-CN"/>
              </w:rPr>
            </w:pPr>
          </w:p>
          <w:p w14:paraId="027B7055">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《室内照明用LED产品能效限定值及能效等级》（GB30255）</w:t>
            </w:r>
          </w:p>
        </w:tc>
      </w:tr>
      <w:tr w14:paraId="34D2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0AEA2E83">
            <w:pPr>
              <w:pStyle w:val="53"/>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2</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7E5E5D45">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★A02091000电视设备</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18399D8D">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A02091001普通电视设备（电视机）</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1243FE4">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7C54C3B5">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《平板电视能效限定值及能效等级》（GB24850）</w:t>
            </w:r>
          </w:p>
        </w:tc>
      </w:tr>
      <w:tr w14:paraId="6C14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3D17AE14">
            <w:pPr>
              <w:pStyle w:val="53"/>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58CBF0A1">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★A02091100视频设备</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60390CF1">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A02091107视频监控设备</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73A7782">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监视器</w:t>
            </w: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740BD829">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以射频信号为主要信号输入的监视器应符合《平板电视能效限定值及能效等级》（GB24850），以数字信号为主要信号输入的监视器应符合《计算机显示器能效限定值及能效等级》（GB21520）</w:t>
            </w:r>
          </w:p>
        </w:tc>
      </w:tr>
      <w:tr w14:paraId="5945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571EB008">
            <w:pPr>
              <w:pStyle w:val="53"/>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17D37DAE">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A02241000饮食炊事机械</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31B1872D">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商用燃气灶具</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188C093">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4B222457">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《商用燃气灶具能效限定值及能效等级》（GB30531）</w:t>
            </w:r>
          </w:p>
        </w:tc>
      </w:tr>
      <w:tr w14:paraId="2D90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73FF360F">
            <w:pPr>
              <w:jc w:val="center"/>
              <w:rPr>
                <w:rFonts w:ascii="宋体" w:hAnsi="宋体"/>
                <w:color w:val="auto"/>
                <w:szCs w:val="21"/>
                <w:highlight w:val="none"/>
              </w:rPr>
            </w:pPr>
            <w:r>
              <w:rPr>
                <w:rFonts w:hint="eastAsia" w:ascii="宋体" w:hAnsi="宋体"/>
                <w:color w:val="auto"/>
                <w:szCs w:val="21"/>
                <w:highlight w:val="none"/>
              </w:rPr>
              <w:t>15</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00613182">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★A05020105便器</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04B5F71D">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坐便器</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12292DB">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1B1F3E99">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《坐便器水效限定值及水效等级》</w:t>
            </w:r>
          </w:p>
          <w:p w14:paraId="6F37D9C2">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（GB25502）</w:t>
            </w:r>
          </w:p>
        </w:tc>
      </w:tr>
      <w:tr w14:paraId="4B34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79352D5">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D19C6CD">
            <w:pPr>
              <w:pStyle w:val="53"/>
              <w:spacing w:before="30"/>
              <w:ind w:left="7"/>
              <w:jc w:val="center"/>
              <w:rPr>
                <w:rFonts w:hint="eastAsia" w:ascii="宋体" w:hAnsi="宋体" w:cs="宋体"/>
                <w:color w:val="auto"/>
                <w:kern w:val="2"/>
                <w:sz w:val="21"/>
                <w:szCs w:val="21"/>
                <w:highlight w:val="none"/>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56BDE85E">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蹲便器</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E87FE13">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4A4410B3">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《蹲便器用水效率限定值及用水效率等级》（GB30717）</w:t>
            </w:r>
          </w:p>
        </w:tc>
      </w:tr>
      <w:tr w14:paraId="7D54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2E040F3">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C8F7D1A">
            <w:pPr>
              <w:pStyle w:val="53"/>
              <w:spacing w:before="30"/>
              <w:ind w:left="7"/>
              <w:jc w:val="center"/>
              <w:rPr>
                <w:rFonts w:hint="eastAsia" w:ascii="宋体" w:hAnsi="宋体" w:cs="宋体"/>
                <w:color w:val="auto"/>
                <w:kern w:val="2"/>
                <w:sz w:val="21"/>
                <w:szCs w:val="21"/>
                <w:highlight w:val="none"/>
                <w:lang w:eastAsia="zh-CN"/>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05A9E712">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小便器</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C380580">
            <w:pPr>
              <w:pStyle w:val="53"/>
              <w:spacing w:before="30"/>
              <w:ind w:left="7"/>
              <w:jc w:val="center"/>
              <w:rPr>
                <w:rFonts w:hint="eastAsia" w:ascii="宋体" w:hAnsi="宋体" w:cs="宋体"/>
                <w:color w:val="auto"/>
                <w:kern w:val="2"/>
                <w:sz w:val="21"/>
                <w:szCs w:val="21"/>
                <w:highlight w:val="none"/>
                <w:lang w:eastAsia="zh-CN"/>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338CE0E1">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《小便器用水效率限定值及用水效率等级》（GB28377）</w:t>
            </w:r>
          </w:p>
        </w:tc>
      </w:tr>
      <w:tr w14:paraId="3BEF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60E6B90B">
            <w:pPr>
              <w:pStyle w:val="53"/>
              <w:jc w:val="center"/>
              <w:rPr>
                <w:rFonts w:ascii="宋体" w:hAnsi="宋体" w:cs="宋体"/>
                <w:color w:val="auto"/>
                <w:kern w:val="2"/>
                <w:sz w:val="21"/>
                <w:szCs w:val="21"/>
                <w:highlight w:val="none"/>
              </w:rPr>
            </w:pPr>
            <w:r>
              <w:rPr>
                <w:rFonts w:hint="eastAsia" w:ascii="宋体" w:hAnsi="宋体"/>
                <w:color w:val="auto"/>
                <w:kern w:val="2"/>
                <w:sz w:val="21"/>
                <w:szCs w:val="21"/>
                <w:highlight w:val="none"/>
              </w:rPr>
              <w:t>16</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18394E23">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★A05020106水嘴</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238014B9">
            <w:pPr>
              <w:pStyle w:val="53"/>
              <w:spacing w:before="30"/>
              <w:ind w:left="7"/>
              <w:jc w:val="center"/>
              <w:rPr>
                <w:rFonts w:hint="eastAsia" w:ascii="宋体" w:hAnsi="宋体" w:cs="宋体"/>
                <w:color w:val="auto"/>
                <w:kern w:val="2"/>
                <w:sz w:val="21"/>
                <w:szCs w:val="21"/>
                <w:highlight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86BB153">
            <w:pPr>
              <w:pStyle w:val="53"/>
              <w:spacing w:before="30"/>
              <w:ind w:left="7"/>
              <w:jc w:val="center"/>
              <w:rPr>
                <w:rFonts w:hint="eastAsia" w:ascii="宋体" w:hAnsi="宋体" w:cs="宋体"/>
                <w:color w:val="auto"/>
                <w:kern w:val="2"/>
                <w:sz w:val="21"/>
                <w:szCs w:val="21"/>
                <w:highlight w:val="none"/>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088972D1">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《水嘴用水效率限定值及用水效率等级》（GB 25501）</w:t>
            </w:r>
          </w:p>
        </w:tc>
      </w:tr>
      <w:tr w14:paraId="4362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307447AC">
            <w:pPr>
              <w:pStyle w:val="53"/>
              <w:jc w:val="center"/>
              <w:rPr>
                <w:rFonts w:ascii="宋体" w:hAnsi="宋体" w:cs="宋体"/>
                <w:color w:val="auto"/>
                <w:kern w:val="2"/>
                <w:sz w:val="21"/>
                <w:szCs w:val="21"/>
                <w:highlight w:val="none"/>
              </w:rPr>
            </w:pPr>
            <w:r>
              <w:rPr>
                <w:rFonts w:hint="eastAsia" w:ascii="宋体" w:hAnsi="宋体"/>
                <w:color w:val="auto"/>
                <w:kern w:val="2"/>
                <w:sz w:val="21"/>
                <w:szCs w:val="21"/>
                <w:highlight w:val="none"/>
              </w:rPr>
              <w:t>17</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59098CED">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A05020107便器冲洗阀</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0D995404">
            <w:pPr>
              <w:pStyle w:val="53"/>
              <w:spacing w:before="30"/>
              <w:ind w:left="7"/>
              <w:jc w:val="center"/>
              <w:rPr>
                <w:rFonts w:hint="eastAsia" w:ascii="宋体" w:hAnsi="宋体" w:cs="宋体"/>
                <w:color w:val="auto"/>
                <w:kern w:val="2"/>
                <w:sz w:val="21"/>
                <w:szCs w:val="21"/>
                <w:highlight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B4D9E16">
            <w:pPr>
              <w:pStyle w:val="53"/>
              <w:spacing w:before="30"/>
              <w:ind w:left="7"/>
              <w:jc w:val="center"/>
              <w:rPr>
                <w:rFonts w:hint="eastAsia" w:ascii="宋体" w:hAnsi="宋体" w:cs="宋体"/>
                <w:color w:val="auto"/>
                <w:kern w:val="2"/>
                <w:sz w:val="21"/>
                <w:szCs w:val="21"/>
                <w:highlight w:val="none"/>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1562EC28">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《便器冲洗阀用水效率限定值及用水效率等级》（GB28379）</w:t>
            </w:r>
          </w:p>
        </w:tc>
      </w:tr>
      <w:tr w14:paraId="023E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5EF6B4C0">
            <w:pPr>
              <w:pStyle w:val="53"/>
              <w:jc w:val="center"/>
              <w:rPr>
                <w:rFonts w:ascii="宋体" w:hAnsi="宋体" w:cs="宋体"/>
                <w:color w:val="auto"/>
                <w:kern w:val="2"/>
                <w:sz w:val="21"/>
                <w:szCs w:val="21"/>
                <w:highlight w:val="none"/>
              </w:rPr>
            </w:pPr>
            <w:r>
              <w:rPr>
                <w:rFonts w:hint="eastAsia" w:ascii="宋体" w:hAnsi="宋体"/>
                <w:color w:val="auto"/>
                <w:kern w:val="2"/>
                <w:sz w:val="21"/>
                <w:szCs w:val="21"/>
                <w:highlight w:val="none"/>
              </w:rPr>
              <w:t>18</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44B6C057">
            <w:pPr>
              <w:pStyle w:val="53"/>
              <w:spacing w:before="30"/>
              <w:ind w:left="7"/>
              <w:jc w:val="center"/>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A05020110淋浴器</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1D6BAD3B">
            <w:pPr>
              <w:pStyle w:val="53"/>
              <w:spacing w:before="30"/>
              <w:ind w:left="7"/>
              <w:jc w:val="center"/>
              <w:rPr>
                <w:rFonts w:hint="eastAsia" w:ascii="宋体" w:hAnsi="宋体" w:cs="宋体"/>
                <w:color w:val="auto"/>
                <w:kern w:val="2"/>
                <w:sz w:val="21"/>
                <w:szCs w:val="21"/>
                <w:highlight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B1894FE">
            <w:pPr>
              <w:pStyle w:val="53"/>
              <w:spacing w:before="30"/>
              <w:ind w:left="7"/>
              <w:jc w:val="center"/>
              <w:rPr>
                <w:rFonts w:hint="eastAsia" w:ascii="宋体" w:hAnsi="宋体" w:cs="宋体"/>
                <w:color w:val="auto"/>
                <w:kern w:val="2"/>
                <w:sz w:val="21"/>
                <w:szCs w:val="21"/>
                <w:highlight w:val="none"/>
              </w:rPr>
            </w:pPr>
          </w:p>
        </w:tc>
        <w:tc>
          <w:tcPr>
            <w:tcW w:w="4279" w:type="dxa"/>
            <w:tcBorders>
              <w:top w:val="single" w:color="000000" w:sz="4" w:space="0"/>
              <w:left w:val="single" w:color="000000" w:sz="4" w:space="0"/>
              <w:bottom w:val="single" w:color="000000" w:sz="4" w:space="0"/>
              <w:right w:val="single" w:color="000000" w:sz="4" w:space="0"/>
            </w:tcBorders>
            <w:noWrap w:val="0"/>
            <w:vAlign w:val="top"/>
          </w:tcPr>
          <w:p w14:paraId="7A1594F2">
            <w:pPr>
              <w:pStyle w:val="53"/>
              <w:spacing w:before="30"/>
              <w:ind w:left="7"/>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《淋浴器用水效率限定值及用水效率等级》（GB28378）</w:t>
            </w:r>
          </w:p>
        </w:tc>
      </w:tr>
    </w:tbl>
    <w:p w14:paraId="0DFE1A9C">
      <w:pPr>
        <w:pStyle w:val="2"/>
        <w:spacing w:line="360" w:lineRule="auto"/>
        <w:rPr>
          <w:rFonts w:hint="eastAsia" w:ascii="宋体" w:hAnsi="宋体"/>
          <w:color w:val="auto"/>
          <w:szCs w:val="21"/>
          <w:highlight w:val="none"/>
        </w:rPr>
      </w:pPr>
      <w:r>
        <w:rPr>
          <w:rFonts w:hint="eastAsia" w:ascii="宋体" w:hAnsi="宋体"/>
          <w:color w:val="auto"/>
          <w:spacing w:val="-3"/>
          <w:szCs w:val="21"/>
          <w:highlight w:val="none"/>
        </w:rPr>
        <w:t>注：</w:t>
      </w:r>
      <w:r>
        <w:rPr>
          <w:rFonts w:ascii="宋体" w:hAnsi="宋体"/>
          <w:color w:val="auto"/>
          <w:spacing w:val="-3"/>
          <w:szCs w:val="21"/>
          <w:highlight w:val="none"/>
        </w:rPr>
        <w:t>1.</w:t>
      </w:r>
      <w:r>
        <w:rPr>
          <w:rFonts w:hint="eastAsia" w:ascii="宋体" w:hAnsi="宋体"/>
          <w:color w:val="auto"/>
          <w:spacing w:val="-3"/>
          <w:szCs w:val="21"/>
          <w:highlight w:val="none"/>
        </w:rPr>
        <w:t>节能产品认证应依据相关国家标准的最新版本，依据国家标准中二级能效（水效）</w:t>
      </w:r>
      <w:r>
        <w:rPr>
          <w:rFonts w:hint="eastAsia" w:ascii="宋体" w:hAnsi="宋体"/>
          <w:color w:val="auto"/>
          <w:szCs w:val="21"/>
          <w:highlight w:val="none"/>
        </w:rPr>
        <w:t>指标。</w:t>
      </w:r>
    </w:p>
    <w:p w14:paraId="6FDA7DE9">
      <w:pPr>
        <w:pStyle w:val="2"/>
        <w:spacing w:line="360" w:lineRule="auto"/>
        <w:ind w:firstLine="465"/>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.以</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w:t>
      </w:r>
      <w:r>
        <w:rPr>
          <w:rFonts w:hint="eastAsia" w:ascii="宋体" w:hAnsi="宋体"/>
          <w:color w:val="auto"/>
          <w:szCs w:val="21"/>
          <w:highlight w:val="none"/>
        </w:rPr>
        <w:t>标注的为政府强制采购产品。</w:t>
      </w:r>
    </w:p>
    <w:p w14:paraId="3C3BD5BF">
      <w:pPr>
        <w:pStyle w:val="13"/>
        <w:jc w:val="left"/>
        <w:rPr>
          <w:rFonts w:hint="eastAsia" w:ascii="Arial Unicode MS" w:hAnsi="Arial Unicode MS" w:eastAsia="Arial Unicode MS" w:cs="Arial Unicode MS"/>
          <w:color w:val="auto"/>
          <w:sz w:val="32"/>
          <w:szCs w:val="32"/>
          <w:highlight w:val="none"/>
        </w:rPr>
      </w:pPr>
      <w:r>
        <w:rPr>
          <w:rFonts w:hint="eastAsia" w:hAnsi="宋体"/>
          <w:color w:val="auto"/>
          <w:sz w:val="21"/>
          <w:highlight w:val="none"/>
        </w:rPr>
        <w:t>3.本表格原为《关于印发节能产品政府采购品目清单的通知》（财库〔2019〕19号）规定的表格附件，其中名称及编码已根据《财政部关于印发〈政府采购品目分类目录〉的通知》（财库〔2022〕31号）修改。</w:t>
      </w:r>
    </w:p>
    <w:p w14:paraId="46D63F0B">
      <w:pPr>
        <w:tabs>
          <w:tab w:val="left" w:pos="180"/>
          <w:tab w:val="left" w:pos="1620"/>
        </w:tabs>
        <w:spacing w:line="400" w:lineRule="exact"/>
        <w:ind w:firstLine="420" w:firstLineChars="200"/>
        <w:rPr>
          <w:rFonts w:hint="eastAsia" w:ascii="宋体" w:hAnsi="宋体" w:cs="宋体"/>
          <w:color w:val="auto"/>
          <w:szCs w:val="21"/>
          <w:highlight w:val="none"/>
        </w:rPr>
      </w:pPr>
    </w:p>
    <w:p w14:paraId="40408BCC">
      <w:pPr>
        <w:pStyle w:val="2"/>
        <w:spacing w:line="360" w:lineRule="auto"/>
        <w:rPr>
          <w:color w:val="auto"/>
          <w:szCs w:val="21"/>
          <w:highlight w:val="none"/>
        </w:rPr>
      </w:pPr>
    </w:p>
    <w:p w14:paraId="0E97B0E7">
      <w:pPr>
        <w:pStyle w:val="2"/>
        <w:spacing w:line="360" w:lineRule="auto"/>
        <w:rPr>
          <w:color w:val="auto"/>
          <w:szCs w:val="21"/>
          <w:highlight w:val="none"/>
        </w:rPr>
      </w:pPr>
    </w:p>
    <w:p w14:paraId="66ED408F">
      <w:pPr>
        <w:pStyle w:val="2"/>
        <w:spacing w:line="360" w:lineRule="auto"/>
        <w:rPr>
          <w:color w:val="auto"/>
          <w:szCs w:val="21"/>
          <w:highlight w:val="none"/>
        </w:rPr>
      </w:pPr>
    </w:p>
    <w:p w14:paraId="0726F0FF">
      <w:pPr>
        <w:pStyle w:val="2"/>
        <w:spacing w:line="360" w:lineRule="auto"/>
        <w:rPr>
          <w:color w:val="auto"/>
          <w:szCs w:val="21"/>
          <w:highlight w:val="none"/>
        </w:rPr>
      </w:pPr>
    </w:p>
    <w:p w14:paraId="59413446">
      <w:pPr>
        <w:pStyle w:val="2"/>
        <w:spacing w:line="360" w:lineRule="auto"/>
        <w:rPr>
          <w:color w:val="auto"/>
          <w:szCs w:val="21"/>
          <w:highlight w:val="none"/>
        </w:rPr>
      </w:pPr>
    </w:p>
    <w:p w14:paraId="600926A1">
      <w:pPr>
        <w:pStyle w:val="2"/>
        <w:spacing w:line="360" w:lineRule="auto"/>
        <w:rPr>
          <w:color w:val="auto"/>
          <w:szCs w:val="21"/>
          <w:highlight w:val="none"/>
        </w:rPr>
      </w:pPr>
    </w:p>
    <w:p w14:paraId="122AB66B">
      <w:pPr>
        <w:pStyle w:val="2"/>
        <w:spacing w:line="360" w:lineRule="auto"/>
        <w:rPr>
          <w:color w:val="auto"/>
          <w:szCs w:val="21"/>
          <w:highlight w:val="none"/>
        </w:rPr>
      </w:pPr>
    </w:p>
    <w:p w14:paraId="43D3C0FE">
      <w:pPr>
        <w:pStyle w:val="2"/>
        <w:spacing w:line="360" w:lineRule="auto"/>
        <w:rPr>
          <w:color w:val="auto"/>
          <w:szCs w:val="21"/>
          <w:highlight w:val="none"/>
        </w:rPr>
      </w:pPr>
    </w:p>
    <w:p w14:paraId="2B7ED7CA">
      <w:pPr>
        <w:pStyle w:val="2"/>
        <w:spacing w:line="360" w:lineRule="auto"/>
        <w:rPr>
          <w:color w:val="auto"/>
          <w:szCs w:val="21"/>
          <w:highlight w:val="none"/>
        </w:rPr>
      </w:pPr>
    </w:p>
    <w:p w14:paraId="33E02803">
      <w:pPr>
        <w:pStyle w:val="2"/>
        <w:spacing w:line="360" w:lineRule="auto"/>
        <w:rPr>
          <w:color w:val="auto"/>
          <w:szCs w:val="21"/>
          <w:highlight w:val="none"/>
        </w:rPr>
      </w:pPr>
    </w:p>
    <w:p w14:paraId="43E95621">
      <w:pPr>
        <w:pStyle w:val="13"/>
        <w:jc w:val="left"/>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cs="Arial Unicode MS"/>
          <w:color w:val="auto"/>
          <w:sz w:val="32"/>
          <w:szCs w:val="32"/>
          <w:highlight w:val="none"/>
        </w:rPr>
        <w:t>2</w:t>
      </w:r>
      <w:r>
        <w:rPr>
          <w:rFonts w:hint="eastAsia" w:ascii="Arial Unicode MS" w:hAnsi="Arial Unicode MS" w:eastAsia="Arial Unicode MS" w:cs="Arial Unicode MS"/>
          <w:color w:val="auto"/>
          <w:sz w:val="32"/>
          <w:szCs w:val="32"/>
          <w:highlight w:val="none"/>
        </w:rPr>
        <w:t>：</w:t>
      </w:r>
    </w:p>
    <w:p w14:paraId="288253F2">
      <w:pPr>
        <w:spacing w:line="528" w:lineRule="exact"/>
        <w:ind w:left="1871"/>
        <w:rPr>
          <w:rFonts w:hint="eastAsia" w:ascii="Arial Unicode MS" w:hAnsi="Arial Unicode MS" w:eastAsia="Arial Unicode MS" w:cs="Arial Unicode MS"/>
          <w:color w:val="auto"/>
          <w:sz w:val="40"/>
          <w:szCs w:val="40"/>
          <w:highlight w:val="none"/>
        </w:rPr>
      </w:pPr>
      <w:r>
        <w:rPr>
          <w:rFonts w:hint="eastAsia" w:ascii="Arial Unicode MS" w:hAnsi="Arial Unicode MS" w:eastAsia="Arial Unicode MS" w:cs="Arial Unicode MS"/>
          <w:color w:val="auto"/>
          <w:sz w:val="40"/>
          <w:szCs w:val="40"/>
          <w:highlight w:val="none"/>
        </w:rPr>
        <w:t>中小微企业划型标准</w:t>
      </w:r>
    </w:p>
    <w:tbl>
      <w:tblPr>
        <w:tblStyle w:val="24"/>
        <w:tblW w:w="0" w:type="auto"/>
        <w:jc w:val="center"/>
        <w:tblLayout w:type="fixed"/>
        <w:tblCellMar>
          <w:top w:w="0" w:type="dxa"/>
          <w:left w:w="108" w:type="dxa"/>
          <w:bottom w:w="0" w:type="dxa"/>
          <w:right w:w="108" w:type="dxa"/>
        </w:tblCellMar>
      </w:tblPr>
      <w:tblGrid>
        <w:gridCol w:w="1935"/>
        <w:gridCol w:w="1575"/>
        <w:gridCol w:w="1036"/>
        <w:gridCol w:w="1844"/>
        <w:gridCol w:w="1636"/>
        <w:gridCol w:w="1050"/>
      </w:tblGrid>
      <w:tr w14:paraId="4F168CF9">
        <w:tblPrEx>
          <w:tblCellMar>
            <w:top w:w="0" w:type="dxa"/>
            <w:left w:w="108" w:type="dxa"/>
            <w:bottom w:w="0" w:type="dxa"/>
            <w:right w:w="108" w:type="dxa"/>
          </w:tblCellMar>
        </w:tblPrEx>
        <w:trPr>
          <w:trHeight w:val="449" w:hRule="atLeast"/>
          <w:jc w:val="center"/>
        </w:trPr>
        <w:tc>
          <w:tcPr>
            <w:tcW w:w="1935" w:type="dxa"/>
            <w:tcBorders>
              <w:top w:val="single" w:color="auto" w:sz="4" w:space="0"/>
              <w:left w:val="single" w:color="auto" w:sz="4" w:space="0"/>
              <w:bottom w:val="single" w:color="auto" w:sz="4" w:space="0"/>
              <w:right w:val="single" w:color="auto" w:sz="4" w:space="0"/>
            </w:tcBorders>
            <w:noWrap w:val="0"/>
            <w:vAlign w:val="center"/>
          </w:tcPr>
          <w:p w14:paraId="152E50D8">
            <w:pPr>
              <w:widowControl/>
              <w:jc w:val="left"/>
              <w:rPr>
                <w:rFonts w:hint="eastAsia" w:ascii="新宋体" w:hAnsi="新宋体" w:eastAsia="新宋体" w:cs="新宋体"/>
                <w:b/>
                <w:color w:val="auto"/>
                <w:kern w:val="0"/>
                <w:sz w:val="18"/>
                <w:szCs w:val="18"/>
                <w:highlight w:val="none"/>
              </w:rPr>
            </w:pPr>
            <w:r>
              <w:rPr>
                <w:rFonts w:hint="eastAsia" w:ascii="新宋体" w:hAnsi="新宋体" w:eastAsia="新宋体" w:cs="新宋体"/>
                <w:b/>
                <w:color w:val="auto"/>
                <w:kern w:val="0"/>
                <w:sz w:val="18"/>
                <w:szCs w:val="18"/>
                <w:highlight w:val="none"/>
              </w:rPr>
              <w:t>行业名称</w:t>
            </w:r>
          </w:p>
        </w:tc>
        <w:tc>
          <w:tcPr>
            <w:tcW w:w="1575" w:type="dxa"/>
            <w:tcBorders>
              <w:top w:val="single" w:color="auto" w:sz="4" w:space="0"/>
              <w:left w:val="nil"/>
              <w:bottom w:val="single" w:color="auto" w:sz="4" w:space="0"/>
              <w:right w:val="single" w:color="auto" w:sz="4" w:space="0"/>
            </w:tcBorders>
            <w:noWrap w:val="0"/>
            <w:vAlign w:val="center"/>
          </w:tcPr>
          <w:p w14:paraId="5CAABBA6">
            <w:pPr>
              <w:widowControl/>
              <w:jc w:val="left"/>
              <w:rPr>
                <w:rFonts w:hint="eastAsia" w:ascii="新宋体" w:hAnsi="新宋体" w:eastAsia="新宋体" w:cs="新宋体"/>
                <w:b/>
                <w:color w:val="auto"/>
                <w:kern w:val="0"/>
                <w:sz w:val="18"/>
                <w:szCs w:val="18"/>
                <w:highlight w:val="none"/>
              </w:rPr>
            </w:pPr>
            <w:r>
              <w:rPr>
                <w:rFonts w:hint="eastAsia" w:ascii="新宋体" w:hAnsi="新宋体" w:eastAsia="新宋体" w:cs="新宋体"/>
                <w:b/>
                <w:color w:val="auto"/>
                <w:kern w:val="0"/>
                <w:sz w:val="18"/>
                <w:szCs w:val="18"/>
                <w:highlight w:val="none"/>
              </w:rPr>
              <w:t>指标名称</w:t>
            </w:r>
          </w:p>
        </w:tc>
        <w:tc>
          <w:tcPr>
            <w:tcW w:w="1036" w:type="dxa"/>
            <w:tcBorders>
              <w:top w:val="single" w:color="auto" w:sz="4" w:space="0"/>
              <w:left w:val="nil"/>
              <w:bottom w:val="single" w:color="auto" w:sz="4" w:space="0"/>
              <w:right w:val="single" w:color="auto" w:sz="4" w:space="0"/>
            </w:tcBorders>
            <w:noWrap w:val="0"/>
            <w:vAlign w:val="center"/>
          </w:tcPr>
          <w:p w14:paraId="1E9843D5">
            <w:pPr>
              <w:widowControl/>
              <w:jc w:val="left"/>
              <w:rPr>
                <w:rFonts w:hint="eastAsia" w:ascii="新宋体" w:hAnsi="新宋体" w:eastAsia="新宋体" w:cs="新宋体"/>
                <w:b/>
                <w:color w:val="auto"/>
                <w:kern w:val="0"/>
                <w:sz w:val="18"/>
                <w:szCs w:val="18"/>
                <w:highlight w:val="none"/>
              </w:rPr>
            </w:pPr>
            <w:r>
              <w:rPr>
                <w:rFonts w:hint="eastAsia" w:ascii="新宋体" w:hAnsi="新宋体" w:eastAsia="新宋体" w:cs="新宋体"/>
                <w:b/>
                <w:color w:val="auto"/>
                <w:kern w:val="0"/>
                <w:sz w:val="18"/>
                <w:szCs w:val="18"/>
                <w:highlight w:val="none"/>
              </w:rPr>
              <w:t>计量单位</w:t>
            </w:r>
          </w:p>
        </w:tc>
        <w:tc>
          <w:tcPr>
            <w:tcW w:w="1844" w:type="dxa"/>
            <w:tcBorders>
              <w:top w:val="single" w:color="auto" w:sz="4" w:space="0"/>
              <w:left w:val="nil"/>
              <w:bottom w:val="single" w:color="auto" w:sz="4" w:space="0"/>
              <w:right w:val="single" w:color="auto" w:sz="4" w:space="0"/>
            </w:tcBorders>
            <w:noWrap w:val="0"/>
            <w:vAlign w:val="center"/>
          </w:tcPr>
          <w:p w14:paraId="7147A355">
            <w:pPr>
              <w:widowControl/>
              <w:jc w:val="left"/>
              <w:rPr>
                <w:rFonts w:hint="eastAsia" w:ascii="新宋体" w:hAnsi="新宋体" w:eastAsia="新宋体" w:cs="新宋体"/>
                <w:b/>
                <w:color w:val="auto"/>
                <w:kern w:val="0"/>
                <w:sz w:val="18"/>
                <w:szCs w:val="18"/>
                <w:highlight w:val="none"/>
              </w:rPr>
            </w:pPr>
            <w:r>
              <w:rPr>
                <w:rFonts w:hint="eastAsia" w:ascii="新宋体" w:hAnsi="新宋体" w:eastAsia="新宋体" w:cs="新宋体"/>
                <w:b/>
                <w:color w:val="auto"/>
                <w:kern w:val="0"/>
                <w:sz w:val="18"/>
                <w:szCs w:val="18"/>
                <w:highlight w:val="none"/>
              </w:rPr>
              <w:t>中型</w:t>
            </w:r>
          </w:p>
        </w:tc>
        <w:tc>
          <w:tcPr>
            <w:tcW w:w="1636" w:type="dxa"/>
            <w:tcBorders>
              <w:top w:val="single" w:color="auto" w:sz="4" w:space="0"/>
              <w:left w:val="nil"/>
              <w:bottom w:val="single" w:color="auto" w:sz="4" w:space="0"/>
              <w:right w:val="single" w:color="auto" w:sz="4" w:space="0"/>
            </w:tcBorders>
            <w:noWrap w:val="0"/>
            <w:vAlign w:val="center"/>
          </w:tcPr>
          <w:p w14:paraId="1E692F89">
            <w:pPr>
              <w:widowControl/>
              <w:jc w:val="left"/>
              <w:rPr>
                <w:rFonts w:hint="eastAsia" w:ascii="新宋体" w:hAnsi="新宋体" w:eastAsia="新宋体" w:cs="新宋体"/>
                <w:b/>
                <w:color w:val="auto"/>
                <w:kern w:val="0"/>
                <w:sz w:val="18"/>
                <w:szCs w:val="18"/>
                <w:highlight w:val="none"/>
              </w:rPr>
            </w:pPr>
            <w:r>
              <w:rPr>
                <w:rFonts w:hint="eastAsia" w:ascii="新宋体" w:hAnsi="新宋体" w:eastAsia="新宋体" w:cs="新宋体"/>
                <w:b/>
                <w:color w:val="auto"/>
                <w:kern w:val="0"/>
                <w:sz w:val="18"/>
                <w:szCs w:val="18"/>
                <w:highlight w:val="none"/>
              </w:rPr>
              <w:t>小型</w:t>
            </w:r>
          </w:p>
        </w:tc>
        <w:tc>
          <w:tcPr>
            <w:tcW w:w="1050" w:type="dxa"/>
            <w:tcBorders>
              <w:top w:val="single" w:color="auto" w:sz="4" w:space="0"/>
              <w:left w:val="nil"/>
              <w:bottom w:val="single" w:color="auto" w:sz="4" w:space="0"/>
              <w:right w:val="single" w:color="auto" w:sz="4" w:space="0"/>
            </w:tcBorders>
            <w:noWrap w:val="0"/>
            <w:vAlign w:val="center"/>
          </w:tcPr>
          <w:p w14:paraId="01293609">
            <w:pPr>
              <w:widowControl/>
              <w:jc w:val="left"/>
              <w:rPr>
                <w:rFonts w:hint="eastAsia" w:ascii="新宋体" w:hAnsi="新宋体" w:eastAsia="新宋体" w:cs="新宋体"/>
                <w:b/>
                <w:color w:val="auto"/>
                <w:kern w:val="0"/>
                <w:sz w:val="18"/>
                <w:szCs w:val="18"/>
                <w:highlight w:val="none"/>
              </w:rPr>
            </w:pPr>
            <w:r>
              <w:rPr>
                <w:rFonts w:hint="eastAsia" w:ascii="新宋体" w:hAnsi="新宋体" w:eastAsia="新宋体" w:cs="新宋体"/>
                <w:b/>
                <w:color w:val="auto"/>
                <w:kern w:val="0"/>
                <w:sz w:val="18"/>
                <w:szCs w:val="18"/>
                <w:highlight w:val="none"/>
              </w:rPr>
              <w:t>微型</w:t>
            </w:r>
          </w:p>
        </w:tc>
      </w:tr>
      <w:tr w14:paraId="34DAF8A1">
        <w:tblPrEx>
          <w:tblCellMar>
            <w:top w:w="0" w:type="dxa"/>
            <w:left w:w="108" w:type="dxa"/>
            <w:bottom w:w="0" w:type="dxa"/>
            <w:right w:w="108" w:type="dxa"/>
          </w:tblCellMar>
        </w:tblPrEx>
        <w:trPr>
          <w:trHeight w:val="302" w:hRule="atLeast"/>
          <w:jc w:val="center"/>
        </w:trPr>
        <w:tc>
          <w:tcPr>
            <w:tcW w:w="1935" w:type="dxa"/>
            <w:tcBorders>
              <w:top w:val="nil"/>
              <w:left w:val="single" w:color="auto" w:sz="4" w:space="0"/>
              <w:bottom w:val="single" w:color="auto" w:sz="4" w:space="0"/>
              <w:right w:val="single" w:color="auto" w:sz="4" w:space="0"/>
            </w:tcBorders>
            <w:noWrap w:val="0"/>
            <w:vAlign w:val="center"/>
          </w:tcPr>
          <w:p w14:paraId="479C0D0B">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农、林、牧、渔</w:t>
            </w:r>
          </w:p>
        </w:tc>
        <w:tc>
          <w:tcPr>
            <w:tcW w:w="1575" w:type="dxa"/>
            <w:tcBorders>
              <w:top w:val="nil"/>
              <w:left w:val="nil"/>
              <w:bottom w:val="single" w:color="auto" w:sz="4" w:space="0"/>
              <w:right w:val="single" w:color="auto" w:sz="4" w:space="0"/>
            </w:tcBorders>
            <w:noWrap w:val="0"/>
            <w:vAlign w:val="center"/>
          </w:tcPr>
          <w:p w14:paraId="7F61D8DA">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3C139E1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327AA33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500≤Y＜20000</w:t>
            </w:r>
          </w:p>
        </w:tc>
        <w:tc>
          <w:tcPr>
            <w:tcW w:w="1636" w:type="dxa"/>
            <w:tcBorders>
              <w:top w:val="nil"/>
              <w:left w:val="nil"/>
              <w:bottom w:val="single" w:color="auto" w:sz="4" w:space="0"/>
              <w:right w:val="single" w:color="auto" w:sz="4" w:space="0"/>
            </w:tcBorders>
            <w:noWrap w:val="0"/>
            <w:vAlign w:val="center"/>
          </w:tcPr>
          <w:p w14:paraId="32BCDE2C">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50≤Y＜500</w:t>
            </w:r>
          </w:p>
        </w:tc>
        <w:tc>
          <w:tcPr>
            <w:tcW w:w="1050" w:type="dxa"/>
            <w:tcBorders>
              <w:top w:val="nil"/>
              <w:left w:val="nil"/>
              <w:bottom w:val="single" w:color="auto" w:sz="4" w:space="0"/>
              <w:right w:val="single" w:color="auto" w:sz="4" w:space="0"/>
            </w:tcBorders>
            <w:noWrap w:val="0"/>
            <w:vAlign w:val="center"/>
          </w:tcPr>
          <w:p w14:paraId="42DDA5D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Y＜50</w:t>
            </w:r>
          </w:p>
        </w:tc>
      </w:tr>
      <w:tr w14:paraId="4C1B0764">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2DC00970">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工业</w:t>
            </w:r>
          </w:p>
        </w:tc>
        <w:tc>
          <w:tcPr>
            <w:tcW w:w="1575" w:type="dxa"/>
            <w:tcBorders>
              <w:top w:val="nil"/>
              <w:left w:val="nil"/>
              <w:bottom w:val="single" w:color="auto" w:sz="4" w:space="0"/>
              <w:right w:val="single" w:color="auto" w:sz="4" w:space="0"/>
            </w:tcBorders>
            <w:noWrap w:val="0"/>
            <w:vAlign w:val="center"/>
          </w:tcPr>
          <w:p w14:paraId="688DC6E4">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2CEE6F6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580380FA">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300≤X＜1000</w:t>
            </w:r>
          </w:p>
        </w:tc>
        <w:tc>
          <w:tcPr>
            <w:tcW w:w="1636" w:type="dxa"/>
            <w:tcBorders>
              <w:top w:val="nil"/>
              <w:left w:val="nil"/>
              <w:bottom w:val="single" w:color="auto" w:sz="4" w:space="0"/>
              <w:right w:val="single" w:color="auto" w:sz="4" w:space="0"/>
            </w:tcBorders>
            <w:noWrap w:val="0"/>
            <w:vAlign w:val="center"/>
          </w:tcPr>
          <w:p w14:paraId="269B3A8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20≤X＜300</w:t>
            </w:r>
          </w:p>
        </w:tc>
        <w:tc>
          <w:tcPr>
            <w:tcW w:w="1050" w:type="dxa"/>
            <w:tcBorders>
              <w:top w:val="nil"/>
              <w:left w:val="nil"/>
              <w:bottom w:val="single" w:color="auto" w:sz="4" w:space="0"/>
              <w:right w:val="single" w:color="auto" w:sz="4" w:space="0"/>
            </w:tcBorders>
            <w:noWrap w:val="0"/>
            <w:vAlign w:val="center"/>
          </w:tcPr>
          <w:p w14:paraId="1FAB695E">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X＜20</w:t>
            </w:r>
          </w:p>
        </w:tc>
      </w:tr>
      <w:tr w14:paraId="2D4C77E0">
        <w:tblPrEx>
          <w:tblCellMar>
            <w:top w:w="0" w:type="dxa"/>
            <w:left w:w="108" w:type="dxa"/>
            <w:bottom w:w="0" w:type="dxa"/>
            <w:right w:w="108" w:type="dxa"/>
          </w:tblCellMar>
        </w:tblPrEx>
        <w:trPr>
          <w:trHeight w:val="415"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55443D3F">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6490354F">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694A349F">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084F92CA">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2000≤Y＜40000</w:t>
            </w:r>
          </w:p>
        </w:tc>
        <w:tc>
          <w:tcPr>
            <w:tcW w:w="1636" w:type="dxa"/>
            <w:tcBorders>
              <w:top w:val="nil"/>
              <w:left w:val="nil"/>
              <w:bottom w:val="single" w:color="auto" w:sz="4" w:space="0"/>
              <w:right w:val="single" w:color="auto" w:sz="4" w:space="0"/>
            </w:tcBorders>
            <w:noWrap w:val="0"/>
            <w:vAlign w:val="center"/>
          </w:tcPr>
          <w:p w14:paraId="24C032FE">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300≤Y＜2000</w:t>
            </w:r>
          </w:p>
        </w:tc>
        <w:tc>
          <w:tcPr>
            <w:tcW w:w="1050" w:type="dxa"/>
            <w:tcBorders>
              <w:top w:val="nil"/>
              <w:left w:val="nil"/>
              <w:bottom w:val="single" w:color="auto" w:sz="4" w:space="0"/>
              <w:right w:val="single" w:color="auto" w:sz="4" w:space="0"/>
            </w:tcBorders>
            <w:noWrap w:val="0"/>
            <w:vAlign w:val="center"/>
          </w:tcPr>
          <w:p w14:paraId="225E651C">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Y＜300</w:t>
            </w:r>
          </w:p>
        </w:tc>
      </w:tr>
      <w:tr w14:paraId="6B2DA383">
        <w:tblPrEx>
          <w:tblCellMar>
            <w:top w:w="0" w:type="dxa"/>
            <w:left w:w="108" w:type="dxa"/>
            <w:bottom w:w="0" w:type="dxa"/>
            <w:right w:w="108" w:type="dxa"/>
          </w:tblCellMar>
        </w:tblPrEx>
        <w:trPr>
          <w:trHeight w:val="415"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5BDF2ABC">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建筑业</w:t>
            </w:r>
          </w:p>
        </w:tc>
        <w:tc>
          <w:tcPr>
            <w:tcW w:w="1575" w:type="dxa"/>
            <w:tcBorders>
              <w:top w:val="nil"/>
              <w:left w:val="nil"/>
              <w:bottom w:val="single" w:color="auto" w:sz="4" w:space="0"/>
              <w:right w:val="single" w:color="auto" w:sz="4" w:space="0"/>
            </w:tcBorders>
            <w:noWrap w:val="0"/>
            <w:vAlign w:val="center"/>
          </w:tcPr>
          <w:p w14:paraId="4E280B90">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273277C0">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48C556DA">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6000≤Y＜80000</w:t>
            </w:r>
          </w:p>
        </w:tc>
        <w:tc>
          <w:tcPr>
            <w:tcW w:w="1636" w:type="dxa"/>
            <w:tcBorders>
              <w:top w:val="nil"/>
              <w:left w:val="nil"/>
              <w:bottom w:val="single" w:color="auto" w:sz="4" w:space="0"/>
              <w:right w:val="single" w:color="auto" w:sz="4" w:space="0"/>
            </w:tcBorders>
            <w:noWrap w:val="0"/>
            <w:vAlign w:val="center"/>
          </w:tcPr>
          <w:p w14:paraId="12FFCA3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300≤Y＜6000</w:t>
            </w:r>
          </w:p>
        </w:tc>
        <w:tc>
          <w:tcPr>
            <w:tcW w:w="1050" w:type="dxa"/>
            <w:tcBorders>
              <w:top w:val="nil"/>
              <w:left w:val="nil"/>
              <w:bottom w:val="single" w:color="auto" w:sz="4" w:space="0"/>
              <w:right w:val="single" w:color="auto" w:sz="4" w:space="0"/>
            </w:tcBorders>
            <w:noWrap w:val="0"/>
            <w:vAlign w:val="center"/>
          </w:tcPr>
          <w:p w14:paraId="2B3EC417">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Y＜300</w:t>
            </w:r>
          </w:p>
        </w:tc>
      </w:tr>
      <w:tr w14:paraId="1C813446">
        <w:tblPrEx>
          <w:tblCellMar>
            <w:top w:w="0" w:type="dxa"/>
            <w:left w:w="108" w:type="dxa"/>
            <w:bottom w:w="0" w:type="dxa"/>
            <w:right w:w="108" w:type="dxa"/>
          </w:tblCellMar>
        </w:tblPrEx>
        <w:trPr>
          <w:trHeight w:val="415"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213845C5">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76F37A37">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资产总额（Z）</w:t>
            </w:r>
          </w:p>
        </w:tc>
        <w:tc>
          <w:tcPr>
            <w:tcW w:w="1036" w:type="dxa"/>
            <w:tcBorders>
              <w:top w:val="nil"/>
              <w:left w:val="nil"/>
              <w:bottom w:val="single" w:color="auto" w:sz="4" w:space="0"/>
              <w:right w:val="single" w:color="auto" w:sz="4" w:space="0"/>
            </w:tcBorders>
            <w:noWrap w:val="0"/>
            <w:vAlign w:val="center"/>
          </w:tcPr>
          <w:p w14:paraId="3EDF067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1A6F3FE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5000≤Z＜80000</w:t>
            </w:r>
          </w:p>
        </w:tc>
        <w:tc>
          <w:tcPr>
            <w:tcW w:w="1636" w:type="dxa"/>
            <w:tcBorders>
              <w:top w:val="nil"/>
              <w:left w:val="nil"/>
              <w:bottom w:val="single" w:color="auto" w:sz="4" w:space="0"/>
              <w:right w:val="single" w:color="auto" w:sz="4" w:space="0"/>
            </w:tcBorders>
            <w:noWrap w:val="0"/>
            <w:vAlign w:val="center"/>
          </w:tcPr>
          <w:p w14:paraId="1BEAF8E7">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300≤Z＜5000</w:t>
            </w:r>
          </w:p>
        </w:tc>
        <w:tc>
          <w:tcPr>
            <w:tcW w:w="1050" w:type="dxa"/>
            <w:tcBorders>
              <w:top w:val="nil"/>
              <w:left w:val="nil"/>
              <w:bottom w:val="single" w:color="auto" w:sz="4" w:space="0"/>
              <w:right w:val="single" w:color="auto" w:sz="4" w:space="0"/>
            </w:tcBorders>
            <w:noWrap w:val="0"/>
            <w:vAlign w:val="center"/>
          </w:tcPr>
          <w:p w14:paraId="1C20A080">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Z＜300</w:t>
            </w:r>
          </w:p>
        </w:tc>
      </w:tr>
      <w:tr w14:paraId="61552F62">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01864863">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批发业</w:t>
            </w:r>
          </w:p>
        </w:tc>
        <w:tc>
          <w:tcPr>
            <w:tcW w:w="1575" w:type="dxa"/>
            <w:tcBorders>
              <w:top w:val="nil"/>
              <w:left w:val="nil"/>
              <w:bottom w:val="single" w:color="auto" w:sz="4" w:space="0"/>
              <w:right w:val="single" w:color="auto" w:sz="4" w:space="0"/>
            </w:tcBorders>
            <w:noWrap w:val="0"/>
            <w:vAlign w:val="center"/>
          </w:tcPr>
          <w:p w14:paraId="6B99161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4433790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0A89DD6C">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20≤X＜200</w:t>
            </w:r>
          </w:p>
        </w:tc>
        <w:tc>
          <w:tcPr>
            <w:tcW w:w="1636" w:type="dxa"/>
            <w:tcBorders>
              <w:top w:val="nil"/>
              <w:left w:val="nil"/>
              <w:bottom w:val="single" w:color="auto" w:sz="4" w:space="0"/>
              <w:right w:val="single" w:color="auto" w:sz="4" w:space="0"/>
            </w:tcBorders>
            <w:noWrap w:val="0"/>
            <w:vAlign w:val="center"/>
          </w:tcPr>
          <w:p w14:paraId="1D0D75FF">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5≤X＜20</w:t>
            </w:r>
          </w:p>
        </w:tc>
        <w:tc>
          <w:tcPr>
            <w:tcW w:w="1050" w:type="dxa"/>
            <w:tcBorders>
              <w:top w:val="nil"/>
              <w:left w:val="nil"/>
              <w:bottom w:val="single" w:color="auto" w:sz="4" w:space="0"/>
              <w:right w:val="single" w:color="auto" w:sz="4" w:space="0"/>
            </w:tcBorders>
            <w:noWrap w:val="0"/>
            <w:vAlign w:val="center"/>
          </w:tcPr>
          <w:p w14:paraId="6209B88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X＜5</w:t>
            </w:r>
          </w:p>
        </w:tc>
      </w:tr>
      <w:tr w14:paraId="671FE2BE">
        <w:tblPrEx>
          <w:tblCellMar>
            <w:top w:w="0" w:type="dxa"/>
            <w:left w:w="108" w:type="dxa"/>
            <w:bottom w:w="0" w:type="dxa"/>
            <w:right w:w="108" w:type="dxa"/>
          </w:tblCellMar>
        </w:tblPrEx>
        <w:trPr>
          <w:trHeight w:val="449"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00064A05">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7B1F9D22">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7A6E2FD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008D11E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5000≤Y＜40000</w:t>
            </w:r>
          </w:p>
        </w:tc>
        <w:tc>
          <w:tcPr>
            <w:tcW w:w="1636" w:type="dxa"/>
            <w:tcBorders>
              <w:top w:val="nil"/>
              <w:left w:val="nil"/>
              <w:bottom w:val="single" w:color="auto" w:sz="4" w:space="0"/>
              <w:right w:val="single" w:color="auto" w:sz="4" w:space="0"/>
            </w:tcBorders>
            <w:noWrap w:val="0"/>
            <w:vAlign w:val="center"/>
          </w:tcPr>
          <w:p w14:paraId="56B504C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1000≤Y＜5000</w:t>
            </w:r>
          </w:p>
        </w:tc>
        <w:tc>
          <w:tcPr>
            <w:tcW w:w="1050" w:type="dxa"/>
            <w:tcBorders>
              <w:top w:val="nil"/>
              <w:left w:val="nil"/>
              <w:bottom w:val="single" w:color="auto" w:sz="4" w:space="0"/>
              <w:right w:val="single" w:color="auto" w:sz="4" w:space="0"/>
            </w:tcBorders>
            <w:noWrap w:val="0"/>
            <w:vAlign w:val="center"/>
          </w:tcPr>
          <w:p w14:paraId="659FE9BA">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Y＜1000</w:t>
            </w:r>
          </w:p>
        </w:tc>
      </w:tr>
      <w:tr w14:paraId="245ABA17">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5F185C21">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零售业</w:t>
            </w:r>
          </w:p>
        </w:tc>
        <w:tc>
          <w:tcPr>
            <w:tcW w:w="1575" w:type="dxa"/>
            <w:tcBorders>
              <w:top w:val="nil"/>
              <w:left w:val="nil"/>
              <w:bottom w:val="single" w:color="auto" w:sz="4" w:space="0"/>
              <w:right w:val="single" w:color="auto" w:sz="4" w:space="0"/>
            </w:tcBorders>
            <w:noWrap w:val="0"/>
            <w:vAlign w:val="center"/>
          </w:tcPr>
          <w:p w14:paraId="27F8004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0A1C7E00">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7C8C81D2">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50≤X＜300</w:t>
            </w:r>
          </w:p>
        </w:tc>
        <w:tc>
          <w:tcPr>
            <w:tcW w:w="1636" w:type="dxa"/>
            <w:tcBorders>
              <w:top w:val="nil"/>
              <w:left w:val="nil"/>
              <w:bottom w:val="single" w:color="auto" w:sz="4" w:space="0"/>
              <w:right w:val="single" w:color="auto" w:sz="4" w:space="0"/>
            </w:tcBorders>
            <w:noWrap w:val="0"/>
            <w:vAlign w:val="center"/>
          </w:tcPr>
          <w:p w14:paraId="60C02D1C">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10≤X＜50</w:t>
            </w:r>
          </w:p>
        </w:tc>
        <w:tc>
          <w:tcPr>
            <w:tcW w:w="1050" w:type="dxa"/>
            <w:tcBorders>
              <w:top w:val="nil"/>
              <w:left w:val="nil"/>
              <w:bottom w:val="single" w:color="auto" w:sz="4" w:space="0"/>
              <w:right w:val="single" w:color="auto" w:sz="4" w:space="0"/>
            </w:tcBorders>
            <w:noWrap w:val="0"/>
            <w:vAlign w:val="center"/>
          </w:tcPr>
          <w:p w14:paraId="097EE7AF">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X＜10</w:t>
            </w:r>
          </w:p>
        </w:tc>
      </w:tr>
      <w:tr w14:paraId="14F299CE">
        <w:tblPrEx>
          <w:tblCellMar>
            <w:top w:w="0" w:type="dxa"/>
            <w:left w:w="108" w:type="dxa"/>
            <w:bottom w:w="0" w:type="dxa"/>
            <w:right w:w="108" w:type="dxa"/>
          </w:tblCellMar>
        </w:tblPrEx>
        <w:trPr>
          <w:trHeight w:val="302"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11B16B14">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77EFB90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7526A95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24D8501E">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500≤Y＜20000</w:t>
            </w:r>
          </w:p>
        </w:tc>
        <w:tc>
          <w:tcPr>
            <w:tcW w:w="1636" w:type="dxa"/>
            <w:tcBorders>
              <w:top w:val="nil"/>
              <w:left w:val="nil"/>
              <w:bottom w:val="single" w:color="auto" w:sz="4" w:space="0"/>
              <w:right w:val="single" w:color="auto" w:sz="4" w:space="0"/>
            </w:tcBorders>
            <w:noWrap w:val="0"/>
            <w:vAlign w:val="center"/>
          </w:tcPr>
          <w:p w14:paraId="2B2DC92E">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100≤Y＜500</w:t>
            </w:r>
          </w:p>
        </w:tc>
        <w:tc>
          <w:tcPr>
            <w:tcW w:w="1050" w:type="dxa"/>
            <w:tcBorders>
              <w:top w:val="nil"/>
              <w:left w:val="nil"/>
              <w:bottom w:val="single" w:color="auto" w:sz="4" w:space="0"/>
              <w:right w:val="single" w:color="auto" w:sz="4" w:space="0"/>
            </w:tcBorders>
            <w:noWrap w:val="0"/>
            <w:vAlign w:val="center"/>
          </w:tcPr>
          <w:p w14:paraId="6E11A08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Y＜100</w:t>
            </w:r>
          </w:p>
        </w:tc>
      </w:tr>
      <w:tr w14:paraId="3DDCC4CB">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66F2CF0B">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交通运输业</w:t>
            </w:r>
          </w:p>
        </w:tc>
        <w:tc>
          <w:tcPr>
            <w:tcW w:w="1575" w:type="dxa"/>
            <w:tcBorders>
              <w:top w:val="nil"/>
              <w:left w:val="nil"/>
              <w:bottom w:val="single" w:color="auto" w:sz="4" w:space="0"/>
              <w:right w:val="single" w:color="auto" w:sz="4" w:space="0"/>
            </w:tcBorders>
            <w:noWrap w:val="0"/>
            <w:vAlign w:val="center"/>
          </w:tcPr>
          <w:p w14:paraId="5A737FE2">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414B329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0FF6AA05">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300≤X＜1000</w:t>
            </w:r>
          </w:p>
        </w:tc>
        <w:tc>
          <w:tcPr>
            <w:tcW w:w="1636" w:type="dxa"/>
            <w:tcBorders>
              <w:top w:val="nil"/>
              <w:left w:val="nil"/>
              <w:bottom w:val="single" w:color="auto" w:sz="4" w:space="0"/>
              <w:right w:val="single" w:color="auto" w:sz="4" w:space="0"/>
            </w:tcBorders>
            <w:noWrap w:val="0"/>
            <w:vAlign w:val="center"/>
          </w:tcPr>
          <w:p w14:paraId="6F09755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20≤X＜300</w:t>
            </w:r>
          </w:p>
        </w:tc>
        <w:tc>
          <w:tcPr>
            <w:tcW w:w="1050" w:type="dxa"/>
            <w:tcBorders>
              <w:top w:val="nil"/>
              <w:left w:val="nil"/>
              <w:bottom w:val="single" w:color="auto" w:sz="4" w:space="0"/>
              <w:right w:val="single" w:color="auto" w:sz="4" w:space="0"/>
            </w:tcBorders>
            <w:noWrap w:val="0"/>
            <w:vAlign w:val="center"/>
          </w:tcPr>
          <w:p w14:paraId="5B3F43D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X＜20</w:t>
            </w:r>
          </w:p>
        </w:tc>
      </w:tr>
      <w:tr w14:paraId="6EF79060">
        <w:tblPrEx>
          <w:tblCellMar>
            <w:top w:w="0" w:type="dxa"/>
            <w:left w:w="108" w:type="dxa"/>
            <w:bottom w:w="0" w:type="dxa"/>
            <w:right w:w="108" w:type="dxa"/>
          </w:tblCellMar>
        </w:tblPrEx>
        <w:trPr>
          <w:trHeight w:val="415"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4867742B">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7D87878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5896BCA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1F8ACFF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3000≤Y＜30000</w:t>
            </w:r>
          </w:p>
        </w:tc>
        <w:tc>
          <w:tcPr>
            <w:tcW w:w="1636" w:type="dxa"/>
            <w:tcBorders>
              <w:top w:val="nil"/>
              <w:left w:val="nil"/>
              <w:bottom w:val="single" w:color="auto" w:sz="4" w:space="0"/>
              <w:right w:val="single" w:color="auto" w:sz="4" w:space="0"/>
            </w:tcBorders>
            <w:noWrap w:val="0"/>
            <w:vAlign w:val="center"/>
          </w:tcPr>
          <w:p w14:paraId="2B086670">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200≤Y＜3000</w:t>
            </w:r>
          </w:p>
        </w:tc>
        <w:tc>
          <w:tcPr>
            <w:tcW w:w="1050" w:type="dxa"/>
            <w:tcBorders>
              <w:top w:val="nil"/>
              <w:left w:val="nil"/>
              <w:bottom w:val="single" w:color="auto" w:sz="4" w:space="0"/>
              <w:right w:val="single" w:color="auto" w:sz="4" w:space="0"/>
            </w:tcBorders>
            <w:noWrap w:val="0"/>
            <w:vAlign w:val="center"/>
          </w:tcPr>
          <w:p w14:paraId="76853B9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Y＜200</w:t>
            </w:r>
          </w:p>
        </w:tc>
      </w:tr>
      <w:tr w14:paraId="31A69C1A">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0AF21B40">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仓储业</w:t>
            </w:r>
          </w:p>
        </w:tc>
        <w:tc>
          <w:tcPr>
            <w:tcW w:w="1575" w:type="dxa"/>
            <w:tcBorders>
              <w:top w:val="nil"/>
              <w:left w:val="nil"/>
              <w:bottom w:val="single" w:color="auto" w:sz="4" w:space="0"/>
              <w:right w:val="single" w:color="auto" w:sz="4" w:space="0"/>
            </w:tcBorders>
            <w:noWrap w:val="0"/>
            <w:vAlign w:val="center"/>
          </w:tcPr>
          <w:p w14:paraId="6A1C00EA">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5767653C">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2BBBD54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100≤X＜200</w:t>
            </w:r>
          </w:p>
        </w:tc>
        <w:tc>
          <w:tcPr>
            <w:tcW w:w="1636" w:type="dxa"/>
            <w:tcBorders>
              <w:top w:val="nil"/>
              <w:left w:val="nil"/>
              <w:bottom w:val="single" w:color="auto" w:sz="4" w:space="0"/>
              <w:right w:val="single" w:color="auto" w:sz="4" w:space="0"/>
            </w:tcBorders>
            <w:noWrap w:val="0"/>
            <w:vAlign w:val="center"/>
          </w:tcPr>
          <w:p w14:paraId="01499E25">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20≤X＜100</w:t>
            </w:r>
          </w:p>
        </w:tc>
        <w:tc>
          <w:tcPr>
            <w:tcW w:w="1050" w:type="dxa"/>
            <w:tcBorders>
              <w:top w:val="nil"/>
              <w:left w:val="nil"/>
              <w:bottom w:val="single" w:color="auto" w:sz="4" w:space="0"/>
              <w:right w:val="single" w:color="auto" w:sz="4" w:space="0"/>
            </w:tcBorders>
            <w:noWrap w:val="0"/>
            <w:vAlign w:val="center"/>
          </w:tcPr>
          <w:p w14:paraId="0C016F09">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X＜20</w:t>
            </w:r>
          </w:p>
        </w:tc>
      </w:tr>
      <w:tr w14:paraId="7F3B1828">
        <w:tblPrEx>
          <w:tblCellMar>
            <w:top w:w="0" w:type="dxa"/>
            <w:left w:w="108" w:type="dxa"/>
            <w:bottom w:w="0" w:type="dxa"/>
            <w:right w:w="108" w:type="dxa"/>
          </w:tblCellMar>
        </w:tblPrEx>
        <w:trPr>
          <w:trHeight w:val="415"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6677F05B">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20BD915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3144D96C">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1AA0AD10">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1000≤Y＜30000</w:t>
            </w:r>
          </w:p>
        </w:tc>
        <w:tc>
          <w:tcPr>
            <w:tcW w:w="1636" w:type="dxa"/>
            <w:tcBorders>
              <w:top w:val="nil"/>
              <w:left w:val="nil"/>
              <w:bottom w:val="single" w:color="auto" w:sz="4" w:space="0"/>
              <w:right w:val="single" w:color="auto" w:sz="4" w:space="0"/>
            </w:tcBorders>
            <w:noWrap w:val="0"/>
            <w:vAlign w:val="center"/>
          </w:tcPr>
          <w:p w14:paraId="7C43B910">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100≤Y＜1000</w:t>
            </w:r>
          </w:p>
        </w:tc>
        <w:tc>
          <w:tcPr>
            <w:tcW w:w="1050" w:type="dxa"/>
            <w:tcBorders>
              <w:top w:val="nil"/>
              <w:left w:val="nil"/>
              <w:bottom w:val="single" w:color="auto" w:sz="4" w:space="0"/>
              <w:right w:val="single" w:color="auto" w:sz="4" w:space="0"/>
            </w:tcBorders>
            <w:noWrap w:val="0"/>
            <w:vAlign w:val="center"/>
          </w:tcPr>
          <w:p w14:paraId="5D8C159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Y＜100</w:t>
            </w:r>
          </w:p>
        </w:tc>
      </w:tr>
      <w:tr w14:paraId="269556A7">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19193B0C">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邮政业</w:t>
            </w:r>
          </w:p>
        </w:tc>
        <w:tc>
          <w:tcPr>
            <w:tcW w:w="1575" w:type="dxa"/>
            <w:tcBorders>
              <w:top w:val="nil"/>
              <w:left w:val="nil"/>
              <w:bottom w:val="single" w:color="auto" w:sz="4" w:space="0"/>
              <w:right w:val="single" w:color="auto" w:sz="4" w:space="0"/>
            </w:tcBorders>
            <w:noWrap w:val="0"/>
            <w:vAlign w:val="center"/>
          </w:tcPr>
          <w:p w14:paraId="273D19E4">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62EC31D7">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170654A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300≤X＜1000</w:t>
            </w:r>
          </w:p>
        </w:tc>
        <w:tc>
          <w:tcPr>
            <w:tcW w:w="1636" w:type="dxa"/>
            <w:tcBorders>
              <w:top w:val="nil"/>
              <w:left w:val="nil"/>
              <w:bottom w:val="single" w:color="auto" w:sz="4" w:space="0"/>
              <w:right w:val="single" w:color="auto" w:sz="4" w:space="0"/>
            </w:tcBorders>
            <w:noWrap w:val="0"/>
            <w:vAlign w:val="center"/>
          </w:tcPr>
          <w:p w14:paraId="486125F5">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20≤X＜300</w:t>
            </w:r>
          </w:p>
        </w:tc>
        <w:tc>
          <w:tcPr>
            <w:tcW w:w="1050" w:type="dxa"/>
            <w:tcBorders>
              <w:top w:val="nil"/>
              <w:left w:val="nil"/>
              <w:bottom w:val="single" w:color="auto" w:sz="4" w:space="0"/>
              <w:right w:val="single" w:color="auto" w:sz="4" w:space="0"/>
            </w:tcBorders>
            <w:noWrap w:val="0"/>
            <w:vAlign w:val="center"/>
          </w:tcPr>
          <w:p w14:paraId="5677520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X＜20</w:t>
            </w:r>
          </w:p>
        </w:tc>
      </w:tr>
      <w:tr w14:paraId="2E0CCD69">
        <w:tblPrEx>
          <w:tblCellMar>
            <w:top w:w="0" w:type="dxa"/>
            <w:left w:w="108" w:type="dxa"/>
            <w:bottom w:w="0" w:type="dxa"/>
            <w:right w:w="108" w:type="dxa"/>
          </w:tblCellMar>
        </w:tblPrEx>
        <w:trPr>
          <w:trHeight w:val="415"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6BB9F388">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7070F810">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20165075">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0528160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2000≤Y＜30000</w:t>
            </w:r>
          </w:p>
        </w:tc>
        <w:tc>
          <w:tcPr>
            <w:tcW w:w="1636" w:type="dxa"/>
            <w:tcBorders>
              <w:top w:val="nil"/>
              <w:left w:val="nil"/>
              <w:bottom w:val="single" w:color="auto" w:sz="4" w:space="0"/>
              <w:right w:val="single" w:color="auto" w:sz="4" w:space="0"/>
            </w:tcBorders>
            <w:noWrap w:val="0"/>
            <w:vAlign w:val="center"/>
          </w:tcPr>
          <w:p w14:paraId="69E8698E">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100≤Y＜2000</w:t>
            </w:r>
          </w:p>
        </w:tc>
        <w:tc>
          <w:tcPr>
            <w:tcW w:w="1050" w:type="dxa"/>
            <w:tcBorders>
              <w:top w:val="nil"/>
              <w:left w:val="nil"/>
              <w:bottom w:val="single" w:color="auto" w:sz="4" w:space="0"/>
              <w:right w:val="single" w:color="auto" w:sz="4" w:space="0"/>
            </w:tcBorders>
            <w:noWrap w:val="0"/>
            <w:vAlign w:val="center"/>
          </w:tcPr>
          <w:p w14:paraId="60DEB9A4">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Y＜100</w:t>
            </w:r>
          </w:p>
        </w:tc>
      </w:tr>
      <w:tr w14:paraId="0B74F014">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332FB451">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住宿业</w:t>
            </w:r>
          </w:p>
        </w:tc>
        <w:tc>
          <w:tcPr>
            <w:tcW w:w="1575" w:type="dxa"/>
            <w:tcBorders>
              <w:top w:val="nil"/>
              <w:left w:val="nil"/>
              <w:bottom w:val="single" w:color="auto" w:sz="4" w:space="0"/>
              <w:right w:val="single" w:color="auto" w:sz="4" w:space="0"/>
            </w:tcBorders>
            <w:noWrap w:val="0"/>
            <w:vAlign w:val="center"/>
          </w:tcPr>
          <w:p w14:paraId="23BACD2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3C9FFD6E">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2085873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100≤X＜300</w:t>
            </w:r>
          </w:p>
        </w:tc>
        <w:tc>
          <w:tcPr>
            <w:tcW w:w="1636" w:type="dxa"/>
            <w:tcBorders>
              <w:top w:val="nil"/>
              <w:left w:val="nil"/>
              <w:bottom w:val="single" w:color="auto" w:sz="4" w:space="0"/>
              <w:right w:val="single" w:color="auto" w:sz="4" w:space="0"/>
            </w:tcBorders>
            <w:noWrap w:val="0"/>
            <w:vAlign w:val="center"/>
          </w:tcPr>
          <w:p w14:paraId="74435F7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10≤X＜100</w:t>
            </w:r>
          </w:p>
        </w:tc>
        <w:tc>
          <w:tcPr>
            <w:tcW w:w="1050" w:type="dxa"/>
            <w:tcBorders>
              <w:top w:val="nil"/>
              <w:left w:val="nil"/>
              <w:bottom w:val="single" w:color="auto" w:sz="4" w:space="0"/>
              <w:right w:val="single" w:color="auto" w:sz="4" w:space="0"/>
            </w:tcBorders>
            <w:noWrap w:val="0"/>
            <w:vAlign w:val="center"/>
          </w:tcPr>
          <w:p w14:paraId="515DB85F">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X＜10</w:t>
            </w:r>
          </w:p>
        </w:tc>
      </w:tr>
      <w:tr w14:paraId="588B3A8D">
        <w:tblPrEx>
          <w:tblCellMar>
            <w:top w:w="0" w:type="dxa"/>
            <w:left w:w="108" w:type="dxa"/>
            <w:bottom w:w="0" w:type="dxa"/>
            <w:right w:w="108" w:type="dxa"/>
          </w:tblCellMar>
        </w:tblPrEx>
        <w:trPr>
          <w:trHeight w:val="415"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629CE2B2">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05779270">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46A9347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16B07CF4">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2000≤Y＜10000</w:t>
            </w:r>
          </w:p>
        </w:tc>
        <w:tc>
          <w:tcPr>
            <w:tcW w:w="1636" w:type="dxa"/>
            <w:tcBorders>
              <w:top w:val="nil"/>
              <w:left w:val="nil"/>
              <w:bottom w:val="single" w:color="auto" w:sz="4" w:space="0"/>
              <w:right w:val="single" w:color="auto" w:sz="4" w:space="0"/>
            </w:tcBorders>
            <w:noWrap w:val="0"/>
            <w:vAlign w:val="center"/>
          </w:tcPr>
          <w:p w14:paraId="2B3C048A">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100≤Y＜2000</w:t>
            </w:r>
          </w:p>
        </w:tc>
        <w:tc>
          <w:tcPr>
            <w:tcW w:w="1050" w:type="dxa"/>
            <w:tcBorders>
              <w:top w:val="nil"/>
              <w:left w:val="nil"/>
              <w:bottom w:val="single" w:color="auto" w:sz="4" w:space="0"/>
              <w:right w:val="single" w:color="auto" w:sz="4" w:space="0"/>
            </w:tcBorders>
            <w:noWrap w:val="0"/>
            <w:vAlign w:val="center"/>
          </w:tcPr>
          <w:p w14:paraId="52C94AF5">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Y＜100</w:t>
            </w:r>
          </w:p>
        </w:tc>
      </w:tr>
      <w:tr w14:paraId="179FD4B6">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09FF47B2">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餐饮业</w:t>
            </w:r>
          </w:p>
        </w:tc>
        <w:tc>
          <w:tcPr>
            <w:tcW w:w="1575" w:type="dxa"/>
            <w:tcBorders>
              <w:top w:val="nil"/>
              <w:left w:val="nil"/>
              <w:bottom w:val="single" w:color="auto" w:sz="4" w:space="0"/>
              <w:right w:val="single" w:color="auto" w:sz="4" w:space="0"/>
            </w:tcBorders>
            <w:noWrap w:val="0"/>
            <w:vAlign w:val="center"/>
          </w:tcPr>
          <w:p w14:paraId="25D209A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20AAD13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4C5BD474">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100≤X＜300</w:t>
            </w:r>
          </w:p>
        </w:tc>
        <w:tc>
          <w:tcPr>
            <w:tcW w:w="1636" w:type="dxa"/>
            <w:tcBorders>
              <w:top w:val="nil"/>
              <w:left w:val="nil"/>
              <w:bottom w:val="single" w:color="auto" w:sz="4" w:space="0"/>
              <w:right w:val="single" w:color="auto" w:sz="4" w:space="0"/>
            </w:tcBorders>
            <w:noWrap w:val="0"/>
            <w:vAlign w:val="center"/>
          </w:tcPr>
          <w:p w14:paraId="1138D76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10≤X＜100</w:t>
            </w:r>
          </w:p>
        </w:tc>
        <w:tc>
          <w:tcPr>
            <w:tcW w:w="1050" w:type="dxa"/>
            <w:tcBorders>
              <w:top w:val="nil"/>
              <w:left w:val="nil"/>
              <w:bottom w:val="single" w:color="auto" w:sz="4" w:space="0"/>
              <w:right w:val="single" w:color="auto" w:sz="4" w:space="0"/>
            </w:tcBorders>
            <w:noWrap w:val="0"/>
            <w:vAlign w:val="center"/>
          </w:tcPr>
          <w:p w14:paraId="723EE60F">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X＜10</w:t>
            </w:r>
          </w:p>
        </w:tc>
      </w:tr>
      <w:tr w14:paraId="5B3E7375">
        <w:tblPrEx>
          <w:tblCellMar>
            <w:top w:w="0" w:type="dxa"/>
            <w:left w:w="108" w:type="dxa"/>
            <w:bottom w:w="0" w:type="dxa"/>
            <w:right w:w="108" w:type="dxa"/>
          </w:tblCellMar>
        </w:tblPrEx>
        <w:trPr>
          <w:trHeight w:val="415"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48BA4BDD">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17912EB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56230795">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01454FF0">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2000≤Y＜10000</w:t>
            </w:r>
          </w:p>
        </w:tc>
        <w:tc>
          <w:tcPr>
            <w:tcW w:w="1636" w:type="dxa"/>
            <w:tcBorders>
              <w:top w:val="nil"/>
              <w:left w:val="nil"/>
              <w:bottom w:val="single" w:color="auto" w:sz="4" w:space="0"/>
              <w:right w:val="single" w:color="auto" w:sz="4" w:space="0"/>
            </w:tcBorders>
            <w:noWrap w:val="0"/>
            <w:vAlign w:val="center"/>
          </w:tcPr>
          <w:p w14:paraId="2A9BA43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100≤Y＜2000</w:t>
            </w:r>
          </w:p>
        </w:tc>
        <w:tc>
          <w:tcPr>
            <w:tcW w:w="1050" w:type="dxa"/>
            <w:tcBorders>
              <w:top w:val="nil"/>
              <w:left w:val="nil"/>
              <w:bottom w:val="single" w:color="auto" w:sz="4" w:space="0"/>
              <w:right w:val="single" w:color="auto" w:sz="4" w:space="0"/>
            </w:tcBorders>
            <w:noWrap w:val="0"/>
            <w:vAlign w:val="center"/>
          </w:tcPr>
          <w:p w14:paraId="2E423F59">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Y＜100</w:t>
            </w:r>
          </w:p>
        </w:tc>
      </w:tr>
      <w:tr w14:paraId="7F1AFBF0">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78EB3842">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信息传输业</w:t>
            </w:r>
          </w:p>
        </w:tc>
        <w:tc>
          <w:tcPr>
            <w:tcW w:w="1575" w:type="dxa"/>
            <w:tcBorders>
              <w:top w:val="nil"/>
              <w:left w:val="nil"/>
              <w:bottom w:val="single" w:color="auto" w:sz="4" w:space="0"/>
              <w:right w:val="single" w:color="auto" w:sz="4" w:space="0"/>
            </w:tcBorders>
            <w:noWrap w:val="0"/>
            <w:vAlign w:val="center"/>
          </w:tcPr>
          <w:p w14:paraId="0C5BF65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0BD3DC72">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07895D2C">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100≤X＜2000</w:t>
            </w:r>
          </w:p>
        </w:tc>
        <w:tc>
          <w:tcPr>
            <w:tcW w:w="1636" w:type="dxa"/>
            <w:tcBorders>
              <w:top w:val="nil"/>
              <w:left w:val="nil"/>
              <w:bottom w:val="single" w:color="auto" w:sz="4" w:space="0"/>
              <w:right w:val="single" w:color="auto" w:sz="4" w:space="0"/>
            </w:tcBorders>
            <w:noWrap w:val="0"/>
            <w:vAlign w:val="center"/>
          </w:tcPr>
          <w:p w14:paraId="0A42065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10≤X＜100</w:t>
            </w:r>
          </w:p>
        </w:tc>
        <w:tc>
          <w:tcPr>
            <w:tcW w:w="1050" w:type="dxa"/>
            <w:tcBorders>
              <w:top w:val="nil"/>
              <w:left w:val="nil"/>
              <w:bottom w:val="single" w:color="auto" w:sz="4" w:space="0"/>
              <w:right w:val="single" w:color="auto" w:sz="4" w:space="0"/>
            </w:tcBorders>
            <w:noWrap w:val="0"/>
            <w:vAlign w:val="center"/>
          </w:tcPr>
          <w:p w14:paraId="71753C49">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X＜10</w:t>
            </w:r>
          </w:p>
        </w:tc>
      </w:tr>
      <w:tr w14:paraId="23E056C6">
        <w:tblPrEx>
          <w:tblCellMar>
            <w:top w:w="0" w:type="dxa"/>
            <w:left w:w="108" w:type="dxa"/>
            <w:bottom w:w="0" w:type="dxa"/>
            <w:right w:w="108" w:type="dxa"/>
          </w:tblCellMar>
        </w:tblPrEx>
        <w:trPr>
          <w:trHeight w:val="449"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74BE465E">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7A69E819">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190D876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69B03C8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1000≤Y＜100000</w:t>
            </w:r>
          </w:p>
        </w:tc>
        <w:tc>
          <w:tcPr>
            <w:tcW w:w="1636" w:type="dxa"/>
            <w:tcBorders>
              <w:top w:val="nil"/>
              <w:left w:val="nil"/>
              <w:bottom w:val="single" w:color="auto" w:sz="4" w:space="0"/>
              <w:right w:val="single" w:color="auto" w:sz="4" w:space="0"/>
            </w:tcBorders>
            <w:noWrap w:val="0"/>
            <w:vAlign w:val="center"/>
          </w:tcPr>
          <w:p w14:paraId="1F30161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100≤Y＜1000</w:t>
            </w:r>
          </w:p>
        </w:tc>
        <w:tc>
          <w:tcPr>
            <w:tcW w:w="1050" w:type="dxa"/>
            <w:tcBorders>
              <w:top w:val="nil"/>
              <w:left w:val="nil"/>
              <w:bottom w:val="single" w:color="auto" w:sz="4" w:space="0"/>
              <w:right w:val="single" w:color="auto" w:sz="4" w:space="0"/>
            </w:tcBorders>
            <w:noWrap w:val="0"/>
            <w:vAlign w:val="center"/>
          </w:tcPr>
          <w:p w14:paraId="7A3E1AE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Y＜100</w:t>
            </w:r>
          </w:p>
        </w:tc>
      </w:tr>
      <w:tr w14:paraId="65DF0B25">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58878EC7">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软件和信息技术服务业</w:t>
            </w:r>
          </w:p>
        </w:tc>
        <w:tc>
          <w:tcPr>
            <w:tcW w:w="1575" w:type="dxa"/>
            <w:tcBorders>
              <w:top w:val="nil"/>
              <w:left w:val="nil"/>
              <w:bottom w:val="single" w:color="auto" w:sz="4" w:space="0"/>
              <w:right w:val="single" w:color="auto" w:sz="4" w:space="0"/>
            </w:tcBorders>
            <w:noWrap w:val="0"/>
            <w:vAlign w:val="center"/>
          </w:tcPr>
          <w:p w14:paraId="7B2393E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1052A78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38AA3EB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100≤X＜300</w:t>
            </w:r>
          </w:p>
        </w:tc>
        <w:tc>
          <w:tcPr>
            <w:tcW w:w="1636" w:type="dxa"/>
            <w:tcBorders>
              <w:top w:val="nil"/>
              <w:left w:val="nil"/>
              <w:bottom w:val="single" w:color="auto" w:sz="4" w:space="0"/>
              <w:right w:val="single" w:color="auto" w:sz="4" w:space="0"/>
            </w:tcBorders>
            <w:noWrap w:val="0"/>
            <w:vAlign w:val="center"/>
          </w:tcPr>
          <w:p w14:paraId="5E60B2E4">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10≤X＜100</w:t>
            </w:r>
          </w:p>
        </w:tc>
        <w:tc>
          <w:tcPr>
            <w:tcW w:w="1050" w:type="dxa"/>
            <w:tcBorders>
              <w:top w:val="nil"/>
              <w:left w:val="nil"/>
              <w:bottom w:val="single" w:color="auto" w:sz="4" w:space="0"/>
              <w:right w:val="single" w:color="auto" w:sz="4" w:space="0"/>
            </w:tcBorders>
            <w:noWrap w:val="0"/>
            <w:vAlign w:val="center"/>
          </w:tcPr>
          <w:p w14:paraId="28E412D0">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X＜10</w:t>
            </w:r>
          </w:p>
        </w:tc>
      </w:tr>
      <w:tr w14:paraId="6F80A524">
        <w:tblPrEx>
          <w:tblCellMar>
            <w:top w:w="0" w:type="dxa"/>
            <w:left w:w="108" w:type="dxa"/>
            <w:bottom w:w="0" w:type="dxa"/>
            <w:right w:w="108" w:type="dxa"/>
          </w:tblCellMar>
        </w:tblPrEx>
        <w:trPr>
          <w:trHeight w:val="415"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71FE1F3F">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2B597D42">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779396D7">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097E5A5E">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1000≤Y＜10000</w:t>
            </w:r>
          </w:p>
        </w:tc>
        <w:tc>
          <w:tcPr>
            <w:tcW w:w="1636" w:type="dxa"/>
            <w:tcBorders>
              <w:top w:val="nil"/>
              <w:left w:val="nil"/>
              <w:bottom w:val="single" w:color="auto" w:sz="4" w:space="0"/>
              <w:right w:val="single" w:color="auto" w:sz="4" w:space="0"/>
            </w:tcBorders>
            <w:noWrap w:val="0"/>
            <w:vAlign w:val="center"/>
          </w:tcPr>
          <w:p w14:paraId="00F8E75C">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50≤Y＜1000</w:t>
            </w:r>
          </w:p>
        </w:tc>
        <w:tc>
          <w:tcPr>
            <w:tcW w:w="1050" w:type="dxa"/>
            <w:tcBorders>
              <w:top w:val="nil"/>
              <w:left w:val="nil"/>
              <w:bottom w:val="single" w:color="auto" w:sz="4" w:space="0"/>
              <w:right w:val="single" w:color="auto" w:sz="4" w:space="0"/>
            </w:tcBorders>
            <w:noWrap w:val="0"/>
            <w:vAlign w:val="center"/>
          </w:tcPr>
          <w:p w14:paraId="7B877FB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Y＜50</w:t>
            </w:r>
          </w:p>
        </w:tc>
      </w:tr>
      <w:tr w14:paraId="280A381F">
        <w:tblPrEx>
          <w:tblCellMar>
            <w:top w:w="0" w:type="dxa"/>
            <w:left w:w="108" w:type="dxa"/>
            <w:bottom w:w="0" w:type="dxa"/>
            <w:right w:w="108" w:type="dxa"/>
          </w:tblCellMar>
        </w:tblPrEx>
        <w:trPr>
          <w:trHeight w:val="449"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311577EC">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房地产开发经营</w:t>
            </w:r>
          </w:p>
        </w:tc>
        <w:tc>
          <w:tcPr>
            <w:tcW w:w="1575" w:type="dxa"/>
            <w:tcBorders>
              <w:top w:val="nil"/>
              <w:left w:val="nil"/>
              <w:bottom w:val="single" w:color="auto" w:sz="4" w:space="0"/>
              <w:right w:val="single" w:color="auto" w:sz="4" w:space="0"/>
            </w:tcBorders>
            <w:noWrap w:val="0"/>
            <w:vAlign w:val="center"/>
          </w:tcPr>
          <w:p w14:paraId="11906C2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3B4560A2">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3DC33370">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1000≤Y＜200000</w:t>
            </w:r>
          </w:p>
        </w:tc>
        <w:tc>
          <w:tcPr>
            <w:tcW w:w="1636" w:type="dxa"/>
            <w:tcBorders>
              <w:top w:val="nil"/>
              <w:left w:val="nil"/>
              <w:bottom w:val="single" w:color="auto" w:sz="4" w:space="0"/>
              <w:right w:val="single" w:color="auto" w:sz="4" w:space="0"/>
            </w:tcBorders>
            <w:noWrap w:val="0"/>
            <w:vAlign w:val="center"/>
          </w:tcPr>
          <w:p w14:paraId="6B28EF2E">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100≤X＜1000</w:t>
            </w:r>
          </w:p>
        </w:tc>
        <w:tc>
          <w:tcPr>
            <w:tcW w:w="1050" w:type="dxa"/>
            <w:tcBorders>
              <w:top w:val="nil"/>
              <w:left w:val="nil"/>
              <w:bottom w:val="single" w:color="auto" w:sz="4" w:space="0"/>
              <w:right w:val="single" w:color="auto" w:sz="4" w:space="0"/>
            </w:tcBorders>
            <w:noWrap w:val="0"/>
            <w:vAlign w:val="center"/>
          </w:tcPr>
          <w:p w14:paraId="012A9B5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X＜100</w:t>
            </w:r>
          </w:p>
        </w:tc>
      </w:tr>
      <w:tr w14:paraId="219E9271">
        <w:tblPrEx>
          <w:tblCellMar>
            <w:top w:w="0" w:type="dxa"/>
            <w:left w:w="108" w:type="dxa"/>
            <w:bottom w:w="0" w:type="dxa"/>
            <w:right w:w="108" w:type="dxa"/>
          </w:tblCellMar>
        </w:tblPrEx>
        <w:trPr>
          <w:trHeight w:val="449"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4E9EC763">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6635BACE">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资产总额（Z）</w:t>
            </w:r>
          </w:p>
        </w:tc>
        <w:tc>
          <w:tcPr>
            <w:tcW w:w="1036" w:type="dxa"/>
            <w:tcBorders>
              <w:top w:val="nil"/>
              <w:left w:val="nil"/>
              <w:bottom w:val="single" w:color="auto" w:sz="4" w:space="0"/>
              <w:right w:val="single" w:color="auto" w:sz="4" w:space="0"/>
            </w:tcBorders>
            <w:noWrap w:val="0"/>
            <w:vAlign w:val="center"/>
          </w:tcPr>
          <w:p w14:paraId="7E393447">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39FAF894">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5000≤Z＜10000</w:t>
            </w:r>
          </w:p>
        </w:tc>
        <w:tc>
          <w:tcPr>
            <w:tcW w:w="1636" w:type="dxa"/>
            <w:tcBorders>
              <w:top w:val="nil"/>
              <w:left w:val="nil"/>
              <w:bottom w:val="single" w:color="auto" w:sz="4" w:space="0"/>
              <w:right w:val="single" w:color="auto" w:sz="4" w:space="0"/>
            </w:tcBorders>
            <w:noWrap w:val="0"/>
            <w:vAlign w:val="center"/>
          </w:tcPr>
          <w:p w14:paraId="5A27F44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2000≤Y＜5000</w:t>
            </w:r>
          </w:p>
        </w:tc>
        <w:tc>
          <w:tcPr>
            <w:tcW w:w="1050" w:type="dxa"/>
            <w:tcBorders>
              <w:top w:val="nil"/>
              <w:left w:val="nil"/>
              <w:bottom w:val="single" w:color="auto" w:sz="4" w:space="0"/>
              <w:right w:val="single" w:color="auto" w:sz="4" w:space="0"/>
            </w:tcBorders>
            <w:noWrap w:val="0"/>
            <w:vAlign w:val="center"/>
          </w:tcPr>
          <w:p w14:paraId="63D3385A">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Y＜2000</w:t>
            </w:r>
          </w:p>
        </w:tc>
      </w:tr>
      <w:tr w14:paraId="7D3C701B">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72DF233C">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物业管理</w:t>
            </w:r>
          </w:p>
        </w:tc>
        <w:tc>
          <w:tcPr>
            <w:tcW w:w="1575" w:type="dxa"/>
            <w:tcBorders>
              <w:top w:val="nil"/>
              <w:left w:val="nil"/>
              <w:bottom w:val="single" w:color="auto" w:sz="4" w:space="0"/>
              <w:right w:val="single" w:color="auto" w:sz="4" w:space="0"/>
            </w:tcBorders>
            <w:noWrap w:val="0"/>
            <w:vAlign w:val="center"/>
          </w:tcPr>
          <w:p w14:paraId="181C1D7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03146E6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5A2D4DC4">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300≤X＜1000</w:t>
            </w:r>
          </w:p>
        </w:tc>
        <w:tc>
          <w:tcPr>
            <w:tcW w:w="1636" w:type="dxa"/>
            <w:tcBorders>
              <w:top w:val="nil"/>
              <w:left w:val="nil"/>
              <w:bottom w:val="single" w:color="auto" w:sz="4" w:space="0"/>
              <w:right w:val="single" w:color="auto" w:sz="4" w:space="0"/>
            </w:tcBorders>
            <w:noWrap w:val="0"/>
            <w:vAlign w:val="center"/>
          </w:tcPr>
          <w:p w14:paraId="7EE3D274">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100≤X＜300</w:t>
            </w:r>
          </w:p>
        </w:tc>
        <w:tc>
          <w:tcPr>
            <w:tcW w:w="1050" w:type="dxa"/>
            <w:tcBorders>
              <w:top w:val="nil"/>
              <w:left w:val="nil"/>
              <w:bottom w:val="single" w:color="auto" w:sz="4" w:space="0"/>
              <w:right w:val="single" w:color="auto" w:sz="4" w:space="0"/>
            </w:tcBorders>
            <w:noWrap w:val="0"/>
            <w:vAlign w:val="center"/>
          </w:tcPr>
          <w:p w14:paraId="4CA1717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X＜100</w:t>
            </w:r>
          </w:p>
        </w:tc>
      </w:tr>
      <w:tr w14:paraId="33C6E0B8">
        <w:tblPrEx>
          <w:tblCellMar>
            <w:top w:w="0" w:type="dxa"/>
            <w:left w:w="108" w:type="dxa"/>
            <w:bottom w:w="0" w:type="dxa"/>
            <w:right w:w="108" w:type="dxa"/>
          </w:tblCellMar>
        </w:tblPrEx>
        <w:trPr>
          <w:trHeight w:val="415"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429A9680">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4C4FC442">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4680224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20F1A295">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1000≤Y＜5000</w:t>
            </w:r>
          </w:p>
        </w:tc>
        <w:tc>
          <w:tcPr>
            <w:tcW w:w="1636" w:type="dxa"/>
            <w:tcBorders>
              <w:top w:val="nil"/>
              <w:left w:val="nil"/>
              <w:bottom w:val="single" w:color="auto" w:sz="4" w:space="0"/>
              <w:right w:val="single" w:color="auto" w:sz="4" w:space="0"/>
            </w:tcBorders>
            <w:noWrap w:val="0"/>
            <w:vAlign w:val="center"/>
          </w:tcPr>
          <w:p w14:paraId="5C0637EE">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500≤Y＜1000</w:t>
            </w:r>
          </w:p>
        </w:tc>
        <w:tc>
          <w:tcPr>
            <w:tcW w:w="1050" w:type="dxa"/>
            <w:tcBorders>
              <w:top w:val="nil"/>
              <w:left w:val="nil"/>
              <w:bottom w:val="single" w:color="auto" w:sz="4" w:space="0"/>
              <w:right w:val="single" w:color="auto" w:sz="4" w:space="0"/>
            </w:tcBorders>
            <w:noWrap w:val="0"/>
            <w:vAlign w:val="center"/>
          </w:tcPr>
          <w:p w14:paraId="4DDC079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Y＜500</w:t>
            </w:r>
          </w:p>
        </w:tc>
      </w:tr>
      <w:tr w14:paraId="272FF013">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3871E2C1">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租赁和商务服务业</w:t>
            </w:r>
          </w:p>
        </w:tc>
        <w:tc>
          <w:tcPr>
            <w:tcW w:w="1575" w:type="dxa"/>
            <w:tcBorders>
              <w:top w:val="nil"/>
              <w:left w:val="nil"/>
              <w:bottom w:val="single" w:color="auto" w:sz="4" w:space="0"/>
              <w:right w:val="single" w:color="auto" w:sz="4" w:space="0"/>
            </w:tcBorders>
            <w:noWrap w:val="0"/>
            <w:vAlign w:val="center"/>
          </w:tcPr>
          <w:p w14:paraId="0179BF1C">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057D2349">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428C05BC">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100≤X＜300</w:t>
            </w:r>
          </w:p>
        </w:tc>
        <w:tc>
          <w:tcPr>
            <w:tcW w:w="1636" w:type="dxa"/>
            <w:tcBorders>
              <w:top w:val="nil"/>
              <w:left w:val="nil"/>
              <w:bottom w:val="single" w:color="auto" w:sz="4" w:space="0"/>
              <w:right w:val="single" w:color="auto" w:sz="4" w:space="0"/>
            </w:tcBorders>
            <w:noWrap w:val="0"/>
            <w:vAlign w:val="center"/>
          </w:tcPr>
          <w:p w14:paraId="471CAE0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10≤X＜100</w:t>
            </w:r>
          </w:p>
        </w:tc>
        <w:tc>
          <w:tcPr>
            <w:tcW w:w="1050" w:type="dxa"/>
            <w:tcBorders>
              <w:top w:val="nil"/>
              <w:left w:val="nil"/>
              <w:bottom w:val="single" w:color="auto" w:sz="4" w:space="0"/>
              <w:right w:val="single" w:color="auto" w:sz="4" w:space="0"/>
            </w:tcBorders>
            <w:noWrap w:val="0"/>
            <w:vAlign w:val="center"/>
          </w:tcPr>
          <w:p w14:paraId="5B240F2F">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X＜10</w:t>
            </w:r>
          </w:p>
        </w:tc>
      </w:tr>
      <w:tr w14:paraId="23092C58">
        <w:tblPrEx>
          <w:tblCellMar>
            <w:top w:w="0" w:type="dxa"/>
            <w:left w:w="108" w:type="dxa"/>
            <w:bottom w:w="0" w:type="dxa"/>
            <w:right w:w="108" w:type="dxa"/>
          </w:tblCellMar>
        </w:tblPrEx>
        <w:trPr>
          <w:trHeight w:val="449"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789192E7">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07BC571A">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资产总额（Z）</w:t>
            </w:r>
          </w:p>
        </w:tc>
        <w:tc>
          <w:tcPr>
            <w:tcW w:w="1036" w:type="dxa"/>
            <w:tcBorders>
              <w:top w:val="nil"/>
              <w:left w:val="nil"/>
              <w:bottom w:val="single" w:color="auto" w:sz="4" w:space="0"/>
              <w:right w:val="single" w:color="auto" w:sz="4" w:space="0"/>
            </w:tcBorders>
            <w:noWrap w:val="0"/>
            <w:vAlign w:val="center"/>
          </w:tcPr>
          <w:p w14:paraId="7088183A">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6BF1B100">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8000≤Z＜120000</w:t>
            </w:r>
          </w:p>
        </w:tc>
        <w:tc>
          <w:tcPr>
            <w:tcW w:w="1636" w:type="dxa"/>
            <w:tcBorders>
              <w:top w:val="nil"/>
              <w:left w:val="nil"/>
              <w:bottom w:val="single" w:color="auto" w:sz="4" w:space="0"/>
              <w:right w:val="single" w:color="auto" w:sz="4" w:space="0"/>
            </w:tcBorders>
            <w:noWrap w:val="0"/>
            <w:vAlign w:val="center"/>
          </w:tcPr>
          <w:p w14:paraId="45A2DC0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100≤Z＜8000</w:t>
            </w:r>
          </w:p>
        </w:tc>
        <w:tc>
          <w:tcPr>
            <w:tcW w:w="1050" w:type="dxa"/>
            <w:tcBorders>
              <w:top w:val="nil"/>
              <w:left w:val="nil"/>
              <w:bottom w:val="single" w:color="auto" w:sz="4" w:space="0"/>
              <w:right w:val="single" w:color="auto" w:sz="4" w:space="0"/>
            </w:tcBorders>
            <w:noWrap w:val="0"/>
            <w:vAlign w:val="center"/>
          </w:tcPr>
          <w:p w14:paraId="3B1C1A49">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Y＜100</w:t>
            </w:r>
          </w:p>
        </w:tc>
      </w:tr>
      <w:tr w14:paraId="24541A3C">
        <w:tblPrEx>
          <w:tblCellMar>
            <w:top w:w="0" w:type="dxa"/>
            <w:left w:w="108" w:type="dxa"/>
            <w:bottom w:w="0" w:type="dxa"/>
            <w:right w:w="108" w:type="dxa"/>
          </w:tblCellMar>
        </w:tblPrEx>
        <w:trPr>
          <w:trHeight w:val="315" w:hRule="atLeast"/>
          <w:jc w:val="center"/>
        </w:trPr>
        <w:tc>
          <w:tcPr>
            <w:tcW w:w="1935" w:type="dxa"/>
            <w:tcBorders>
              <w:top w:val="nil"/>
              <w:left w:val="single" w:color="auto" w:sz="4" w:space="0"/>
              <w:bottom w:val="single" w:color="auto" w:sz="4" w:space="0"/>
              <w:right w:val="single" w:color="auto" w:sz="4" w:space="0"/>
            </w:tcBorders>
            <w:noWrap w:val="0"/>
            <w:vAlign w:val="center"/>
          </w:tcPr>
          <w:p w14:paraId="22729412">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其他未列明行业</w:t>
            </w:r>
          </w:p>
        </w:tc>
        <w:tc>
          <w:tcPr>
            <w:tcW w:w="1575" w:type="dxa"/>
            <w:tcBorders>
              <w:top w:val="nil"/>
              <w:left w:val="nil"/>
              <w:bottom w:val="single" w:color="auto" w:sz="4" w:space="0"/>
              <w:right w:val="single" w:color="auto" w:sz="4" w:space="0"/>
            </w:tcBorders>
            <w:noWrap w:val="0"/>
            <w:vAlign w:val="center"/>
          </w:tcPr>
          <w:p w14:paraId="2207487F">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160C5834">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39C5EDC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100≤X＜300</w:t>
            </w:r>
          </w:p>
        </w:tc>
        <w:tc>
          <w:tcPr>
            <w:tcW w:w="1636" w:type="dxa"/>
            <w:tcBorders>
              <w:top w:val="nil"/>
              <w:left w:val="nil"/>
              <w:bottom w:val="single" w:color="auto" w:sz="4" w:space="0"/>
              <w:right w:val="single" w:color="auto" w:sz="4" w:space="0"/>
            </w:tcBorders>
            <w:noWrap w:val="0"/>
            <w:vAlign w:val="center"/>
          </w:tcPr>
          <w:p w14:paraId="5982C0C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10≤X＜100</w:t>
            </w:r>
          </w:p>
        </w:tc>
        <w:tc>
          <w:tcPr>
            <w:tcW w:w="1050" w:type="dxa"/>
            <w:tcBorders>
              <w:top w:val="nil"/>
              <w:left w:val="nil"/>
              <w:bottom w:val="single" w:color="auto" w:sz="4" w:space="0"/>
              <w:right w:val="single" w:color="auto" w:sz="4" w:space="0"/>
            </w:tcBorders>
            <w:noWrap w:val="0"/>
            <w:vAlign w:val="center"/>
          </w:tcPr>
          <w:p w14:paraId="7696FA7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X＜10</w:t>
            </w:r>
          </w:p>
        </w:tc>
      </w:tr>
    </w:tbl>
    <w:p w14:paraId="47218D54">
      <w:pPr>
        <w:rPr>
          <w:rFonts w:hint="eastAsia"/>
          <w:color w:val="auto"/>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说明：上述标准参照《关于印发中小企业划型标准规定的通知》（工信部联企业[2011]300号），大型、中型和小型企业须同时满足所列指标的下限，否则下划一档；微型企业只需满足所列指标中的一项即可。</w:t>
      </w:r>
    </w:p>
    <w:p w14:paraId="7FD4F352">
      <w:pPr>
        <w:widowControl/>
        <w:jc w:val="left"/>
        <w:rPr>
          <w:rFonts w:ascii="宋体" w:hAnsi="宋体" w:cs="宋体"/>
          <w:color w:val="auto"/>
          <w:sz w:val="20"/>
          <w:szCs w:val="20"/>
          <w:highlight w:val="none"/>
        </w:rPr>
      </w:pPr>
    </w:p>
    <w:p w14:paraId="02BF4D5D">
      <w:pPr>
        <w:pStyle w:val="3"/>
        <w:jc w:val="center"/>
        <w:rPr>
          <w:rFonts w:hint="eastAsia"/>
          <w:color w:val="auto"/>
          <w:highlight w:val="none"/>
        </w:rPr>
      </w:pPr>
      <w:r>
        <w:rPr>
          <w:rFonts w:ascii="宋体" w:hAnsi="宋体" w:cs="宋体"/>
          <w:color w:val="auto"/>
          <w:sz w:val="20"/>
          <w:szCs w:val="20"/>
          <w:highlight w:val="none"/>
        </w:rPr>
        <w:br w:type="page"/>
      </w:r>
      <w:bookmarkStart w:id="47" w:name="_Toc74322011"/>
      <w:r>
        <w:rPr>
          <w:rFonts w:hint="eastAsia"/>
          <w:color w:val="auto"/>
          <w:highlight w:val="none"/>
        </w:rPr>
        <w:t xml:space="preserve">第四章  </w:t>
      </w:r>
      <w:bookmarkStart w:id="48" w:name="_Hlk68601507"/>
      <w:r>
        <w:rPr>
          <w:rFonts w:hint="eastAsia"/>
          <w:color w:val="auto"/>
          <w:highlight w:val="none"/>
        </w:rPr>
        <w:t>评审程序和评定成交的标准</w:t>
      </w:r>
      <w:bookmarkEnd w:id="47"/>
      <w:bookmarkEnd w:id="48"/>
    </w:p>
    <w:p w14:paraId="19BC108D">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一、评审程序</w:t>
      </w:r>
    </w:p>
    <w:p w14:paraId="14382836">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.确认谈判文件</w:t>
      </w:r>
    </w:p>
    <w:p w14:paraId="7C86517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由谈判小组确认谈判文件。</w:t>
      </w:r>
    </w:p>
    <w:p w14:paraId="0160425C">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.资格审查</w:t>
      </w:r>
    </w:p>
    <w:p w14:paraId="6C7A888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.1响应文件开启后，谈判小组依法对供应商的资格证明文件进行审查。</w:t>
      </w:r>
    </w:p>
    <w:p w14:paraId="5A710624">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w:t>
      </w:r>
      <w:r>
        <w:rPr>
          <w:rFonts w:hint="eastAsia"/>
          <w:color w:val="auto"/>
          <w:highlight w:val="none"/>
          <w:lang w:val="en-US" w:eastAsia="zh-CN"/>
        </w:rPr>
        <w:t>采购人或采购代理机构</w:t>
      </w:r>
      <w:r>
        <w:rPr>
          <w:rFonts w:hint="eastAsia" w:ascii="宋体" w:hAnsi="宋体" w:cs="宋体"/>
          <w:color w:val="auto"/>
          <w:szCs w:val="21"/>
          <w:highlight w:val="none"/>
        </w:rPr>
        <w:t>在资格审查结束前，对供应商进行信用查询。</w:t>
      </w:r>
    </w:p>
    <w:p w14:paraId="0177035F">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（1）查询渠道：广西政府采购云平台“信用中国”网站(www.creditchina.gov.cn)、中国政府采购网(www.ccgp.gov.cn)链接入口。</w:t>
      </w:r>
    </w:p>
    <w:p w14:paraId="1D9B8DD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49AB80F5">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（3）查询记录和证据留存方式：在查询网站中直接查询，截图另存为电子文档或直接打印作为评审资料保存。 </w:t>
      </w:r>
    </w:p>
    <w:p w14:paraId="4BA692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信用信息使用规则： 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color w:val="auto"/>
          <w:szCs w:val="21"/>
          <w:highlight w:val="none"/>
        </w:rPr>
        <w:t>。</w:t>
      </w:r>
    </w:p>
    <w:p w14:paraId="070DCB20">
      <w:pPr>
        <w:snapToGrid w:val="0"/>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.2资格审查标准为本谈判文件中载明对供应商资格要求的条件。本项目资格审查采用合格制，凡符合谈判文件规定的供应商资格要求的供应商均通过资格审查。</w:t>
      </w:r>
    </w:p>
    <w:p w14:paraId="5BF4AE9F">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.3 供应商有下列情形之一的，资格审查不通过，其响应文件按无效处理：</w:t>
      </w:r>
    </w:p>
    <w:p w14:paraId="0D388A3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）不具备谈判文件中规定的资格要求的；</w:t>
      </w:r>
    </w:p>
    <w:p w14:paraId="30EF68D8">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（2）未按谈判文件规定的方式获取本谈判文件的供应商；</w:t>
      </w:r>
    </w:p>
    <w:p w14:paraId="1BB41DDB">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）响应文件中的资格证明文件缺少任一项“供应商须知前附表”资格证明文件规定的“必须提供”的文件资料的；</w:t>
      </w:r>
    </w:p>
    <w:p w14:paraId="5E4E2509">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）响应文件中的资格证明文件出现任一项不符合“供应商须知前附表”资格证明文件规定的“必须提供”的文件资料要求或者无效的；</w:t>
      </w:r>
    </w:p>
    <w:p w14:paraId="1239319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）同一合同项下的不同供应商，单位负责人为同一人或者存在直接控股、管理关系的；为本项目提供过整体设计、规范编制或者项目管理、监理、检测等服务的供应商，再参加该采购项目的其他采购活动的。</w:t>
      </w:r>
    </w:p>
    <w:p w14:paraId="695C9352">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.4通过资格审查的合格供应商不足3家（本章</w:t>
      </w:r>
      <w:r>
        <w:rPr>
          <w:rFonts w:ascii="宋体" w:hAnsi="宋体" w:cs="宋体"/>
          <w:color w:val="auto"/>
          <w:szCs w:val="21"/>
          <w:highlight w:val="none"/>
        </w:rPr>
        <w:t>3</w:t>
      </w:r>
      <w:r>
        <w:rPr>
          <w:rFonts w:hint="eastAsia" w:ascii="宋体" w:hAnsi="宋体" w:cs="宋体"/>
          <w:color w:val="auto"/>
          <w:szCs w:val="21"/>
          <w:highlight w:val="none"/>
        </w:rPr>
        <w:t>.7条规定除外）的，不得进入符合性审查环节，应当重新开展采购活动。</w:t>
      </w:r>
    </w:p>
    <w:p w14:paraId="064F8198">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.符合性审查</w:t>
      </w:r>
    </w:p>
    <w:p w14:paraId="4B7A1A0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谈判小组应当对符合资格的供应商的响应文件进行竞标报价、商务、技术等实质性要求符合性审查，以确定其是否满足谈判文件的实质性要求。</w:t>
      </w:r>
    </w:p>
    <w:p w14:paraId="638D13D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.2</w:t>
      </w:r>
      <w:r>
        <w:rPr>
          <w:rFonts w:hint="eastAsia" w:ascii="宋体" w:hAnsi="宋体" w:cs="宋体"/>
          <w:color w:val="auto"/>
          <w:szCs w:val="21"/>
          <w:highlight w:val="none"/>
        </w:rPr>
        <w:t>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4763B4F">
      <w:pPr>
        <w:spacing w:line="360" w:lineRule="auto"/>
        <w:ind w:firstLine="420" w:firstLineChars="200"/>
        <w:rPr>
          <w:rFonts w:ascii="宋体" w:hAnsi="宋体" w:cs="宋体"/>
          <w:color w:val="auto"/>
          <w:spacing w:val="-6"/>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3谈判小组要求供应商澄清、说明或者更正响应文件应当以书面形式作出。供应商的澄清、说明或者更正必须以书面形式按照谈判小组的要求作出明确的澄清、说明或者更正，未按谈判小组的要求作出明确澄清、说明或者更正的供应商的响应文件将按照</w:t>
      </w:r>
      <w:r>
        <w:rPr>
          <w:rFonts w:hint="eastAsia" w:ascii="宋体" w:hAnsi="宋体" w:cs="宋体"/>
          <w:color w:val="auto"/>
          <w:highlight w:val="none"/>
        </w:rPr>
        <w:t>有利于采购人</w:t>
      </w:r>
      <w:r>
        <w:rPr>
          <w:rFonts w:hint="eastAsia" w:ascii="宋体" w:hAnsi="宋体" w:cs="宋体"/>
          <w:color w:val="auto"/>
          <w:szCs w:val="21"/>
          <w:highlight w:val="none"/>
        </w:rPr>
        <w:t>的原则由谈判小组进行判定。供应商的澄清、说明或者更正必须由法定代表人或者其委托代理人签字或者加盖公章。由委托代理人签字的，</w:t>
      </w:r>
      <w:r>
        <w:rPr>
          <w:rFonts w:hint="eastAsia" w:ascii="宋体" w:hAnsi="宋体" w:cs="宋体"/>
          <w:bCs/>
          <w:color w:val="auto"/>
          <w:szCs w:val="21"/>
          <w:highlight w:val="none"/>
        </w:rPr>
        <w:t>若委托代理人不是响应文件中授权的委托代理人时，必须同时出示有效的授权委托书原件</w:t>
      </w:r>
      <w:r>
        <w:rPr>
          <w:rFonts w:hint="eastAsia" w:ascii="宋体" w:hAnsi="宋体" w:cs="宋体"/>
          <w:color w:val="auto"/>
          <w:spacing w:val="-6"/>
          <w:szCs w:val="21"/>
          <w:highlight w:val="none"/>
        </w:rPr>
        <w:t>。供应商为自然人的，必须由本人签字并附身份证明。</w:t>
      </w:r>
    </w:p>
    <w:p w14:paraId="1B757D86">
      <w:pPr>
        <w:spacing w:line="360" w:lineRule="auto"/>
        <w:ind w:firstLine="396" w:firstLineChars="200"/>
        <w:rPr>
          <w:rFonts w:hint="eastAsia" w:ascii="宋体" w:hAnsi="宋体" w:cs="宋体"/>
          <w:color w:val="auto"/>
          <w:szCs w:val="21"/>
          <w:highlight w:val="none"/>
        </w:rPr>
      </w:pPr>
      <w:r>
        <w:rPr>
          <w:rFonts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0A51431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692F44F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215BF1A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7E5C29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61C1A4B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612DF7B1">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7B14C7C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3EFDE33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1E55768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1）响应文件未按谈判文件要求签署、盖章（签章）的； </w:t>
      </w:r>
    </w:p>
    <w:p w14:paraId="5AA3C88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2）提交的竞标保证金无效的或者未按照谈判文件的规定提交竞标保证金；</w:t>
      </w:r>
    </w:p>
    <w:p w14:paraId="0596B26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3）响应文件未提供任一项“供应商须知前附表” 报价商务技术文件中 “必须提供”或者“委托时必须提供”的文件资料；响应文件提供的报价商务技术文件出现任一项不符合“供应商须知前附表” 报价商务技术文件中 “必须提供”或者“委托时必须提供”文件资料要求的规定或者提供的报价商务技术文件无效；</w:t>
      </w:r>
    </w:p>
    <w:p w14:paraId="61BF0FC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4）商务要求允许负偏离的条款数超过“供应商须知前附表”规定项数的；</w:t>
      </w:r>
    </w:p>
    <w:p w14:paraId="72B9D5E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5）未对竞标有效期作出响应或者响应文件承诺的竞标有效期不满足谈判文件要求；</w:t>
      </w:r>
    </w:p>
    <w:p w14:paraId="23CF626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6）响应文件的实质性内容未使用中文表述、使用计量单位不符合谈判文件要求的；</w:t>
      </w:r>
    </w:p>
    <w:p w14:paraId="57BD711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7）响应文件中的文件资料因填写不齐全或者内容虚假或者出现其他情形而导致被谈判小组认定无效的；</w:t>
      </w:r>
    </w:p>
    <w:p w14:paraId="308D777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8）响应文件含有采购人不能接受的附加条件的；</w:t>
      </w:r>
    </w:p>
    <w:p w14:paraId="2C2B973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9）属于“供应商须知正文”第7.</w:t>
      </w:r>
      <w:r>
        <w:rPr>
          <w:rFonts w:ascii="宋体" w:hAnsi="宋体" w:cs="宋体"/>
          <w:color w:val="auto"/>
          <w:szCs w:val="21"/>
          <w:highlight w:val="none"/>
        </w:rPr>
        <w:t>5</w:t>
      </w:r>
      <w:r>
        <w:rPr>
          <w:rFonts w:hint="eastAsia" w:ascii="宋体" w:hAnsi="宋体" w:cs="宋体"/>
          <w:color w:val="auto"/>
          <w:szCs w:val="21"/>
          <w:highlight w:val="none"/>
        </w:rPr>
        <w:t>条的情形的；</w:t>
      </w:r>
    </w:p>
    <w:p w14:paraId="45EE1C8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10）技术评审允许负偏离的条款数超过“供应商须知前附表”规定项数的；</w:t>
      </w:r>
    </w:p>
    <w:p w14:paraId="4FAFEFB5">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1）虚假竞标，或者出现其他情形而导致被谈判小组认定无效的；</w:t>
      </w:r>
    </w:p>
    <w:p w14:paraId="66AA41D1">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w:t>
      </w:r>
      <w:bookmarkStart w:id="49" w:name="_Hlk71704147"/>
      <w:r>
        <w:rPr>
          <w:rFonts w:hint="eastAsia" w:ascii="宋体" w:hAnsi="宋体" w:cs="宋体"/>
          <w:color w:val="auto"/>
          <w:szCs w:val="21"/>
          <w:highlight w:val="none"/>
        </w:rPr>
        <w:t>谈判文件未载明允许提供备选（替代）竞标方案或明确不允许提供备选（替代）竞标方案时，供应商提供了备选（替代）竞标方案的；</w:t>
      </w:r>
      <w:bookmarkEnd w:id="49"/>
    </w:p>
    <w:p w14:paraId="7C6E585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3）响应文件标注的项目名称或者项目编号与谈判文件标注的项目名称或者项目编号不一致的；</w:t>
      </w:r>
    </w:p>
    <w:p w14:paraId="5E0505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14）谈判文件明确不允许分包，响应文件拟分包的；</w:t>
      </w:r>
    </w:p>
    <w:p w14:paraId="32C4EBB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5）未响应谈判文件实质性要求；</w:t>
      </w:r>
    </w:p>
    <w:p w14:paraId="795EA8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16）法律、法规和谈判文件规定的其他无效情形。</w:t>
      </w:r>
    </w:p>
    <w:p w14:paraId="032BDBB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2）报</w:t>
      </w:r>
      <w:r>
        <w:rPr>
          <w:rFonts w:hint="eastAsia" w:ascii="宋体" w:hAnsi="宋体" w:cs="宋体"/>
          <w:color w:val="auto"/>
          <w:szCs w:val="21"/>
          <w:highlight w:val="none"/>
        </w:rPr>
        <w:t>价评审</w:t>
      </w:r>
    </w:p>
    <w:p w14:paraId="35EF41E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1）响应文件未提供“供应商须知前附表” 报价商务技术文件中规定的“竞标报价表”的；</w:t>
      </w:r>
    </w:p>
    <w:p w14:paraId="3082734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2）未采用人民币报价或者未按照谈判文件标明的币种报价的；</w:t>
      </w:r>
    </w:p>
    <w:p w14:paraId="4902C6A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的；供应商未就所竞标分标的单项内容作唯一报价的；供应商未就所竞标分标的全部内容作完整唯一总价报价的；供应商响应文件中存在有选择、有条件报价的（谈判文件允许有备选方案或者其他约定的除外）；</w:t>
      </w:r>
    </w:p>
    <w:p w14:paraId="43067CB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4）最后报价超过所竞标分标规定的采购预算金额或者最高限价的（如本项目公布了最高限价）； </w:t>
      </w:r>
    </w:p>
    <w:p w14:paraId="7DCC6F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5）修正后的报价，供应商不确认的；或者经供应商确认修正后的最后报价超过所竞标分标规定的采购预算金额或者最高限价（如本项目公布了最高限价）；</w:t>
      </w:r>
    </w:p>
    <w:p w14:paraId="04EC1C6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响应文件响应的标的数量及单位与竞争性谈判采购文件要求实质性不一致的。</w:t>
      </w:r>
    </w:p>
    <w:p w14:paraId="47B78AA6">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14:paraId="7184D5B3">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7公开招标的货物、服务采购项目，招标过程中提交响应文件或者经评审实质性响应谈判文件要求的供应商只有两家时，采购人、采购代理机构按照《政府采购非招标采购方式管理办法》（财政部74号令）第四条经本级财政部门批准后可以与该两家供应商进行竞争性谈判采购。</w:t>
      </w:r>
    </w:p>
    <w:p w14:paraId="272032D2">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.8通过符合性审查的合格供应商不足3家的，不得进入谈判环节，应当重新开展采购活动。</w:t>
      </w:r>
    </w:p>
    <w:p w14:paraId="2036C21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谈判程序</w:t>
      </w:r>
    </w:p>
    <w:p w14:paraId="3F74A2EC">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.1</w:t>
      </w:r>
      <w:r>
        <w:rPr>
          <w:rFonts w:hint="eastAsia" w:ascii="宋体" w:hAnsi="宋体" w:cs="宋体"/>
          <w:color w:val="auto"/>
          <w:kern w:val="0"/>
          <w:szCs w:val="21"/>
          <w:highlight w:val="none"/>
        </w:rPr>
        <w:t>谈判小组</w:t>
      </w:r>
      <w:r>
        <w:rPr>
          <w:rFonts w:hint="eastAsia" w:ascii="宋体" w:hAnsi="宋体" w:cs="宋体"/>
          <w:color w:val="auto"/>
          <w:szCs w:val="21"/>
          <w:highlight w:val="none"/>
        </w:rPr>
        <w:t>集中与单一供应商分别进行谈判，并给予所有参加谈判的供应商平等的谈判机会。符合谈判资格的供应商必须在接到谈判通知后在规定时间内参加谈判，未在规定时间内参加谈判的，视同放弃参加谈判权利，其响应文件按无效处理。</w:t>
      </w:r>
    </w:p>
    <w:p w14:paraId="51941FE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14:paraId="40F93733">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对谈判文件作出的实质性变动是谈判文件的有效组成部分，由谈判小组及时以电子澄清函形式同时通知所有参加谈判的供应商。</w:t>
      </w:r>
    </w:p>
    <w:p w14:paraId="03BC83E4">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供应商必须按照谈判文件的变动情况和谈判小组的要求以回函的形式重新提交响应文件，并加盖电子签章。参加谈判的供应商未在规定时间内重新提交响应文件的，视同退出谈判，其响应文件按无效处理。</w:t>
      </w:r>
    </w:p>
    <w:p w14:paraId="2ECEE6E9">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谈判中，谈判的任何一方不得透露与谈判有关的其他供应商的技术资料、价格和其他信息。</w:t>
      </w:r>
    </w:p>
    <w:p w14:paraId="1AF28FF3">
      <w:pPr>
        <w:widowControl/>
        <w:tabs>
          <w:tab w:val="left" w:pos="540"/>
        </w:tabs>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谈判小组应对谈判过程和重要谈判内容进行记录。</w:t>
      </w:r>
    </w:p>
    <w:p w14:paraId="0ADF8AC9">
      <w:pPr>
        <w:tabs>
          <w:tab w:val="left" w:pos="2835"/>
        </w:tabs>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7除本章第3.7条外，</w:t>
      </w:r>
      <w:r>
        <w:rPr>
          <w:rFonts w:hint="eastAsia" w:ascii="宋体" w:hAnsi="宋体"/>
          <w:color w:val="auto"/>
          <w:szCs w:val="21"/>
          <w:highlight w:val="none"/>
        </w:rPr>
        <w:t>对谈判过程提交的响应文件进行有效性、完整性和响应程度审查，通过审查的合格供应商不足3家的，采购人或者采购代理机构应当重新开展采购活动</w:t>
      </w:r>
      <w:r>
        <w:rPr>
          <w:rFonts w:hint="eastAsia" w:ascii="宋体" w:hAnsi="宋体" w:cs="宋体"/>
          <w:color w:val="auto"/>
          <w:szCs w:val="21"/>
          <w:highlight w:val="none"/>
        </w:rPr>
        <w:t>。</w:t>
      </w:r>
    </w:p>
    <w:p w14:paraId="4DC8FE9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 xml:space="preserve"> 最后报价</w:t>
      </w:r>
    </w:p>
    <w:p w14:paraId="350776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.1</w:t>
      </w:r>
      <w:r>
        <w:rPr>
          <w:rFonts w:hint="eastAsia" w:ascii="宋体" w:hAnsi="宋体" w:cs="宋体"/>
          <w:color w:val="auto"/>
          <w:szCs w:val="21"/>
          <w:highlight w:val="none"/>
        </w:rPr>
        <w:t>谈判文件能够详细列明采购标的的技术、服务要求的，谈判结束后，谈判小组应当要求所有继续参加谈判的供应商在规定时间内在广西政府采购云平台开标大厅提交最后报价，除本章第3.7条外，提交最后报价的供应商不得少于3家，否则应当重新采购。</w:t>
      </w:r>
    </w:p>
    <w:p w14:paraId="50D281E0">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在广西政府采购云平台开标大厅提交最后报价。</w:t>
      </w:r>
    </w:p>
    <w:p w14:paraId="4A913D32">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最后报价是供应商响应文件的有效组成部分。</w:t>
      </w:r>
    </w:p>
    <w:p w14:paraId="1ED36776">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已经提交响应文件的供应商，在提交最后报价之前，可以根据谈判情况退出谈判，退出谈判的供应商的响应文件按无效响应处理。采购人、采购代理机构将退还退出谈判的供应商的保证金。</w:t>
      </w:r>
    </w:p>
    <w:p w14:paraId="55748AF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5.5</w:t>
      </w:r>
      <w:r>
        <w:rPr>
          <w:rFonts w:hint="eastAsia" w:ascii="宋体" w:hAnsi="宋体" w:cs="宋体"/>
          <w:color w:val="auto"/>
          <w:szCs w:val="21"/>
          <w:highlight w:val="none"/>
        </w:rPr>
        <w:t>供应商未在规定时间内提交最后报价的，视为退出谈判，其响应文件按无效处理。</w:t>
      </w:r>
    </w:p>
    <w:p w14:paraId="0D5772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.6</w:t>
      </w:r>
      <w:r>
        <w:rPr>
          <w:rFonts w:hint="eastAsia" w:ascii="宋体" w:hAnsi="宋体" w:cs="宋体"/>
          <w:color w:val="auto"/>
          <w:szCs w:val="21"/>
          <w:highlight w:val="none"/>
        </w:rPr>
        <w:t>最后报价统一开启后，谈判小组对最后报价进行有效性、完整性和响应程度的审查。</w:t>
      </w:r>
    </w:p>
    <w:p w14:paraId="50FBE62C">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5.7</w:t>
      </w:r>
      <w:r>
        <w:rPr>
          <w:rFonts w:hint="eastAsia" w:ascii="宋体" w:hAnsi="宋体" w:cs="宋体"/>
          <w:color w:val="auto"/>
          <w:szCs w:val="21"/>
          <w:highlight w:val="none"/>
        </w:rPr>
        <w:t>最后报价出现前后不一致的，按照本章第</w:t>
      </w:r>
      <w:r>
        <w:rPr>
          <w:rFonts w:ascii="宋体" w:hAnsi="宋体" w:cs="宋体"/>
          <w:color w:val="auto"/>
          <w:szCs w:val="21"/>
          <w:highlight w:val="none"/>
        </w:rPr>
        <w:t>3.4</w:t>
      </w:r>
      <w:r>
        <w:rPr>
          <w:rFonts w:hint="eastAsia" w:ascii="宋体" w:hAnsi="宋体" w:cs="宋体"/>
          <w:color w:val="auto"/>
          <w:szCs w:val="21"/>
          <w:highlight w:val="none"/>
        </w:rPr>
        <w:t xml:space="preserve">条的规定修正。 </w:t>
      </w:r>
    </w:p>
    <w:p w14:paraId="6A98D50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5.8</w:t>
      </w:r>
      <w:r>
        <w:rPr>
          <w:rFonts w:hint="eastAsia" w:ascii="宋体" w:hAnsi="宋体" w:cs="宋体"/>
          <w:color w:val="auto"/>
          <w:szCs w:val="21"/>
          <w:highlight w:val="none"/>
        </w:rPr>
        <w:t>修正后的报价出现下列情形的，按无效响应处理：</w:t>
      </w:r>
    </w:p>
    <w:p w14:paraId="3DBDB89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0676505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（2）经供应商确认修正后的竞标报价（包含首次报价、最后报价）超过所竞标分标规定的采购预算金额或者最高限价的（如本项目公布了最高限价）；</w:t>
      </w:r>
    </w:p>
    <w:p w14:paraId="05058DE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（3）经供应商确认修正后的竞标报价（包含首次报价、最后报价）超过分项采购预算金额或者最高限价的（如本项目公布了最高限价）。</w:t>
      </w:r>
    </w:p>
    <w:p w14:paraId="3A5EFB4B">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5.9</w:t>
      </w:r>
      <w:r>
        <w:rPr>
          <w:rFonts w:hint="eastAsia" w:ascii="宋体" w:hAnsi="宋体" w:cs="宋体"/>
          <w:color w:val="auto"/>
          <w:szCs w:val="21"/>
          <w:highlight w:val="none"/>
        </w:rPr>
        <w:t>经供应商确认修正后的最后报价作为评审及签订合同的依据。</w:t>
      </w:r>
    </w:p>
    <w:p w14:paraId="25721BA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，谈判小组应当告知有关供应商</w:t>
      </w:r>
      <w:r>
        <w:rPr>
          <w:rFonts w:hint="eastAsia" w:ascii="宋体" w:hAnsi="宋体" w:cs="宋体"/>
          <w:color w:val="auto"/>
          <w:szCs w:val="21"/>
          <w:highlight w:val="none"/>
        </w:rPr>
        <w:t>。</w:t>
      </w:r>
    </w:p>
    <w:p w14:paraId="327038C4">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1最后报价结束后，谈判小组不得再与供应商进行任何形式的商谈。</w:t>
      </w:r>
    </w:p>
    <w:p w14:paraId="0FC916A9">
      <w:pPr>
        <w:spacing w:line="360" w:lineRule="auto"/>
        <w:ind w:firstLine="472" w:firstLineChars="196"/>
        <w:rPr>
          <w:rFonts w:ascii="黑体" w:hAnsi="黑体" w:eastAsia="黑体" w:cs="宋体"/>
          <w:b/>
          <w:bCs/>
          <w:color w:val="auto"/>
          <w:sz w:val="24"/>
          <w:highlight w:val="none"/>
        </w:rPr>
      </w:pPr>
      <w:r>
        <w:rPr>
          <w:rFonts w:ascii="黑体" w:hAnsi="黑体" w:eastAsia="黑体" w:cs="宋体"/>
          <w:b/>
          <w:bCs/>
          <w:color w:val="auto"/>
          <w:sz w:val="24"/>
          <w:highlight w:val="none"/>
        </w:rPr>
        <w:t>6.</w:t>
      </w:r>
      <w:r>
        <w:rPr>
          <w:rFonts w:hint="eastAsia" w:ascii="黑体" w:hAnsi="黑体" w:eastAsia="黑体" w:cs="宋体"/>
          <w:b/>
          <w:bCs/>
          <w:color w:val="auto"/>
          <w:sz w:val="24"/>
          <w:highlight w:val="none"/>
        </w:rPr>
        <w:t xml:space="preserve"> 最后报价政府采购政策性扣除</w:t>
      </w:r>
    </w:p>
    <w:p w14:paraId="2C96C38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6.1评审价为供应商的最后报价进行政策性扣除后的价格，评审价只是作为评审时使用。最终成交供应商的成交金额等于最后报价（如有修正，以确认修正后的最后报价为准）。</w:t>
      </w:r>
    </w:p>
    <w:p w14:paraId="6C09BF0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6.2政策性扣除计算方法。</w:t>
      </w:r>
    </w:p>
    <w:p w14:paraId="61ECA9C5">
      <w:pPr>
        <w:spacing w:line="360" w:lineRule="auto"/>
        <w:ind w:firstLine="420" w:firstLineChars="200"/>
        <w:rPr>
          <w:rFonts w:hint="default" w:ascii="黑体" w:hAnsi="黑体" w:eastAsia="黑体" w:cs="黑体"/>
          <w:color w:val="auto"/>
          <w:highlight w:val="none"/>
          <w:lang w:val="en-US" w:eastAsia="zh-CN"/>
        </w:rPr>
      </w:pPr>
      <w:r>
        <w:rPr>
          <w:rFonts w:hint="eastAsia" w:ascii="宋体" w:hAnsi="宋体" w:eastAsia="宋体" w:cs="宋体"/>
          <w:color w:val="auto"/>
          <w:highlight w:val="none"/>
        </w:rPr>
        <w:t>根据《政府采购促进中小企业发展管理办法》（财库〔2020〕46号）的规定</w:t>
      </w:r>
      <w:r>
        <w:rPr>
          <w:rFonts w:hint="eastAsia" w:ascii="宋体" w:hAnsi="宋体" w:eastAsia="宋体" w:cs="宋体"/>
          <w:color w:val="auto"/>
          <w:highlight w:val="none"/>
          <w:lang w:val="en-US" w:eastAsia="zh-CN"/>
        </w:rPr>
        <w:t>以及《广西壮族自治区财政厅关于贯彻落实政府采购支持中小企业发展政策的通知》 （桂财采〔2022〕31号）</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非专门面向中小企业采购的项目，</w:t>
      </w:r>
      <w:r>
        <w:rPr>
          <w:rFonts w:hint="eastAsia" w:ascii="宋体" w:hAnsi="宋体" w:eastAsia="宋体" w:cs="宋体"/>
          <w:color w:val="auto"/>
          <w:highlight w:val="none"/>
        </w:rPr>
        <w:t>供应商在其响应文件中提供《中小企业声明函》，且</w:t>
      </w:r>
      <w:r>
        <w:rPr>
          <w:rFonts w:hint="eastAsia" w:ascii="宋体" w:hAnsi="宋体" w:eastAsia="宋体" w:cs="宋体"/>
          <w:color w:val="auto"/>
          <w:highlight w:val="none"/>
          <w:lang w:eastAsia="zh-CN"/>
        </w:rPr>
        <w:t>货物</w:t>
      </w:r>
      <w:r>
        <w:rPr>
          <w:rFonts w:hint="eastAsia" w:ascii="宋体" w:hAnsi="宋体" w:eastAsia="宋体" w:cs="宋体"/>
          <w:color w:val="auto"/>
          <w:highlight w:val="none"/>
        </w:rPr>
        <w:t>全部由小微企业承接，对供应商的竞标报价给予</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0%的扣除，扣除后的价格为评审价，即评审价=</w:t>
      </w:r>
      <w:r>
        <w:rPr>
          <w:rFonts w:hint="eastAsia" w:ascii="宋体" w:hAnsi="宋体" w:eastAsia="宋体" w:cs="宋体"/>
          <w:color w:val="auto"/>
          <w:highlight w:val="none"/>
          <w:lang w:eastAsia="zh-CN"/>
        </w:rPr>
        <w:t>最后</w:t>
      </w:r>
      <w:r>
        <w:rPr>
          <w:rFonts w:hint="eastAsia" w:ascii="宋体" w:hAnsi="宋体" w:eastAsia="宋体" w:cs="宋体"/>
          <w:color w:val="auto"/>
          <w:highlight w:val="none"/>
        </w:rPr>
        <w:t>报价×（1-</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0%）。接受大中型</w:t>
      </w:r>
      <w:r>
        <w:rPr>
          <w:rFonts w:hint="eastAsia" w:ascii="宋体" w:hAnsi="宋体" w:cs="宋体"/>
          <w:color w:val="auto"/>
          <w:highlight w:val="none"/>
        </w:rPr>
        <w:t>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cs="宋体"/>
          <w:color w:val="auto"/>
          <w:highlight w:val="none"/>
          <w:lang w:val="en-US" w:eastAsia="zh-CN"/>
        </w:rPr>
        <w:t>6</w:t>
      </w:r>
      <w:r>
        <w:rPr>
          <w:rFonts w:hint="eastAsia" w:ascii="宋体" w:hAnsi="宋体" w:cs="宋体"/>
          <w:color w:val="auto"/>
          <w:highlight w:val="none"/>
        </w:rPr>
        <w:t>% 的扣除，用扣除后的价格参加评审，扣除后的价格为评审价，即评审价=</w:t>
      </w:r>
      <w:r>
        <w:rPr>
          <w:rFonts w:hint="eastAsia" w:ascii="宋体" w:hAnsi="宋体" w:cs="宋体"/>
          <w:color w:val="auto"/>
          <w:highlight w:val="none"/>
          <w:lang w:eastAsia="zh-CN"/>
        </w:rPr>
        <w:t>最后</w:t>
      </w:r>
      <w:r>
        <w:rPr>
          <w:rFonts w:hint="eastAsia" w:ascii="宋体" w:hAnsi="宋体" w:cs="宋体"/>
          <w:color w:val="auto"/>
          <w:highlight w:val="none"/>
        </w:rPr>
        <w:t>报价×（1-</w:t>
      </w:r>
      <w:r>
        <w:rPr>
          <w:rFonts w:hint="eastAsia" w:ascii="宋体" w:hAnsi="宋体" w:cs="宋体"/>
          <w:color w:val="auto"/>
          <w:highlight w:val="none"/>
          <w:lang w:val="en-US" w:eastAsia="zh-CN"/>
        </w:rPr>
        <w:t>6</w:t>
      </w:r>
      <w:r>
        <w:rPr>
          <w:rFonts w:hint="eastAsia" w:ascii="宋体" w:hAnsi="宋体" w:cs="宋体"/>
          <w:color w:val="auto"/>
          <w:highlight w:val="none"/>
        </w:rPr>
        <w:t>%）。除上述情况外，评审价=</w:t>
      </w:r>
      <w:r>
        <w:rPr>
          <w:rFonts w:hint="eastAsia" w:ascii="宋体" w:hAnsi="宋体" w:cs="宋体"/>
          <w:color w:val="auto"/>
          <w:highlight w:val="none"/>
          <w:lang w:eastAsia="zh-CN"/>
        </w:rPr>
        <w:t>最后</w:t>
      </w:r>
      <w:r>
        <w:rPr>
          <w:rFonts w:hint="eastAsia" w:ascii="宋体" w:hAnsi="宋体" w:cs="宋体"/>
          <w:color w:val="auto"/>
          <w:highlight w:val="none"/>
        </w:rPr>
        <w:t>报价。</w:t>
      </w:r>
      <w:r>
        <w:rPr>
          <w:rFonts w:hint="eastAsia" w:ascii="黑体" w:hAnsi="黑体" w:eastAsia="黑体" w:cs="黑体"/>
          <w:color w:val="auto"/>
          <w:highlight w:val="none"/>
          <w:lang w:eastAsia="zh-CN"/>
        </w:rPr>
        <w:t>（</w:t>
      </w:r>
      <w:r>
        <w:rPr>
          <w:rFonts w:hint="eastAsia" w:ascii="黑体" w:hAnsi="黑体" w:eastAsia="黑体" w:cs="黑体"/>
          <w:color w:val="auto"/>
          <w:highlight w:val="none"/>
          <w:lang w:val="en-US" w:eastAsia="zh-CN"/>
        </w:rPr>
        <w:t>注：本项目为专门面向中小企业采购的项目，不再执行价格优惠政策）</w:t>
      </w:r>
    </w:p>
    <w:p w14:paraId="31DA834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164FDDE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45BC1D8D">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6.5</w:t>
      </w:r>
      <w:r>
        <w:rPr>
          <w:rFonts w:hint="eastAsia" w:ascii="宋体" w:hAnsi="宋体" w:cs="宋体"/>
          <w:color w:val="auto"/>
          <w:highlight w:val="none"/>
        </w:rPr>
        <w:t>除上述情况外，评审价＝最后报价。</w:t>
      </w:r>
    </w:p>
    <w:p w14:paraId="452DD82C">
      <w:pPr>
        <w:spacing w:line="360" w:lineRule="auto"/>
        <w:ind w:firstLine="420" w:firstLineChars="200"/>
        <w:rPr>
          <w:rFonts w:hint="eastAsia" w:ascii="宋体" w:hAnsi="宋体" w:cs="宋体"/>
          <w:color w:val="auto"/>
          <w:highlight w:val="none"/>
        </w:rPr>
      </w:pPr>
    </w:p>
    <w:p w14:paraId="78C64B47">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二、评定成交的标准</w:t>
      </w:r>
    </w:p>
    <w:p w14:paraId="2050149B">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7.</w:t>
      </w:r>
      <w:r>
        <w:rPr>
          <w:rFonts w:hint="eastAsia" w:ascii="黑体" w:hAnsi="黑体" w:eastAsia="黑体" w:cs="宋体"/>
          <w:b/>
          <w:bCs/>
          <w:color w:val="auto"/>
          <w:sz w:val="24"/>
          <w:highlight w:val="none"/>
        </w:rPr>
        <w:t xml:space="preserve"> 成交候选人推荐原则</w:t>
      </w:r>
    </w:p>
    <w:p w14:paraId="29A10EF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谈判小组应当从质量和服务均能满足谈判文件实质性响应要求的供应商中，按照评审价由低到高的顺序提出3名以上成交候选人（评审价相同时，按照最后报价由低到高顺序依次推荐；最后报价相同时，由谈判小组按“供应商须知前附表”第2</w:t>
      </w:r>
      <w:r>
        <w:rPr>
          <w:rFonts w:ascii="宋体" w:hAnsi="宋体" w:cs="宋体"/>
          <w:color w:val="auto"/>
          <w:highlight w:val="none"/>
        </w:rPr>
        <w:t>6</w:t>
      </w:r>
      <w:r>
        <w:rPr>
          <w:rFonts w:hint="eastAsia" w:ascii="宋体" w:hAnsi="宋体" w:cs="宋体"/>
          <w:color w:val="auto"/>
          <w:highlight w:val="none"/>
        </w:rPr>
        <w:t>条规定的顺序推荐）,并</w:t>
      </w:r>
      <w:r>
        <w:rPr>
          <w:rFonts w:hint="eastAsia" w:ascii="宋体" w:hAnsi="宋体" w:cs="宋体"/>
          <w:color w:val="auto"/>
          <w:highlight w:val="none"/>
          <w:lang w:val="en-US" w:eastAsia="zh-CN"/>
        </w:rPr>
        <w:t>在线</w:t>
      </w:r>
      <w:r>
        <w:rPr>
          <w:rFonts w:hint="eastAsia" w:ascii="宋体" w:hAnsi="宋体" w:cs="宋体"/>
          <w:color w:val="auto"/>
          <w:highlight w:val="none"/>
        </w:rPr>
        <w:t>编写评审报告，评审报告</w:t>
      </w:r>
      <w:r>
        <w:rPr>
          <w:rFonts w:hint="eastAsia" w:hAnsi="宋体"/>
          <w:color w:val="auto"/>
          <w:highlight w:val="none"/>
        </w:rPr>
        <w:t>通过电子交易平台向采购人、采购代理机构提交</w:t>
      </w:r>
      <w:r>
        <w:rPr>
          <w:rFonts w:hint="eastAsia" w:ascii="宋体" w:hAnsi="宋体" w:cs="宋体"/>
          <w:color w:val="auto"/>
          <w:highlight w:val="none"/>
        </w:rPr>
        <w:t>。</w:t>
      </w:r>
    </w:p>
    <w:p w14:paraId="4C131F66">
      <w:pPr>
        <w:pStyle w:val="3"/>
        <w:jc w:val="center"/>
        <w:rPr>
          <w:rFonts w:hint="eastAsia"/>
          <w:color w:val="auto"/>
          <w:highlight w:val="none"/>
        </w:rPr>
      </w:pPr>
      <w:r>
        <w:rPr>
          <w:color w:val="auto"/>
          <w:highlight w:val="none"/>
        </w:rPr>
        <w:br w:type="page"/>
      </w:r>
    </w:p>
    <w:p w14:paraId="51991961">
      <w:pPr>
        <w:rPr>
          <w:rFonts w:hint="eastAsia"/>
          <w:color w:val="auto"/>
          <w:highlight w:val="none"/>
        </w:rPr>
      </w:pPr>
    </w:p>
    <w:p w14:paraId="4FAAEF89">
      <w:pPr>
        <w:rPr>
          <w:rFonts w:hint="eastAsia"/>
          <w:color w:val="auto"/>
          <w:highlight w:val="none"/>
        </w:rPr>
      </w:pPr>
    </w:p>
    <w:p w14:paraId="698022F7">
      <w:pPr>
        <w:rPr>
          <w:rFonts w:hint="eastAsia"/>
          <w:color w:val="auto"/>
          <w:highlight w:val="none"/>
        </w:rPr>
      </w:pPr>
    </w:p>
    <w:p w14:paraId="55868B10">
      <w:pPr>
        <w:rPr>
          <w:rFonts w:hint="eastAsia"/>
          <w:color w:val="auto"/>
          <w:highlight w:val="none"/>
        </w:rPr>
      </w:pPr>
    </w:p>
    <w:p w14:paraId="30C6969F">
      <w:pPr>
        <w:rPr>
          <w:rFonts w:hint="eastAsia"/>
          <w:color w:val="auto"/>
          <w:highlight w:val="none"/>
        </w:rPr>
      </w:pPr>
    </w:p>
    <w:p w14:paraId="5D4F4A93">
      <w:pPr>
        <w:rPr>
          <w:rFonts w:hint="eastAsia"/>
          <w:color w:val="auto"/>
          <w:highlight w:val="none"/>
        </w:rPr>
      </w:pPr>
    </w:p>
    <w:p w14:paraId="6CD0AFAE">
      <w:pPr>
        <w:rPr>
          <w:rFonts w:hint="eastAsia"/>
          <w:color w:val="auto"/>
          <w:highlight w:val="none"/>
        </w:rPr>
      </w:pPr>
    </w:p>
    <w:p w14:paraId="27CC2A02">
      <w:pPr>
        <w:rPr>
          <w:rFonts w:hint="eastAsia"/>
          <w:color w:val="auto"/>
          <w:highlight w:val="none"/>
        </w:rPr>
      </w:pPr>
    </w:p>
    <w:p w14:paraId="2886ACD1">
      <w:pPr>
        <w:rPr>
          <w:rFonts w:hint="eastAsia"/>
          <w:color w:val="auto"/>
          <w:highlight w:val="none"/>
        </w:rPr>
      </w:pPr>
    </w:p>
    <w:p w14:paraId="072A82C3">
      <w:pPr>
        <w:rPr>
          <w:rFonts w:hint="eastAsia"/>
          <w:color w:val="auto"/>
          <w:highlight w:val="none"/>
        </w:rPr>
      </w:pPr>
    </w:p>
    <w:p w14:paraId="1E10BB38">
      <w:pPr>
        <w:rPr>
          <w:rFonts w:hint="eastAsia"/>
          <w:color w:val="auto"/>
          <w:highlight w:val="none"/>
        </w:rPr>
      </w:pPr>
    </w:p>
    <w:p w14:paraId="41509808">
      <w:pPr>
        <w:rPr>
          <w:rFonts w:hint="eastAsia"/>
          <w:color w:val="auto"/>
          <w:highlight w:val="none"/>
        </w:rPr>
      </w:pPr>
    </w:p>
    <w:p w14:paraId="739A5261">
      <w:pPr>
        <w:rPr>
          <w:rFonts w:hint="eastAsia"/>
          <w:color w:val="auto"/>
          <w:highlight w:val="none"/>
        </w:rPr>
      </w:pPr>
    </w:p>
    <w:p w14:paraId="51CD86EE">
      <w:pPr>
        <w:pStyle w:val="3"/>
        <w:jc w:val="center"/>
        <w:rPr>
          <w:rFonts w:hint="eastAsia"/>
          <w:color w:val="auto"/>
          <w:highlight w:val="none"/>
        </w:rPr>
      </w:pPr>
      <w:bookmarkStart w:id="50" w:name="_Toc74322012"/>
      <w:r>
        <w:rPr>
          <w:rFonts w:hint="eastAsia"/>
          <w:color w:val="auto"/>
          <w:highlight w:val="none"/>
        </w:rPr>
        <w:t>第五章 响应文件格式</w:t>
      </w:r>
      <w:bookmarkEnd w:id="50"/>
    </w:p>
    <w:p w14:paraId="42D7AAFF">
      <w:pPr>
        <w:spacing w:line="240" w:lineRule="atLeast"/>
        <w:rPr>
          <w:rFonts w:hint="eastAsia" w:ascii="宋体" w:hAnsi="宋体"/>
          <w:b/>
          <w:color w:val="auto"/>
          <w:sz w:val="32"/>
          <w:szCs w:val="32"/>
          <w:highlight w:val="none"/>
        </w:rPr>
      </w:pPr>
    </w:p>
    <w:p w14:paraId="5CA462CD">
      <w:pPr>
        <w:spacing w:line="240" w:lineRule="atLeast"/>
        <w:rPr>
          <w:rFonts w:hint="eastAsia" w:ascii="宋体" w:hAnsi="宋体"/>
          <w:b/>
          <w:color w:val="auto"/>
          <w:sz w:val="32"/>
          <w:szCs w:val="32"/>
          <w:highlight w:val="none"/>
        </w:rPr>
      </w:pPr>
    </w:p>
    <w:p w14:paraId="2A29E328">
      <w:pPr>
        <w:spacing w:line="240" w:lineRule="atLeast"/>
        <w:rPr>
          <w:rFonts w:hint="eastAsia" w:ascii="宋体" w:hAnsi="宋体"/>
          <w:b/>
          <w:color w:val="auto"/>
          <w:sz w:val="32"/>
          <w:szCs w:val="32"/>
          <w:highlight w:val="none"/>
        </w:rPr>
      </w:pPr>
    </w:p>
    <w:p w14:paraId="47CAF2C7">
      <w:pPr>
        <w:spacing w:line="240" w:lineRule="atLeast"/>
        <w:rPr>
          <w:rFonts w:hint="eastAsia" w:ascii="宋体" w:hAnsi="宋体"/>
          <w:b/>
          <w:color w:val="auto"/>
          <w:sz w:val="32"/>
          <w:szCs w:val="32"/>
          <w:highlight w:val="none"/>
        </w:rPr>
      </w:pPr>
    </w:p>
    <w:p w14:paraId="5131B0DC">
      <w:pPr>
        <w:spacing w:line="240" w:lineRule="atLeast"/>
        <w:rPr>
          <w:rFonts w:hint="eastAsia" w:ascii="宋体" w:hAnsi="宋体"/>
          <w:b/>
          <w:color w:val="auto"/>
          <w:sz w:val="32"/>
          <w:szCs w:val="32"/>
          <w:highlight w:val="none"/>
        </w:rPr>
      </w:pPr>
    </w:p>
    <w:p w14:paraId="192B914B">
      <w:pPr>
        <w:spacing w:line="240" w:lineRule="atLeast"/>
        <w:rPr>
          <w:rFonts w:hint="eastAsia" w:ascii="宋体" w:hAnsi="宋体"/>
          <w:b/>
          <w:color w:val="auto"/>
          <w:sz w:val="32"/>
          <w:szCs w:val="32"/>
          <w:highlight w:val="none"/>
        </w:rPr>
      </w:pPr>
    </w:p>
    <w:p w14:paraId="04528D2E">
      <w:pPr>
        <w:spacing w:line="240" w:lineRule="atLeast"/>
        <w:rPr>
          <w:rFonts w:hint="eastAsia" w:ascii="宋体" w:hAnsi="宋体"/>
          <w:b/>
          <w:color w:val="auto"/>
          <w:sz w:val="32"/>
          <w:szCs w:val="32"/>
          <w:highlight w:val="none"/>
        </w:rPr>
      </w:pPr>
    </w:p>
    <w:p w14:paraId="4EAECF30">
      <w:pPr>
        <w:spacing w:line="240" w:lineRule="atLeast"/>
        <w:rPr>
          <w:rFonts w:hint="eastAsia" w:ascii="宋体" w:hAnsi="宋体"/>
          <w:b/>
          <w:color w:val="auto"/>
          <w:sz w:val="32"/>
          <w:szCs w:val="32"/>
          <w:highlight w:val="none"/>
        </w:rPr>
      </w:pPr>
    </w:p>
    <w:p w14:paraId="27E78862">
      <w:pPr>
        <w:spacing w:line="240" w:lineRule="atLeast"/>
        <w:rPr>
          <w:rFonts w:hint="eastAsia" w:ascii="宋体" w:hAnsi="宋体"/>
          <w:b/>
          <w:color w:val="auto"/>
          <w:sz w:val="32"/>
          <w:szCs w:val="32"/>
          <w:highlight w:val="none"/>
        </w:rPr>
      </w:pPr>
    </w:p>
    <w:p w14:paraId="4D394F9C">
      <w:pPr>
        <w:spacing w:line="240" w:lineRule="atLeast"/>
        <w:rPr>
          <w:rFonts w:hint="eastAsia" w:ascii="宋体" w:hAnsi="宋体"/>
          <w:b/>
          <w:color w:val="auto"/>
          <w:sz w:val="32"/>
          <w:szCs w:val="32"/>
          <w:highlight w:val="none"/>
        </w:rPr>
      </w:pPr>
    </w:p>
    <w:p w14:paraId="7AA0A700">
      <w:pPr>
        <w:spacing w:line="240" w:lineRule="atLeast"/>
        <w:rPr>
          <w:rFonts w:hint="eastAsia" w:ascii="宋体" w:hAnsi="宋体"/>
          <w:b/>
          <w:color w:val="auto"/>
          <w:sz w:val="32"/>
          <w:szCs w:val="32"/>
          <w:highlight w:val="none"/>
        </w:rPr>
      </w:pPr>
    </w:p>
    <w:p w14:paraId="09A54028">
      <w:pPr>
        <w:spacing w:line="240" w:lineRule="atLeast"/>
        <w:rPr>
          <w:rFonts w:hint="eastAsia" w:ascii="宋体" w:hAnsi="宋体"/>
          <w:b/>
          <w:color w:val="auto"/>
          <w:sz w:val="32"/>
          <w:szCs w:val="32"/>
          <w:highlight w:val="none"/>
        </w:rPr>
      </w:pPr>
    </w:p>
    <w:p w14:paraId="7DD66418">
      <w:pPr>
        <w:spacing w:line="240" w:lineRule="atLeast"/>
        <w:rPr>
          <w:rFonts w:hint="eastAsia" w:ascii="宋体" w:hAnsi="宋体"/>
          <w:b/>
          <w:color w:val="auto"/>
          <w:sz w:val="32"/>
          <w:szCs w:val="32"/>
          <w:highlight w:val="none"/>
        </w:rPr>
      </w:pPr>
    </w:p>
    <w:p w14:paraId="4093ED37">
      <w:pPr>
        <w:spacing w:line="240" w:lineRule="atLeast"/>
        <w:rPr>
          <w:rFonts w:hint="eastAsia" w:ascii="宋体" w:hAnsi="宋体"/>
          <w:b/>
          <w:color w:val="auto"/>
          <w:sz w:val="32"/>
          <w:szCs w:val="32"/>
          <w:highlight w:val="none"/>
        </w:rPr>
      </w:pPr>
    </w:p>
    <w:p w14:paraId="669C7233">
      <w:pPr>
        <w:snapToGrid w:val="0"/>
        <w:spacing w:before="50" w:after="50"/>
        <w:outlineLvl w:val="1"/>
        <w:rPr>
          <w:rFonts w:hint="eastAsia" w:ascii="宋体" w:hAnsi="宋体"/>
          <w:b/>
          <w:bCs/>
          <w:color w:val="auto"/>
          <w:sz w:val="24"/>
          <w:highlight w:val="none"/>
        </w:rPr>
      </w:pPr>
    </w:p>
    <w:p w14:paraId="7A01A5CB">
      <w:pPr>
        <w:snapToGrid w:val="0"/>
        <w:spacing w:before="50" w:after="50"/>
        <w:outlineLvl w:val="1"/>
        <w:rPr>
          <w:rFonts w:hint="eastAsia" w:ascii="宋体" w:hAnsi="宋体"/>
          <w:b/>
          <w:bCs/>
          <w:color w:val="auto"/>
          <w:sz w:val="24"/>
          <w:highlight w:val="none"/>
        </w:rPr>
      </w:pPr>
    </w:p>
    <w:p w14:paraId="223DC824">
      <w:pPr>
        <w:snapToGrid w:val="0"/>
        <w:spacing w:before="50" w:after="50"/>
        <w:outlineLvl w:val="1"/>
        <w:rPr>
          <w:rFonts w:hint="eastAsia" w:ascii="宋体" w:hAnsi="宋体"/>
          <w:b/>
          <w:bCs/>
          <w:color w:val="auto"/>
          <w:sz w:val="24"/>
          <w:highlight w:val="none"/>
        </w:rPr>
      </w:pPr>
    </w:p>
    <w:p w14:paraId="2506A9A5">
      <w:pPr>
        <w:rPr>
          <w:color w:val="auto"/>
          <w:highlight w:val="none"/>
        </w:rPr>
        <w:sectPr>
          <w:pgSz w:w="11910" w:h="16840"/>
          <w:pgMar w:top="1140" w:right="1500" w:bottom="280" w:left="1680" w:header="720" w:footer="720" w:gutter="0"/>
          <w:cols w:space="720" w:num="1"/>
        </w:sectPr>
      </w:pPr>
      <w:bookmarkStart w:id="51" w:name="_Toc71365381"/>
      <w:bookmarkStart w:id="52" w:name="_Toc71366059"/>
    </w:p>
    <w:p w14:paraId="1124D248">
      <w:pPr>
        <w:pStyle w:val="4"/>
        <w:tabs>
          <w:tab w:val="left" w:pos="567"/>
        </w:tabs>
        <w:jc w:val="both"/>
        <w:rPr>
          <w:rFonts w:hint="eastAsia" w:ascii="宋体" w:hAnsi="宋体"/>
          <w:bCs w:val="0"/>
          <w:color w:val="auto"/>
          <w:highlight w:val="none"/>
        </w:rPr>
      </w:pPr>
      <w:bookmarkStart w:id="53" w:name="_Toc80205939"/>
      <w:bookmarkStart w:id="54" w:name="_Toc31178"/>
      <w:r>
        <w:rPr>
          <w:rFonts w:hint="eastAsia" w:ascii="宋体" w:hAnsi="宋体"/>
          <w:bCs w:val="0"/>
          <w:color w:val="auto"/>
          <w:highlight w:val="none"/>
        </w:rPr>
        <w:t xml:space="preserve"> 资格证明文件格式</w:t>
      </w:r>
      <w:bookmarkEnd w:id="53"/>
      <w:bookmarkEnd w:id="54"/>
    </w:p>
    <w:p w14:paraId="1781CA6E">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5DA67357">
      <w:pPr>
        <w:snapToGrid w:val="0"/>
        <w:spacing w:before="120" w:beforeLines="50" w:after="50"/>
        <w:rPr>
          <w:rFonts w:hint="eastAsia" w:ascii="宋体" w:hAnsi="宋体"/>
          <w:color w:val="auto"/>
          <w:sz w:val="24"/>
          <w:szCs w:val="20"/>
          <w:highlight w:val="none"/>
        </w:rPr>
      </w:pPr>
    </w:p>
    <w:p w14:paraId="3EAB0C68">
      <w:pPr>
        <w:snapToGrid w:val="0"/>
        <w:spacing w:before="120" w:beforeLines="50" w:after="50"/>
        <w:rPr>
          <w:rFonts w:hint="eastAsia" w:ascii="宋体" w:hAnsi="宋体"/>
          <w:color w:val="auto"/>
          <w:sz w:val="24"/>
          <w:szCs w:val="20"/>
          <w:highlight w:val="none"/>
        </w:rPr>
      </w:pPr>
    </w:p>
    <w:p w14:paraId="6A308CD9">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资格证明文件（封面）</w:t>
      </w:r>
    </w:p>
    <w:p w14:paraId="2E344B99">
      <w:pPr>
        <w:snapToGrid w:val="0"/>
        <w:spacing w:before="120" w:beforeLines="50" w:after="50"/>
        <w:rPr>
          <w:rFonts w:hint="eastAsia" w:ascii="宋体" w:hAnsi="宋体"/>
          <w:bCs/>
          <w:color w:val="auto"/>
          <w:sz w:val="24"/>
          <w:szCs w:val="20"/>
          <w:highlight w:val="none"/>
        </w:rPr>
      </w:pPr>
    </w:p>
    <w:p w14:paraId="281E5EA8">
      <w:pPr>
        <w:snapToGrid w:val="0"/>
        <w:spacing w:before="120" w:beforeLines="50" w:after="50"/>
        <w:rPr>
          <w:rFonts w:hint="eastAsia" w:ascii="宋体" w:hAnsi="宋体"/>
          <w:bCs/>
          <w:color w:val="auto"/>
          <w:sz w:val="24"/>
          <w:szCs w:val="20"/>
          <w:highlight w:val="none"/>
        </w:rPr>
      </w:pPr>
    </w:p>
    <w:p w14:paraId="049B0124">
      <w:pPr>
        <w:snapToGrid w:val="0"/>
        <w:spacing w:before="120" w:beforeLines="50" w:after="50"/>
        <w:rPr>
          <w:rFonts w:hint="eastAsia" w:ascii="宋体" w:hAnsi="宋体"/>
          <w:bCs/>
          <w:color w:val="auto"/>
          <w:sz w:val="24"/>
          <w:szCs w:val="20"/>
          <w:highlight w:val="none"/>
        </w:rPr>
      </w:pPr>
    </w:p>
    <w:p w14:paraId="47D7139D">
      <w:pPr>
        <w:snapToGrid w:val="0"/>
        <w:spacing w:before="120" w:beforeLines="50" w:after="50"/>
        <w:rPr>
          <w:rFonts w:hint="eastAsia" w:ascii="宋体" w:hAnsi="宋体"/>
          <w:bCs/>
          <w:color w:val="auto"/>
          <w:sz w:val="24"/>
          <w:szCs w:val="20"/>
          <w:highlight w:val="none"/>
        </w:rPr>
      </w:pPr>
    </w:p>
    <w:p w14:paraId="41E95504">
      <w:pPr>
        <w:snapToGrid w:val="0"/>
        <w:spacing w:before="120" w:beforeLines="50" w:after="50"/>
        <w:rPr>
          <w:rFonts w:hint="eastAsia" w:ascii="宋体" w:hAnsi="宋体"/>
          <w:bCs/>
          <w:color w:val="auto"/>
          <w:sz w:val="24"/>
          <w:szCs w:val="20"/>
          <w:highlight w:val="none"/>
        </w:rPr>
      </w:pPr>
    </w:p>
    <w:p w14:paraId="1B521276">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417E328C">
      <w:pPr>
        <w:snapToGrid w:val="0"/>
        <w:spacing w:before="120" w:beforeLines="50" w:after="50"/>
        <w:ind w:firstLine="720" w:firstLineChars="225"/>
        <w:rPr>
          <w:rFonts w:hint="eastAsia" w:ascii="宋体" w:hAnsi="宋体" w:cs="仿宋_GB2312"/>
          <w:bCs/>
          <w:color w:val="auto"/>
          <w:sz w:val="32"/>
          <w:szCs w:val="32"/>
          <w:highlight w:val="none"/>
        </w:rPr>
      </w:pPr>
    </w:p>
    <w:p w14:paraId="6879CE86">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3C31C9AF">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4E87D50D">
      <w:pPr>
        <w:pStyle w:val="6"/>
        <w:snapToGrid w:val="0"/>
        <w:spacing w:before="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6A0FD24C">
      <w:pPr>
        <w:pStyle w:val="6"/>
        <w:snapToGrid w:val="0"/>
        <w:spacing w:before="50" w:after="50"/>
        <w:ind w:firstLine="720" w:firstLineChars="225"/>
        <w:rPr>
          <w:rFonts w:hint="eastAsia" w:ascii="宋体" w:hAnsi="宋体" w:cs="仿宋_GB2312"/>
          <w:bCs/>
          <w:color w:val="auto"/>
          <w:sz w:val="32"/>
          <w:szCs w:val="32"/>
          <w:highlight w:val="none"/>
        </w:rPr>
      </w:pPr>
    </w:p>
    <w:p w14:paraId="107BD6EE">
      <w:pPr>
        <w:pStyle w:val="6"/>
        <w:snapToGrid w:val="0"/>
        <w:spacing w:before="50" w:after="50"/>
        <w:ind w:firstLine="720" w:firstLineChars="225"/>
        <w:rPr>
          <w:rFonts w:hint="eastAsia" w:ascii="宋体" w:hAnsi="宋体" w:cs="仿宋_GB2312"/>
          <w:bCs/>
          <w:color w:val="auto"/>
          <w:sz w:val="32"/>
          <w:szCs w:val="32"/>
          <w:highlight w:val="none"/>
        </w:rPr>
      </w:pPr>
    </w:p>
    <w:p w14:paraId="6DC08B43">
      <w:pPr>
        <w:pStyle w:val="6"/>
        <w:snapToGrid w:val="0"/>
        <w:spacing w:before="50" w:after="50"/>
        <w:ind w:firstLine="720" w:firstLineChars="225"/>
        <w:rPr>
          <w:rFonts w:hint="eastAsia" w:ascii="宋体" w:hAnsi="宋体" w:cs="仿宋_GB2312"/>
          <w:bCs/>
          <w:color w:val="auto"/>
          <w:sz w:val="32"/>
          <w:szCs w:val="32"/>
          <w:highlight w:val="none"/>
        </w:rPr>
      </w:pPr>
    </w:p>
    <w:p w14:paraId="32B13014">
      <w:pPr>
        <w:pStyle w:val="6"/>
        <w:snapToGrid w:val="0"/>
        <w:spacing w:before="50" w:after="50"/>
        <w:ind w:firstLine="1280" w:firstLineChars="400"/>
        <w:rPr>
          <w:rFonts w:hint="eastAsia" w:ascii="宋体" w:hAnsi="宋体" w:cs="仿宋_GB2312"/>
          <w:bCs/>
          <w:color w:val="auto"/>
          <w:sz w:val="32"/>
          <w:szCs w:val="32"/>
          <w:highlight w:val="none"/>
        </w:rPr>
      </w:pPr>
    </w:p>
    <w:p w14:paraId="68DBD54E">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42DFB95C">
      <w:pPr>
        <w:snapToGrid w:val="0"/>
        <w:spacing w:before="120" w:beforeLines="50" w:after="50" w:line="360" w:lineRule="auto"/>
        <w:ind w:left="142" w:firstLine="480" w:firstLineChars="200"/>
        <w:jc w:val="center"/>
        <w:rPr>
          <w:rFonts w:hint="eastAsia" w:ascii="仿宋_GB2312" w:hAnsi="仿宋" w:eastAsia="仿宋_GB2312" w:cs="仿宋_GB2312"/>
          <w:b/>
          <w:color w:val="auto"/>
          <w:kern w:val="0"/>
          <w:sz w:val="36"/>
          <w:szCs w:val="36"/>
          <w:highlight w:val="none"/>
        </w:rPr>
      </w:pPr>
      <w:r>
        <w:rPr>
          <w:rFonts w:ascii="宋体" w:hAnsi="宋体"/>
          <w:color w:val="auto"/>
          <w:sz w:val="24"/>
          <w:highlight w:val="none"/>
        </w:rPr>
        <w:br w:type="page"/>
      </w:r>
      <w:r>
        <w:rPr>
          <w:rFonts w:hint="eastAsia" w:ascii="仿宋_GB2312" w:hAnsi="仿宋" w:eastAsia="仿宋_GB2312" w:cs="仿宋_GB2312"/>
          <w:b/>
          <w:color w:val="auto"/>
          <w:kern w:val="0"/>
          <w:sz w:val="36"/>
          <w:szCs w:val="36"/>
          <w:highlight w:val="none"/>
        </w:rPr>
        <w:t>资格证明文件目录</w:t>
      </w:r>
    </w:p>
    <w:p w14:paraId="088A985A">
      <w:pPr>
        <w:pStyle w:val="13"/>
        <w:spacing w:line="360" w:lineRule="auto"/>
        <w:ind w:firstLine="480" w:firstLineChars="200"/>
        <w:jc w:val="center"/>
        <w:rPr>
          <w:rFonts w:hint="eastAsia" w:ascii="仿宋" w:hAnsi="仿宋" w:eastAsia="仿宋" w:cs="仿宋_GB2312"/>
          <w:bCs/>
          <w:color w:val="auto"/>
          <w:sz w:val="24"/>
          <w:szCs w:val="24"/>
          <w:highlight w:val="none"/>
        </w:rPr>
      </w:pPr>
      <w:r>
        <w:rPr>
          <w:rFonts w:hint="eastAsia" w:ascii="仿宋" w:hAnsi="仿宋" w:eastAsia="仿宋" w:cs="仿宋_GB2312"/>
          <w:bCs/>
          <w:color w:val="auto"/>
          <w:sz w:val="24"/>
          <w:szCs w:val="24"/>
          <w:highlight w:val="none"/>
        </w:rPr>
        <w:t>（根据谈判文件规定及供应商提供的材料自行编写目录）</w:t>
      </w:r>
    </w:p>
    <w:p w14:paraId="3A9E243A">
      <w:pPr>
        <w:pStyle w:val="13"/>
        <w:spacing w:line="360" w:lineRule="auto"/>
        <w:ind w:firstLine="602" w:firstLineChars="200"/>
        <w:rPr>
          <w:rFonts w:hint="eastAsia" w:ascii="仿宋" w:hAnsi="仿宋" w:eastAsia="仿宋" w:cs="仿宋_GB2312"/>
          <w:b/>
          <w:color w:val="auto"/>
          <w:sz w:val="30"/>
          <w:szCs w:val="30"/>
          <w:highlight w:val="none"/>
        </w:rPr>
      </w:pPr>
    </w:p>
    <w:p w14:paraId="563C382B">
      <w:pPr>
        <w:pStyle w:val="13"/>
        <w:spacing w:line="360" w:lineRule="auto"/>
        <w:ind w:firstLine="602" w:firstLineChars="200"/>
        <w:rPr>
          <w:rFonts w:hint="eastAsia" w:ascii="仿宋" w:hAnsi="仿宋" w:eastAsia="仿宋" w:cs="仿宋_GB2312"/>
          <w:b/>
          <w:color w:val="auto"/>
          <w:sz w:val="30"/>
          <w:szCs w:val="30"/>
          <w:highlight w:val="none"/>
        </w:rPr>
      </w:pPr>
    </w:p>
    <w:p w14:paraId="0CB77D40">
      <w:pPr>
        <w:pStyle w:val="13"/>
        <w:spacing w:line="360" w:lineRule="auto"/>
        <w:ind w:firstLine="602" w:firstLineChars="200"/>
        <w:rPr>
          <w:rFonts w:hint="eastAsia" w:ascii="仿宋" w:hAnsi="仿宋" w:eastAsia="仿宋" w:cs="仿宋_GB2312"/>
          <w:b/>
          <w:color w:val="auto"/>
          <w:sz w:val="30"/>
          <w:szCs w:val="30"/>
          <w:highlight w:val="none"/>
        </w:rPr>
      </w:pPr>
    </w:p>
    <w:p w14:paraId="1A1BA0CE">
      <w:pPr>
        <w:pStyle w:val="13"/>
        <w:spacing w:line="360" w:lineRule="auto"/>
        <w:ind w:firstLine="602" w:firstLineChars="200"/>
        <w:rPr>
          <w:rFonts w:hint="eastAsia" w:ascii="仿宋" w:hAnsi="仿宋" w:eastAsia="仿宋" w:cs="仿宋_GB2312"/>
          <w:b/>
          <w:color w:val="auto"/>
          <w:sz w:val="30"/>
          <w:szCs w:val="30"/>
          <w:highlight w:val="none"/>
        </w:rPr>
      </w:pPr>
    </w:p>
    <w:p w14:paraId="07E2D1BC">
      <w:pPr>
        <w:pStyle w:val="13"/>
        <w:spacing w:line="360" w:lineRule="auto"/>
        <w:ind w:firstLine="602" w:firstLineChars="200"/>
        <w:rPr>
          <w:rFonts w:hint="eastAsia" w:ascii="仿宋" w:hAnsi="仿宋" w:eastAsia="仿宋" w:cs="仿宋_GB2312"/>
          <w:b/>
          <w:color w:val="auto"/>
          <w:sz w:val="30"/>
          <w:szCs w:val="30"/>
          <w:highlight w:val="none"/>
        </w:rPr>
      </w:pPr>
    </w:p>
    <w:p w14:paraId="4F9AAC28">
      <w:pPr>
        <w:pStyle w:val="13"/>
        <w:spacing w:line="360" w:lineRule="auto"/>
        <w:ind w:firstLine="602" w:firstLineChars="200"/>
        <w:rPr>
          <w:rFonts w:hint="eastAsia" w:ascii="仿宋" w:hAnsi="仿宋" w:eastAsia="仿宋" w:cs="仿宋_GB2312"/>
          <w:b/>
          <w:color w:val="auto"/>
          <w:sz w:val="30"/>
          <w:szCs w:val="30"/>
          <w:highlight w:val="none"/>
        </w:rPr>
      </w:pPr>
    </w:p>
    <w:p w14:paraId="63175354">
      <w:pPr>
        <w:pStyle w:val="13"/>
        <w:spacing w:line="360" w:lineRule="auto"/>
        <w:ind w:firstLine="602" w:firstLineChars="200"/>
        <w:rPr>
          <w:rFonts w:hint="eastAsia" w:ascii="仿宋" w:hAnsi="仿宋" w:eastAsia="仿宋" w:cs="仿宋_GB2312"/>
          <w:b/>
          <w:color w:val="auto"/>
          <w:sz w:val="30"/>
          <w:szCs w:val="30"/>
          <w:highlight w:val="none"/>
        </w:rPr>
      </w:pPr>
    </w:p>
    <w:p w14:paraId="436A94E9">
      <w:pPr>
        <w:pStyle w:val="13"/>
        <w:spacing w:line="360" w:lineRule="auto"/>
        <w:ind w:firstLine="602" w:firstLineChars="200"/>
        <w:rPr>
          <w:rFonts w:hint="eastAsia" w:ascii="仿宋" w:hAnsi="仿宋" w:eastAsia="仿宋" w:cs="仿宋_GB2312"/>
          <w:b/>
          <w:color w:val="auto"/>
          <w:sz w:val="30"/>
          <w:szCs w:val="30"/>
          <w:highlight w:val="none"/>
        </w:rPr>
      </w:pPr>
    </w:p>
    <w:p w14:paraId="339C2A3D">
      <w:pPr>
        <w:pStyle w:val="13"/>
        <w:spacing w:line="360" w:lineRule="auto"/>
        <w:ind w:firstLine="602" w:firstLineChars="200"/>
        <w:rPr>
          <w:rFonts w:hint="eastAsia" w:ascii="仿宋" w:hAnsi="仿宋" w:eastAsia="仿宋" w:cs="仿宋_GB2312"/>
          <w:b/>
          <w:color w:val="auto"/>
          <w:sz w:val="30"/>
          <w:szCs w:val="30"/>
          <w:highlight w:val="none"/>
        </w:rPr>
      </w:pPr>
    </w:p>
    <w:p w14:paraId="2A9F389E">
      <w:pPr>
        <w:pStyle w:val="13"/>
        <w:spacing w:line="360" w:lineRule="auto"/>
        <w:ind w:firstLine="602" w:firstLineChars="200"/>
        <w:rPr>
          <w:rFonts w:hint="eastAsia" w:ascii="仿宋" w:hAnsi="仿宋" w:eastAsia="仿宋" w:cs="仿宋_GB2312"/>
          <w:b/>
          <w:color w:val="auto"/>
          <w:sz w:val="30"/>
          <w:szCs w:val="30"/>
          <w:highlight w:val="none"/>
        </w:rPr>
      </w:pPr>
    </w:p>
    <w:p w14:paraId="5FE2B9DC">
      <w:pPr>
        <w:pStyle w:val="13"/>
        <w:spacing w:line="360" w:lineRule="auto"/>
        <w:ind w:firstLine="602" w:firstLineChars="200"/>
        <w:rPr>
          <w:rFonts w:hint="eastAsia" w:ascii="仿宋" w:hAnsi="仿宋" w:eastAsia="仿宋" w:cs="仿宋_GB2312"/>
          <w:b/>
          <w:color w:val="auto"/>
          <w:sz w:val="30"/>
          <w:szCs w:val="30"/>
          <w:highlight w:val="none"/>
        </w:rPr>
      </w:pPr>
    </w:p>
    <w:p w14:paraId="20DDB2D8">
      <w:pPr>
        <w:pStyle w:val="13"/>
        <w:spacing w:line="360" w:lineRule="auto"/>
        <w:ind w:firstLine="602" w:firstLineChars="200"/>
        <w:rPr>
          <w:rFonts w:hint="eastAsia" w:ascii="仿宋" w:hAnsi="仿宋" w:eastAsia="仿宋" w:cs="仿宋_GB2312"/>
          <w:b/>
          <w:color w:val="auto"/>
          <w:sz w:val="30"/>
          <w:szCs w:val="30"/>
          <w:highlight w:val="none"/>
        </w:rPr>
      </w:pPr>
    </w:p>
    <w:p w14:paraId="1D18BAD0">
      <w:pPr>
        <w:pStyle w:val="13"/>
        <w:spacing w:line="360" w:lineRule="auto"/>
        <w:ind w:firstLine="602" w:firstLineChars="200"/>
        <w:rPr>
          <w:rFonts w:hint="eastAsia" w:ascii="仿宋" w:hAnsi="仿宋" w:eastAsia="仿宋" w:cs="仿宋_GB2312"/>
          <w:b/>
          <w:color w:val="auto"/>
          <w:sz w:val="30"/>
          <w:szCs w:val="30"/>
          <w:highlight w:val="none"/>
        </w:rPr>
      </w:pPr>
    </w:p>
    <w:p w14:paraId="45956F38">
      <w:pPr>
        <w:pStyle w:val="13"/>
        <w:spacing w:line="360" w:lineRule="auto"/>
        <w:ind w:firstLine="602" w:firstLineChars="200"/>
        <w:rPr>
          <w:rFonts w:hint="eastAsia" w:ascii="仿宋" w:hAnsi="仿宋" w:eastAsia="仿宋" w:cs="仿宋_GB2312"/>
          <w:b/>
          <w:color w:val="auto"/>
          <w:sz w:val="30"/>
          <w:szCs w:val="30"/>
          <w:highlight w:val="none"/>
        </w:rPr>
      </w:pPr>
    </w:p>
    <w:p w14:paraId="7D60037D">
      <w:pPr>
        <w:pStyle w:val="13"/>
        <w:spacing w:line="360" w:lineRule="auto"/>
        <w:ind w:firstLine="602" w:firstLineChars="200"/>
        <w:rPr>
          <w:rFonts w:hint="eastAsia" w:ascii="仿宋" w:hAnsi="仿宋" w:eastAsia="仿宋" w:cs="仿宋_GB2312"/>
          <w:b/>
          <w:color w:val="auto"/>
          <w:sz w:val="30"/>
          <w:szCs w:val="30"/>
          <w:highlight w:val="none"/>
        </w:rPr>
      </w:pPr>
    </w:p>
    <w:p w14:paraId="02111F9D">
      <w:pPr>
        <w:pStyle w:val="13"/>
        <w:spacing w:line="360" w:lineRule="auto"/>
        <w:ind w:firstLine="602" w:firstLineChars="200"/>
        <w:rPr>
          <w:rFonts w:hint="eastAsia" w:ascii="仿宋" w:hAnsi="仿宋" w:eastAsia="仿宋" w:cs="仿宋_GB2312"/>
          <w:b/>
          <w:color w:val="auto"/>
          <w:sz w:val="30"/>
          <w:szCs w:val="30"/>
          <w:highlight w:val="none"/>
        </w:rPr>
      </w:pPr>
    </w:p>
    <w:p w14:paraId="15D44CDF">
      <w:pPr>
        <w:pStyle w:val="13"/>
        <w:spacing w:line="360" w:lineRule="auto"/>
        <w:ind w:firstLine="602" w:firstLineChars="200"/>
        <w:rPr>
          <w:rFonts w:hint="eastAsia" w:ascii="仿宋" w:hAnsi="仿宋" w:eastAsia="仿宋" w:cs="仿宋_GB2312"/>
          <w:b/>
          <w:color w:val="auto"/>
          <w:sz w:val="30"/>
          <w:szCs w:val="30"/>
          <w:highlight w:val="none"/>
        </w:rPr>
      </w:pPr>
    </w:p>
    <w:p w14:paraId="34F0A013">
      <w:pPr>
        <w:pStyle w:val="13"/>
        <w:spacing w:line="360" w:lineRule="auto"/>
        <w:ind w:firstLine="602" w:firstLineChars="200"/>
        <w:rPr>
          <w:rFonts w:hint="eastAsia" w:ascii="仿宋" w:hAnsi="仿宋" w:eastAsia="仿宋" w:cs="仿宋_GB2312"/>
          <w:b/>
          <w:color w:val="auto"/>
          <w:sz w:val="30"/>
          <w:szCs w:val="30"/>
          <w:highlight w:val="none"/>
        </w:rPr>
      </w:pPr>
    </w:p>
    <w:p w14:paraId="71983813">
      <w:pPr>
        <w:pStyle w:val="13"/>
        <w:spacing w:line="360" w:lineRule="auto"/>
        <w:ind w:firstLine="602" w:firstLineChars="200"/>
        <w:rPr>
          <w:rFonts w:hint="eastAsia" w:ascii="仿宋" w:hAnsi="仿宋" w:eastAsia="仿宋" w:cs="仿宋_GB2312"/>
          <w:b/>
          <w:color w:val="auto"/>
          <w:sz w:val="30"/>
          <w:szCs w:val="30"/>
          <w:highlight w:val="none"/>
        </w:rPr>
      </w:pPr>
    </w:p>
    <w:p w14:paraId="75E510A3">
      <w:pPr>
        <w:pStyle w:val="13"/>
        <w:spacing w:line="360" w:lineRule="auto"/>
        <w:ind w:firstLine="602" w:firstLineChars="200"/>
        <w:rPr>
          <w:rFonts w:hint="eastAsia" w:ascii="仿宋" w:hAnsi="仿宋" w:eastAsia="仿宋" w:cs="仿宋_GB2312"/>
          <w:b/>
          <w:color w:val="auto"/>
          <w:sz w:val="30"/>
          <w:szCs w:val="30"/>
          <w:highlight w:val="none"/>
        </w:rPr>
      </w:pPr>
    </w:p>
    <w:p w14:paraId="30802BCE">
      <w:pPr>
        <w:pStyle w:val="13"/>
        <w:spacing w:line="360" w:lineRule="auto"/>
        <w:ind w:firstLine="602" w:firstLineChars="200"/>
        <w:rPr>
          <w:rFonts w:hint="eastAsia" w:ascii="仿宋" w:hAnsi="仿宋" w:eastAsia="仿宋" w:cs="仿宋_GB2312"/>
          <w:b/>
          <w:color w:val="auto"/>
          <w:sz w:val="30"/>
          <w:szCs w:val="30"/>
          <w:highlight w:val="none"/>
        </w:rPr>
      </w:pPr>
    </w:p>
    <w:p w14:paraId="1D6FF785">
      <w:pPr>
        <w:pStyle w:val="13"/>
        <w:spacing w:line="360" w:lineRule="auto"/>
        <w:ind w:firstLine="602" w:firstLineChars="200"/>
        <w:rPr>
          <w:rFonts w:hint="eastAsia" w:ascii="仿宋" w:hAnsi="仿宋" w:eastAsia="仿宋" w:cs="仿宋_GB2312"/>
          <w:b/>
          <w:color w:val="auto"/>
          <w:sz w:val="30"/>
          <w:szCs w:val="30"/>
          <w:highlight w:val="none"/>
        </w:rPr>
      </w:pPr>
    </w:p>
    <w:p w14:paraId="53629B1F">
      <w:pPr>
        <w:pStyle w:val="2"/>
        <w:spacing w:before="101" w:line="225" w:lineRule="auto"/>
        <w:jc w:val="left"/>
        <w:outlineLvl w:val="0"/>
        <w:rPr>
          <w:b/>
          <w:color w:val="auto"/>
          <w:sz w:val="30"/>
          <w:szCs w:val="30"/>
          <w:highlight w:val="none"/>
        </w:rPr>
      </w:pPr>
      <w:r>
        <w:rPr>
          <w:b/>
          <w:color w:val="auto"/>
          <w:spacing w:val="10"/>
          <w:sz w:val="30"/>
          <w:szCs w:val="30"/>
          <w:highlight w:val="none"/>
        </w:rPr>
        <w:t>崇左市政府采购供应商信用承诺函（格式）</w:t>
      </w:r>
    </w:p>
    <w:p w14:paraId="44B2AC6B">
      <w:pPr>
        <w:spacing w:line="245" w:lineRule="auto"/>
        <w:rPr>
          <w:rFonts w:ascii="Arial"/>
          <w:color w:val="auto"/>
          <w:highlight w:val="none"/>
        </w:rPr>
      </w:pPr>
    </w:p>
    <w:p w14:paraId="30992243">
      <w:pPr>
        <w:pStyle w:val="23"/>
        <w:ind w:firstLine="0" w:firstLineChars="0"/>
        <w:jc w:val="center"/>
        <w:rPr>
          <w:color w:val="auto"/>
          <w:spacing w:val="10"/>
          <w:sz w:val="31"/>
          <w:szCs w:val="31"/>
          <w:highlight w:val="none"/>
        </w:rPr>
      </w:pPr>
    </w:p>
    <w:p w14:paraId="109D674A">
      <w:pPr>
        <w:pStyle w:val="23"/>
        <w:ind w:firstLine="0" w:firstLineChars="0"/>
        <w:jc w:val="center"/>
        <w:rPr>
          <w:color w:val="auto"/>
          <w:highlight w:val="none"/>
        </w:rPr>
      </w:pPr>
      <w:r>
        <w:rPr>
          <w:color w:val="auto"/>
          <w:spacing w:val="10"/>
          <w:sz w:val="31"/>
          <w:szCs w:val="31"/>
          <w:highlight w:val="none"/>
        </w:rPr>
        <w:t>崇左市政府采购供应商信用承诺函</w:t>
      </w:r>
    </w:p>
    <w:p w14:paraId="74341395">
      <w:pPr>
        <w:spacing w:line="245" w:lineRule="auto"/>
        <w:rPr>
          <w:rFonts w:ascii="Arial"/>
          <w:color w:val="auto"/>
          <w:highlight w:val="none"/>
        </w:rPr>
      </w:pPr>
    </w:p>
    <w:p w14:paraId="33E6EA63">
      <w:pPr>
        <w:pStyle w:val="2"/>
        <w:spacing w:before="78" w:line="219" w:lineRule="auto"/>
        <w:rPr>
          <w:color w:val="auto"/>
          <w:sz w:val="24"/>
          <w:highlight w:val="none"/>
        </w:rPr>
      </w:pPr>
      <w:r>
        <w:rPr>
          <w:color w:val="auto"/>
          <w:spacing w:val="2"/>
          <w:sz w:val="24"/>
          <w:highlight w:val="none"/>
        </w:rPr>
        <w:t>致</w:t>
      </w:r>
      <w:r>
        <w:rPr>
          <w:color w:val="auto"/>
          <w:spacing w:val="2"/>
          <w:sz w:val="24"/>
          <w:highlight w:val="none"/>
          <w:u w:val="single"/>
        </w:rPr>
        <w:t>（采购代理机构名称）</w:t>
      </w:r>
      <w:r>
        <w:rPr>
          <w:color w:val="auto"/>
          <w:spacing w:val="2"/>
          <w:sz w:val="24"/>
          <w:highlight w:val="none"/>
        </w:rPr>
        <w:t>:</w:t>
      </w:r>
    </w:p>
    <w:p w14:paraId="0158BB8E">
      <w:pPr>
        <w:pStyle w:val="2"/>
        <w:spacing w:before="153" w:line="339" w:lineRule="auto"/>
        <w:ind w:left="1" w:firstLine="480"/>
        <w:rPr>
          <w:color w:val="auto"/>
          <w:sz w:val="24"/>
          <w:highlight w:val="none"/>
        </w:rPr>
      </w:pPr>
      <w:r>
        <w:rPr>
          <w:color w:val="auto"/>
          <w:spacing w:val="-2"/>
          <w:sz w:val="24"/>
          <w:highlight w:val="none"/>
        </w:rPr>
        <w:t>我方自愿参加</w:t>
      </w:r>
      <w:r>
        <w:rPr>
          <w:color w:val="auto"/>
          <w:spacing w:val="-2"/>
          <w:sz w:val="24"/>
          <w:highlight w:val="none"/>
          <w:u w:val="single"/>
        </w:rPr>
        <w:t xml:space="preserve"> （项目名称） </w:t>
      </w:r>
      <w:r>
        <w:rPr>
          <w:color w:val="auto"/>
          <w:spacing w:val="-107"/>
          <w:sz w:val="24"/>
          <w:highlight w:val="none"/>
        </w:rPr>
        <w:t xml:space="preserve"> </w:t>
      </w:r>
      <w:r>
        <w:rPr>
          <w:color w:val="auto"/>
          <w:spacing w:val="-2"/>
          <w:sz w:val="24"/>
          <w:highlight w:val="none"/>
        </w:rPr>
        <w:t>项目（项目编号</w:t>
      </w:r>
      <w:r>
        <w:rPr>
          <w:color w:val="auto"/>
          <w:spacing w:val="3"/>
          <w:sz w:val="24"/>
          <w:highlight w:val="none"/>
        </w:rPr>
        <w:t>：</w:t>
      </w:r>
      <w:r>
        <w:rPr>
          <w:color w:val="auto"/>
          <w:spacing w:val="-96"/>
          <w:sz w:val="24"/>
          <w:highlight w:val="none"/>
        </w:rPr>
        <w:t xml:space="preserve"> </w:t>
      </w:r>
      <w:r>
        <w:rPr>
          <w:color w:val="auto"/>
          <w:spacing w:val="12"/>
          <w:sz w:val="24"/>
          <w:highlight w:val="none"/>
          <w:u w:val="single"/>
        </w:rPr>
        <w:t xml:space="preserve">         </w:t>
      </w:r>
      <w:r>
        <w:rPr>
          <w:color w:val="auto"/>
          <w:spacing w:val="-85"/>
          <w:sz w:val="24"/>
          <w:highlight w:val="none"/>
        </w:rPr>
        <w:t xml:space="preserve"> </w:t>
      </w:r>
      <w:r>
        <w:rPr>
          <w:color w:val="auto"/>
          <w:spacing w:val="3"/>
          <w:sz w:val="24"/>
          <w:highlight w:val="none"/>
        </w:rPr>
        <w:t>）</w:t>
      </w:r>
      <w:r>
        <w:rPr>
          <w:color w:val="auto"/>
          <w:spacing w:val="-2"/>
          <w:sz w:val="24"/>
          <w:highlight w:val="none"/>
        </w:rPr>
        <w:t>的政府采购活动，</w:t>
      </w:r>
      <w:r>
        <w:rPr>
          <w:color w:val="auto"/>
          <w:sz w:val="24"/>
          <w:highlight w:val="none"/>
        </w:rPr>
        <w:t xml:space="preserve"> 严格遵守《中华人民共和国政府采购法》及相关法律</w:t>
      </w:r>
      <w:r>
        <w:rPr>
          <w:color w:val="auto"/>
          <w:spacing w:val="-1"/>
          <w:sz w:val="24"/>
          <w:highlight w:val="none"/>
        </w:rPr>
        <w:t>法规，依法诚信经营，无条件遵</w:t>
      </w:r>
    </w:p>
    <w:p w14:paraId="3D5CBD14">
      <w:pPr>
        <w:pStyle w:val="2"/>
        <w:spacing w:line="219" w:lineRule="auto"/>
        <w:ind w:left="8"/>
        <w:rPr>
          <w:color w:val="auto"/>
          <w:sz w:val="24"/>
          <w:highlight w:val="none"/>
        </w:rPr>
      </w:pPr>
      <w:r>
        <w:rPr>
          <w:color w:val="auto"/>
          <w:spacing w:val="-1"/>
          <w:sz w:val="24"/>
          <w:highlight w:val="none"/>
        </w:rPr>
        <w:t>守本次政府采购活动的各项规定，并郑重承诺：</w:t>
      </w:r>
    </w:p>
    <w:p w14:paraId="1221F614">
      <w:pPr>
        <w:pStyle w:val="2"/>
        <w:spacing w:before="153" w:line="339" w:lineRule="auto"/>
        <w:ind w:left="4" w:right="39" w:firstLine="493"/>
        <w:rPr>
          <w:color w:val="auto"/>
          <w:sz w:val="24"/>
          <w:highlight w:val="none"/>
        </w:rPr>
      </w:pPr>
      <w:r>
        <w:rPr>
          <w:color w:val="auto"/>
          <w:spacing w:val="11"/>
          <w:sz w:val="24"/>
          <w:highlight w:val="none"/>
        </w:rPr>
        <w:t>1.我方具有独立承担民事责任的能力或我方属于银行、保险、石油石化、</w:t>
      </w:r>
      <w:r>
        <w:rPr>
          <w:color w:val="auto"/>
          <w:spacing w:val="-62"/>
          <w:sz w:val="24"/>
          <w:highlight w:val="none"/>
        </w:rPr>
        <w:t xml:space="preserve"> </w:t>
      </w:r>
      <w:r>
        <w:rPr>
          <w:color w:val="auto"/>
          <w:spacing w:val="11"/>
          <w:sz w:val="24"/>
          <w:highlight w:val="none"/>
        </w:rPr>
        <w:t>电</w:t>
      </w:r>
      <w:r>
        <w:rPr>
          <w:color w:val="auto"/>
          <w:sz w:val="24"/>
          <w:highlight w:val="none"/>
        </w:rPr>
        <w:t xml:space="preserve"> </w:t>
      </w:r>
      <w:r>
        <w:rPr>
          <w:color w:val="auto"/>
          <w:spacing w:val="11"/>
          <w:sz w:val="24"/>
          <w:highlight w:val="none"/>
        </w:rPr>
        <w:t>力、</w:t>
      </w:r>
      <w:r>
        <w:rPr>
          <w:color w:val="auto"/>
          <w:spacing w:val="-61"/>
          <w:sz w:val="24"/>
          <w:highlight w:val="none"/>
        </w:rPr>
        <w:t xml:space="preserve"> </w:t>
      </w:r>
      <w:r>
        <w:rPr>
          <w:color w:val="auto"/>
          <w:spacing w:val="11"/>
          <w:sz w:val="24"/>
          <w:highlight w:val="none"/>
        </w:rPr>
        <w:t>电信等有行业特殊情况的法人的分支机构在参加本次政府采购活动前已取得</w:t>
      </w:r>
      <w:r>
        <w:rPr>
          <w:color w:val="auto"/>
          <w:spacing w:val="6"/>
          <w:sz w:val="24"/>
          <w:highlight w:val="none"/>
        </w:rPr>
        <w:t>总公司的授权。</w:t>
      </w:r>
    </w:p>
    <w:p w14:paraId="7C8CD711">
      <w:pPr>
        <w:pStyle w:val="2"/>
        <w:spacing w:before="153" w:line="219" w:lineRule="auto"/>
        <w:ind w:left="483"/>
        <w:rPr>
          <w:color w:val="auto"/>
          <w:sz w:val="24"/>
          <w:highlight w:val="none"/>
        </w:rPr>
      </w:pPr>
      <w:r>
        <w:rPr>
          <w:color w:val="auto"/>
          <w:spacing w:val="-1"/>
          <w:sz w:val="24"/>
          <w:highlight w:val="none"/>
        </w:rPr>
        <w:t>2.我方具有符合采购文件资格要求的财务状况报告。</w:t>
      </w:r>
    </w:p>
    <w:p w14:paraId="46339523">
      <w:pPr>
        <w:pStyle w:val="2"/>
        <w:spacing w:before="155" w:line="219" w:lineRule="auto"/>
        <w:ind w:left="461"/>
        <w:rPr>
          <w:color w:val="auto"/>
          <w:sz w:val="24"/>
          <w:highlight w:val="none"/>
        </w:rPr>
      </w:pPr>
      <w:r>
        <w:rPr>
          <w:color w:val="auto"/>
          <w:spacing w:val="-11"/>
          <w:sz w:val="24"/>
          <w:highlight w:val="none"/>
        </w:rPr>
        <w:t>3.我方具有符合采购文件资格要求的依法缴</w:t>
      </w:r>
      <w:r>
        <w:rPr>
          <w:color w:val="auto"/>
          <w:spacing w:val="-12"/>
          <w:sz w:val="24"/>
          <w:highlight w:val="none"/>
        </w:rPr>
        <w:t>纳税收和社会保障资金的良好记录。</w:t>
      </w:r>
    </w:p>
    <w:p w14:paraId="0F3897D7">
      <w:pPr>
        <w:pStyle w:val="2"/>
        <w:spacing w:before="157" w:line="219" w:lineRule="auto"/>
        <w:ind w:left="480"/>
        <w:rPr>
          <w:color w:val="auto"/>
          <w:sz w:val="24"/>
          <w:highlight w:val="none"/>
        </w:rPr>
      </w:pPr>
      <w:r>
        <w:rPr>
          <w:color w:val="auto"/>
          <w:sz w:val="24"/>
          <w:highlight w:val="none"/>
        </w:rPr>
        <w:t>4.我方具有符合采购文件资格要求履行合同所必需的</w:t>
      </w:r>
      <w:r>
        <w:rPr>
          <w:color w:val="auto"/>
          <w:spacing w:val="-1"/>
          <w:sz w:val="24"/>
          <w:highlight w:val="none"/>
        </w:rPr>
        <w:t>设备和专业技术能力。</w:t>
      </w:r>
    </w:p>
    <w:p w14:paraId="1D1F6A0D">
      <w:pPr>
        <w:pStyle w:val="2"/>
        <w:spacing w:before="155" w:line="219" w:lineRule="auto"/>
        <w:ind w:left="485"/>
        <w:rPr>
          <w:color w:val="auto"/>
          <w:sz w:val="24"/>
          <w:highlight w:val="none"/>
        </w:rPr>
      </w:pPr>
      <w:r>
        <w:rPr>
          <w:color w:val="auto"/>
          <w:spacing w:val="-1"/>
          <w:sz w:val="24"/>
          <w:highlight w:val="none"/>
        </w:rPr>
        <w:t>5.我方参加政府采购活动前</w:t>
      </w:r>
      <w:r>
        <w:rPr>
          <w:color w:val="auto"/>
          <w:spacing w:val="-46"/>
          <w:sz w:val="24"/>
          <w:highlight w:val="none"/>
        </w:rPr>
        <w:t xml:space="preserve"> </w:t>
      </w:r>
      <w:r>
        <w:rPr>
          <w:color w:val="auto"/>
          <w:spacing w:val="-1"/>
          <w:sz w:val="24"/>
          <w:highlight w:val="none"/>
        </w:rPr>
        <w:t>3</w:t>
      </w:r>
      <w:r>
        <w:rPr>
          <w:color w:val="auto"/>
          <w:spacing w:val="-50"/>
          <w:sz w:val="24"/>
          <w:highlight w:val="none"/>
        </w:rPr>
        <w:t xml:space="preserve"> </w:t>
      </w:r>
      <w:r>
        <w:rPr>
          <w:color w:val="auto"/>
          <w:spacing w:val="-1"/>
          <w:sz w:val="24"/>
          <w:highlight w:val="none"/>
        </w:rPr>
        <w:t>年内在经营活动中</w:t>
      </w:r>
      <w:r>
        <w:rPr>
          <w:color w:val="auto"/>
          <w:spacing w:val="-2"/>
          <w:sz w:val="24"/>
          <w:highlight w:val="none"/>
        </w:rPr>
        <w:t>没有重大违法记录。</w:t>
      </w:r>
    </w:p>
    <w:p w14:paraId="2D552FF1">
      <w:pPr>
        <w:pStyle w:val="2"/>
        <w:spacing w:before="154" w:line="219" w:lineRule="auto"/>
        <w:ind w:left="482"/>
        <w:rPr>
          <w:color w:val="auto"/>
          <w:sz w:val="24"/>
          <w:highlight w:val="none"/>
        </w:rPr>
      </w:pPr>
      <w:r>
        <w:rPr>
          <w:color w:val="auto"/>
          <w:spacing w:val="-1"/>
          <w:sz w:val="24"/>
          <w:highlight w:val="none"/>
        </w:rPr>
        <w:t>我方对以上承诺内容的真实性负责。如有虚假，将依法承担相应责任。</w:t>
      </w:r>
    </w:p>
    <w:p w14:paraId="3C6A6872">
      <w:pPr>
        <w:spacing w:line="316" w:lineRule="auto"/>
        <w:rPr>
          <w:rFonts w:ascii="Arial"/>
          <w:color w:val="auto"/>
          <w:sz w:val="24"/>
          <w:highlight w:val="none"/>
        </w:rPr>
      </w:pPr>
    </w:p>
    <w:p w14:paraId="4E1A7C16">
      <w:pPr>
        <w:spacing w:line="317" w:lineRule="auto"/>
        <w:rPr>
          <w:rFonts w:ascii="Arial"/>
          <w:color w:val="auto"/>
          <w:sz w:val="24"/>
          <w:highlight w:val="none"/>
        </w:rPr>
      </w:pPr>
    </w:p>
    <w:p w14:paraId="0E99ACBF">
      <w:pPr>
        <w:spacing w:line="317" w:lineRule="auto"/>
        <w:rPr>
          <w:rFonts w:ascii="Arial"/>
          <w:color w:val="auto"/>
          <w:sz w:val="24"/>
          <w:highlight w:val="none"/>
        </w:rPr>
      </w:pPr>
    </w:p>
    <w:p w14:paraId="41760457">
      <w:pPr>
        <w:pStyle w:val="2"/>
        <w:spacing w:before="79" w:line="442" w:lineRule="exact"/>
        <w:ind w:left="3600"/>
        <w:rPr>
          <w:color w:val="auto"/>
          <w:sz w:val="24"/>
          <w:highlight w:val="none"/>
        </w:rPr>
      </w:pPr>
      <w:r>
        <w:rPr>
          <w:color w:val="auto"/>
          <w:spacing w:val="-2"/>
          <w:position w:val="15"/>
          <w:sz w:val="24"/>
          <w:highlight w:val="none"/>
        </w:rPr>
        <w:t>供应商名称（</w:t>
      </w:r>
      <w:r>
        <w:rPr>
          <w:rFonts w:hint="eastAsia"/>
          <w:color w:val="auto"/>
          <w:spacing w:val="-2"/>
          <w:position w:val="15"/>
          <w:sz w:val="24"/>
          <w:highlight w:val="none"/>
        </w:rPr>
        <w:t>电子签</w:t>
      </w:r>
      <w:r>
        <w:rPr>
          <w:color w:val="auto"/>
          <w:spacing w:val="-2"/>
          <w:position w:val="15"/>
          <w:sz w:val="24"/>
          <w:highlight w:val="none"/>
        </w:rPr>
        <w:t>章</w:t>
      </w:r>
      <w:r>
        <w:rPr>
          <w:color w:val="auto"/>
          <w:spacing w:val="1"/>
          <w:position w:val="15"/>
          <w:sz w:val="24"/>
          <w:highlight w:val="none"/>
        </w:rPr>
        <w:t>）：</w:t>
      </w:r>
    </w:p>
    <w:p w14:paraId="7CDFD8BE">
      <w:pPr>
        <w:pStyle w:val="2"/>
        <w:spacing w:before="1" w:line="220" w:lineRule="auto"/>
        <w:ind w:left="3642"/>
        <w:rPr>
          <w:color w:val="auto"/>
          <w:sz w:val="24"/>
          <w:highlight w:val="none"/>
        </w:rPr>
      </w:pPr>
      <w:r>
        <w:rPr>
          <w:color w:val="auto"/>
          <w:spacing w:val="-17"/>
          <w:sz w:val="24"/>
          <w:highlight w:val="none"/>
        </w:rPr>
        <w:t>日期：</w:t>
      </w:r>
    </w:p>
    <w:p w14:paraId="0D3FF8A3">
      <w:pPr>
        <w:spacing w:line="299" w:lineRule="auto"/>
        <w:rPr>
          <w:rFonts w:ascii="Arial"/>
          <w:color w:val="auto"/>
          <w:sz w:val="24"/>
          <w:highlight w:val="none"/>
        </w:rPr>
      </w:pPr>
    </w:p>
    <w:p w14:paraId="6F94F88F">
      <w:pPr>
        <w:spacing w:line="299" w:lineRule="auto"/>
        <w:rPr>
          <w:rFonts w:ascii="Arial"/>
          <w:color w:val="auto"/>
          <w:sz w:val="24"/>
          <w:highlight w:val="none"/>
        </w:rPr>
      </w:pPr>
    </w:p>
    <w:p w14:paraId="6306B8BF">
      <w:pPr>
        <w:pStyle w:val="2"/>
        <w:spacing w:before="79" w:line="278" w:lineRule="auto"/>
        <w:ind w:left="19" w:right="34" w:hanging="19"/>
        <w:rPr>
          <w:color w:val="auto"/>
          <w:sz w:val="24"/>
          <w:highlight w:val="none"/>
        </w:rPr>
      </w:pPr>
      <w:r>
        <w:rPr>
          <w:color w:val="auto"/>
          <w:spacing w:val="-2"/>
          <w:sz w:val="24"/>
          <w:highlight w:val="none"/>
        </w:rPr>
        <w:t>注：1.参与政府采购活动的供应商可按第</w:t>
      </w:r>
      <w:r>
        <w:rPr>
          <w:color w:val="auto"/>
          <w:spacing w:val="-27"/>
          <w:sz w:val="24"/>
          <w:highlight w:val="none"/>
        </w:rPr>
        <w:t xml:space="preserve"> </w:t>
      </w:r>
      <w:r>
        <w:rPr>
          <w:color w:val="auto"/>
          <w:spacing w:val="-2"/>
          <w:sz w:val="24"/>
          <w:highlight w:val="none"/>
        </w:rPr>
        <w:t>1</w:t>
      </w:r>
      <w:r>
        <w:rPr>
          <w:color w:val="auto"/>
          <w:spacing w:val="-42"/>
          <w:sz w:val="24"/>
          <w:highlight w:val="none"/>
        </w:rPr>
        <w:t xml:space="preserve"> </w:t>
      </w:r>
      <w:r>
        <w:rPr>
          <w:color w:val="auto"/>
          <w:spacing w:val="-2"/>
          <w:sz w:val="24"/>
          <w:highlight w:val="none"/>
        </w:rPr>
        <w:t>点的内容：“我方具有独立承担民事责任</w:t>
      </w:r>
      <w:r>
        <w:rPr>
          <w:color w:val="auto"/>
          <w:sz w:val="24"/>
          <w:highlight w:val="none"/>
        </w:rPr>
        <w:t xml:space="preserve"> </w:t>
      </w:r>
      <w:r>
        <w:rPr>
          <w:color w:val="auto"/>
          <w:spacing w:val="9"/>
          <w:sz w:val="24"/>
          <w:highlight w:val="none"/>
        </w:rPr>
        <w:t>的能力或我方属于银行、保险、石油石化、</w:t>
      </w:r>
      <w:r>
        <w:rPr>
          <w:color w:val="auto"/>
          <w:spacing w:val="-61"/>
          <w:sz w:val="24"/>
          <w:highlight w:val="none"/>
        </w:rPr>
        <w:t xml:space="preserve"> </w:t>
      </w:r>
      <w:r>
        <w:rPr>
          <w:color w:val="auto"/>
          <w:spacing w:val="9"/>
          <w:sz w:val="24"/>
          <w:highlight w:val="none"/>
        </w:rPr>
        <w:t>电力、</w:t>
      </w:r>
      <w:r>
        <w:rPr>
          <w:color w:val="auto"/>
          <w:spacing w:val="-69"/>
          <w:sz w:val="24"/>
          <w:highlight w:val="none"/>
        </w:rPr>
        <w:t xml:space="preserve"> </w:t>
      </w:r>
      <w:r>
        <w:rPr>
          <w:color w:val="auto"/>
          <w:spacing w:val="9"/>
          <w:sz w:val="24"/>
          <w:highlight w:val="none"/>
        </w:rPr>
        <w:t>电信等有行业特殊情况的法人</w:t>
      </w:r>
      <w:r>
        <w:rPr>
          <w:color w:val="auto"/>
          <w:sz w:val="24"/>
          <w:highlight w:val="none"/>
        </w:rPr>
        <w:t xml:space="preserve"> </w:t>
      </w:r>
      <w:r>
        <w:rPr>
          <w:color w:val="auto"/>
          <w:spacing w:val="11"/>
          <w:sz w:val="24"/>
          <w:highlight w:val="none"/>
        </w:rPr>
        <w:t>的分支机构在参加本次政府采购活动前已取得总公司的授权。</w:t>
      </w:r>
      <w:r>
        <w:rPr>
          <w:color w:val="auto"/>
          <w:spacing w:val="-67"/>
          <w:sz w:val="24"/>
          <w:highlight w:val="none"/>
        </w:rPr>
        <w:t xml:space="preserve"> </w:t>
      </w:r>
      <w:r>
        <w:rPr>
          <w:color w:val="auto"/>
          <w:spacing w:val="11"/>
          <w:sz w:val="24"/>
          <w:highlight w:val="none"/>
        </w:rPr>
        <w:t>”进行</w:t>
      </w:r>
      <w:r>
        <w:rPr>
          <w:color w:val="auto"/>
          <w:spacing w:val="10"/>
          <w:sz w:val="24"/>
          <w:highlight w:val="none"/>
        </w:rPr>
        <w:t>承诺，也可</w:t>
      </w:r>
    </w:p>
    <w:p w14:paraId="399B3987">
      <w:pPr>
        <w:pStyle w:val="2"/>
        <w:spacing w:before="113" w:line="308" w:lineRule="auto"/>
        <w:ind w:right="34" w:firstLine="28"/>
        <w:rPr>
          <w:color w:val="auto"/>
          <w:sz w:val="24"/>
          <w:highlight w:val="none"/>
        </w:rPr>
      </w:pPr>
      <w:r>
        <w:rPr>
          <w:color w:val="auto"/>
          <w:spacing w:val="11"/>
          <w:sz w:val="24"/>
          <w:highlight w:val="none"/>
        </w:rPr>
        <w:t>以根据自身的真实情况选择以下</w:t>
      </w:r>
      <w:r>
        <w:rPr>
          <w:color w:val="auto"/>
          <w:spacing w:val="-26"/>
          <w:sz w:val="24"/>
          <w:highlight w:val="none"/>
        </w:rPr>
        <w:t xml:space="preserve"> </w:t>
      </w:r>
      <w:r>
        <w:rPr>
          <w:color w:val="auto"/>
          <w:spacing w:val="11"/>
          <w:sz w:val="24"/>
          <w:highlight w:val="none"/>
        </w:rPr>
        <w:t>2</w:t>
      </w:r>
      <w:r>
        <w:rPr>
          <w:color w:val="auto"/>
          <w:spacing w:val="-39"/>
          <w:sz w:val="24"/>
          <w:highlight w:val="none"/>
        </w:rPr>
        <w:t xml:space="preserve"> </w:t>
      </w:r>
      <w:r>
        <w:rPr>
          <w:color w:val="auto"/>
          <w:spacing w:val="11"/>
          <w:sz w:val="24"/>
          <w:highlight w:val="none"/>
        </w:rPr>
        <w:t>种方式进行</w:t>
      </w:r>
      <w:r>
        <w:rPr>
          <w:color w:val="auto"/>
          <w:spacing w:val="10"/>
          <w:sz w:val="24"/>
          <w:highlight w:val="none"/>
        </w:rPr>
        <w:t>承诺：一是“我方具有独立承担民</w:t>
      </w:r>
      <w:r>
        <w:rPr>
          <w:color w:val="auto"/>
          <w:sz w:val="24"/>
          <w:highlight w:val="none"/>
        </w:rPr>
        <w:t xml:space="preserve"> </w:t>
      </w:r>
      <w:r>
        <w:rPr>
          <w:color w:val="auto"/>
          <w:spacing w:val="9"/>
          <w:sz w:val="24"/>
          <w:highlight w:val="none"/>
        </w:rPr>
        <w:t>事责任的能力</w:t>
      </w:r>
      <w:r>
        <w:rPr>
          <w:color w:val="auto"/>
          <w:spacing w:val="-74"/>
          <w:sz w:val="24"/>
          <w:highlight w:val="none"/>
        </w:rPr>
        <w:t xml:space="preserve"> </w:t>
      </w:r>
      <w:r>
        <w:rPr>
          <w:color w:val="auto"/>
          <w:spacing w:val="9"/>
          <w:sz w:val="24"/>
          <w:highlight w:val="none"/>
        </w:rPr>
        <w:t>”进行承诺；二是“我方属于银行</w:t>
      </w:r>
      <w:r>
        <w:rPr>
          <w:color w:val="auto"/>
          <w:spacing w:val="8"/>
          <w:sz w:val="24"/>
          <w:highlight w:val="none"/>
        </w:rPr>
        <w:t>、保险、石油石化、</w:t>
      </w:r>
      <w:r>
        <w:rPr>
          <w:color w:val="auto"/>
          <w:spacing w:val="-68"/>
          <w:sz w:val="24"/>
          <w:highlight w:val="none"/>
        </w:rPr>
        <w:t xml:space="preserve"> </w:t>
      </w:r>
      <w:r>
        <w:rPr>
          <w:color w:val="auto"/>
          <w:spacing w:val="8"/>
          <w:sz w:val="24"/>
          <w:highlight w:val="none"/>
        </w:rPr>
        <w:t>电力、</w:t>
      </w:r>
      <w:r>
        <w:rPr>
          <w:color w:val="auto"/>
          <w:spacing w:val="-68"/>
          <w:sz w:val="24"/>
          <w:highlight w:val="none"/>
        </w:rPr>
        <w:t xml:space="preserve"> </w:t>
      </w:r>
      <w:r>
        <w:rPr>
          <w:color w:val="auto"/>
          <w:spacing w:val="8"/>
          <w:sz w:val="24"/>
          <w:highlight w:val="none"/>
        </w:rPr>
        <w:t>电信</w:t>
      </w:r>
      <w:r>
        <w:rPr>
          <w:color w:val="auto"/>
          <w:sz w:val="24"/>
          <w:highlight w:val="none"/>
        </w:rPr>
        <w:t xml:space="preserve"> </w:t>
      </w:r>
      <w:r>
        <w:rPr>
          <w:color w:val="auto"/>
          <w:spacing w:val="13"/>
          <w:sz w:val="24"/>
          <w:highlight w:val="none"/>
        </w:rPr>
        <w:t>等有行业特殊情况的法人的分支机构在参加本次政府采购活动前已</w:t>
      </w:r>
      <w:r>
        <w:rPr>
          <w:color w:val="auto"/>
          <w:spacing w:val="12"/>
          <w:sz w:val="24"/>
          <w:highlight w:val="none"/>
        </w:rPr>
        <w:t>取得总公司的</w:t>
      </w:r>
      <w:r>
        <w:rPr>
          <w:color w:val="auto"/>
          <w:sz w:val="24"/>
          <w:highlight w:val="none"/>
        </w:rPr>
        <w:t xml:space="preserve"> </w:t>
      </w:r>
      <w:r>
        <w:rPr>
          <w:color w:val="auto"/>
          <w:spacing w:val="9"/>
          <w:sz w:val="24"/>
          <w:highlight w:val="none"/>
        </w:rPr>
        <w:t>授权</w:t>
      </w:r>
      <w:r>
        <w:rPr>
          <w:color w:val="auto"/>
          <w:spacing w:val="-76"/>
          <w:sz w:val="24"/>
          <w:highlight w:val="none"/>
        </w:rPr>
        <w:t xml:space="preserve"> </w:t>
      </w:r>
      <w:r>
        <w:rPr>
          <w:color w:val="auto"/>
          <w:spacing w:val="9"/>
          <w:sz w:val="24"/>
          <w:highlight w:val="none"/>
        </w:rPr>
        <w:t>”进行承诺。参加政府采购活动的供应商只要第 1</w:t>
      </w:r>
      <w:r>
        <w:rPr>
          <w:color w:val="auto"/>
          <w:spacing w:val="-30"/>
          <w:sz w:val="24"/>
          <w:highlight w:val="none"/>
        </w:rPr>
        <w:t xml:space="preserve"> </w:t>
      </w:r>
      <w:r>
        <w:rPr>
          <w:color w:val="auto"/>
          <w:spacing w:val="9"/>
          <w:sz w:val="24"/>
          <w:highlight w:val="none"/>
        </w:rPr>
        <w:t>点承诺的</w:t>
      </w:r>
      <w:r>
        <w:rPr>
          <w:color w:val="auto"/>
          <w:spacing w:val="8"/>
          <w:sz w:val="24"/>
          <w:highlight w:val="none"/>
        </w:rPr>
        <w:t>内容包含有：具</w:t>
      </w:r>
      <w:r>
        <w:rPr>
          <w:color w:val="auto"/>
          <w:sz w:val="24"/>
          <w:highlight w:val="none"/>
        </w:rPr>
        <w:t xml:space="preserve"> </w:t>
      </w:r>
      <w:r>
        <w:rPr>
          <w:color w:val="auto"/>
          <w:spacing w:val="13"/>
          <w:sz w:val="24"/>
          <w:highlight w:val="none"/>
        </w:rPr>
        <w:t>有独立承担民事责任的能力、在参加本次政府采购活动前已取得总</w:t>
      </w:r>
      <w:r>
        <w:rPr>
          <w:color w:val="auto"/>
          <w:spacing w:val="12"/>
          <w:sz w:val="24"/>
          <w:highlight w:val="none"/>
        </w:rPr>
        <w:t>公司的授权等</w:t>
      </w:r>
      <w:r>
        <w:rPr>
          <w:color w:val="auto"/>
          <w:sz w:val="24"/>
          <w:highlight w:val="none"/>
        </w:rPr>
        <w:t xml:space="preserve"> </w:t>
      </w:r>
      <w:r>
        <w:rPr>
          <w:color w:val="auto"/>
          <w:spacing w:val="9"/>
          <w:sz w:val="24"/>
          <w:highlight w:val="none"/>
        </w:rPr>
        <w:t>内容的即为有效的承诺。2.第1</w:t>
      </w:r>
      <w:r>
        <w:rPr>
          <w:color w:val="auto"/>
          <w:spacing w:val="-33"/>
          <w:sz w:val="24"/>
          <w:highlight w:val="none"/>
        </w:rPr>
        <w:t xml:space="preserve"> </w:t>
      </w:r>
      <w:r>
        <w:rPr>
          <w:color w:val="auto"/>
          <w:spacing w:val="9"/>
          <w:sz w:val="24"/>
          <w:highlight w:val="none"/>
        </w:rPr>
        <w:t>点所指的行业特殊情况</w:t>
      </w:r>
      <w:r>
        <w:rPr>
          <w:color w:val="auto"/>
          <w:spacing w:val="8"/>
          <w:sz w:val="24"/>
          <w:highlight w:val="none"/>
        </w:rPr>
        <w:t>使用了“等</w:t>
      </w:r>
      <w:r>
        <w:rPr>
          <w:color w:val="auto"/>
          <w:spacing w:val="-73"/>
          <w:sz w:val="24"/>
          <w:highlight w:val="none"/>
        </w:rPr>
        <w:t xml:space="preserve"> </w:t>
      </w:r>
      <w:r>
        <w:rPr>
          <w:color w:val="auto"/>
          <w:spacing w:val="8"/>
          <w:sz w:val="24"/>
          <w:highlight w:val="none"/>
        </w:rPr>
        <w:t>”字表示列举</w:t>
      </w:r>
    </w:p>
    <w:p w14:paraId="2561991E">
      <w:pPr>
        <w:pStyle w:val="2"/>
        <w:spacing w:line="220" w:lineRule="auto"/>
        <w:ind w:left="4"/>
        <w:rPr>
          <w:color w:val="auto"/>
          <w:sz w:val="24"/>
          <w:highlight w:val="none"/>
        </w:rPr>
      </w:pPr>
      <w:r>
        <w:rPr>
          <w:color w:val="auto"/>
          <w:spacing w:val="8"/>
          <w:sz w:val="24"/>
          <w:highlight w:val="none"/>
        </w:rPr>
        <w:t>未尽，即行业特殊情况包含但不限于银行、保险、石油石</w:t>
      </w:r>
      <w:r>
        <w:rPr>
          <w:color w:val="auto"/>
          <w:spacing w:val="7"/>
          <w:sz w:val="24"/>
          <w:highlight w:val="none"/>
        </w:rPr>
        <w:t>化、</w:t>
      </w:r>
      <w:r>
        <w:rPr>
          <w:color w:val="auto"/>
          <w:spacing w:val="-71"/>
          <w:sz w:val="24"/>
          <w:highlight w:val="none"/>
        </w:rPr>
        <w:t xml:space="preserve"> </w:t>
      </w:r>
      <w:r>
        <w:rPr>
          <w:color w:val="auto"/>
          <w:spacing w:val="7"/>
          <w:sz w:val="24"/>
          <w:highlight w:val="none"/>
        </w:rPr>
        <w:t>电力、</w:t>
      </w:r>
      <w:r>
        <w:rPr>
          <w:color w:val="auto"/>
          <w:spacing w:val="-70"/>
          <w:sz w:val="24"/>
          <w:highlight w:val="none"/>
        </w:rPr>
        <w:t xml:space="preserve"> </w:t>
      </w:r>
      <w:r>
        <w:rPr>
          <w:color w:val="auto"/>
          <w:spacing w:val="7"/>
          <w:sz w:val="24"/>
          <w:highlight w:val="none"/>
        </w:rPr>
        <w:t>电信。</w:t>
      </w:r>
    </w:p>
    <w:p w14:paraId="0B7B14EB">
      <w:pPr>
        <w:spacing w:line="320" w:lineRule="exact"/>
        <w:jc w:val="left"/>
        <w:rPr>
          <w:rFonts w:hint="eastAsia" w:ascii="宋体" w:hAnsi="宋体"/>
          <w:b/>
          <w:color w:val="auto"/>
          <w:sz w:val="24"/>
          <w:highlight w:val="none"/>
        </w:rPr>
      </w:pPr>
    </w:p>
    <w:p w14:paraId="5CF13061">
      <w:pPr>
        <w:snapToGrid w:val="0"/>
        <w:spacing w:before="120" w:beforeLines="50" w:after="50"/>
        <w:jc w:val="center"/>
        <w:rPr>
          <w:rFonts w:hint="eastAsia" w:ascii="仿宋" w:hAnsi="仿宋" w:eastAsia="仿宋" w:cs="仿宋_GB2312"/>
          <w:b/>
          <w:color w:val="auto"/>
          <w:kern w:val="0"/>
          <w:sz w:val="30"/>
          <w:szCs w:val="30"/>
          <w:highlight w:val="none"/>
        </w:rPr>
      </w:pPr>
    </w:p>
    <w:p w14:paraId="4711ADC9">
      <w:pPr>
        <w:snapToGrid w:val="0"/>
        <w:spacing w:before="120" w:beforeLines="50" w:after="50"/>
        <w:jc w:val="center"/>
        <w:rPr>
          <w:rFonts w:hint="eastAsia" w:ascii="仿宋" w:hAnsi="仿宋" w:eastAsia="仿宋" w:cs="仿宋_GB2312"/>
          <w:b/>
          <w:color w:val="auto"/>
          <w:kern w:val="0"/>
          <w:sz w:val="30"/>
          <w:szCs w:val="30"/>
          <w:highlight w:val="none"/>
        </w:rPr>
      </w:pPr>
    </w:p>
    <w:p w14:paraId="16FF1B66">
      <w:pPr>
        <w:snapToGrid w:val="0"/>
        <w:spacing w:before="120" w:beforeLines="50" w:after="50"/>
        <w:jc w:val="center"/>
        <w:rPr>
          <w:rFonts w:hint="eastAsia" w:ascii="仿宋" w:hAnsi="仿宋" w:eastAsia="仿宋" w:cs="仿宋_GB2312"/>
          <w:b/>
          <w:color w:val="auto"/>
          <w:kern w:val="0"/>
          <w:sz w:val="30"/>
          <w:szCs w:val="30"/>
          <w:highlight w:val="none"/>
        </w:rPr>
      </w:pPr>
    </w:p>
    <w:p w14:paraId="662F5E49">
      <w:pPr>
        <w:snapToGrid w:val="0"/>
        <w:spacing w:before="120" w:beforeLines="50" w:after="50"/>
        <w:jc w:val="center"/>
        <w:rPr>
          <w:rFonts w:hint="eastAsia" w:ascii="仿宋" w:hAnsi="仿宋" w:eastAsia="仿宋" w:cs="仿宋_GB2312"/>
          <w:b/>
          <w:color w:val="auto"/>
          <w:kern w:val="0"/>
          <w:sz w:val="30"/>
          <w:szCs w:val="30"/>
          <w:highlight w:val="none"/>
        </w:rPr>
      </w:pPr>
    </w:p>
    <w:p w14:paraId="19E6FAC8">
      <w:pPr>
        <w:snapToGrid w:val="0"/>
        <w:spacing w:before="120" w:beforeLines="50" w:after="50"/>
        <w:jc w:val="center"/>
        <w:rPr>
          <w:rFonts w:hint="eastAsia" w:ascii="仿宋" w:hAnsi="仿宋" w:eastAsia="仿宋" w:cs="仿宋_GB2312"/>
          <w:b/>
          <w:color w:val="auto"/>
          <w:kern w:val="0"/>
          <w:sz w:val="30"/>
          <w:szCs w:val="30"/>
          <w:highlight w:val="none"/>
        </w:rPr>
      </w:pPr>
    </w:p>
    <w:p w14:paraId="6B5E54E1">
      <w:pPr>
        <w:snapToGrid w:val="0"/>
        <w:spacing w:before="120" w:beforeLines="50" w:after="50"/>
        <w:jc w:val="center"/>
        <w:rPr>
          <w:rFonts w:hint="eastAsia" w:ascii="仿宋" w:hAnsi="仿宋" w:eastAsia="仿宋" w:cs="仿宋_GB2312"/>
          <w:b/>
          <w:color w:val="auto"/>
          <w:kern w:val="0"/>
          <w:sz w:val="30"/>
          <w:szCs w:val="30"/>
          <w:highlight w:val="none"/>
        </w:rPr>
      </w:pPr>
    </w:p>
    <w:p w14:paraId="36843B70">
      <w:pPr>
        <w:snapToGrid w:val="0"/>
        <w:spacing w:before="120" w:beforeLines="50" w:after="50"/>
        <w:jc w:val="center"/>
        <w:rPr>
          <w:rFonts w:hint="eastAsia" w:ascii="仿宋" w:hAnsi="仿宋" w:eastAsia="仿宋" w:cs="仿宋_GB2312"/>
          <w:b/>
          <w:color w:val="auto"/>
          <w:kern w:val="0"/>
          <w:sz w:val="30"/>
          <w:szCs w:val="30"/>
          <w:highlight w:val="none"/>
        </w:rPr>
      </w:pPr>
    </w:p>
    <w:p w14:paraId="2B4AEB11">
      <w:pPr>
        <w:snapToGrid w:val="0"/>
        <w:spacing w:before="120" w:beforeLines="50" w:after="50"/>
        <w:jc w:val="center"/>
        <w:rPr>
          <w:rFonts w:hint="eastAsia" w:ascii="仿宋" w:hAnsi="仿宋" w:eastAsia="仿宋" w:cs="仿宋_GB2312"/>
          <w:b/>
          <w:color w:val="auto"/>
          <w:kern w:val="0"/>
          <w:sz w:val="30"/>
          <w:szCs w:val="30"/>
          <w:highlight w:val="none"/>
        </w:rPr>
      </w:pPr>
    </w:p>
    <w:p w14:paraId="64696F69">
      <w:pPr>
        <w:snapToGrid w:val="0"/>
        <w:spacing w:before="120" w:beforeLines="50" w:after="50"/>
        <w:jc w:val="center"/>
        <w:rPr>
          <w:rFonts w:hint="eastAsia" w:ascii="仿宋" w:hAnsi="仿宋" w:eastAsia="仿宋" w:cs="仿宋_GB2312"/>
          <w:b/>
          <w:color w:val="auto"/>
          <w:kern w:val="0"/>
          <w:sz w:val="30"/>
          <w:szCs w:val="30"/>
          <w:highlight w:val="none"/>
        </w:rPr>
      </w:pPr>
    </w:p>
    <w:p w14:paraId="6427D189">
      <w:pPr>
        <w:snapToGrid w:val="0"/>
        <w:spacing w:before="120" w:beforeLines="50" w:after="50"/>
        <w:jc w:val="center"/>
        <w:rPr>
          <w:rFonts w:hint="eastAsia" w:ascii="仿宋" w:hAnsi="仿宋" w:eastAsia="仿宋" w:cs="仿宋_GB2312"/>
          <w:b/>
          <w:color w:val="auto"/>
          <w:kern w:val="0"/>
          <w:sz w:val="30"/>
          <w:szCs w:val="30"/>
          <w:highlight w:val="none"/>
        </w:rPr>
      </w:pPr>
    </w:p>
    <w:p w14:paraId="713D1371">
      <w:pPr>
        <w:snapToGrid w:val="0"/>
        <w:spacing w:before="120" w:beforeLines="50" w:after="50"/>
        <w:jc w:val="center"/>
        <w:rPr>
          <w:rFonts w:hint="eastAsia" w:ascii="仿宋" w:hAnsi="仿宋" w:eastAsia="仿宋" w:cs="仿宋_GB2312"/>
          <w:b/>
          <w:color w:val="auto"/>
          <w:kern w:val="0"/>
          <w:sz w:val="30"/>
          <w:szCs w:val="30"/>
          <w:highlight w:val="none"/>
        </w:rPr>
      </w:pPr>
    </w:p>
    <w:p w14:paraId="2FC50C7A">
      <w:pPr>
        <w:snapToGrid w:val="0"/>
        <w:spacing w:before="120" w:beforeLines="50" w:after="50"/>
        <w:jc w:val="center"/>
        <w:rPr>
          <w:rFonts w:hint="eastAsia" w:ascii="仿宋" w:hAnsi="仿宋" w:eastAsia="仿宋" w:cs="仿宋_GB2312"/>
          <w:b/>
          <w:color w:val="auto"/>
          <w:kern w:val="0"/>
          <w:sz w:val="30"/>
          <w:szCs w:val="30"/>
          <w:highlight w:val="none"/>
        </w:rPr>
      </w:pPr>
    </w:p>
    <w:p w14:paraId="41CAF49E">
      <w:pPr>
        <w:snapToGrid w:val="0"/>
        <w:spacing w:before="120" w:beforeLines="50" w:after="50"/>
        <w:jc w:val="center"/>
        <w:rPr>
          <w:rFonts w:hint="eastAsia" w:ascii="仿宋" w:hAnsi="仿宋" w:eastAsia="仿宋" w:cs="仿宋_GB2312"/>
          <w:b/>
          <w:color w:val="auto"/>
          <w:kern w:val="0"/>
          <w:sz w:val="30"/>
          <w:szCs w:val="30"/>
          <w:highlight w:val="none"/>
        </w:rPr>
      </w:pPr>
    </w:p>
    <w:p w14:paraId="16B85367">
      <w:pPr>
        <w:snapToGrid w:val="0"/>
        <w:spacing w:before="120" w:beforeLines="50" w:after="50"/>
        <w:jc w:val="center"/>
        <w:rPr>
          <w:rFonts w:hint="eastAsia" w:ascii="仿宋" w:hAnsi="仿宋" w:eastAsia="仿宋" w:cs="仿宋_GB2312"/>
          <w:b/>
          <w:color w:val="auto"/>
          <w:kern w:val="0"/>
          <w:sz w:val="30"/>
          <w:szCs w:val="30"/>
          <w:highlight w:val="none"/>
        </w:rPr>
      </w:pPr>
    </w:p>
    <w:p w14:paraId="5A191C90">
      <w:pPr>
        <w:pStyle w:val="2"/>
        <w:rPr>
          <w:rFonts w:hint="eastAsia" w:ascii="仿宋" w:hAnsi="仿宋" w:eastAsia="仿宋" w:cs="仿宋_GB2312"/>
          <w:b/>
          <w:color w:val="auto"/>
          <w:kern w:val="0"/>
          <w:sz w:val="30"/>
          <w:szCs w:val="30"/>
          <w:highlight w:val="none"/>
        </w:rPr>
      </w:pPr>
    </w:p>
    <w:p w14:paraId="1D98DA51">
      <w:pPr>
        <w:pStyle w:val="2"/>
        <w:rPr>
          <w:rFonts w:hint="eastAsia" w:ascii="仿宋" w:hAnsi="仿宋" w:eastAsia="仿宋" w:cs="仿宋_GB2312"/>
          <w:b/>
          <w:color w:val="auto"/>
          <w:kern w:val="0"/>
          <w:sz w:val="30"/>
          <w:szCs w:val="30"/>
          <w:highlight w:val="none"/>
        </w:rPr>
      </w:pPr>
    </w:p>
    <w:p w14:paraId="4F6BD5EC">
      <w:pPr>
        <w:snapToGrid w:val="0"/>
        <w:spacing w:before="120" w:beforeLines="50" w:after="50"/>
        <w:jc w:val="center"/>
        <w:rPr>
          <w:rFonts w:hint="eastAsia" w:ascii="仿宋" w:hAnsi="仿宋" w:eastAsia="仿宋" w:cs="仿宋_GB2312"/>
          <w:b/>
          <w:color w:val="auto"/>
          <w:kern w:val="0"/>
          <w:sz w:val="30"/>
          <w:szCs w:val="30"/>
          <w:highlight w:val="none"/>
        </w:rPr>
      </w:pPr>
    </w:p>
    <w:p w14:paraId="12241DB1">
      <w:pPr>
        <w:snapToGrid w:val="0"/>
        <w:spacing w:before="120" w:beforeLines="50" w:after="50"/>
        <w:jc w:val="center"/>
        <w:rPr>
          <w:rFonts w:hint="eastAsia" w:ascii="仿宋" w:hAnsi="仿宋" w:eastAsia="仿宋" w:cs="仿宋_GB2312"/>
          <w:b/>
          <w:color w:val="auto"/>
          <w:kern w:val="0"/>
          <w:sz w:val="30"/>
          <w:szCs w:val="30"/>
          <w:highlight w:val="none"/>
        </w:rPr>
      </w:pPr>
    </w:p>
    <w:p w14:paraId="014F148B">
      <w:pPr>
        <w:snapToGrid w:val="0"/>
        <w:spacing w:before="120" w:beforeLines="50" w:after="50"/>
        <w:jc w:val="center"/>
        <w:rPr>
          <w:rFonts w:hint="eastAsia" w:ascii="仿宋" w:hAnsi="仿宋" w:eastAsia="仿宋" w:cs="仿宋_GB2312"/>
          <w:b/>
          <w:color w:val="auto"/>
          <w:kern w:val="0"/>
          <w:sz w:val="30"/>
          <w:szCs w:val="30"/>
          <w:highlight w:val="none"/>
        </w:rPr>
      </w:pPr>
    </w:p>
    <w:p w14:paraId="01F4569F">
      <w:pPr>
        <w:snapToGrid w:val="0"/>
        <w:spacing w:before="120" w:beforeLines="50" w:after="50"/>
        <w:jc w:val="center"/>
        <w:rPr>
          <w:rFonts w:hint="eastAsia" w:ascii="仿宋" w:hAnsi="仿宋" w:eastAsia="仿宋" w:cs="仿宋_GB2312"/>
          <w:b/>
          <w:color w:val="auto"/>
          <w:kern w:val="0"/>
          <w:sz w:val="30"/>
          <w:szCs w:val="30"/>
          <w:highlight w:val="none"/>
        </w:rPr>
      </w:pPr>
    </w:p>
    <w:p w14:paraId="563B9DE0">
      <w:pPr>
        <w:snapToGrid w:val="0"/>
        <w:spacing w:before="120" w:beforeLines="50" w:after="50"/>
        <w:jc w:val="center"/>
        <w:rPr>
          <w:rFonts w:hint="eastAsia" w:ascii="仿宋" w:hAnsi="仿宋" w:eastAsia="仿宋" w:cs="仿宋_GB2312"/>
          <w:b/>
          <w:color w:val="auto"/>
          <w:kern w:val="0"/>
          <w:sz w:val="30"/>
          <w:szCs w:val="30"/>
          <w:highlight w:val="none"/>
        </w:rPr>
      </w:pPr>
    </w:p>
    <w:p w14:paraId="13C4BF66">
      <w:pPr>
        <w:snapToGrid w:val="0"/>
        <w:spacing w:before="120" w:beforeLines="50" w:after="50"/>
        <w:jc w:val="center"/>
        <w:rPr>
          <w:rFonts w:hint="eastAsia" w:ascii="仿宋" w:hAnsi="仿宋" w:eastAsia="仿宋" w:cs="仿宋_GB2312"/>
          <w:b/>
          <w:color w:val="auto"/>
          <w:kern w:val="0"/>
          <w:sz w:val="30"/>
          <w:szCs w:val="30"/>
          <w:highlight w:val="none"/>
        </w:rPr>
      </w:pPr>
    </w:p>
    <w:p w14:paraId="18F448A8">
      <w:pPr>
        <w:snapToGrid w:val="0"/>
        <w:spacing w:before="120" w:beforeLines="50" w:after="50"/>
        <w:jc w:val="center"/>
        <w:rPr>
          <w:rFonts w:hint="eastAsia" w:ascii="仿宋" w:hAnsi="仿宋" w:eastAsia="仿宋" w:cs="仿宋_GB2312"/>
          <w:b/>
          <w:color w:val="auto"/>
          <w:kern w:val="0"/>
          <w:sz w:val="30"/>
          <w:szCs w:val="30"/>
          <w:highlight w:val="none"/>
        </w:rPr>
      </w:pPr>
    </w:p>
    <w:p w14:paraId="660B6018">
      <w:pPr>
        <w:snapToGrid w:val="0"/>
        <w:spacing w:before="120" w:beforeLines="50" w:after="50"/>
        <w:jc w:val="center"/>
        <w:rPr>
          <w:rFonts w:hint="eastAsia" w:ascii="仿宋" w:hAnsi="仿宋" w:eastAsia="仿宋" w:cs="仿宋_GB2312"/>
          <w:b/>
          <w:color w:val="auto"/>
          <w:kern w:val="0"/>
          <w:sz w:val="30"/>
          <w:szCs w:val="30"/>
          <w:highlight w:val="none"/>
        </w:rPr>
      </w:pPr>
    </w:p>
    <w:p w14:paraId="74DFB103">
      <w:pPr>
        <w:snapToGrid w:val="0"/>
        <w:spacing w:before="120" w:beforeLines="50" w:after="50"/>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供应商直接控股、管理关系信息表</w:t>
      </w:r>
      <w:r>
        <w:rPr>
          <w:rFonts w:hint="eastAsia" w:ascii="宋体" w:hAnsi="宋体"/>
          <w:b/>
          <w:color w:val="auto"/>
          <w:sz w:val="32"/>
          <w:szCs w:val="32"/>
          <w:highlight w:val="none"/>
          <w:lang w:eastAsia="zh-CN"/>
        </w:rPr>
        <w:t>（</w:t>
      </w:r>
      <w:r>
        <w:rPr>
          <w:rFonts w:hint="eastAsia" w:ascii="宋体" w:hAnsi="宋体"/>
          <w:b/>
          <w:color w:val="auto"/>
          <w:sz w:val="32"/>
          <w:szCs w:val="32"/>
          <w:highlight w:val="none"/>
          <w:lang w:val="en-US" w:eastAsia="zh-CN"/>
        </w:rPr>
        <w:t>格式）</w:t>
      </w:r>
    </w:p>
    <w:p w14:paraId="37A72B2C">
      <w:pPr>
        <w:snapToGrid w:val="0"/>
        <w:spacing w:before="120" w:beforeLines="50" w:after="50"/>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供应商直接控股股东信息表</w:t>
      </w:r>
    </w:p>
    <w:p w14:paraId="7137D010">
      <w:pPr>
        <w:snapToGrid w:val="0"/>
        <w:spacing w:before="50" w:after="120" w:afterLines="50"/>
        <w:jc w:val="center"/>
        <w:rPr>
          <w:rFonts w:hint="eastAsia" w:ascii="宋体" w:hAnsi="宋体"/>
          <w:b/>
          <w:color w:val="auto"/>
          <w:sz w:val="32"/>
          <w:szCs w:val="32"/>
          <w:highlight w:val="none"/>
        </w:rPr>
      </w:pPr>
    </w:p>
    <w:tbl>
      <w:tblPr>
        <w:tblStyle w:val="24"/>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7EFEECFE">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5E25413">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2D17636">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0A5DB5D">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B8A43E5">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51170C3">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14:paraId="6DA512CE">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EEDE575">
            <w:pPr>
              <w:widowControl/>
              <w:spacing w:line="360" w:lineRule="auto"/>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26757D0">
            <w:pPr>
              <w:widowControl/>
              <w:spacing w:line="360" w:lineRule="auto"/>
              <w:jc w:val="center"/>
              <w:rPr>
                <w:rFonts w:hint="eastAsia"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031C9B7">
            <w:pPr>
              <w:widowControl/>
              <w:spacing w:line="360" w:lineRule="auto"/>
              <w:jc w:val="center"/>
              <w:rPr>
                <w:rFonts w:hint="eastAsia"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9ABFCC1">
            <w:pPr>
              <w:widowControl/>
              <w:spacing w:line="360" w:lineRule="auto"/>
              <w:jc w:val="center"/>
              <w:rPr>
                <w:rFonts w:hint="eastAsia"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2043A2C">
            <w:pPr>
              <w:widowControl/>
              <w:spacing w:line="360" w:lineRule="auto"/>
              <w:jc w:val="center"/>
              <w:rPr>
                <w:rFonts w:hint="eastAsia" w:ascii="宋体" w:hAnsi="宋体" w:cs="宋体"/>
                <w:color w:val="auto"/>
                <w:kern w:val="0"/>
                <w:sz w:val="28"/>
                <w:szCs w:val="28"/>
                <w:highlight w:val="none"/>
              </w:rPr>
            </w:pPr>
          </w:p>
        </w:tc>
      </w:tr>
      <w:tr w14:paraId="350C6616">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21D6B7A">
            <w:pPr>
              <w:widowControl/>
              <w:spacing w:line="360" w:lineRule="auto"/>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5138E7E">
            <w:pPr>
              <w:widowControl/>
              <w:spacing w:line="360" w:lineRule="auto"/>
              <w:jc w:val="center"/>
              <w:rPr>
                <w:rFonts w:hint="eastAsia"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913F579">
            <w:pPr>
              <w:widowControl/>
              <w:spacing w:line="360" w:lineRule="auto"/>
              <w:jc w:val="center"/>
              <w:rPr>
                <w:rFonts w:hint="eastAsia"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5DCCC7D">
            <w:pPr>
              <w:widowControl/>
              <w:spacing w:line="360" w:lineRule="auto"/>
              <w:jc w:val="center"/>
              <w:rPr>
                <w:rFonts w:hint="eastAsia"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ADA209D">
            <w:pPr>
              <w:widowControl/>
              <w:spacing w:line="360" w:lineRule="auto"/>
              <w:jc w:val="center"/>
              <w:rPr>
                <w:rFonts w:hint="eastAsia" w:ascii="宋体" w:hAnsi="宋体" w:cs="宋体"/>
                <w:color w:val="auto"/>
                <w:kern w:val="0"/>
                <w:sz w:val="28"/>
                <w:szCs w:val="28"/>
                <w:highlight w:val="none"/>
              </w:rPr>
            </w:pPr>
          </w:p>
        </w:tc>
      </w:tr>
      <w:tr w14:paraId="4416E36E">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A98A42A">
            <w:pPr>
              <w:widowControl/>
              <w:spacing w:line="360" w:lineRule="auto"/>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04AAB2F">
            <w:pPr>
              <w:widowControl/>
              <w:spacing w:line="360" w:lineRule="auto"/>
              <w:jc w:val="center"/>
              <w:rPr>
                <w:rFonts w:hint="eastAsia"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CDC5AFE">
            <w:pPr>
              <w:widowControl/>
              <w:spacing w:line="360" w:lineRule="auto"/>
              <w:jc w:val="center"/>
              <w:rPr>
                <w:rFonts w:hint="eastAsia"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B40DF05">
            <w:pPr>
              <w:widowControl/>
              <w:spacing w:line="360" w:lineRule="auto"/>
              <w:jc w:val="center"/>
              <w:rPr>
                <w:rFonts w:hint="eastAsia"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4063C7">
            <w:pPr>
              <w:widowControl/>
              <w:spacing w:line="360" w:lineRule="auto"/>
              <w:jc w:val="center"/>
              <w:rPr>
                <w:rFonts w:hint="eastAsia" w:ascii="宋体" w:hAnsi="宋体" w:cs="宋体"/>
                <w:color w:val="auto"/>
                <w:kern w:val="0"/>
                <w:sz w:val="28"/>
                <w:szCs w:val="28"/>
                <w:highlight w:val="none"/>
              </w:rPr>
            </w:pPr>
          </w:p>
        </w:tc>
      </w:tr>
      <w:tr w14:paraId="7CDC9BC9">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ADF54F5">
            <w:pPr>
              <w:widowControl/>
              <w:spacing w:line="360" w:lineRule="auto"/>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DFFE34C">
            <w:pPr>
              <w:widowControl/>
              <w:spacing w:line="360" w:lineRule="auto"/>
              <w:jc w:val="center"/>
              <w:rPr>
                <w:rFonts w:hint="eastAsia"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DF0654">
            <w:pPr>
              <w:widowControl/>
              <w:spacing w:line="360" w:lineRule="auto"/>
              <w:jc w:val="center"/>
              <w:rPr>
                <w:rFonts w:hint="eastAsia"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F49DCB0">
            <w:pPr>
              <w:widowControl/>
              <w:spacing w:line="360" w:lineRule="auto"/>
              <w:jc w:val="center"/>
              <w:rPr>
                <w:rFonts w:hint="eastAsia"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8F89656">
            <w:pPr>
              <w:widowControl/>
              <w:spacing w:line="360" w:lineRule="auto"/>
              <w:jc w:val="center"/>
              <w:rPr>
                <w:rFonts w:hint="eastAsia" w:ascii="宋体" w:hAnsi="宋体" w:cs="宋体"/>
                <w:color w:val="auto"/>
                <w:kern w:val="0"/>
                <w:sz w:val="28"/>
                <w:szCs w:val="28"/>
                <w:highlight w:val="none"/>
              </w:rPr>
            </w:pPr>
          </w:p>
        </w:tc>
      </w:tr>
    </w:tbl>
    <w:p w14:paraId="239E8FC2">
      <w:pPr>
        <w:spacing w:line="360" w:lineRule="auto"/>
        <w:contextualSpacing/>
        <w:jc w:val="left"/>
        <w:rPr>
          <w:rFonts w:hint="eastAsia" w:ascii="宋体" w:hAnsi="宋体" w:cs="宋体"/>
          <w:color w:val="auto"/>
          <w:sz w:val="24"/>
          <w:highlight w:val="none"/>
        </w:rPr>
      </w:pPr>
      <w:r>
        <w:rPr>
          <w:rFonts w:hint="eastAsia" w:ascii="宋体" w:hAnsi="宋体" w:cs="宋体"/>
          <w:color w:val="auto"/>
          <w:sz w:val="24"/>
          <w:highlight w:val="none"/>
        </w:rPr>
        <w:t>注：</w:t>
      </w:r>
    </w:p>
    <w:p w14:paraId="5DC32DAE">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08D9ED3">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49ED3F0F">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79C9CD9E">
      <w:pPr>
        <w:spacing w:line="360" w:lineRule="auto"/>
        <w:ind w:firstLine="420" w:firstLineChars="200"/>
        <w:contextualSpacing/>
        <w:jc w:val="left"/>
        <w:rPr>
          <w:rFonts w:ascii="宋体" w:hAnsi="宋体" w:cs="宋体"/>
          <w:color w:val="auto"/>
          <w:szCs w:val="21"/>
          <w:highlight w:val="none"/>
        </w:rPr>
      </w:pPr>
    </w:p>
    <w:p w14:paraId="23FA15FF">
      <w:pPr>
        <w:spacing w:line="360" w:lineRule="auto"/>
        <w:ind w:firstLine="560" w:firstLineChars="200"/>
        <w:contextualSpacing/>
        <w:jc w:val="left"/>
        <w:rPr>
          <w:rFonts w:hint="eastAsia" w:ascii="宋体" w:hAnsi="宋体" w:cs="宋体"/>
          <w:color w:val="auto"/>
          <w:sz w:val="28"/>
          <w:szCs w:val="28"/>
          <w:highlight w:val="none"/>
        </w:rPr>
      </w:pPr>
    </w:p>
    <w:p w14:paraId="07F166AA">
      <w:pPr>
        <w:spacing w:line="360" w:lineRule="auto"/>
        <w:ind w:right="480"/>
        <w:contextualSpacing/>
        <w:jc w:val="center"/>
        <w:rPr>
          <w:rFonts w:hint="eastAsia" w:ascii="宋体" w:hAnsi="宋体" w:cs="宋体"/>
          <w:color w:val="auto"/>
          <w:sz w:val="24"/>
          <w:highlight w:val="none"/>
          <w:u w:val="single"/>
        </w:rPr>
      </w:pP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法定代表人或者委托代理人</w:t>
      </w:r>
      <w:r>
        <w:rPr>
          <w:rFonts w:hint="eastAsia" w:ascii="宋体" w:hAnsi="宋体"/>
          <w:color w:val="auto"/>
          <w:sz w:val="24"/>
          <w:highlight w:val="none"/>
        </w:rPr>
        <w:t>（签字</w:t>
      </w:r>
      <w:r>
        <w:rPr>
          <w:rFonts w:hint="eastAsia" w:ascii="宋体" w:hAnsi="宋体"/>
          <w:color w:val="auto"/>
          <w:sz w:val="24"/>
          <w:highlight w:val="none"/>
          <w:lang w:eastAsia="zh-CN"/>
        </w:rPr>
        <w:t>或者电子签名</w:t>
      </w:r>
      <w:r>
        <w:rPr>
          <w:rFonts w:hint="eastAsia" w:ascii="宋体" w:hAnsi="宋体"/>
          <w:color w:val="auto"/>
          <w:sz w:val="24"/>
          <w:highlight w:val="none"/>
        </w:rPr>
        <w:t>）</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76767110">
      <w:pPr>
        <w:spacing w:line="360" w:lineRule="auto"/>
        <w:ind w:right="480" w:firstLine="3000" w:firstLineChars="1250"/>
        <w:contextualSpacing/>
        <w:rPr>
          <w:rFonts w:hint="eastAsia" w:ascii="宋体" w:hAnsi="宋体" w:cs="宋体"/>
          <w:color w:val="auto"/>
          <w:sz w:val="24"/>
          <w:highlight w:val="none"/>
          <w:u w:val="single"/>
        </w:rPr>
      </w:pPr>
      <w:r>
        <w:rPr>
          <w:rFonts w:hint="eastAsia" w:ascii="宋体" w:hAnsi="宋体" w:cs="宋体"/>
          <w:color w:val="auto"/>
          <w:sz w:val="24"/>
          <w:highlight w:val="none"/>
        </w:rPr>
        <w:t>供应商</w:t>
      </w:r>
      <w:r>
        <w:rPr>
          <w:rFonts w:hint="eastAsia" w:ascii="宋体" w:hAnsi="宋体"/>
          <w:color w:val="auto"/>
          <w:sz w:val="24"/>
          <w:highlight w:val="none"/>
        </w:rPr>
        <w:t>（电子签章）</w:t>
      </w: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p>
    <w:p w14:paraId="4AEB8120">
      <w:pPr>
        <w:spacing w:line="360" w:lineRule="auto"/>
        <w:ind w:right="480" w:firstLine="5280" w:firstLineChars="2200"/>
        <w:contextualSpacing/>
        <w:rPr>
          <w:rFonts w:hint="eastAsia" w:ascii="宋体" w:hAnsi="宋体" w:cs="宋体"/>
          <w:color w:val="auto"/>
          <w:sz w:val="28"/>
          <w:szCs w:val="28"/>
          <w:highlight w:val="none"/>
        </w:rPr>
      </w:pPr>
      <w:r>
        <w:rPr>
          <w:rFonts w:hint="eastAsia" w:ascii="宋体" w:hAnsi="宋体" w:cs="宋体"/>
          <w:color w:val="auto"/>
          <w:sz w:val="24"/>
          <w:highlight w:val="none"/>
        </w:rPr>
        <w:t>年    月    日</w:t>
      </w:r>
    </w:p>
    <w:p w14:paraId="1C074FF2">
      <w:pPr>
        <w:snapToGrid w:val="0"/>
        <w:jc w:val="center"/>
        <w:rPr>
          <w:rFonts w:hint="eastAsia" w:ascii="宋体" w:hAnsi="宋体"/>
          <w:b/>
          <w:color w:val="auto"/>
          <w:sz w:val="28"/>
          <w:szCs w:val="28"/>
          <w:highlight w:val="none"/>
        </w:rPr>
      </w:pPr>
    </w:p>
    <w:p w14:paraId="001E8204">
      <w:pPr>
        <w:snapToGrid w:val="0"/>
        <w:jc w:val="center"/>
        <w:rPr>
          <w:rFonts w:hint="eastAsia" w:ascii="宋体" w:hAnsi="宋体"/>
          <w:b/>
          <w:color w:val="auto"/>
          <w:sz w:val="32"/>
          <w:szCs w:val="32"/>
          <w:highlight w:val="none"/>
        </w:rPr>
      </w:pPr>
    </w:p>
    <w:p w14:paraId="03BAD6D4">
      <w:pPr>
        <w:snapToGrid w:val="0"/>
        <w:jc w:val="center"/>
        <w:rPr>
          <w:rFonts w:hint="eastAsia" w:ascii="宋体" w:hAnsi="宋体"/>
          <w:b/>
          <w:color w:val="auto"/>
          <w:sz w:val="32"/>
          <w:szCs w:val="32"/>
          <w:highlight w:val="none"/>
        </w:rPr>
      </w:pPr>
    </w:p>
    <w:p w14:paraId="4E41DB89">
      <w:pPr>
        <w:snapToGrid w:val="0"/>
        <w:jc w:val="center"/>
        <w:rPr>
          <w:rFonts w:hint="eastAsia" w:ascii="宋体" w:hAnsi="宋体"/>
          <w:b/>
          <w:color w:val="auto"/>
          <w:sz w:val="32"/>
          <w:szCs w:val="32"/>
          <w:highlight w:val="none"/>
        </w:rPr>
      </w:pPr>
    </w:p>
    <w:p w14:paraId="12B3F34B">
      <w:pPr>
        <w:snapToGrid w:val="0"/>
        <w:rPr>
          <w:rFonts w:hint="eastAsia" w:ascii="宋体" w:hAnsi="宋体"/>
          <w:b/>
          <w:color w:val="auto"/>
          <w:sz w:val="32"/>
          <w:szCs w:val="32"/>
          <w:highlight w:val="none"/>
        </w:rPr>
      </w:pPr>
    </w:p>
    <w:p w14:paraId="661746C6">
      <w:pPr>
        <w:snapToGrid w:val="0"/>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42904530">
      <w:pPr>
        <w:snapToGrid w:val="0"/>
        <w:jc w:val="center"/>
        <w:rPr>
          <w:rFonts w:hint="eastAsia" w:ascii="宋体" w:hAnsi="宋体"/>
          <w:b/>
          <w:color w:val="auto"/>
          <w:sz w:val="32"/>
          <w:szCs w:val="32"/>
          <w:highlight w:val="none"/>
        </w:rPr>
      </w:pPr>
    </w:p>
    <w:tbl>
      <w:tblPr>
        <w:tblStyle w:val="24"/>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0A77D6B5">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11CBACD">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AF7C21D">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C5FF97B">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B3561FC">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14:paraId="74D84E4E">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7F57688">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DDE77D8">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74BC3E8">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F7403FD">
            <w:pPr>
              <w:widowControl/>
              <w:wordWrap w:val="0"/>
              <w:spacing w:line="200" w:lineRule="atLeast"/>
              <w:jc w:val="center"/>
              <w:rPr>
                <w:rFonts w:ascii="宋体" w:hAnsi="宋体" w:cs="宋体"/>
                <w:color w:val="auto"/>
                <w:kern w:val="0"/>
                <w:sz w:val="28"/>
                <w:szCs w:val="28"/>
                <w:highlight w:val="none"/>
              </w:rPr>
            </w:pPr>
          </w:p>
        </w:tc>
      </w:tr>
      <w:tr w14:paraId="28ACB5DF">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88C1976">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E6AFEC">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85835EE">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6103C2E">
            <w:pPr>
              <w:widowControl/>
              <w:wordWrap w:val="0"/>
              <w:spacing w:line="200" w:lineRule="atLeast"/>
              <w:jc w:val="center"/>
              <w:rPr>
                <w:rFonts w:ascii="宋体" w:hAnsi="宋体" w:cs="宋体"/>
                <w:color w:val="auto"/>
                <w:kern w:val="0"/>
                <w:sz w:val="28"/>
                <w:szCs w:val="28"/>
                <w:highlight w:val="none"/>
              </w:rPr>
            </w:pPr>
          </w:p>
        </w:tc>
      </w:tr>
      <w:tr w14:paraId="68B1C2E9">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7A149CD">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C67CCD1">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0E1155F">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6396477">
            <w:pPr>
              <w:widowControl/>
              <w:wordWrap w:val="0"/>
              <w:spacing w:line="200" w:lineRule="atLeast"/>
              <w:jc w:val="center"/>
              <w:rPr>
                <w:rFonts w:ascii="宋体" w:hAnsi="宋体" w:cs="宋体"/>
                <w:color w:val="auto"/>
                <w:kern w:val="0"/>
                <w:sz w:val="28"/>
                <w:szCs w:val="28"/>
                <w:highlight w:val="none"/>
              </w:rPr>
            </w:pPr>
          </w:p>
        </w:tc>
      </w:tr>
      <w:tr w14:paraId="4737CF19">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ED38445">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F4E51CB">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5A5363A">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DA2C705">
            <w:pPr>
              <w:widowControl/>
              <w:wordWrap w:val="0"/>
              <w:spacing w:line="200" w:lineRule="atLeast"/>
              <w:jc w:val="center"/>
              <w:rPr>
                <w:rFonts w:ascii="宋体" w:hAnsi="宋体" w:cs="宋体"/>
                <w:color w:val="auto"/>
                <w:kern w:val="0"/>
                <w:sz w:val="28"/>
                <w:szCs w:val="28"/>
                <w:highlight w:val="none"/>
              </w:rPr>
            </w:pPr>
          </w:p>
        </w:tc>
      </w:tr>
    </w:tbl>
    <w:p w14:paraId="3CC78A4B">
      <w:pPr>
        <w:spacing w:line="360" w:lineRule="auto"/>
        <w:contextualSpacing/>
        <w:jc w:val="left"/>
        <w:rPr>
          <w:rFonts w:hint="eastAsia" w:ascii="宋体" w:hAnsi="宋体"/>
          <w:color w:val="auto"/>
          <w:sz w:val="24"/>
          <w:highlight w:val="none"/>
        </w:rPr>
      </w:pPr>
      <w:r>
        <w:rPr>
          <w:rFonts w:hint="eastAsia" w:ascii="宋体" w:hAnsi="宋体"/>
          <w:color w:val="auto"/>
          <w:sz w:val="24"/>
          <w:highlight w:val="none"/>
        </w:rPr>
        <w:t>注：</w:t>
      </w:r>
    </w:p>
    <w:p w14:paraId="23DEF4F3">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431B0F15">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7AE01FB7">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4BA9671B">
      <w:pPr>
        <w:spacing w:line="360" w:lineRule="auto"/>
        <w:contextualSpacing/>
        <w:jc w:val="left"/>
        <w:rPr>
          <w:rFonts w:hint="eastAsia" w:ascii="宋体" w:hAnsi="宋体"/>
          <w:color w:val="auto"/>
          <w:sz w:val="28"/>
          <w:szCs w:val="28"/>
          <w:highlight w:val="none"/>
        </w:rPr>
      </w:pPr>
    </w:p>
    <w:p w14:paraId="5F65FA49">
      <w:pPr>
        <w:spacing w:line="360" w:lineRule="auto"/>
        <w:contextualSpacing/>
        <w:jc w:val="left"/>
        <w:rPr>
          <w:rFonts w:hint="eastAsia" w:ascii="宋体" w:hAnsi="宋体"/>
          <w:color w:val="auto"/>
          <w:sz w:val="28"/>
          <w:szCs w:val="28"/>
          <w:highlight w:val="none"/>
        </w:rPr>
      </w:pPr>
    </w:p>
    <w:p w14:paraId="5217097B">
      <w:pPr>
        <w:spacing w:line="360" w:lineRule="auto"/>
        <w:contextualSpacing/>
        <w:jc w:val="left"/>
        <w:rPr>
          <w:rFonts w:hint="eastAsia"/>
          <w:color w:val="auto"/>
          <w:sz w:val="28"/>
          <w:szCs w:val="28"/>
          <w:highlight w:val="none"/>
        </w:rPr>
      </w:pPr>
    </w:p>
    <w:p w14:paraId="03D77CAC">
      <w:pPr>
        <w:spacing w:line="360" w:lineRule="auto"/>
        <w:contextualSpacing/>
        <w:jc w:val="left"/>
        <w:rPr>
          <w:rFonts w:hint="eastAsia"/>
          <w:color w:val="auto"/>
          <w:sz w:val="28"/>
          <w:szCs w:val="28"/>
          <w:highlight w:val="none"/>
        </w:rPr>
      </w:pPr>
    </w:p>
    <w:p w14:paraId="690B28F2">
      <w:pPr>
        <w:spacing w:line="360" w:lineRule="auto"/>
        <w:contextualSpacing/>
        <w:jc w:val="left"/>
        <w:rPr>
          <w:rFonts w:hint="eastAsia"/>
          <w:color w:val="auto"/>
          <w:sz w:val="28"/>
          <w:szCs w:val="28"/>
          <w:highlight w:val="none"/>
        </w:rPr>
      </w:pPr>
    </w:p>
    <w:p w14:paraId="671F8C0F">
      <w:pPr>
        <w:spacing w:line="360" w:lineRule="auto"/>
        <w:contextualSpacing/>
        <w:jc w:val="left"/>
        <w:rPr>
          <w:rFonts w:hint="eastAsia" w:ascii="宋体" w:hAnsi="宋体"/>
          <w:color w:val="auto"/>
          <w:sz w:val="28"/>
          <w:szCs w:val="28"/>
          <w:highlight w:val="none"/>
        </w:rPr>
      </w:pPr>
    </w:p>
    <w:p w14:paraId="3599FA7D">
      <w:pPr>
        <w:spacing w:line="360" w:lineRule="auto"/>
        <w:ind w:right="480"/>
        <w:contextualSpacing/>
        <w:jc w:val="center"/>
        <w:rPr>
          <w:rFonts w:hint="eastAsia" w:ascii="宋体" w:hAnsi="宋体"/>
          <w:color w:val="auto"/>
          <w:sz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法定代表人或者委托代理人（签字</w:t>
      </w:r>
      <w:r>
        <w:rPr>
          <w:rFonts w:hint="eastAsia" w:ascii="宋体" w:hAnsi="宋体"/>
          <w:color w:val="auto"/>
          <w:sz w:val="24"/>
          <w:highlight w:val="none"/>
          <w:lang w:eastAsia="zh-CN"/>
        </w:rPr>
        <w:t>或者电子签名</w:t>
      </w:r>
      <w:r>
        <w:rPr>
          <w:rFonts w:hint="eastAsia" w:ascii="宋体" w:hAnsi="宋体"/>
          <w:color w:val="auto"/>
          <w:sz w:val="24"/>
          <w:highlight w:val="none"/>
        </w:rPr>
        <w:t>）：</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4DDB87BF">
      <w:pPr>
        <w:spacing w:line="360" w:lineRule="auto"/>
        <w:ind w:right="480" w:firstLine="3360" w:firstLineChars="1400"/>
        <w:contextualSpacing/>
        <w:rPr>
          <w:rFonts w:hint="eastAsia" w:ascii="宋体" w:hAnsi="宋体"/>
          <w:color w:val="auto"/>
          <w:sz w:val="24"/>
          <w:highlight w:val="none"/>
        </w:rPr>
      </w:pPr>
      <w:r>
        <w:rPr>
          <w:rFonts w:hint="eastAsia" w:ascii="宋体" w:hAnsi="宋体"/>
          <w:color w:val="auto"/>
          <w:sz w:val="24"/>
          <w:highlight w:val="none"/>
        </w:rPr>
        <w:t>供应商（电子签章）：</w:t>
      </w:r>
      <w:r>
        <w:rPr>
          <w:rFonts w:hint="eastAsia" w:ascii="宋体" w:hAnsi="宋体"/>
          <w:color w:val="auto"/>
          <w:sz w:val="24"/>
          <w:highlight w:val="none"/>
          <w:u w:val="single"/>
        </w:rPr>
        <w:t xml:space="preserve">                </w:t>
      </w:r>
    </w:p>
    <w:p w14:paraId="69BC2964">
      <w:pPr>
        <w:spacing w:line="360" w:lineRule="auto"/>
        <w:ind w:right="480" w:firstLine="240" w:firstLineChars="100"/>
        <w:contextualSpacing/>
        <w:jc w:val="center"/>
        <w:rPr>
          <w:rFonts w:hint="eastAsia" w:ascii="宋体" w:hAnsi="宋体"/>
          <w:color w:val="auto"/>
          <w:sz w:val="28"/>
          <w:szCs w:val="28"/>
          <w:highlight w:val="none"/>
        </w:rPr>
      </w:pPr>
      <w:r>
        <w:rPr>
          <w:rFonts w:hint="eastAsia" w:ascii="宋体" w:hAnsi="宋体"/>
          <w:color w:val="auto"/>
          <w:sz w:val="24"/>
          <w:highlight w:val="none"/>
        </w:rPr>
        <w:t xml:space="preserve">                                        年    月    日</w:t>
      </w:r>
    </w:p>
    <w:p w14:paraId="593F0046">
      <w:pPr>
        <w:rPr>
          <w:rFonts w:hint="eastAsia"/>
          <w:b/>
          <w:color w:val="auto"/>
          <w:sz w:val="32"/>
          <w:szCs w:val="32"/>
          <w:highlight w:val="none"/>
        </w:rPr>
      </w:pPr>
    </w:p>
    <w:bookmarkEnd w:id="51"/>
    <w:bookmarkEnd w:id="52"/>
    <w:p w14:paraId="1B05C6AA">
      <w:pPr>
        <w:spacing w:line="320" w:lineRule="exact"/>
        <w:rPr>
          <w:rFonts w:hint="eastAsia"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竞标声明</w:t>
      </w:r>
      <w:r>
        <w:rPr>
          <w:rFonts w:hint="eastAsia" w:ascii="宋体" w:hAnsi="宋体"/>
          <w:b/>
          <w:color w:val="auto"/>
          <w:sz w:val="32"/>
          <w:szCs w:val="32"/>
          <w:highlight w:val="none"/>
          <w:lang w:eastAsia="zh-CN"/>
        </w:rPr>
        <w:t>（</w:t>
      </w:r>
      <w:r>
        <w:rPr>
          <w:rFonts w:hint="eastAsia" w:ascii="宋体" w:hAnsi="宋体"/>
          <w:b/>
          <w:color w:val="auto"/>
          <w:sz w:val="32"/>
          <w:szCs w:val="32"/>
          <w:highlight w:val="none"/>
          <w:lang w:val="en-US" w:eastAsia="zh-CN"/>
        </w:rPr>
        <w:t>格式）</w:t>
      </w:r>
    </w:p>
    <w:p w14:paraId="028ECD56">
      <w:pPr>
        <w:pStyle w:val="2"/>
        <w:rPr>
          <w:rFonts w:hint="eastAsia"/>
          <w:color w:val="auto"/>
          <w:highlight w:val="none"/>
        </w:rPr>
      </w:pPr>
    </w:p>
    <w:p w14:paraId="2A08E68D">
      <w:pPr>
        <w:spacing w:line="320" w:lineRule="exact"/>
        <w:jc w:val="center"/>
        <w:rPr>
          <w:rFonts w:hint="eastAsia" w:ascii="方正小标宋简体" w:hAnsi="宋体" w:eastAsia="方正小标宋简体"/>
          <w:b/>
          <w:color w:val="auto"/>
          <w:sz w:val="32"/>
          <w:szCs w:val="32"/>
          <w:highlight w:val="none"/>
        </w:rPr>
      </w:pPr>
      <w:r>
        <w:rPr>
          <w:rFonts w:hint="eastAsia" w:ascii="方正小标宋简体" w:hAnsi="宋体" w:eastAsia="方正小标宋简体"/>
          <w:b/>
          <w:color w:val="auto"/>
          <w:sz w:val="32"/>
          <w:szCs w:val="32"/>
          <w:highlight w:val="none"/>
        </w:rPr>
        <w:t>竞标声明</w:t>
      </w:r>
    </w:p>
    <w:p w14:paraId="261C0DDF">
      <w:pPr>
        <w:spacing w:line="320" w:lineRule="exact"/>
        <w:jc w:val="center"/>
        <w:rPr>
          <w:rFonts w:hint="eastAsia" w:ascii="宋体" w:hAnsi="宋体"/>
          <w:color w:val="auto"/>
          <w:sz w:val="24"/>
          <w:szCs w:val="20"/>
          <w:highlight w:val="none"/>
        </w:rPr>
      </w:pPr>
    </w:p>
    <w:p w14:paraId="4F7FD10C">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001086FD">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7ED9308">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项目的竞标，为便于贵方公正、择优地确定成交供应商及其竞标产品和服务，我方就本次竞标有关事项郑重声明如下：</w:t>
      </w:r>
    </w:p>
    <w:p w14:paraId="61C55E45">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557C635B">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2F1B938D">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3.在此，我方宣布同意如下：</w:t>
      </w:r>
    </w:p>
    <w:p w14:paraId="0C755BB0">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（1）将按谈判文件的约定履行合同责任和义务；</w:t>
      </w:r>
    </w:p>
    <w:p w14:paraId="4FE7000B">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（2）已详细审查全部谈判文件，包括补遗文件（如有）；</w:t>
      </w:r>
    </w:p>
    <w:p w14:paraId="5BA08FE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（3）同意提供按照贵方可能要求的与谈判有关的一切数据或者资料；</w:t>
      </w:r>
    </w:p>
    <w:p w14:paraId="08BFFDD4">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（4）响应谈判文件规定的竞标有效期。</w:t>
      </w:r>
    </w:p>
    <w:p w14:paraId="5FC9AE24">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5BAB58CF">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w:t>
      </w:r>
    </w:p>
    <w:p w14:paraId="22C43AE0">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7FCB7422">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3A09E9B3">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440736B3">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7EE718DE">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14:paraId="54D85C1E">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22092B71">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645D30CD">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0B9C4A13">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00078C92">
      <w:pPr>
        <w:pStyle w:val="13"/>
        <w:spacing w:line="360" w:lineRule="auto"/>
        <w:ind w:firstLine="480" w:firstLineChars="200"/>
        <w:contextualSpacing/>
        <w:rPr>
          <w:rFonts w:hint="eastAsia" w:hAnsi="宋体" w:cs="宋体"/>
          <w:color w:val="auto"/>
          <w:sz w:val="24"/>
          <w:szCs w:val="24"/>
          <w:highlight w:val="none"/>
          <w:u w:val="single"/>
        </w:rPr>
      </w:pPr>
      <w:r>
        <w:rPr>
          <w:rFonts w:hint="eastAsia" w:hAnsi="宋体" w:cs="宋体"/>
          <w:color w:val="auto"/>
          <w:sz w:val="24"/>
          <w:szCs w:val="24"/>
          <w:highlight w:val="none"/>
        </w:rPr>
        <w:t>7.与本谈判有关的一切正式往来信函请寄：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7CEBCF96">
      <w:pPr>
        <w:pStyle w:val="13"/>
        <w:spacing w:line="360" w:lineRule="auto"/>
        <w:ind w:firstLine="480" w:firstLineChars="200"/>
        <w:contextualSpacing/>
        <w:rPr>
          <w:rFonts w:hint="eastAsia"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电子函件：</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110D0E9E">
      <w:pPr>
        <w:pStyle w:val="12"/>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帐号/行号：</w:t>
      </w:r>
      <w:r>
        <w:rPr>
          <w:rFonts w:hint="eastAsia" w:ascii="宋体" w:hAnsi="宋体" w:cs="宋体"/>
          <w:color w:val="auto"/>
          <w:sz w:val="24"/>
          <w:highlight w:val="none"/>
          <w:u w:val="single"/>
        </w:rPr>
        <w:t xml:space="preserve">           </w:t>
      </w:r>
    </w:p>
    <w:p w14:paraId="0DDC1F50">
      <w:pPr>
        <w:pStyle w:val="12"/>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6C912CAF">
      <w:pPr>
        <w:pStyle w:val="12"/>
        <w:tabs>
          <w:tab w:val="left" w:pos="939"/>
        </w:tabs>
        <w:spacing w:line="360" w:lineRule="auto"/>
        <w:ind w:left="141" w:leftChars="67" w:firstLine="360" w:firstLineChars="150"/>
        <w:rPr>
          <w:rFonts w:hint="eastAsia" w:ascii="宋体" w:hAnsi="宋体" w:cs="宋体"/>
          <w:color w:val="auto"/>
          <w:szCs w:val="21"/>
          <w:highlight w:val="none"/>
        </w:rPr>
      </w:pPr>
      <w:r>
        <w:rPr>
          <w:rFonts w:hint="eastAsia" w:ascii="宋体" w:hAnsi="宋体" w:cs="宋体"/>
          <w:color w:val="auto"/>
          <w:sz w:val="24"/>
          <w:highlight w:val="none"/>
        </w:rPr>
        <w:t>特此承诺。</w:t>
      </w:r>
    </w:p>
    <w:p w14:paraId="51808410">
      <w:pPr>
        <w:spacing w:line="360" w:lineRule="auto"/>
        <w:contextualSpacing/>
        <w:jc w:val="left"/>
        <w:rPr>
          <w:rFonts w:hint="eastAsia" w:ascii="宋体" w:hAnsi="宋体"/>
          <w:b/>
          <w:color w:val="auto"/>
          <w:sz w:val="24"/>
          <w:highlight w:val="none"/>
        </w:rPr>
      </w:pPr>
      <w:r>
        <w:rPr>
          <w:rFonts w:hint="eastAsia" w:ascii="宋体" w:hAnsi="宋体"/>
          <w:b/>
          <w:color w:val="auto"/>
          <w:sz w:val="24"/>
          <w:highlight w:val="none"/>
        </w:rPr>
        <w:t xml:space="preserve">    注：如为联合体竞标，盖章处须加盖联合体各方公章并由联合体各方法定代表人分别签署，否则响应文件按无效处理。</w:t>
      </w:r>
    </w:p>
    <w:p w14:paraId="0B8431FD">
      <w:pPr>
        <w:spacing w:line="360" w:lineRule="auto"/>
        <w:contextualSpacing/>
        <w:jc w:val="left"/>
        <w:rPr>
          <w:rFonts w:hint="eastAsia" w:ascii="宋体" w:hAnsi="宋体" w:cs="宋体"/>
          <w:color w:val="auto"/>
          <w:szCs w:val="21"/>
          <w:highlight w:val="none"/>
        </w:rPr>
      </w:pPr>
    </w:p>
    <w:p w14:paraId="3D70E72C">
      <w:pPr>
        <w:spacing w:line="360" w:lineRule="auto"/>
        <w:ind w:firstLine="4320" w:firstLineChars="1800"/>
        <w:contextualSpacing/>
        <w:rPr>
          <w:rFonts w:hint="eastAsia"/>
          <w:color w:val="auto"/>
          <w:highlight w:val="none"/>
        </w:rPr>
      </w:pPr>
      <w:r>
        <w:rPr>
          <w:rFonts w:hint="eastAsia" w:ascii="宋体" w:hAnsi="宋体" w:eastAsia="宋体" w:cs="Times New Roman"/>
          <w:color w:val="auto"/>
          <w:sz w:val="24"/>
          <w:highlight w:val="none"/>
          <w:lang w:eastAsia="zh-CN"/>
        </w:rPr>
        <w:t>法定代表人（</w:t>
      </w:r>
      <w:r>
        <w:rPr>
          <w:rFonts w:hint="eastAsia" w:ascii="宋体" w:hAnsi="宋体"/>
          <w:color w:val="auto"/>
          <w:sz w:val="24"/>
          <w:highlight w:val="none"/>
        </w:rPr>
        <w:t>签字</w:t>
      </w:r>
      <w:r>
        <w:rPr>
          <w:rFonts w:hint="eastAsia" w:ascii="宋体" w:hAnsi="宋体"/>
          <w:color w:val="auto"/>
          <w:sz w:val="24"/>
          <w:highlight w:val="none"/>
          <w:lang w:eastAsia="zh-CN"/>
        </w:rPr>
        <w:t>或者电子签名</w:t>
      </w:r>
      <w:r>
        <w:rPr>
          <w:rFonts w:hint="eastAsia"/>
          <w:color w:val="auto"/>
          <w:highlight w:val="none"/>
        </w:rPr>
        <w:t>）：</w:t>
      </w:r>
      <w:r>
        <w:rPr>
          <w:rFonts w:hint="eastAsia"/>
          <w:color w:val="auto"/>
          <w:highlight w:val="none"/>
          <w:u w:val="single"/>
        </w:rPr>
        <w:t xml:space="preserve">           </w:t>
      </w:r>
      <w:r>
        <w:rPr>
          <w:rFonts w:hint="eastAsia"/>
          <w:color w:val="auto"/>
          <w:highlight w:val="none"/>
        </w:rPr>
        <w:t xml:space="preserve">                                     </w:t>
      </w:r>
    </w:p>
    <w:p w14:paraId="5F884780">
      <w:pPr>
        <w:spacing w:line="360" w:lineRule="auto"/>
        <w:ind w:firstLine="4320" w:firstLineChars="1800"/>
        <w:contextualSpacing/>
        <w:rPr>
          <w:rFonts w:hint="eastAsia" w:ascii="宋体" w:hAnsi="宋体" w:cs="宋体"/>
          <w:color w:val="auto"/>
          <w:szCs w:val="21"/>
          <w:highlight w:val="none"/>
          <w:u w:val="single"/>
        </w:rPr>
      </w:pPr>
      <w:r>
        <w:rPr>
          <w:rFonts w:hint="eastAsia" w:ascii="宋体" w:hAnsi="宋体" w:eastAsia="宋体" w:cs="Times New Roman"/>
          <w:color w:val="auto"/>
          <w:sz w:val="24"/>
          <w:highlight w:val="none"/>
          <w:lang w:eastAsia="zh-CN"/>
        </w:rPr>
        <w:t>供应商</w:t>
      </w:r>
      <w:r>
        <w:rPr>
          <w:rFonts w:hint="eastAsia"/>
          <w:color w:val="auto"/>
          <w:highlight w:val="none"/>
        </w:rPr>
        <w:t>（</w:t>
      </w:r>
      <w:r>
        <w:rPr>
          <w:rFonts w:hint="eastAsia" w:ascii="宋体" w:hAnsi="宋体"/>
          <w:color w:val="auto"/>
          <w:sz w:val="24"/>
          <w:highlight w:val="none"/>
        </w:rPr>
        <w:t>电子签章</w:t>
      </w:r>
      <w:r>
        <w:rPr>
          <w:rFonts w:hint="eastAsia"/>
          <w:color w:val="auto"/>
          <w:highlight w:val="none"/>
        </w:rPr>
        <w:t>）：</w:t>
      </w:r>
      <w:r>
        <w:rPr>
          <w:rFonts w:hint="eastAsia"/>
          <w:color w:val="auto"/>
          <w:highlight w:val="none"/>
          <w:u w:val="single"/>
        </w:rPr>
        <w:t xml:space="preserve">                               </w:t>
      </w:r>
      <w:r>
        <w:rPr>
          <w:rFonts w:hint="eastAsia"/>
          <w:color w:val="auto"/>
          <w:highlight w:val="none"/>
        </w:rPr>
        <w:t xml:space="preserve">       </w:t>
      </w:r>
      <w:r>
        <w:rPr>
          <w:rFonts w:hint="eastAsia" w:ascii="宋体" w:hAnsi="宋体" w:cs="宋体"/>
          <w:color w:val="auto"/>
          <w:szCs w:val="21"/>
          <w:highlight w:val="none"/>
        </w:rPr>
        <w:t xml:space="preserve">    </w:t>
      </w:r>
    </w:p>
    <w:p w14:paraId="1575B13B">
      <w:pPr>
        <w:spacing w:line="360" w:lineRule="auto"/>
        <w:ind w:right="482" w:firstLine="210" w:firstLineChars="100"/>
        <w:contextualSpacing/>
        <w:jc w:val="center"/>
        <w:rPr>
          <w:rFonts w:hint="eastAsia" w:ascii="宋体" w:hAnsi="宋体"/>
          <w:color w:val="auto"/>
          <w:szCs w:val="21"/>
          <w:highlight w:val="none"/>
        </w:rPr>
      </w:pPr>
      <w:r>
        <w:rPr>
          <w:rFonts w:hint="eastAsia" w:ascii="宋体" w:hAnsi="宋体" w:cs="宋体"/>
          <w:color w:val="auto"/>
          <w:szCs w:val="21"/>
          <w:highlight w:val="none"/>
        </w:rPr>
        <w:t xml:space="preserve">                                                        </w:t>
      </w:r>
      <w:r>
        <w:rPr>
          <w:rFonts w:hint="eastAsia"/>
          <w:color w:val="auto"/>
          <w:highlight w:val="none"/>
        </w:rPr>
        <w:t xml:space="preserve"> 年    月    日 </w:t>
      </w:r>
    </w:p>
    <w:p w14:paraId="40358648">
      <w:pPr>
        <w:pStyle w:val="13"/>
        <w:spacing w:line="500" w:lineRule="exact"/>
        <w:rPr>
          <w:rFonts w:hint="eastAsia" w:ascii="宋体" w:hAnsi="宋体"/>
          <w:b/>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rPr>
        <w:br w:type="page"/>
      </w:r>
      <w:r>
        <w:rPr>
          <w:rFonts w:hint="eastAsia" w:ascii="仿宋" w:hAnsi="仿宋" w:eastAsia="仿宋" w:cs="仿宋_GB2312"/>
          <w:b/>
          <w:color w:val="auto"/>
          <w:kern w:val="2"/>
          <w:sz w:val="32"/>
          <w:szCs w:val="32"/>
          <w:highlight w:val="none"/>
        </w:rPr>
        <w:t>中小企业声明函</w:t>
      </w:r>
      <w:r>
        <w:rPr>
          <w:rFonts w:hint="eastAsia" w:ascii="宋体" w:hAnsi="宋体"/>
          <w:b/>
          <w:color w:val="auto"/>
          <w:sz w:val="32"/>
          <w:szCs w:val="32"/>
          <w:highlight w:val="none"/>
          <w:lang w:eastAsia="zh-CN"/>
        </w:rPr>
        <w:t>（</w:t>
      </w:r>
      <w:r>
        <w:rPr>
          <w:rFonts w:hint="eastAsia" w:ascii="宋体" w:hAnsi="宋体"/>
          <w:b/>
          <w:color w:val="auto"/>
          <w:sz w:val="32"/>
          <w:szCs w:val="32"/>
          <w:highlight w:val="none"/>
          <w:lang w:val="en-US" w:eastAsia="zh-CN"/>
        </w:rPr>
        <w:t>格式）</w:t>
      </w:r>
    </w:p>
    <w:p w14:paraId="05349B43">
      <w:pPr>
        <w:pStyle w:val="13"/>
        <w:spacing w:line="500" w:lineRule="exact"/>
        <w:rPr>
          <w:rFonts w:hint="eastAsia" w:ascii="宋体" w:hAnsi="宋体"/>
          <w:b/>
          <w:color w:val="auto"/>
          <w:sz w:val="32"/>
          <w:szCs w:val="32"/>
          <w:highlight w:val="none"/>
          <w:lang w:val="en-US" w:eastAsia="zh-CN"/>
        </w:rPr>
      </w:pPr>
    </w:p>
    <w:p w14:paraId="5F88C42C">
      <w:pPr>
        <w:pStyle w:val="13"/>
        <w:spacing w:line="500" w:lineRule="exact"/>
        <w:rPr>
          <w:rFonts w:hint="eastAsia" w:ascii="宋体" w:hAnsi="宋体"/>
          <w:b/>
          <w:color w:val="auto"/>
          <w:sz w:val="32"/>
          <w:szCs w:val="32"/>
          <w:highlight w:val="none"/>
          <w:lang w:val="en-US" w:eastAsia="zh-CN"/>
        </w:rPr>
      </w:pPr>
    </w:p>
    <w:p w14:paraId="7E20C60A">
      <w:pPr>
        <w:spacing w:line="300" w:lineRule="auto"/>
        <w:ind w:firstLine="1600" w:firstLineChars="500"/>
        <w:jc w:val="center"/>
        <w:rPr>
          <w:rFonts w:hint="eastAsia" w:ascii="方正小标宋简体" w:hAnsi="方正小标宋简体" w:eastAsia="方正小标宋简体" w:cs="方正小标宋简体"/>
          <w:color w:val="auto"/>
          <w:sz w:val="32"/>
          <w:szCs w:val="32"/>
          <w:highlight w:val="none"/>
        </w:rPr>
      </w:pPr>
      <w:r>
        <w:rPr>
          <w:rFonts w:ascii="方正小标宋简体" w:hAnsi="方正小标宋简体" w:eastAsia="方正小标宋简体" w:cs="方正小标宋简体"/>
          <w:color w:val="auto"/>
          <w:sz w:val="32"/>
          <w:szCs w:val="32"/>
          <w:highlight w:val="none"/>
        </w:rPr>
        <w:t>中小企业声明函（</w:t>
      </w:r>
      <w:r>
        <w:rPr>
          <w:rFonts w:hint="eastAsia" w:ascii="方正小标宋简体" w:hAnsi="方正小标宋简体" w:eastAsia="方正小标宋简体" w:cs="方正小标宋简体"/>
          <w:color w:val="auto"/>
          <w:sz w:val="32"/>
          <w:szCs w:val="32"/>
          <w:highlight w:val="none"/>
        </w:rPr>
        <w:t>货物类</w:t>
      </w:r>
      <w:r>
        <w:rPr>
          <w:rFonts w:ascii="方正小标宋简体" w:hAnsi="方正小标宋简体" w:eastAsia="方正小标宋简体" w:cs="方正小标宋简体"/>
          <w:color w:val="auto"/>
          <w:sz w:val="32"/>
          <w:szCs w:val="32"/>
          <w:highlight w:val="none"/>
        </w:rPr>
        <w:t>）</w:t>
      </w:r>
    </w:p>
    <w:p w14:paraId="5C57966C">
      <w:pPr>
        <w:pStyle w:val="2"/>
        <w:spacing w:after="0" w:line="360" w:lineRule="auto"/>
        <w:ind w:left="-426" w:right="142" w:firstLine="640"/>
        <w:contextualSpacing/>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本公司郑重声明，根据《政府采购促进中小企业发展管理办法》（财库</w:t>
      </w:r>
      <w:r>
        <w:rPr>
          <w:rFonts w:hint="eastAsia" w:ascii="仿宋_GB2312" w:hAnsi="宋体"/>
          <w:color w:val="auto"/>
          <w:sz w:val="24"/>
          <w:highlight w:val="none"/>
        </w:rPr>
        <w:t>﹝</w:t>
      </w:r>
      <w:r>
        <w:rPr>
          <w:rFonts w:hint="eastAsia" w:ascii="仿宋_GB2312" w:hAnsi="宋体" w:eastAsia="仿宋_GB2312"/>
          <w:color w:val="auto"/>
          <w:sz w:val="24"/>
          <w:highlight w:val="none"/>
        </w:rPr>
        <w:t>2020</w:t>
      </w:r>
      <w:r>
        <w:rPr>
          <w:rFonts w:hint="eastAsia" w:ascii="仿宋_GB2312" w:hAnsi="宋体"/>
          <w:color w:val="auto"/>
          <w:sz w:val="24"/>
          <w:highlight w:val="none"/>
        </w:rPr>
        <w:t>﹞</w:t>
      </w:r>
      <w:r>
        <w:rPr>
          <w:rFonts w:hint="eastAsia" w:ascii="仿宋_GB2312" w:hAnsi="宋体" w:eastAsia="仿宋_GB2312"/>
          <w:color w:val="auto"/>
          <w:sz w:val="24"/>
          <w:highlight w:val="none"/>
        </w:rPr>
        <w:t>46号）的规定，本公司参加</w:t>
      </w:r>
      <w:r>
        <w:rPr>
          <w:rFonts w:hint="eastAsia" w:ascii="仿宋_GB2312" w:hAnsi="宋体" w:eastAsia="仿宋_GB2312"/>
          <w:color w:val="auto"/>
          <w:sz w:val="24"/>
          <w:highlight w:val="none"/>
          <w:u w:val="single"/>
        </w:rPr>
        <w:t>（单位名称）</w:t>
      </w:r>
      <w:r>
        <w:rPr>
          <w:rFonts w:hint="eastAsia" w:ascii="仿宋_GB2312" w:hAnsi="宋体" w:eastAsia="仿宋_GB2312"/>
          <w:color w:val="auto"/>
          <w:sz w:val="24"/>
          <w:highlight w:val="none"/>
        </w:rPr>
        <w:t>的</w:t>
      </w:r>
      <w:r>
        <w:rPr>
          <w:rFonts w:hint="eastAsia" w:ascii="仿宋_GB2312" w:hAnsi="宋体" w:eastAsia="仿宋_GB2312"/>
          <w:color w:val="auto"/>
          <w:sz w:val="24"/>
          <w:highlight w:val="none"/>
          <w:u w:val="single"/>
        </w:rPr>
        <w:t>（项目名称）</w:t>
      </w:r>
      <w:r>
        <w:rPr>
          <w:rFonts w:hint="eastAsia" w:ascii="仿宋_GB2312" w:hAnsi="宋体" w:eastAsia="仿宋_GB2312"/>
          <w:color w:val="auto"/>
          <w:sz w:val="24"/>
          <w:highlight w:val="none"/>
        </w:rPr>
        <w:t>采购活动，</w:t>
      </w:r>
      <w:r>
        <w:rPr>
          <w:rFonts w:hint="eastAsia" w:ascii="仿宋_GB2312" w:hAnsi="宋体" w:eastAsia="仿宋_GB2312"/>
          <w:color w:val="auto"/>
          <w:sz w:val="24"/>
          <w:highlight w:val="none"/>
          <w:lang w:eastAsia="zh-CN"/>
        </w:rPr>
        <w:t>以下</w:t>
      </w:r>
      <w:r>
        <w:rPr>
          <w:rFonts w:hint="eastAsia" w:ascii="仿宋_GB2312" w:hAnsi="宋体" w:eastAsia="仿宋_GB2312"/>
          <w:color w:val="auto"/>
          <w:sz w:val="24"/>
          <w:highlight w:val="none"/>
        </w:rPr>
        <w:t>货物全部由符合政策要求的中小企业</w:t>
      </w:r>
      <w:r>
        <w:rPr>
          <w:rFonts w:hint="eastAsia" w:ascii="仿宋_GB2312" w:hAnsi="宋体" w:eastAsia="仿宋_GB2312"/>
          <w:color w:val="auto"/>
          <w:sz w:val="24"/>
          <w:highlight w:val="none"/>
          <w:lang w:eastAsia="zh-CN"/>
        </w:rPr>
        <w:t>制造</w:t>
      </w:r>
      <w:r>
        <w:rPr>
          <w:rFonts w:hint="eastAsia" w:ascii="仿宋_GB2312" w:hAnsi="宋体" w:eastAsia="仿宋_GB2312"/>
          <w:color w:val="auto"/>
          <w:sz w:val="24"/>
          <w:highlight w:val="none"/>
        </w:rPr>
        <w:t>。相关企业的具体情况如下：</w:t>
      </w:r>
    </w:p>
    <w:p w14:paraId="545183EF">
      <w:pPr>
        <w:tabs>
          <w:tab w:val="left" w:pos="1384"/>
          <w:tab w:val="left" w:pos="4562"/>
          <w:tab w:val="left" w:pos="6803"/>
        </w:tabs>
        <w:spacing w:line="360" w:lineRule="auto"/>
        <w:ind w:left="-426" w:right="-58" w:firstLine="655"/>
        <w:contextualSpacing/>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u w:val="single"/>
        </w:rPr>
        <w:t>（</w:t>
      </w:r>
      <w:r>
        <w:rPr>
          <w:rFonts w:hint="eastAsia" w:ascii="仿宋_GB2312" w:hAnsi="宋体" w:eastAsia="仿宋_GB2312"/>
          <w:color w:val="auto"/>
          <w:sz w:val="24"/>
          <w:highlight w:val="none"/>
          <w:u w:val="single"/>
          <w:lang w:eastAsia="zh-CN"/>
        </w:rPr>
        <w:t>货物</w:t>
      </w:r>
      <w:r>
        <w:rPr>
          <w:rFonts w:hint="eastAsia" w:ascii="仿宋_GB2312" w:hAnsi="宋体" w:eastAsia="仿宋_GB2312"/>
          <w:color w:val="auto"/>
          <w:sz w:val="24"/>
          <w:highlight w:val="none"/>
          <w:u w:val="single"/>
        </w:rPr>
        <w:t>名称）</w:t>
      </w:r>
      <w:r>
        <w:rPr>
          <w:rFonts w:hint="eastAsia" w:ascii="仿宋_GB2312" w:hAnsi="宋体" w:eastAsia="仿宋_GB2312"/>
          <w:color w:val="auto"/>
          <w:sz w:val="24"/>
          <w:highlight w:val="none"/>
        </w:rPr>
        <w:t>，属于</w:t>
      </w:r>
      <w:r>
        <w:rPr>
          <w:rFonts w:hint="eastAsia" w:ascii="仿宋_GB2312" w:hAnsi="宋体" w:eastAsia="仿宋_GB2312"/>
          <w:color w:val="auto"/>
          <w:sz w:val="24"/>
          <w:highlight w:val="none"/>
          <w:u w:val="single"/>
        </w:rPr>
        <w:t>（谈判文件中明确的所属行业）</w:t>
      </w:r>
      <w:r>
        <w:rPr>
          <w:rFonts w:hint="eastAsia" w:ascii="仿宋_GB2312" w:hAnsi="宋体" w:eastAsia="仿宋_GB2312"/>
          <w:color w:val="auto"/>
          <w:sz w:val="24"/>
          <w:highlight w:val="none"/>
        </w:rPr>
        <w:t>行业；制造商为</w:t>
      </w:r>
      <w:r>
        <w:rPr>
          <w:rFonts w:hint="eastAsia" w:ascii="仿宋_GB2312" w:hAnsi="宋体" w:eastAsia="仿宋_GB2312"/>
          <w:color w:val="auto"/>
          <w:sz w:val="24"/>
          <w:highlight w:val="none"/>
          <w:u w:val="single"/>
        </w:rPr>
        <w:t>（企业名称）</w:t>
      </w:r>
      <w:r>
        <w:rPr>
          <w:rFonts w:hint="eastAsia" w:ascii="仿宋_GB2312" w:hAnsi="宋体" w:eastAsia="仿宋_GB2312"/>
          <w:color w:val="auto"/>
          <w:sz w:val="24"/>
          <w:highlight w:val="none"/>
        </w:rPr>
        <w:t>，从业人员</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人，营业收入为</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万元，资产总额为</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万元，属于</w:t>
      </w:r>
      <w:r>
        <w:rPr>
          <w:rFonts w:hint="eastAsia" w:ascii="仿宋_GB2312" w:hAnsi="宋体" w:eastAsia="仿宋_GB2312"/>
          <w:color w:val="auto"/>
          <w:sz w:val="24"/>
          <w:highlight w:val="none"/>
          <w:u w:val="single"/>
        </w:rPr>
        <w:t>（中型企业、小型企业、微型企业）</w:t>
      </w:r>
      <w:r>
        <w:rPr>
          <w:rFonts w:hint="eastAsia" w:ascii="仿宋_GB2312" w:hAnsi="宋体" w:eastAsia="仿宋_GB2312"/>
          <w:color w:val="auto"/>
          <w:sz w:val="24"/>
          <w:highlight w:val="none"/>
        </w:rPr>
        <w:t>；</w:t>
      </w:r>
    </w:p>
    <w:p w14:paraId="3EBFE549">
      <w:pPr>
        <w:tabs>
          <w:tab w:val="left" w:pos="1065"/>
          <w:tab w:val="left" w:pos="6477"/>
        </w:tabs>
        <w:spacing w:line="360" w:lineRule="auto"/>
        <w:ind w:left="-426" w:right="-58" w:firstLine="655"/>
        <w:contextualSpacing/>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w:t>
      </w:r>
      <w:r>
        <w:rPr>
          <w:rFonts w:hint="eastAsia" w:ascii="仿宋_GB2312" w:hAnsi="宋体" w:eastAsia="仿宋_GB2312"/>
          <w:color w:val="auto"/>
          <w:sz w:val="24"/>
          <w:highlight w:val="none"/>
          <w:u w:val="single"/>
        </w:rPr>
        <w:t>（</w:t>
      </w:r>
      <w:r>
        <w:rPr>
          <w:rFonts w:hint="eastAsia" w:ascii="仿宋_GB2312" w:hAnsi="宋体" w:eastAsia="仿宋_GB2312"/>
          <w:color w:val="auto"/>
          <w:sz w:val="24"/>
          <w:highlight w:val="none"/>
          <w:u w:val="single"/>
          <w:lang w:eastAsia="zh-CN"/>
        </w:rPr>
        <w:t>货物</w:t>
      </w:r>
      <w:r>
        <w:rPr>
          <w:rFonts w:hint="eastAsia" w:ascii="仿宋_GB2312" w:hAnsi="宋体" w:eastAsia="仿宋_GB2312"/>
          <w:color w:val="auto"/>
          <w:sz w:val="24"/>
          <w:highlight w:val="none"/>
          <w:u w:val="single"/>
        </w:rPr>
        <w:t>名称）</w:t>
      </w:r>
      <w:r>
        <w:rPr>
          <w:rFonts w:hint="eastAsia" w:ascii="仿宋_GB2312" w:hAnsi="宋体" w:eastAsia="仿宋_GB2312"/>
          <w:color w:val="auto"/>
          <w:sz w:val="24"/>
          <w:highlight w:val="none"/>
        </w:rPr>
        <w:t>，属于</w:t>
      </w:r>
      <w:r>
        <w:rPr>
          <w:rFonts w:hint="eastAsia" w:ascii="仿宋_GB2312" w:hAnsi="宋体" w:eastAsia="仿宋_GB2312"/>
          <w:color w:val="auto"/>
          <w:sz w:val="24"/>
          <w:highlight w:val="none"/>
          <w:u w:val="single"/>
        </w:rPr>
        <w:t>（谈判文件中明确的所属行业）</w:t>
      </w:r>
      <w:r>
        <w:rPr>
          <w:rFonts w:hint="eastAsia" w:ascii="仿宋_GB2312" w:hAnsi="宋体" w:eastAsia="仿宋_GB2312"/>
          <w:color w:val="auto"/>
          <w:sz w:val="24"/>
          <w:highlight w:val="none"/>
        </w:rPr>
        <w:t>行业；制造商为</w:t>
      </w:r>
      <w:r>
        <w:rPr>
          <w:rFonts w:hint="eastAsia" w:ascii="仿宋_GB2312" w:hAnsi="宋体" w:eastAsia="仿宋_GB2312"/>
          <w:color w:val="auto"/>
          <w:sz w:val="24"/>
          <w:highlight w:val="none"/>
          <w:u w:val="single"/>
        </w:rPr>
        <w:t>（企业名称）</w:t>
      </w:r>
      <w:r>
        <w:rPr>
          <w:rFonts w:hint="eastAsia" w:ascii="仿宋_GB2312" w:hAnsi="宋体" w:eastAsia="仿宋_GB2312"/>
          <w:color w:val="auto"/>
          <w:sz w:val="24"/>
          <w:highlight w:val="none"/>
        </w:rPr>
        <w:t>，从业人员</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人，营业收入为</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万元，资产总额为</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万元，属于</w:t>
      </w:r>
      <w:r>
        <w:rPr>
          <w:rFonts w:hint="eastAsia" w:ascii="仿宋_GB2312" w:hAnsi="宋体" w:eastAsia="仿宋_GB2312"/>
          <w:color w:val="auto"/>
          <w:sz w:val="24"/>
          <w:highlight w:val="none"/>
          <w:u w:val="single"/>
        </w:rPr>
        <w:t>（中型企业、小型企业、微型企业）</w:t>
      </w:r>
      <w:r>
        <w:rPr>
          <w:rFonts w:hint="eastAsia" w:ascii="仿宋_GB2312" w:hAnsi="宋体" w:eastAsia="仿宋_GB2312"/>
          <w:color w:val="auto"/>
          <w:sz w:val="24"/>
          <w:highlight w:val="none"/>
        </w:rPr>
        <w:t>；</w:t>
      </w:r>
    </w:p>
    <w:p w14:paraId="45591AAF">
      <w:pPr>
        <w:pStyle w:val="2"/>
        <w:spacing w:after="0" w:line="360" w:lineRule="auto"/>
        <w:ind w:left="142" w:right="142"/>
        <w:contextualSpacing/>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 </w:t>
      </w:r>
    </w:p>
    <w:p w14:paraId="40EC50BA">
      <w:pPr>
        <w:pStyle w:val="2"/>
        <w:spacing w:after="0" w:line="360" w:lineRule="auto"/>
        <w:ind w:left="-405" w:leftChars="-193" w:right="142" w:firstLine="453" w:firstLineChars="189"/>
        <w:contextualSpacing/>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以上企业，不属于大企业的分支机构，不存在控股股东为大企业的情形，也不存在与大企业的负责人为同一人的情形。</w:t>
      </w:r>
    </w:p>
    <w:p w14:paraId="44A655E8">
      <w:pPr>
        <w:pStyle w:val="2"/>
        <w:spacing w:after="0" w:line="360" w:lineRule="auto"/>
        <w:ind w:left="-426" w:right="142" w:firstLine="567"/>
        <w:contextualSpacing/>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本企业对上述声明内容的真实性负责。如有虚假，将依法承担相应责任。</w:t>
      </w:r>
    </w:p>
    <w:p w14:paraId="4573B0F9">
      <w:pPr>
        <w:pStyle w:val="2"/>
        <w:spacing w:after="0" w:line="360" w:lineRule="auto"/>
        <w:ind w:left="3960" w:right="1808"/>
        <w:contextualSpacing/>
        <w:rPr>
          <w:rFonts w:hint="eastAsia" w:ascii="宋体" w:hAnsi="宋体"/>
          <w:color w:val="auto"/>
          <w:sz w:val="24"/>
          <w:highlight w:val="none"/>
        </w:rPr>
      </w:pPr>
    </w:p>
    <w:p w14:paraId="05ADEDC6">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4732E440">
      <w:pPr>
        <w:autoSpaceDE w:val="0"/>
        <w:autoSpaceDN w:val="0"/>
        <w:spacing w:line="360" w:lineRule="auto"/>
        <w:ind w:firstLine="6480" w:firstLineChars="270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083EB6A3">
      <w:pPr>
        <w:pStyle w:val="2"/>
        <w:spacing w:after="0" w:line="360" w:lineRule="auto"/>
        <w:ind w:left="3960" w:right="1808"/>
        <w:contextualSpacing/>
        <w:rPr>
          <w:color w:val="auto"/>
          <w:highlight w:val="none"/>
        </w:rPr>
      </w:pPr>
    </w:p>
    <w:p w14:paraId="3ECF7339">
      <w:pPr>
        <w:spacing w:line="360" w:lineRule="auto"/>
        <w:contextualSpacing/>
        <w:jc w:val="left"/>
        <w:rPr>
          <w:rFonts w:hint="eastAsia" w:ascii="仿宋_GB2312" w:hAnsi="仿宋_GB2312" w:eastAsia="仿宋_GB2312" w:cs="仿宋_GB2312"/>
          <w:b/>
          <w:color w:val="auto"/>
          <w:sz w:val="32"/>
          <w:szCs w:val="32"/>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566A053">
      <w:pPr>
        <w:pStyle w:val="4"/>
        <w:tabs>
          <w:tab w:val="left" w:pos="567"/>
        </w:tabs>
        <w:jc w:val="center"/>
        <w:rPr>
          <w:rFonts w:ascii="宋体" w:hAnsi="宋体"/>
          <w:b w:val="0"/>
          <w:color w:val="auto"/>
          <w:highlight w:val="none"/>
        </w:rPr>
      </w:pPr>
      <w:r>
        <w:rPr>
          <w:rFonts w:ascii="宋体" w:hAnsi="宋体"/>
          <w:b w:val="0"/>
          <w:bCs w:val="0"/>
          <w:color w:val="auto"/>
          <w:sz w:val="24"/>
          <w:highlight w:val="none"/>
        </w:rPr>
        <w:br w:type="page"/>
      </w:r>
    </w:p>
    <w:p w14:paraId="3DEDAA20">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残疾人福利性单位声明函</w:t>
      </w:r>
    </w:p>
    <w:p w14:paraId="64F218FE">
      <w:pPr>
        <w:spacing w:line="520" w:lineRule="exact"/>
        <w:rPr>
          <w:rFonts w:hint="eastAsia" w:ascii="仿宋_GB2312" w:hAnsi="仿宋_GB2312" w:eastAsia="仿宋_GB2312" w:cs="仿宋_GB2312"/>
          <w:color w:val="auto"/>
          <w:sz w:val="32"/>
          <w:szCs w:val="32"/>
          <w:highlight w:val="none"/>
        </w:rPr>
      </w:pPr>
    </w:p>
    <w:p w14:paraId="4779D114">
      <w:pPr>
        <w:spacing w:line="360" w:lineRule="auto"/>
        <w:ind w:firstLine="480" w:firstLineChars="200"/>
        <w:contextualSpacing/>
        <w:rPr>
          <w:rFonts w:hint="eastAsia" w:ascii="仿宋_GB2312" w:hAnsi="宋体" w:eastAsia="仿宋_GB2312" w:cs="仿宋_GB2312"/>
          <w:color w:val="auto"/>
          <w:sz w:val="24"/>
          <w:highlight w:val="none"/>
        </w:rPr>
      </w:pPr>
      <w:r>
        <w:rPr>
          <w:rFonts w:hint="eastAsia" w:ascii="仿宋_GB2312" w:hAnsi="宋体" w:eastAsia="仿宋_GB2312"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宋体" w:eastAsia="仿宋_GB2312" w:cs="仿宋_GB2312"/>
          <w:color w:val="auto"/>
          <w:sz w:val="24"/>
          <w:highlight w:val="none"/>
          <w:u w:val="single"/>
        </w:rPr>
        <w:t xml:space="preserve">       </w:t>
      </w:r>
      <w:r>
        <w:rPr>
          <w:rFonts w:hint="eastAsia" w:ascii="仿宋_GB2312" w:hAnsi="宋体" w:eastAsia="仿宋_GB2312" w:cs="仿宋_GB2312"/>
          <w:color w:val="auto"/>
          <w:sz w:val="24"/>
          <w:highlight w:val="none"/>
        </w:rPr>
        <w:t>单位的</w:t>
      </w:r>
      <w:r>
        <w:rPr>
          <w:rFonts w:hint="eastAsia" w:ascii="仿宋_GB2312" w:hAnsi="宋体" w:eastAsia="仿宋_GB2312" w:cs="仿宋_GB2312"/>
          <w:color w:val="auto"/>
          <w:sz w:val="24"/>
          <w:highlight w:val="none"/>
          <w:u w:val="single"/>
        </w:rPr>
        <w:t xml:space="preserve">        </w:t>
      </w:r>
      <w:r>
        <w:rPr>
          <w:rFonts w:hint="eastAsia" w:ascii="仿宋_GB2312" w:hAnsi="宋体" w:eastAsia="仿宋_GB2312" w:cs="仿宋_GB2312"/>
          <w:color w:val="auto"/>
          <w:sz w:val="24"/>
          <w:highlight w:val="none"/>
        </w:rPr>
        <w:t>项目采购活动由本单位提供服务。</w:t>
      </w:r>
    </w:p>
    <w:p w14:paraId="5E8CA0F3">
      <w:pPr>
        <w:spacing w:line="360" w:lineRule="auto"/>
        <w:ind w:firstLine="480" w:firstLineChars="200"/>
        <w:contextualSpacing/>
        <w:rPr>
          <w:rFonts w:hint="eastAsia" w:ascii="仿宋_GB2312" w:hAnsi="宋体" w:eastAsia="仿宋_GB2312" w:cs="仿宋_GB2312"/>
          <w:color w:val="auto"/>
          <w:sz w:val="24"/>
          <w:highlight w:val="none"/>
        </w:rPr>
      </w:pPr>
      <w:r>
        <w:rPr>
          <w:rFonts w:hint="eastAsia" w:ascii="仿宋_GB2312" w:hAnsi="宋体" w:eastAsia="仿宋_GB2312" w:cs="仿宋_GB2312"/>
          <w:color w:val="auto"/>
          <w:sz w:val="24"/>
          <w:highlight w:val="none"/>
        </w:rPr>
        <w:t>本单位对上述声明的真实性负责。如有虚假，将依法承担相应责任。</w:t>
      </w:r>
    </w:p>
    <w:p w14:paraId="6EF032AB">
      <w:pPr>
        <w:spacing w:line="360" w:lineRule="auto"/>
        <w:contextualSpacing/>
        <w:rPr>
          <w:rFonts w:hint="eastAsia" w:ascii="宋体" w:hAnsi="宋体" w:cs="仿宋_GB2312"/>
          <w:color w:val="auto"/>
          <w:sz w:val="24"/>
          <w:highlight w:val="none"/>
        </w:rPr>
      </w:pPr>
    </w:p>
    <w:p w14:paraId="471670CD">
      <w:pPr>
        <w:spacing w:line="360" w:lineRule="auto"/>
        <w:contextualSpacing/>
        <w:rPr>
          <w:rFonts w:hint="eastAsia" w:ascii="宋体" w:hAnsi="宋体" w:cs="仿宋_GB2312"/>
          <w:color w:val="auto"/>
          <w:sz w:val="24"/>
          <w:highlight w:val="none"/>
        </w:rPr>
      </w:pPr>
    </w:p>
    <w:p w14:paraId="461F8FAF">
      <w:pPr>
        <w:spacing w:line="360" w:lineRule="auto"/>
        <w:contextualSpacing/>
        <w:rPr>
          <w:rFonts w:hint="eastAsia" w:ascii="宋体" w:hAnsi="宋体" w:cs="仿宋_GB2312"/>
          <w:color w:val="auto"/>
          <w:sz w:val="24"/>
          <w:highlight w:val="none"/>
        </w:rPr>
      </w:pPr>
    </w:p>
    <w:p w14:paraId="23B9AF1E">
      <w:pPr>
        <w:spacing w:line="360" w:lineRule="auto"/>
        <w:ind w:firstLine="2400" w:firstLineChars="100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供应商名称（电子签章）：</w:t>
      </w:r>
    </w:p>
    <w:p w14:paraId="36E3488F">
      <w:pPr>
        <w:spacing w:line="360" w:lineRule="auto"/>
        <w:ind w:firstLine="4320" w:firstLineChars="1800"/>
        <w:contextualSpacing/>
        <w:rPr>
          <w:rFonts w:hint="eastAsia" w:ascii="宋体" w:hAnsi="宋体" w:cs="仿宋_GB2312"/>
          <w:color w:val="auto"/>
          <w:sz w:val="24"/>
          <w:highlight w:val="none"/>
        </w:rPr>
      </w:pPr>
      <w:r>
        <w:rPr>
          <w:rFonts w:hint="eastAsia" w:ascii="宋体" w:hAnsi="宋体" w:cs="仿宋_GB2312"/>
          <w:color w:val="auto"/>
          <w:sz w:val="24"/>
          <w:highlight w:val="none"/>
        </w:rPr>
        <w:t>日  期：     年   月   日</w:t>
      </w:r>
    </w:p>
    <w:p w14:paraId="71631F70">
      <w:pPr>
        <w:spacing w:line="360" w:lineRule="auto"/>
        <w:contextualSpacing/>
        <w:rPr>
          <w:rFonts w:hint="eastAsia" w:ascii="宋体" w:hAnsi="宋体" w:cs="仿宋_GB2312"/>
          <w:color w:val="auto"/>
          <w:sz w:val="24"/>
          <w:highlight w:val="none"/>
        </w:rPr>
      </w:pPr>
    </w:p>
    <w:p w14:paraId="07B94A49">
      <w:pPr>
        <w:spacing w:line="360" w:lineRule="auto"/>
        <w:contextualSpacing/>
        <w:rPr>
          <w:rFonts w:hint="eastAsia" w:ascii="宋体" w:hAnsi="宋体" w:cs="仿宋_GB2312"/>
          <w:color w:val="auto"/>
          <w:sz w:val="24"/>
          <w:highlight w:val="none"/>
        </w:rPr>
      </w:pPr>
    </w:p>
    <w:p w14:paraId="054DCCCD">
      <w:pPr>
        <w:spacing w:line="360" w:lineRule="auto"/>
        <w:contextualSpacing/>
        <w:rPr>
          <w:rFonts w:hint="eastAsia" w:ascii="宋体" w:hAnsi="宋体" w:cs="仿宋_GB2312"/>
          <w:color w:val="auto"/>
          <w:sz w:val="24"/>
          <w:highlight w:val="none"/>
        </w:rPr>
      </w:pPr>
    </w:p>
    <w:p w14:paraId="1841B659">
      <w:pPr>
        <w:pStyle w:val="16"/>
        <w:rPr>
          <w:rFonts w:hint="eastAsia" w:ascii="宋体" w:hAnsi="宋体"/>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5F3C5971">
      <w:pPr>
        <w:spacing w:line="520" w:lineRule="exact"/>
        <w:jc w:val="center"/>
        <w:rPr>
          <w:rFonts w:ascii="宋体" w:hAnsi="宋体"/>
          <w:color w:val="auto"/>
          <w:sz w:val="24"/>
          <w:highlight w:val="none"/>
        </w:rPr>
      </w:pPr>
    </w:p>
    <w:p w14:paraId="082D8BB5">
      <w:pPr>
        <w:spacing w:line="520" w:lineRule="exact"/>
        <w:jc w:val="center"/>
        <w:rPr>
          <w:rFonts w:ascii="宋体" w:hAnsi="宋体"/>
          <w:color w:val="auto"/>
          <w:sz w:val="24"/>
          <w:highlight w:val="none"/>
        </w:rPr>
      </w:pPr>
    </w:p>
    <w:p w14:paraId="4D3BCBE9">
      <w:pPr>
        <w:pStyle w:val="2"/>
        <w:rPr>
          <w:rFonts w:ascii="宋体" w:hAnsi="宋体"/>
          <w:color w:val="auto"/>
          <w:sz w:val="24"/>
          <w:highlight w:val="none"/>
        </w:rPr>
      </w:pPr>
    </w:p>
    <w:p w14:paraId="73C16A16">
      <w:pPr>
        <w:pStyle w:val="58"/>
        <w:rPr>
          <w:rFonts w:ascii="宋体" w:hAnsi="宋体"/>
          <w:color w:val="auto"/>
          <w:highlight w:val="none"/>
        </w:rPr>
      </w:pPr>
    </w:p>
    <w:p w14:paraId="1D20939F">
      <w:pPr>
        <w:pStyle w:val="59"/>
        <w:rPr>
          <w:rFonts w:ascii="宋体" w:hAnsi="宋体"/>
          <w:color w:val="auto"/>
          <w:sz w:val="24"/>
          <w:highlight w:val="none"/>
        </w:rPr>
      </w:pPr>
    </w:p>
    <w:p w14:paraId="1F4A6CE0">
      <w:pPr>
        <w:pStyle w:val="2"/>
        <w:rPr>
          <w:rFonts w:ascii="宋体" w:hAnsi="宋体"/>
          <w:color w:val="auto"/>
          <w:sz w:val="24"/>
          <w:highlight w:val="none"/>
        </w:rPr>
      </w:pPr>
    </w:p>
    <w:p w14:paraId="03098067">
      <w:pPr>
        <w:pStyle w:val="6"/>
        <w:overflowPunct w:val="0"/>
        <w:spacing w:line="520" w:lineRule="exact"/>
        <w:ind w:firstLine="0"/>
        <w:rPr>
          <w:rFonts w:hint="eastAsia" w:ascii="Cambria" w:hAnsi="Cambria"/>
          <w:b/>
          <w:bCs/>
          <w:color w:val="auto"/>
          <w:sz w:val="28"/>
          <w:szCs w:val="28"/>
          <w:highlight w:val="none"/>
        </w:rPr>
      </w:pPr>
    </w:p>
    <w:p w14:paraId="62182144">
      <w:pPr>
        <w:pStyle w:val="6"/>
        <w:overflowPunct w:val="0"/>
        <w:spacing w:line="520" w:lineRule="exact"/>
        <w:ind w:firstLine="0"/>
        <w:jc w:val="center"/>
        <w:rPr>
          <w:rFonts w:hint="eastAsia" w:ascii="方正小标宋简体" w:hAnsi="方正小标宋简体" w:eastAsia="方正小标宋简体" w:cs="方正小标宋简体"/>
          <w:color w:val="auto"/>
          <w:sz w:val="32"/>
          <w:szCs w:val="32"/>
          <w:highlight w:val="none"/>
        </w:rPr>
      </w:pPr>
    </w:p>
    <w:p w14:paraId="7595A4AA">
      <w:pPr>
        <w:pStyle w:val="4"/>
        <w:numPr>
          <w:ilvl w:val="0"/>
          <w:numId w:val="0"/>
        </w:numPr>
        <w:tabs>
          <w:tab w:val="left" w:pos="567"/>
        </w:tabs>
        <w:jc w:val="both"/>
        <w:rPr>
          <w:rFonts w:hint="eastAsia" w:ascii="宋体" w:hAnsi="宋体" w:eastAsia="宋体"/>
          <w:color w:val="auto"/>
          <w:sz w:val="44"/>
          <w:szCs w:val="44"/>
          <w:highlight w:val="none"/>
          <w:lang w:val="en-US" w:eastAsia="zh-CN"/>
        </w:rPr>
      </w:pPr>
      <w:r>
        <w:rPr>
          <w:rFonts w:ascii="宋体" w:hAnsi="宋体"/>
          <w:color w:val="auto"/>
          <w:szCs w:val="21"/>
          <w:highlight w:val="none"/>
        </w:rPr>
        <w:br w:type="page"/>
      </w:r>
      <w:r>
        <w:rPr>
          <w:rFonts w:hint="eastAsia" w:ascii="宋体" w:hAnsi="宋体"/>
          <w:color w:val="auto"/>
          <w:sz w:val="32"/>
          <w:szCs w:val="32"/>
          <w:highlight w:val="none"/>
        </w:rPr>
        <w:t>报价文件</w:t>
      </w:r>
      <w:r>
        <w:rPr>
          <w:rFonts w:hint="eastAsia" w:ascii="宋体" w:hAnsi="宋体"/>
          <w:color w:val="auto"/>
          <w:sz w:val="32"/>
          <w:szCs w:val="32"/>
          <w:highlight w:val="none"/>
          <w:lang w:val="en-US" w:eastAsia="zh-CN"/>
        </w:rPr>
        <w:t>格式</w:t>
      </w:r>
    </w:p>
    <w:p w14:paraId="38C35BCA">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lang w:val="en-US" w:eastAsia="zh-CN"/>
        </w:rPr>
        <w:t>报价文件</w:t>
      </w:r>
      <w:r>
        <w:rPr>
          <w:rFonts w:hint="eastAsia" w:ascii="方正小标宋简体" w:hAnsi="方正小标宋简体" w:eastAsia="方正小标宋简体" w:cs="方正小标宋简体"/>
          <w:bCs/>
          <w:color w:val="auto"/>
          <w:sz w:val="44"/>
          <w:szCs w:val="44"/>
          <w:highlight w:val="none"/>
        </w:rPr>
        <w:t>（封面）</w:t>
      </w:r>
    </w:p>
    <w:p w14:paraId="5178CF47">
      <w:pPr>
        <w:snapToGrid w:val="0"/>
        <w:spacing w:before="120" w:beforeLines="50" w:after="50"/>
        <w:rPr>
          <w:rFonts w:hint="eastAsia" w:ascii="宋体" w:hAnsi="宋体"/>
          <w:bCs/>
          <w:color w:val="auto"/>
          <w:sz w:val="24"/>
          <w:szCs w:val="20"/>
          <w:highlight w:val="none"/>
        </w:rPr>
      </w:pPr>
    </w:p>
    <w:p w14:paraId="12CDD4B2">
      <w:pPr>
        <w:snapToGrid w:val="0"/>
        <w:spacing w:before="120" w:beforeLines="50" w:after="50"/>
        <w:rPr>
          <w:rFonts w:hint="eastAsia" w:ascii="宋体" w:hAnsi="宋体"/>
          <w:bCs/>
          <w:color w:val="auto"/>
          <w:sz w:val="24"/>
          <w:szCs w:val="20"/>
          <w:highlight w:val="none"/>
        </w:rPr>
      </w:pPr>
    </w:p>
    <w:p w14:paraId="1C4100CB">
      <w:pPr>
        <w:snapToGrid w:val="0"/>
        <w:spacing w:before="120" w:beforeLines="50" w:after="50"/>
        <w:rPr>
          <w:rFonts w:hint="eastAsia" w:ascii="宋体" w:hAnsi="宋体"/>
          <w:bCs/>
          <w:color w:val="auto"/>
          <w:sz w:val="24"/>
          <w:szCs w:val="20"/>
          <w:highlight w:val="none"/>
        </w:rPr>
      </w:pPr>
    </w:p>
    <w:p w14:paraId="0BDD6C75">
      <w:pPr>
        <w:snapToGrid w:val="0"/>
        <w:spacing w:before="120" w:beforeLines="50" w:after="50"/>
        <w:rPr>
          <w:rFonts w:hint="eastAsia" w:ascii="宋体" w:hAnsi="宋体"/>
          <w:bCs/>
          <w:color w:val="auto"/>
          <w:sz w:val="24"/>
          <w:szCs w:val="20"/>
          <w:highlight w:val="none"/>
        </w:rPr>
      </w:pPr>
    </w:p>
    <w:p w14:paraId="5B82DC25">
      <w:pPr>
        <w:snapToGrid w:val="0"/>
        <w:spacing w:before="120" w:beforeLines="50" w:after="50"/>
        <w:rPr>
          <w:rFonts w:hint="eastAsia" w:ascii="宋体" w:hAnsi="宋体"/>
          <w:bCs/>
          <w:color w:val="auto"/>
          <w:sz w:val="24"/>
          <w:szCs w:val="20"/>
          <w:highlight w:val="none"/>
        </w:rPr>
      </w:pPr>
    </w:p>
    <w:p w14:paraId="4FB7668E">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67984F4">
      <w:pPr>
        <w:snapToGrid w:val="0"/>
        <w:spacing w:before="120" w:beforeLines="50" w:after="50"/>
        <w:ind w:firstLine="720" w:firstLineChars="225"/>
        <w:rPr>
          <w:rFonts w:hint="eastAsia" w:ascii="宋体" w:hAnsi="宋体" w:cs="仿宋_GB2312"/>
          <w:bCs/>
          <w:color w:val="auto"/>
          <w:sz w:val="32"/>
          <w:szCs w:val="32"/>
          <w:highlight w:val="none"/>
        </w:rPr>
      </w:pPr>
    </w:p>
    <w:p w14:paraId="49DC62C0">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23A1FC49">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3DC69B58">
      <w:pPr>
        <w:pStyle w:val="6"/>
        <w:snapToGrid w:val="0"/>
        <w:spacing w:before="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D0A806A">
      <w:pPr>
        <w:pStyle w:val="6"/>
        <w:snapToGrid w:val="0"/>
        <w:spacing w:before="50" w:after="50"/>
        <w:ind w:firstLine="720" w:firstLineChars="225"/>
        <w:rPr>
          <w:rFonts w:hint="eastAsia" w:ascii="宋体" w:hAnsi="宋体" w:cs="仿宋_GB2312"/>
          <w:bCs/>
          <w:color w:val="auto"/>
          <w:sz w:val="32"/>
          <w:szCs w:val="32"/>
          <w:highlight w:val="none"/>
        </w:rPr>
      </w:pPr>
    </w:p>
    <w:p w14:paraId="25A017EF">
      <w:pPr>
        <w:pStyle w:val="6"/>
        <w:snapToGrid w:val="0"/>
        <w:spacing w:before="50" w:after="50"/>
        <w:ind w:firstLine="720" w:firstLineChars="225"/>
        <w:rPr>
          <w:rFonts w:hint="eastAsia" w:ascii="宋体" w:hAnsi="宋体" w:cs="仿宋_GB2312"/>
          <w:bCs/>
          <w:color w:val="auto"/>
          <w:sz w:val="32"/>
          <w:szCs w:val="32"/>
          <w:highlight w:val="none"/>
        </w:rPr>
      </w:pPr>
    </w:p>
    <w:p w14:paraId="220A1280">
      <w:pPr>
        <w:pStyle w:val="6"/>
        <w:snapToGrid w:val="0"/>
        <w:spacing w:before="50" w:after="50"/>
        <w:ind w:firstLine="720" w:firstLineChars="225"/>
        <w:rPr>
          <w:rFonts w:hint="eastAsia" w:ascii="宋体" w:hAnsi="宋体" w:cs="仿宋_GB2312"/>
          <w:bCs/>
          <w:color w:val="auto"/>
          <w:sz w:val="32"/>
          <w:szCs w:val="32"/>
          <w:highlight w:val="none"/>
        </w:rPr>
      </w:pPr>
    </w:p>
    <w:p w14:paraId="3EE4B49C">
      <w:pPr>
        <w:pStyle w:val="6"/>
        <w:snapToGrid w:val="0"/>
        <w:spacing w:before="50" w:after="50"/>
        <w:ind w:firstLine="1280" w:firstLineChars="400"/>
        <w:rPr>
          <w:rFonts w:hint="eastAsia" w:ascii="宋体" w:hAnsi="宋体" w:cs="仿宋_GB2312"/>
          <w:bCs/>
          <w:color w:val="auto"/>
          <w:sz w:val="32"/>
          <w:szCs w:val="32"/>
          <w:highlight w:val="none"/>
        </w:rPr>
      </w:pPr>
    </w:p>
    <w:p w14:paraId="3058AFD0">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507853B3">
      <w:pPr>
        <w:rPr>
          <w:rFonts w:hint="eastAsia" w:ascii="宋体" w:hAnsi="宋体"/>
          <w:color w:val="auto"/>
          <w:sz w:val="44"/>
          <w:szCs w:val="44"/>
          <w:highlight w:val="none"/>
        </w:rPr>
      </w:pPr>
    </w:p>
    <w:p w14:paraId="677E1D8C">
      <w:pPr>
        <w:pStyle w:val="2"/>
        <w:rPr>
          <w:rFonts w:hint="eastAsia" w:ascii="宋体" w:hAnsi="宋体"/>
          <w:color w:val="auto"/>
          <w:sz w:val="44"/>
          <w:szCs w:val="44"/>
          <w:highlight w:val="none"/>
        </w:rPr>
      </w:pPr>
    </w:p>
    <w:p w14:paraId="5F0164A1">
      <w:pPr>
        <w:pStyle w:val="2"/>
        <w:rPr>
          <w:rFonts w:hint="eastAsia" w:ascii="宋体" w:hAnsi="宋体"/>
          <w:color w:val="auto"/>
          <w:sz w:val="44"/>
          <w:szCs w:val="44"/>
          <w:highlight w:val="none"/>
        </w:rPr>
      </w:pPr>
    </w:p>
    <w:p w14:paraId="70921A58">
      <w:pPr>
        <w:pStyle w:val="2"/>
        <w:rPr>
          <w:rFonts w:hint="eastAsia" w:ascii="宋体" w:hAnsi="宋体"/>
          <w:color w:val="auto"/>
          <w:sz w:val="44"/>
          <w:szCs w:val="44"/>
          <w:highlight w:val="none"/>
        </w:rPr>
      </w:pPr>
    </w:p>
    <w:p w14:paraId="46CF8442">
      <w:pPr>
        <w:pStyle w:val="2"/>
        <w:rPr>
          <w:rFonts w:hint="eastAsia" w:ascii="宋体" w:hAnsi="宋体"/>
          <w:color w:val="auto"/>
          <w:sz w:val="44"/>
          <w:szCs w:val="44"/>
          <w:highlight w:val="none"/>
        </w:rPr>
      </w:pPr>
    </w:p>
    <w:p w14:paraId="2008D9C3">
      <w:pPr>
        <w:pStyle w:val="2"/>
        <w:rPr>
          <w:rFonts w:hint="eastAsia" w:ascii="宋体" w:hAnsi="宋体"/>
          <w:color w:val="auto"/>
          <w:sz w:val="44"/>
          <w:szCs w:val="44"/>
          <w:highlight w:val="none"/>
        </w:rPr>
      </w:pPr>
    </w:p>
    <w:p w14:paraId="70C1D218">
      <w:pPr>
        <w:pStyle w:val="2"/>
        <w:rPr>
          <w:rFonts w:hint="eastAsia" w:ascii="宋体" w:hAnsi="宋体"/>
          <w:color w:val="auto"/>
          <w:sz w:val="44"/>
          <w:szCs w:val="44"/>
          <w:highlight w:val="none"/>
        </w:rPr>
      </w:pPr>
    </w:p>
    <w:p w14:paraId="391A0543">
      <w:pPr>
        <w:tabs>
          <w:tab w:val="left" w:pos="3479"/>
        </w:tabs>
        <w:spacing w:line="520" w:lineRule="exact"/>
        <w:jc w:val="center"/>
        <w:rPr>
          <w:rFonts w:hint="eastAsia" w:ascii="方正小标宋简体" w:hAnsi="方正小标宋简体" w:eastAsia="方正小标宋简体" w:cs="方正小标宋简体"/>
          <w:bCs/>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竞  标  报  价  表</w:t>
      </w:r>
    </w:p>
    <w:p w14:paraId="34F01EBD">
      <w:pPr>
        <w:spacing w:line="520" w:lineRule="exact"/>
        <w:jc w:val="center"/>
        <w:rPr>
          <w:rFonts w:hint="eastAsia" w:ascii="方正小标宋简体" w:hAnsi="方正小标宋简体" w:eastAsia="方正小标宋简体" w:cs="方正小标宋简体"/>
          <w:bCs/>
          <w:color w:val="auto"/>
          <w:sz w:val="32"/>
          <w:szCs w:val="32"/>
          <w:highlight w:val="none"/>
        </w:rPr>
      </w:pPr>
    </w:p>
    <w:p w14:paraId="63F4AD4A">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分标（如有）：</w:t>
      </w:r>
      <w:r>
        <w:rPr>
          <w:rFonts w:hint="eastAsia" w:ascii="宋体" w:hAnsi="宋体" w:cs="仿宋_GB2312"/>
          <w:color w:val="auto"/>
          <w:sz w:val="24"/>
          <w:highlight w:val="none"/>
          <w:u w:val="single"/>
        </w:rPr>
        <w:t xml:space="preserve">            </w:t>
      </w:r>
    </w:p>
    <w:p w14:paraId="0870E81B">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5D6C796C">
      <w:pPr>
        <w:snapToGrid w:val="0"/>
        <w:spacing w:before="50" w:after="50" w:line="360" w:lineRule="auto"/>
        <w:ind w:firstLine="5520" w:firstLineChars="2300"/>
        <w:rPr>
          <w:rFonts w:hint="eastAsia" w:ascii="宋体" w:hAnsi="宋体" w:cs="仿宋_GB2312"/>
          <w:color w:val="auto"/>
          <w:sz w:val="24"/>
          <w:highlight w:val="none"/>
        </w:rPr>
      </w:pPr>
      <w:r>
        <w:rPr>
          <w:rFonts w:hint="eastAsia" w:ascii="宋体" w:hAnsi="宋体" w:cs="仿宋_GB2312"/>
          <w:color w:val="auto"/>
          <w:sz w:val="24"/>
          <w:highlight w:val="none"/>
        </w:rPr>
        <w:t>单位：元</w:t>
      </w:r>
    </w:p>
    <w:tbl>
      <w:tblPr>
        <w:tblStyle w:val="24"/>
        <w:tblW w:w="1050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7"/>
        <w:gridCol w:w="1065"/>
        <w:gridCol w:w="1005"/>
        <w:gridCol w:w="870"/>
        <w:gridCol w:w="1065"/>
        <w:gridCol w:w="1200"/>
        <w:gridCol w:w="1095"/>
        <w:gridCol w:w="1095"/>
        <w:gridCol w:w="780"/>
        <w:gridCol w:w="1725"/>
      </w:tblGrid>
      <w:tr w14:paraId="01D833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5DFE2E3C">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项号</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794E4CCB">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lang w:eastAsia="zh-CN"/>
              </w:rPr>
              <w:t>货物</w:t>
            </w:r>
            <w:r>
              <w:rPr>
                <w:rFonts w:hint="eastAsia" w:ascii="宋体" w:hAnsi="宋体" w:cs="仿宋_GB2312"/>
                <w:b/>
                <w:bCs/>
                <w:color w:val="auto"/>
                <w:sz w:val="24"/>
                <w:highlight w:val="none"/>
              </w:rPr>
              <w:t>名称</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3CC5590E">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数量及单位</w:t>
            </w:r>
          </w:p>
          <w:p w14:paraId="4D400BA3">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①</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74825F51">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品牌</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2074D945">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规格</w:t>
            </w:r>
          </w:p>
          <w:p w14:paraId="267B0E72">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型号</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39E5623">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制造商</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A118ACE">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原产地</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7002E47">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参数性能、指标及配置</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78CF7056">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单价</w:t>
            </w:r>
          </w:p>
          <w:p w14:paraId="2A0F26AD">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②</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A4C27FD">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竞标报价</w:t>
            </w:r>
          </w:p>
          <w:p w14:paraId="09C03227">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③=①×②</w:t>
            </w:r>
          </w:p>
        </w:tc>
      </w:tr>
      <w:tr w14:paraId="65C33D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528E0029">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1</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7AC6152C">
            <w:pPr>
              <w:spacing w:line="360" w:lineRule="auto"/>
              <w:jc w:val="center"/>
              <w:rPr>
                <w:rFonts w:hint="eastAsia" w:ascii="宋体" w:hAnsi="宋体" w:cs="仿宋_GB2312"/>
                <w:color w:val="auto"/>
                <w:sz w:val="24"/>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0D952389">
            <w:pPr>
              <w:spacing w:line="360" w:lineRule="auto"/>
              <w:jc w:val="center"/>
              <w:rPr>
                <w:rFonts w:hint="eastAsia" w:ascii="宋体" w:hAnsi="宋体" w:cs="仿宋_GB2312"/>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1298C877">
            <w:pPr>
              <w:spacing w:line="360" w:lineRule="auto"/>
              <w:jc w:val="center"/>
              <w:rPr>
                <w:rFonts w:hint="eastAsia" w:ascii="宋体" w:hAnsi="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307B1643">
            <w:pPr>
              <w:spacing w:line="360" w:lineRule="auto"/>
              <w:jc w:val="center"/>
              <w:rPr>
                <w:rFonts w:hint="eastAsia" w:ascii="宋体" w:hAnsi="宋体" w:cs="仿宋_GB2312"/>
                <w:color w:val="auto"/>
                <w:sz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84F8896">
            <w:pPr>
              <w:spacing w:line="360" w:lineRule="auto"/>
              <w:jc w:val="center"/>
              <w:rPr>
                <w:rFonts w:hint="eastAsia" w:ascii="宋体" w:hAnsi="宋体"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6B8447F8">
            <w:pPr>
              <w:spacing w:line="360" w:lineRule="auto"/>
              <w:jc w:val="center"/>
              <w:rPr>
                <w:rFonts w:hint="eastAsia" w:ascii="宋体" w:hAnsi="宋体"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83DEF30">
            <w:pPr>
              <w:spacing w:line="360" w:lineRule="auto"/>
              <w:jc w:val="center"/>
              <w:rPr>
                <w:rFonts w:hint="eastAsia" w:ascii="宋体" w:hAnsi="宋体" w:cs="仿宋_GB2312"/>
                <w:color w:val="auto"/>
                <w:sz w:val="24"/>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327F4347">
            <w:pPr>
              <w:spacing w:line="360" w:lineRule="auto"/>
              <w:jc w:val="center"/>
              <w:rPr>
                <w:rFonts w:hint="eastAsia" w:ascii="宋体" w:hAnsi="宋体" w:cs="仿宋_GB2312"/>
                <w:color w:val="auto"/>
                <w:sz w:val="24"/>
                <w:highlight w:val="none"/>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B1C23F9">
            <w:pPr>
              <w:spacing w:line="360" w:lineRule="auto"/>
              <w:jc w:val="center"/>
              <w:rPr>
                <w:rFonts w:hint="eastAsia" w:ascii="宋体" w:hAnsi="宋体" w:cs="仿宋_GB2312"/>
                <w:color w:val="auto"/>
                <w:sz w:val="24"/>
                <w:highlight w:val="none"/>
              </w:rPr>
            </w:pPr>
          </w:p>
        </w:tc>
      </w:tr>
      <w:tr w14:paraId="0EAB85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013228B7">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2</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5830706D">
            <w:pPr>
              <w:spacing w:line="360" w:lineRule="auto"/>
              <w:jc w:val="center"/>
              <w:rPr>
                <w:rFonts w:hint="eastAsia" w:ascii="宋体" w:hAnsi="宋体" w:cs="仿宋_GB2312"/>
                <w:color w:val="auto"/>
                <w:sz w:val="24"/>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E333059">
            <w:pPr>
              <w:spacing w:line="360" w:lineRule="auto"/>
              <w:jc w:val="center"/>
              <w:rPr>
                <w:rFonts w:hint="eastAsia" w:ascii="宋体" w:hAnsi="宋体" w:cs="仿宋_GB2312"/>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35134B6D">
            <w:pPr>
              <w:spacing w:line="360" w:lineRule="auto"/>
              <w:jc w:val="center"/>
              <w:rPr>
                <w:rFonts w:hint="eastAsia" w:ascii="宋体" w:hAnsi="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78365400">
            <w:pPr>
              <w:spacing w:line="360" w:lineRule="auto"/>
              <w:jc w:val="center"/>
              <w:rPr>
                <w:rFonts w:hint="eastAsia" w:ascii="宋体" w:hAnsi="宋体" w:cs="仿宋_GB2312"/>
                <w:color w:val="auto"/>
                <w:sz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47E1547">
            <w:pPr>
              <w:spacing w:line="360" w:lineRule="auto"/>
              <w:jc w:val="center"/>
              <w:rPr>
                <w:rFonts w:hint="eastAsia" w:ascii="宋体" w:hAnsi="宋体"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41E4017D">
            <w:pPr>
              <w:spacing w:line="360" w:lineRule="auto"/>
              <w:jc w:val="center"/>
              <w:rPr>
                <w:rFonts w:hint="eastAsia" w:ascii="宋体" w:hAnsi="宋体"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693A9BB">
            <w:pPr>
              <w:spacing w:line="360" w:lineRule="auto"/>
              <w:jc w:val="center"/>
              <w:rPr>
                <w:rFonts w:hint="eastAsia" w:ascii="宋体" w:hAnsi="宋体" w:cs="仿宋_GB2312"/>
                <w:color w:val="auto"/>
                <w:sz w:val="24"/>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3B547F81">
            <w:pPr>
              <w:spacing w:line="360" w:lineRule="auto"/>
              <w:jc w:val="center"/>
              <w:rPr>
                <w:rFonts w:hint="eastAsia" w:ascii="宋体" w:hAnsi="宋体" w:cs="仿宋_GB2312"/>
                <w:color w:val="auto"/>
                <w:sz w:val="24"/>
                <w:highlight w:val="none"/>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9F76A27">
            <w:pPr>
              <w:spacing w:line="360" w:lineRule="auto"/>
              <w:jc w:val="center"/>
              <w:rPr>
                <w:rFonts w:hint="eastAsia" w:ascii="宋体" w:hAnsi="宋体" w:cs="仿宋_GB2312"/>
                <w:color w:val="auto"/>
                <w:sz w:val="24"/>
                <w:highlight w:val="none"/>
              </w:rPr>
            </w:pPr>
          </w:p>
        </w:tc>
      </w:tr>
      <w:tr w14:paraId="36F194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6C308A9E">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50DF3456">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656E647">
            <w:pPr>
              <w:spacing w:line="360" w:lineRule="auto"/>
              <w:jc w:val="center"/>
              <w:rPr>
                <w:rFonts w:hint="eastAsia" w:ascii="宋体" w:hAnsi="宋体" w:cs="仿宋_GB2312"/>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6A19BA54">
            <w:pPr>
              <w:spacing w:line="360" w:lineRule="auto"/>
              <w:jc w:val="center"/>
              <w:rPr>
                <w:rFonts w:hint="eastAsia" w:ascii="宋体" w:hAnsi="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3DFB4184">
            <w:pPr>
              <w:spacing w:line="360" w:lineRule="auto"/>
              <w:jc w:val="center"/>
              <w:rPr>
                <w:rFonts w:hint="eastAsia" w:ascii="宋体" w:hAnsi="宋体" w:cs="仿宋_GB2312"/>
                <w:color w:val="auto"/>
                <w:sz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10CDC96">
            <w:pPr>
              <w:spacing w:line="360" w:lineRule="auto"/>
              <w:jc w:val="center"/>
              <w:rPr>
                <w:rFonts w:hint="eastAsia" w:ascii="宋体" w:hAnsi="宋体"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225759F5">
            <w:pPr>
              <w:spacing w:line="360" w:lineRule="auto"/>
              <w:jc w:val="center"/>
              <w:rPr>
                <w:rFonts w:hint="eastAsia" w:ascii="宋体" w:hAnsi="宋体"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85A5280">
            <w:pPr>
              <w:spacing w:line="360" w:lineRule="auto"/>
              <w:jc w:val="center"/>
              <w:rPr>
                <w:rFonts w:hint="eastAsia" w:ascii="宋体" w:hAnsi="宋体" w:cs="仿宋_GB2312"/>
                <w:color w:val="auto"/>
                <w:sz w:val="24"/>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789F9539">
            <w:pPr>
              <w:spacing w:line="360" w:lineRule="auto"/>
              <w:jc w:val="center"/>
              <w:rPr>
                <w:rFonts w:hint="eastAsia" w:ascii="宋体" w:hAnsi="宋体" w:cs="仿宋_GB2312"/>
                <w:color w:val="auto"/>
                <w:sz w:val="24"/>
                <w:highlight w:val="none"/>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55651F20">
            <w:pPr>
              <w:spacing w:line="360" w:lineRule="auto"/>
              <w:jc w:val="center"/>
              <w:rPr>
                <w:rFonts w:hint="eastAsia" w:ascii="宋体" w:hAnsi="宋体" w:cs="仿宋_GB2312"/>
                <w:color w:val="auto"/>
                <w:sz w:val="24"/>
                <w:highlight w:val="none"/>
              </w:rPr>
            </w:pPr>
          </w:p>
        </w:tc>
      </w:tr>
      <w:tr w14:paraId="2F4FC7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0507" w:type="dxa"/>
            <w:gridSpan w:val="10"/>
            <w:tcBorders>
              <w:top w:val="single" w:color="auto" w:sz="4" w:space="0"/>
              <w:left w:val="single" w:color="auto" w:sz="4" w:space="0"/>
              <w:bottom w:val="single" w:color="auto" w:sz="4" w:space="0"/>
              <w:right w:val="single" w:color="auto" w:sz="4" w:space="0"/>
            </w:tcBorders>
            <w:noWrap w:val="0"/>
            <w:vAlign w:val="top"/>
          </w:tcPr>
          <w:p w14:paraId="06640B08">
            <w:pPr>
              <w:snapToGrid w:val="0"/>
              <w:spacing w:before="50" w:after="50"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合计金额大写：人民币</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tc>
      </w:tr>
    </w:tbl>
    <w:p w14:paraId="501FC995">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 xml:space="preserve">注: </w:t>
      </w:r>
    </w:p>
    <w:p w14:paraId="06C0CD03">
      <w:pPr>
        <w:spacing w:line="360" w:lineRule="auto"/>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1</w:t>
      </w:r>
      <w:r>
        <w:rPr>
          <w:rFonts w:ascii="宋体" w:hAnsi="宋体" w:cs="仿宋_GB2312"/>
          <w:color w:val="auto"/>
          <w:sz w:val="24"/>
          <w:highlight w:val="none"/>
        </w:rPr>
        <w:t>.</w:t>
      </w:r>
      <w:r>
        <w:rPr>
          <w:rFonts w:hint="eastAsia" w:ascii="宋体" w:hAnsi="宋体"/>
          <w:color w:val="auto"/>
          <w:sz w:val="24"/>
          <w:highlight w:val="none"/>
        </w:rPr>
        <w:t xml:space="preserve"> 以上竞标报价表中“货物名称、数量及单位、品牌、规格型号、制造商、原产地、参数性能、指标及配置”必须如实填写完整，品牌、规格型号没有则填无，填写有缺漏</w:t>
      </w:r>
      <w:r>
        <w:rPr>
          <w:rFonts w:hint="eastAsia" w:ascii="宋体" w:hAnsi="宋体"/>
          <w:bCs/>
          <w:color w:val="auto"/>
          <w:sz w:val="24"/>
          <w:highlight w:val="none"/>
        </w:rPr>
        <w:t>的，</w:t>
      </w:r>
      <w:r>
        <w:rPr>
          <w:rFonts w:hint="eastAsia" w:ascii="宋体" w:hAnsi="宋体" w:cs="仿宋_GB2312"/>
          <w:b/>
          <w:color w:val="auto"/>
          <w:sz w:val="24"/>
          <w:highlight w:val="none"/>
        </w:rPr>
        <w:t>其响应文件按无效处理</w:t>
      </w:r>
      <w:r>
        <w:rPr>
          <w:rFonts w:hint="eastAsia" w:ascii="宋体" w:hAnsi="宋体"/>
          <w:b/>
          <w:color w:val="auto"/>
          <w:sz w:val="24"/>
          <w:highlight w:val="none"/>
        </w:rPr>
        <w:t>。</w:t>
      </w:r>
    </w:p>
    <w:p w14:paraId="735F6476">
      <w:pPr>
        <w:spacing w:line="360" w:lineRule="auto"/>
        <w:ind w:firstLine="480" w:firstLineChars="200"/>
        <w:contextualSpacing/>
        <w:jc w:val="left"/>
        <w:rPr>
          <w:rFonts w:hint="eastAsia" w:ascii="宋体" w:hAnsi="宋体" w:cs="仿宋_GB2312"/>
          <w:color w:val="auto"/>
          <w:sz w:val="24"/>
          <w:highlight w:val="none"/>
        </w:rPr>
      </w:pPr>
      <w:r>
        <w:rPr>
          <w:rFonts w:ascii="宋体" w:hAnsi="宋体" w:cs="仿宋_GB2312"/>
          <w:color w:val="auto"/>
          <w:sz w:val="24"/>
          <w:highlight w:val="none"/>
        </w:rPr>
        <w:t>2</w:t>
      </w:r>
      <w:r>
        <w:rPr>
          <w:rFonts w:hint="eastAsia" w:ascii="宋体" w:hAnsi="宋体" w:cs="仿宋_GB2312"/>
          <w:color w:val="auto"/>
          <w:sz w:val="24"/>
          <w:highlight w:val="none"/>
        </w:rPr>
        <w:t>.供应商的报价表必须加盖供应商电子签章并由法定代表人或者委托代理人签字（或者电子签名），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0B81E142">
      <w:pPr>
        <w:spacing w:line="360" w:lineRule="auto"/>
        <w:ind w:right="-817" w:rightChars="-389" w:firstLine="2640" w:firstLineChars="1100"/>
        <w:contextualSpacing/>
        <w:rPr>
          <w:rFonts w:hint="eastAsia" w:ascii="宋体" w:hAnsi="宋体" w:cs="仿宋_GB2312"/>
          <w:color w:val="auto"/>
          <w:sz w:val="24"/>
          <w:highlight w:val="none"/>
        </w:rPr>
      </w:pPr>
    </w:p>
    <w:p w14:paraId="74BAC467">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030B9234">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10CE118A">
      <w:pPr>
        <w:spacing w:line="360" w:lineRule="auto"/>
        <w:ind w:right="-817" w:rightChars="-389" w:firstLine="4080" w:firstLineChars="1700"/>
        <w:contextualSpacing/>
        <w:rPr>
          <w:rFonts w:hint="eastAsia" w:ascii="宋体" w:hAnsi="宋体"/>
          <w:b/>
          <w:bCs/>
          <w:color w:val="auto"/>
          <w:sz w:val="32"/>
          <w:szCs w:val="32"/>
          <w:highlight w:val="none"/>
        </w:rPr>
      </w:pPr>
      <w:r>
        <w:rPr>
          <w:rFonts w:hint="eastAsia" w:ascii="宋体" w:hAnsi="宋体" w:cs="仿宋_GB2312"/>
          <w:color w:val="auto"/>
          <w:sz w:val="24"/>
          <w:highlight w:val="none"/>
        </w:rPr>
        <w:t>日期：   年   月   日</w:t>
      </w:r>
      <w:r>
        <w:rPr>
          <w:rFonts w:ascii="宋体" w:hAnsi="宋体"/>
          <w:color w:val="auto"/>
          <w:sz w:val="24"/>
          <w:highlight w:val="none"/>
        </w:rPr>
        <w:br w:type="page"/>
      </w:r>
      <w:r>
        <w:rPr>
          <w:rFonts w:hint="eastAsia" w:ascii="宋体" w:hAnsi="宋体"/>
          <w:b/>
          <w:bCs/>
          <w:color w:val="auto"/>
          <w:sz w:val="32"/>
          <w:szCs w:val="32"/>
          <w:highlight w:val="none"/>
        </w:rPr>
        <w:t xml:space="preserve">  商务技术文件格式</w:t>
      </w:r>
    </w:p>
    <w:p w14:paraId="45CC702D">
      <w:pPr>
        <w:pStyle w:val="2"/>
        <w:rPr>
          <w:rFonts w:hint="eastAsia" w:ascii="宋体" w:hAnsi="宋体"/>
          <w:b/>
          <w:bCs/>
          <w:color w:val="auto"/>
          <w:sz w:val="32"/>
          <w:szCs w:val="32"/>
          <w:highlight w:val="none"/>
        </w:rPr>
      </w:pPr>
    </w:p>
    <w:p w14:paraId="15BCFB16">
      <w:pPr>
        <w:pStyle w:val="2"/>
        <w:rPr>
          <w:rFonts w:hint="eastAsia" w:ascii="宋体" w:hAnsi="宋体"/>
          <w:b/>
          <w:bCs/>
          <w:color w:val="auto"/>
          <w:sz w:val="32"/>
          <w:szCs w:val="32"/>
          <w:highlight w:val="none"/>
        </w:rPr>
      </w:pPr>
    </w:p>
    <w:p w14:paraId="3B82E303">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商务技术文件（封面）</w:t>
      </w:r>
    </w:p>
    <w:p w14:paraId="1904FBC7">
      <w:pPr>
        <w:snapToGrid w:val="0"/>
        <w:spacing w:before="120" w:beforeLines="50" w:after="50"/>
        <w:rPr>
          <w:rFonts w:hint="eastAsia" w:ascii="宋体" w:hAnsi="宋体"/>
          <w:bCs/>
          <w:color w:val="auto"/>
          <w:sz w:val="24"/>
          <w:szCs w:val="20"/>
          <w:highlight w:val="none"/>
        </w:rPr>
      </w:pPr>
    </w:p>
    <w:p w14:paraId="1627A7CC">
      <w:pPr>
        <w:snapToGrid w:val="0"/>
        <w:spacing w:before="120" w:beforeLines="50" w:after="50"/>
        <w:rPr>
          <w:rFonts w:hint="eastAsia" w:ascii="宋体" w:hAnsi="宋体"/>
          <w:bCs/>
          <w:color w:val="auto"/>
          <w:sz w:val="24"/>
          <w:szCs w:val="20"/>
          <w:highlight w:val="none"/>
        </w:rPr>
      </w:pPr>
    </w:p>
    <w:p w14:paraId="4771E215">
      <w:pPr>
        <w:snapToGrid w:val="0"/>
        <w:spacing w:before="120" w:beforeLines="50" w:after="50"/>
        <w:rPr>
          <w:rFonts w:hint="eastAsia" w:ascii="宋体" w:hAnsi="宋体"/>
          <w:bCs/>
          <w:color w:val="auto"/>
          <w:sz w:val="24"/>
          <w:szCs w:val="20"/>
          <w:highlight w:val="none"/>
        </w:rPr>
      </w:pPr>
    </w:p>
    <w:p w14:paraId="5953467B">
      <w:pPr>
        <w:snapToGrid w:val="0"/>
        <w:spacing w:before="120" w:beforeLines="50" w:after="50"/>
        <w:rPr>
          <w:rFonts w:hint="eastAsia" w:ascii="宋体" w:hAnsi="宋体"/>
          <w:bCs/>
          <w:color w:val="auto"/>
          <w:sz w:val="24"/>
          <w:szCs w:val="20"/>
          <w:highlight w:val="none"/>
        </w:rPr>
      </w:pPr>
    </w:p>
    <w:p w14:paraId="19FC4A61">
      <w:pPr>
        <w:snapToGrid w:val="0"/>
        <w:spacing w:before="120" w:beforeLines="50" w:after="50"/>
        <w:rPr>
          <w:rFonts w:hint="eastAsia" w:ascii="宋体" w:hAnsi="宋体"/>
          <w:bCs/>
          <w:color w:val="auto"/>
          <w:sz w:val="24"/>
          <w:szCs w:val="20"/>
          <w:highlight w:val="none"/>
        </w:rPr>
      </w:pPr>
    </w:p>
    <w:p w14:paraId="1F9623C0">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6C256EA2">
      <w:pPr>
        <w:snapToGrid w:val="0"/>
        <w:spacing w:before="120" w:beforeLines="50" w:after="50"/>
        <w:ind w:firstLine="720" w:firstLineChars="225"/>
        <w:rPr>
          <w:rFonts w:hint="eastAsia" w:ascii="宋体" w:hAnsi="宋体" w:cs="仿宋_GB2312"/>
          <w:bCs/>
          <w:color w:val="auto"/>
          <w:sz w:val="32"/>
          <w:szCs w:val="32"/>
          <w:highlight w:val="none"/>
        </w:rPr>
      </w:pPr>
    </w:p>
    <w:p w14:paraId="53C4719C">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388E91A2">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46D756EC">
      <w:pPr>
        <w:pStyle w:val="6"/>
        <w:snapToGrid w:val="0"/>
        <w:spacing w:before="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4B90455">
      <w:pPr>
        <w:pStyle w:val="6"/>
        <w:snapToGrid w:val="0"/>
        <w:spacing w:before="50" w:after="50"/>
        <w:ind w:firstLine="720" w:firstLineChars="225"/>
        <w:rPr>
          <w:rFonts w:hint="eastAsia" w:ascii="宋体" w:hAnsi="宋体" w:cs="仿宋_GB2312"/>
          <w:bCs/>
          <w:color w:val="auto"/>
          <w:sz w:val="32"/>
          <w:szCs w:val="32"/>
          <w:highlight w:val="none"/>
        </w:rPr>
      </w:pPr>
    </w:p>
    <w:p w14:paraId="4A373065">
      <w:pPr>
        <w:pStyle w:val="6"/>
        <w:snapToGrid w:val="0"/>
        <w:spacing w:before="50" w:after="50"/>
        <w:ind w:firstLine="720" w:firstLineChars="225"/>
        <w:rPr>
          <w:rFonts w:hint="eastAsia" w:ascii="宋体" w:hAnsi="宋体" w:cs="仿宋_GB2312"/>
          <w:bCs/>
          <w:color w:val="auto"/>
          <w:sz w:val="32"/>
          <w:szCs w:val="32"/>
          <w:highlight w:val="none"/>
        </w:rPr>
      </w:pPr>
    </w:p>
    <w:p w14:paraId="7B34744C">
      <w:pPr>
        <w:pStyle w:val="6"/>
        <w:snapToGrid w:val="0"/>
        <w:spacing w:before="50" w:after="50"/>
        <w:ind w:firstLine="720" w:firstLineChars="225"/>
        <w:rPr>
          <w:rFonts w:hint="eastAsia" w:ascii="宋体" w:hAnsi="宋体" w:cs="仿宋_GB2312"/>
          <w:bCs/>
          <w:color w:val="auto"/>
          <w:sz w:val="32"/>
          <w:szCs w:val="32"/>
          <w:highlight w:val="none"/>
        </w:rPr>
      </w:pPr>
    </w:p>
    <w:p w14:paraId="65922E01">
      <w:pPr>
        <w:pStyle w:val="6"/>
        <w:snapToGrid w:val="0"/>
        <w:spacing w:before="50" w:after="50"/>
        <w:ind w:firstLine="1280" w:firstLineChars="400"/>
        <w:rPr>
          <w:rFonts w:hint="eastAsia" w:ascii="宋体" w:hAnsi="宋体" w:cs="仿宋_GB2312"/>
          <w:bCs/>
          <w:color w:val="auto"/>
          <w:sz w:val="32"/>
          <w:szCs w:val="32"/>
          <w:highlight w:val="none"/>
        </w:rPr>
      </w:pPr>
    </w:p>
    <w:p w14:paraId="591E87BF">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2A36DB8B">
      <w:pPr>
        <w:jc w:val="center"/>
        <w:rPr>
          <w:rFonts w:ascii="宋体" w:hAnsi="宋体"/>
          <w:color w:val="auto"/>
          <w:sz w:val="24"/>
          <w:highlight w:val="none"/>
        </w:rPr>
      </w:pPr>
    </w:p>
    <w:p w14:paraId="02BEFFE3">
      <w:pPr>
        <w:jc w:val="center"/>
        <w:rPr>
          <w:rFonts w:hint="eastAsia" w:ascii="仿宋_GB2312" w:hAnsi="仿宋" w:eastAsia="仿宋_GB2312" w:cs="仿宋_GB2312"/>
          <w:b/>
          <w:color w:val="auto"/>
          <w:kern w:val="0"/>
          <w:sz w:val="30"/>
          <w:szCs w:val="30"/>
          <w:highlight w:val="none"/>
        </w:rPr>
      </w:pPr>
    </w:p>
    <w:p w14:paraId="0D24A24D">
      <w:pPr>
        <w:jc w:val="center"/>
        <w:rPr>
          <w:rFonts w:hint="eastAsia" w:ascii="仿宋_GB2312" w:hAnsi="仿宋" w:eastAsia="仿宋_GB2312" w:cs="仿宋_GB2312"/>
          <w:b/>
          <w:color w:val="auto"/>
          <w:kern w:val="0"/>
          <w:sz w:val="30"/>
          <w:szCs w:val="30"/>
          <w:highlight w:val="none"/>
        </w:rPr>
      </w:pPr>
    </w:p>
    <w:p w14:paraId="0FEFB8FA">
      <w:pPr>
        <w:jc w:val="center"/>
        <w:rPr>
          <w:rFonts w:hint="eastAsia" w:ascii="仿宋_GB2312" w:hAnsi="仿宋" w:eastAsia="仿宋_GB2312" w:cs="仿宋_GB2312"/>
          <w:b/>
          <w:color w:val="auto"/>
          <w:kern w:val="0"/>
          <w:sz w:val="30"/>
          <w:szCs w:val="30"/>
          <w:highlight w:val="none"/>
        </w:rPr>
      </w:pPr>
    </w:p>
    <w:p w14:paraId="4C0D6628">
      <w:pPr>
        <w:jc w:val="center"/>
        <w:rPr>
          <w:rFonts w:hint="eastAsia" w:ascii="仿宋_GB2312" w:hAnsi="仿宋" w:eastAsia="仿宋_GB2312" w:cs="仿宋_GB2312"/>
          <w:b/>
          <w:color w:val="auto"/>
          <w:kern w:val="0"/>
          <w:sz w:val="30"/>
          <w:szCs w:val="30"/>
          <w:highlight w:val="none"/>
        </w:rPr>
      </w:pPr>
    </w:p>
    <w:p w14:paraId="1B3B4A92">
      <w:pPr>
        <w:jc w:val="center"/>
        <w:rPr>
          <w:rFonts w:hint="eastAsia" w:ascii="仿宋_GB2312" w:hAnsi="仿宋" w:eastAsia="仿宋_GB2312" w:cs="仿宋_GB2312"/>
          <w:b/>
          <w:color w:val="auto"/>
          <w:kern w:val="0"/>
          <w:sz w:val="30"/>
          <w:szCs w:val="30"/>
          <w:highlight w:val="none"/>
        </w:rPr>
      </w:pPr>
    </w:p>
    <w:p w14:paraId="6D92E8DA">
      <w:pPr>
        <w:jc w:val="center"/>
        <w:rPr>
          <w:rFonts w:hint="eastAsia" w:ascii="仿宋_GB2312" w:hAnsi="仿宋" w:eastAsia="仿宋_GB2312" w:cs="仿宋_GB2312"/>
          <w:b/>
          <w:color w:val="auto"/>
          <w:kern w:val="0"/>
          <w:sz w:val="30"/>
          <w:szCs w:val="30"/>
          <w:highlight w:val="none"/>
        </w:rPr>
      </w:pPr>
    </w:p>
    <w:p w14:paraId="3ACAEA94">
      <w:pPr>
        <w:jc w:val="center"/>
        <w:rPr>
          <w:rFonts w:hint="eastAsia" w:ascii="仿宋_GB2312" w:hAnsi="仿宋" w:eastAsia="仿宋_GB2312" w:cs="仿宋_GB2312"/>
          <w:b/>
          <w:color w:val="auto"/>
          <w:kern w:val="0"/>
          <w:sz w:val="30"/>
          <w:szCs w:val="30"/>
          <w:highlight w:val="none"/>
        </w:rPr>
      </w:pPr>
    </w:p>
    <w:p w14:paraId="48520FC1">
      <w:pPr>
        <w:jc w:val="center"/>
        <w:rPr>
          <w:rFonts w:hint="eastAsia" w:ascii="仿宋_GB2312" w:hAnsi="仿宋" w:eastAsia="仿宋_GB2312" w:cs="仿宋_GB2312"/>
          <w:b/>
          <w:color w:val="auto"/>
          <w:kern w:val="0"/>
          <w:sz w:val="30"/>
          <w:szCs w:val="30"/>
          <w:highlight w:val="none"/>
        </w:rPr>
      </w:pPr>
    </w:p>
    <w:p w14:paraId="3350A1E2">
      <w:pPr>
        <w:jc w:val="center"/>
        <w:rPr>
          <w:rFonts w:hint="eastAsia" w:ascii="仿宋_GB2312" w:hAnsi="仿宋" w:eastAsia="仿宋_GB2312" w:cs="仿宋_GB2312"/>
          <w:b/>
          <w:color w:val="auto"/>
          <w:kern w:val="0"/>
          <w:sz w:val="30"/>
          <w:szCs w:val="30"/>
          <w:highlight w:val="none"/>
        </w:rPr>
      </w:pPr>
    </w:p>
    <w:p w14:paraId="4537BE7F">
      <w:pPr>
        <w:jc w:val="center"/>
        <w:rPr>
          <w:rFonts w:hint="eastAsia" w:ascii="仿宋_GB2312" w:hAnsi="仿宋" w:eastAsia="仿宋_GB2312" w:cs="仿宋_GB2312"/>
          <w:b/>
          <w:color w:val="auto"/>
          <w:kern w:val="0"/>
          <w:sz w:val="30"/>
          <w:szCs w:val="30"/>
          <w:highlight w:val="none"/>
        </w:rPr>
      </w:pPr>
    </w:p>
    <w:p w14:paraId="48D16C6C">
      <w:pPr>
        <w:jc w:val="center"/>
        <w:rPr>
          <w:rFonts w:hint="eastAsia" w:ascii="仿宋_GB2312" w:hAnsi="仿宋" w:eastAsia="仿宋_GB2312" w:cs="仿宋_GB2312"/>
          <w:b/>
          <w:color w:val="auto"/>
          <w:kern w:val="0"/>
          <w:sz w:val="30"/>
          <w:szCs w:val="30"/>
          <w:highlight w:val="none"/>
        </w:rPr>
      </w:pPr>
    </w:p>
    <w:p w14:paraId="53A26AC3">
      <w:pPr>
        <w:jc w:val="center"/>
        <w:rPr>
          <w:rFonts w:hint="eastAsia" w:ascii="仿宋_GB2312" w:hAnsi="仿宋" w:eastAsia="仿宋_GB2312" w:cs="仿宋_GB2312"/>
          <w:b/>
          <w:color w:val="auto"/>
          <w:kern w:val="0"/>
          <w:sz w:val="30"/>
          <w:szCs w:val="30"/>
          <w:highlight w:val="none"/>
        </w:rPr>
      </w:pPr>
    </w:p>
    <w:p w14:paraId="09801165">
      <w:pPr>
        <w:jc w:val="center"/>
        <w:rPr>
          <w:rFonts w:hint="eastAsia" w:ascii="仿宋_GB2312" w:hAnsi="仿宋" w:eastAsia="仿宋_GB2312" w:cs="仿宋_GB2312"/>
          <w:b/>
          <w:color w:val="auto"/>
          <w:kern w:val="0"/>
          <w:sz w:val="30"/>
          <w:szCs w:val="30"/>
          <w:highlight w:val="none"/>
        </w:rPr>
      </w:pPr>
    </w:p>
    <w:p w14:paraId="266FDC71">
      <w:pPr>
        <w:jc w:val="center"/>
        <w:rPr>
          <w:rFonts w:hint="eastAsia" w:ascii="仿宋_GB2312" w:hAnsi="仿宋" w:eastAsia="仿宋_GB2312" w:cs="仿宋_GB2312"/>
          <w:b/>
          <w:color w:val="auto"/>
          <w:kern w:val="0"/>
          <w:sz w:val="30"/>
          <w:szCs w:val="30"/>
          <w:highlight w:val="none"/>
        </w:rPr>
      </w:pPr>
      <w:r>
        <w:rPr>
          <w:rFonts w:hint="eastAsia" w:ascii="仿宋_GB2312" w:hAnsi="仿宋" w:eastAsia="仿宋_GB2312" w:cs="仿宋_GB2312"/>
          <w:b/>
          <w:color w:val="auto"/>
          <w:kern w:val="0"/>
          <w:sz w:val="30"/>
          <w:szCs w:val="30"/>
          <w:highlight w:val="none"/>
        </w:rPr>
        <w:t>商务技术文件目录</w:t>
      </w:r>
    </w:p>
    <w:p w14:paraId="2E258B17">
      <w:pPr>
        <w:pStyle w:val="63"/>
        <w:spacing w:line="360" w:lineRule="auto"/>
        <w:jc w:val="center"/>
        <w:rPr>
          <w:rFonts w:hint="eastAsia" w:cs="仿宋_GB2312"/>
          <w:color w:val="auto"/>
          <w:highlight w:val="none"/>
        </w:rPr>
      </w:pPr>
      <w:r>
        <w:rPr>
          <w:rFonts w:hint="eastAsia" w:cs="仿宋_GB2312"/>
          <w:color w:val="auto"/>
          <w:highlight w:val="none"/>
        </w:rPr>
        <w:t>（根据谈判文件规定及供应商提供的材料自行编写目录）</w:t>
      </w:r>
    </w:p>
    <w:p w14:paraId="77B3CF84">
      <w:pPr>
        <w:pStyle w:val="13"/>
        <w:spacing w:line="500" w:lineRule="exact"/>
        <w:rPr>
          <w:rFonts w:hint="eastAsia" w:ascii="方正小标宋简体" w:hAnsi="方正小标宋简体" w:eastAsia="方正小标宋简体" w:cs="方正小标宋简体"/>
          <w:color w:val="auto"/>
          <w:sz w:val="32"/>
          <w:szCs w:val="32"/>
          <w:highlight w:val="none"/>
        </w:rPr>
      </w:pPr>
    </w:p>
    <w:p w14:paraId="419F4CB1">
      <w:pPr>
        <w:pStyle w:val="13"/>
        <w:spacing w:line="500" w:lineRule="exact"/>
        <w:rPr>
          <w:rFonts w:hint="eastAsia" w:ascii="方正小标宋简体" w:hAnsi="方正小标宋简体" w:eastAsia="方正小标宋简体" w:cs="方正小标宋简体"/>
          <w:color w:val="auto"/>
          <w:sz w:val="32"/>
          <w:szCs w:val="32"/>
          <w:highlight w:val="none"/>
        </w:rPr>
      </w:pPr>
    </w:p>
    <w:p w14:paraId="4443AF89">
      <w:pPr>
        <w:pStyle w:val="13"/>
        <w:spacing w:line="500" w:lineRule="exact"/>
        <w:rPr>
          <w:rFonts w:hint="eastAsia" w:ascii="方正小标宋简体" w:hAnsi="方正小标宋简体" w:eastAsia="方正小标宋简体" w:cs="方正小标宋简体"/>
          <w:color w:val="auto"/>
          <w:sz w:val="32"/>
          <w:szCs w:val="32"/>
          <w:highlight w:val="none"/>
        </w:rPr>
      </w:pPr>
    </w:p>
    <w:p w14:paraId="4C1D9C7D">
      <w:pPr>
        <w:pStyle w:val="13"/>
        <w:spacing w:line="500" w:lineRule="exact"/>
        <w:rPr>
          <w:rFonts w:hint="eastAsia" w:ascii="方正小标宋简体" w:hAnsi="方正小标宋简体" w:eastAsia="方正小标宋简体" w:cs="方正小标宋简体"/>
          <w:color w:val="auto"/>
          <w:sz w:val="32"/>
          <w:szCs w:val="32"/>
          <w:highlight w:val="none"/>
        </w:rPr>
      </w:pPr>
    </w:p>
    <w:p w14:paraId="03B63900">
      <w:pPr>
        <w:pStyle w:val="13"/>
        <w:spacing w:line="500" w:lineRule="exact"/>
        <w:rPr>
          <w:rFonts w:hint="eastAsia" w:ascii="方正小标宋简体" w:hAnsi="方正小标宋简体" w:eastAsia="方正小标宋简体" w:cs="方正小标宋简体"/>
          <w:color w:val="auto"/>
          <w:sz w:val="32"/>
          <w:szCs w:val="32"/>
          <w:highlight w:val="none"/>
        </w:rPr>
      </w:pPr>
    </w:p>
    <w:p w14:paraId="065B6F01">
      <w:pPr>
        <w:pStyle w:val="13"/>
        <w:spacing w:line="500" w:lineRule="exact"/>
        <w:rPr>
          <w:rFonts w:hint="eastAsia" w:ascii="方正小标宋简体" w:hAnsi="方正小标宋简体" w:eastAsia="方正小标宋简体" w:cs="方正小标宋简体"/>
          <w:color w:val="auto"/>
          <w:sz w:val="32"/>
          <w:szCs w:val="32"/>
          <w:highlight w:val="none"/>
        </w:rPr>
      </w:pPr>
    </w:p>
    <w:p w14:paraId="2FE969C2">
      <w:pPr>
        <w:pStyle w:val="13"/>
        <w:spacing w:line="500" w:lineRule="exact"/>
        <w:rPr>
          <w:rFonts w:hint="eastAsia" w:ascii="方正小标宋简体" w:hAnsi="方正小标宋简体" w:eastAsia="方正小标宋简体" w:cs="方正小标宋简体"/>
          <w:color w:val="auto"/>
          <w:sz w:val="32"/>
          <w:szCs w:val="32"/>
          <w:highlight w:val="none"/>
        </w:rPr>
      </w:pPr>
    </w:p>
    <w:p w14:paraId="1446AF48">
      <w:pPr>
        <w:pStyle w:val="13"/>
        <w:spacing w:line="500" w:lineRule="exact"/>
        <w:rPr>
          <w:rFonts w:hint="eastAsia" w:ascii="方正小标宋简体" w:hAnsi="方正小标宋简体" w:eastAsia="方正小标宋简体" w:cs="方正小标宋简体"/>
          <w:color w:val="auto"/>
          <w:sz w:val="32"/>
          <w:szCs w:val="32"/>
          <w:highlight w:val="none"/>
        </w:rPr>
      </w:pPr>
    </w:p>
    <w:p w14:paraId="4BD01B6E">
      <w:pPr>
        <w:pStyle w:val="13"/>
        <w:spacing w:line="500" w:lineRule="exact"/>
        <w:rPr>
          <w:rFonts w:hint="eastAsia" w:ascii="方正小标宋简体" w:hAnsi="方正小标宋简体" w:eastAsia="方正小标宋简体" w:cs="方正小标宋简体"/>
          <w:color w:val="auto"/>
          <w:sz w:val="32"/>
          <w:szCs w:val="32"/>
          <w:highlight w:val="none"/>
        </w:rPr>
      </w:pPr>
    </w:p>
    <w:p w14:paraId="757D370E">
      <w:pPr>
        <w:pStyle w:val="13"/>
        <w:spacing w:line="500" w:lineRule="exact"/>
        <w:rPr>
          <w:rFonts w:hint="eastAsia" w:ascii="方正小标宋简体" w:hAnsi="方正小标宋简体" w:eastAsia="方正小标宋简体" w:cs="方正小标宋简体"/>
          <w:color w:val="auto"/>
          <w:sz w:val="32"/>
          <w:szCs w:val="32"/>
          <w:highlight w:val="none"/>
        </w:rPr>
      </w:pPr>
    </w:p>
    <w:p w14:paraId="230C6F34">
      <w:pPr>
        <w:pStyle w:val="13"/>
        <w:spacing w:line="500" w:lineRule="exact"/>
        <w:rPr>
          <w:rFonts w:hint="eastAsia" w:ascii="方正小标宋简体" w:hAnsi="方正小标宋简体" w:eastAsia="方正小标宋简体" w:cs="方正小标宋简体"/>
          <w:color w:val="auto"/>
          <w:sz w:val="32"/>
          <w:szCs w:val="32"/>
          <w:highlight w:val="none"/>
        </w:rPr>
      </w:pPr>
    </w:p>
    <w:p w14:paraId="0B4F8DAC">
      <w:pPr>
        <w:pStyle w:val="13"/>
        <w:spacing w:line="500" w:lineRule="exact"/>
        <w:rPr>
          <w:rFonts w:hint="eastAsia" w:ascii="方正小标宋简体" w:hAnsi="方正小标宋简体" w:eastAsia="方正小标宋简体" w:cs="方正小标宋简体"/>
          <w:color w:val="auto"/>
          <w:sz w:val="32"/>
          <w:szCs w:val="32"/>
          <w:highlight w:val="none"/>
        </w:rPr>
      </w:pPr>
    </w:p>
    <w:p w14:paraId="60F1C363">
      <w:pPr>
        <w:pStyle w:val="13"/>
        <w:spacing w:line="500" w:lineRule="exact"/>
        <w:rPr>
          <w:rFonts w:hint="eastAsia" w:ascii="方正小标宋简体" w:hAnsi="方正小标宋简体" w:eastAsia="方正小标宋简体" w:cs="方正小标宋简体"/>
          <w:color w:val="auto"/>
          <w:sz w:val="32"/>
          <w:szCs w:val="32"/>
          <w:highlight w:val="none"/>
        </w:rPr>
      </w:pPr>
    </w:p>
    <w:p w14:paraId="5EFF3528">
      <w:pPr>
        <w:pStyle w:val="13"/>
        <w:spacing w:line="500" w:lineRule="exact"/>
        <w:rPr>
          <w:rFonts w:hint="eastAsia" w:ascii="方正小标宋简体" w:hAnsi="方正小标宋简体" w:eastAsia="方正小标宋简体" w:cs="方正小标宋简体"/>
          <w:color w:val="auto"/>
          <w:sz w:val="32"/>
          <w:szCs w:val="32"/>
          <w:highlight w:val="none"/>
        </w:rPr>
      </w:pPr>
    </w:p>
    <w:p w14:paraId="00F169EB">
      <w:pPr>
        <w:pStyle w:val="13"/>
        <w:spacing w:line="500" w:lineRule="exact"/>
        <w:rPr>
          <w:rFonts w:hint="eastAsia" w:ascii="方正小标宋简体" w:hAnsi="方正小标宋简体" w:eastAsia="方正小标宋简体" w:cs="方正小标宋简体"/>
          <w:color w:val="auto"/>
          <w:sz w:val="32"/>
          <w:szCs w:val="32"/>
          <w:highlight w:val="none"/>
        </w:rPr>
      </w:pPr>
    </w:p>
    <w:p w14:paraId="6FA193D9">
      <w:pPr>
        <w:pStyle w:val="13"/>
        <w:spacing w:line="500" w:lineRule="exact"/>
        <w:rPr>
          <w:rFonts w:hint="eastAsia" w:ascii="方正小标宋简体" w:hAnsi="方正小标宋简体" w:eastAsia="方正小标宋简体" w:cs="方正小标宋简体"/>
          <w:color w:val="auto"/>
          <w:sz w:val="32"/>
          <w:szCs w:val="32"/>
          <w:highlight w:val="none"/>
        </w:rPr>
      </w:pPr>
    </w:p>
    <w:p w14:paraId="6E05FBDA">
      <w:pPr>
        <w:pStyle w:val="13"/>
        <w:spacing w:line="500" w:lineRule="exact"/>
        <w:rPr>
          <w:rFonts w:hint="eastAsia" w:ascii="方正小标宋简体" w:hAnsi="方正小标宋简体" w:eastAsia="方正小标宋简体" w:cs="方正小标宋简体"/>
          <w:color w:val="auto"/>
          <w:sz w:val="32"/>
          <w:szCs w:val="32"/>
          <w:highlight w:val="none"/>
        </w:rPr>
      </w:pPr>
    </w:p>
    <w:p w14:paraId="55E4E68D">
      <w:pPr>
        <w:pStyle w:val="13"/>
        <w:spacing w:line="500" w:lineRule="exact"/>
        <w:rPr>
          <w:rFonts w:hint="eastAsia" w:ascii="方正小标宋简体" w:hAnsi="方正小标宋简体" w:eastAsia="方正小标宋简体" w:cs="方正小标宋简体"/>
          <w:color w:val="auto"/>
          <w:sz w:val="32"/>
          <w:szCs w:val="32"/>
          <w:highlight w:val="none"/>
        </w:rPr>
      </w:pPr>
    </w:p>
    <w:p w14:paraId="102D0DB4">
      <w:pPr>
        <w:pStyle w:val="13"/>
        <w:spacing w:line="500" w:lineRule="exact"/>
        <w:rPr>
          <w:rFonts w:hint="eastAsia" w:ascii="方正小标宋简体" w:hAnsi="方正小标宋简体" w:eastAsia="方正小标宋简体" w:cs="方正小标宋简体"/>
          <w:color w:val="auto"/>
          <w:sz w:val="32"/>
          <w:szCs w:val="32"/>
          <w:highlight w:val="none"/>
        </w:rPr>
      </w:pPr>
    </w:p>
    <w:p w14:paraId="7176A8BD">
      <w:pPr>
        <w:pStyle w:val="13"/>
        <w:spacing w:line="500" w:lineRule="exact"/>
        <w:rPr>
          <w:rFonts w:hint="eastAsia" w:ascii="方正小标宋简体" w:hAnsi="方正小标宋简体" w:eastAsia="方正小标宋简体" w:cs="方正小标宋简体"/>
          <w:color w:val="auto"/>
          <w:sz w:val="32"/>
          <w:szCs w:val="32"/>
          <w:highlight w:val="none"/>
        </w:rPr>
      </w:pPr>
    </w:p>
    <w:p w14:paraId="0ADCE74D">
      <w:pPr>
        <w:pStyle w:val="13"/>
        <w:spacing w:line="500" w:lineRule="exact"/>
        <w:rPr>
          <w:rFonts w:hint="eastAsia" w:ascii="方正小标宋简体" w:hAnsi="方正小标宋简体" w:eastAsia="方正小标宋简体" w:cs="方正小标宋简体"/>
          <w:color w:val="auto"/>
          <w:sz w:val="32"/>
          <w:szCs w:val="32"/>
          <w:highlight w:val="none"/>
        </w:rPr>
      </w:pPr>
    </w:p>
    <w:p w14:paraId="5EAF8D50">
      <w:pPr>
        <w:pStyle w:val="13"/>
        <w:spacing w:line="500" w:lineRule="exact"/>
        <w:rPr>
          <w:rFonts w:hint="eastAsia" w:ascii="方正小标宋简体" w:hAnsi="方正小标宋简体" w:eastAsia="方正小标宋简体" w:cs="方正小标宋简体"/>
          <w:color w:val="auto"/>
          <w:sz w:val="32"/>
          <w:szCs w:val="32"/>
          <w:highlight w:val="none"/>
        </w:rPr>
      </w:pPr>
    </w:p>
    <w:p w14:paraId="2A43FEF9">
      <w:pPr>
        <w:pStyle w:val="13"/>
        <w:spacing w:line="500" w:lineRule="exact"/>
        <w:rPr>
          <w:rFonts w:hint="eastAsia" w:ascii="方正小标宋简体" w:hAnsi="方正小标宋简体" w:eastAsia="方正小标宋简体" w:cs="方正小标宋简体"/>
          <w:color w:val="auto"/>
          <w:sz w:val="32"/>
          <w:szCs w:val="32"/>
          <w:highlight w:val="none"/>
        </w:rPr>
      </w:pPr>
    </w:p>
    <w:p w14:paraId="61990657">
      <w:pPr>
        <w:pStyle w:val="13"/>
        <w:spacing w:line="500" w:lineRule="exact"/>
        <w:rPr>
          <w:rFonts w:hint="eastAsia" w:ascii="方正小标宋简体" w:hAnsi="方正小标宋简体" w:eastAsia="方正小标宋简体" w:cs="方正小标宋简体"/>
          <w:color w:val="auto"/>
          <w:sz w:val="32"/>
          <w:szCs w:val="32"/>
          <w:highlight w:val="none"/>
        </w:rPr>
      </w:pPr>
    </w:p>
    <w:p w14:paraId="218DEF74">
      <w:pPr>
        <w:adjustRightInd w:val="0"/>
        <w:snapToGrid w:val="0"/>
        <w:spacing w:line="520" w:lineRule="exact"/>
        <w:jc w:val="left"/>
        <w:rPr>
          <w:rFonts w:hint="eastAsia" w:ascii="方正小标宋简体" w:hAnsi="方正小标宋简体" w:eastAsia="方正小标宋简体" w:cs="方正小标宋简体"/>
          <w:color w:val="auto"/>
          <w:sz w:val="44"/>
          <w:szCs w:val="44"/>
          <w:highlight w:val="none"/>
        </w:rPr>
      </w:pPr>
      <w:r>
        <w:rPr>
          <w:rFonts w:hint="eastAsia" w:ascii="仿宋_GB2312" w:hAnsi="仿宋_GB2312" w:eastAsia="仿宋_GB2312" w:cs="仿宋_GB2312"/>
          <w:color w:val="auto"/>
          <w:sz w:val="36"/>
          <w:szCs w:val="36"/>
          <w:highlight w:val="none"/>
        </w:rPr>
        <w:t>无串标行为承诺函</w:t>
      </w:r>
      <w:r>
        <w:rPr>
          <w:rFonts w:hint="eastAsia" w:ascii="仿宋_GB2312" w:hAnsi="仿宋_GB2312" w:eastAsia="仿宋_GB2312" w:cs="仿宋_GB2312"/>
          <w:color w:val="auto"/>
          <w:sz w:val="36"/>
          <w:szCs w:val="36"/>
          <w:highlight w:val="none"/>
          <w:lang w:eastAsia="zh-CN"/>
        </w:rPr>
        <w:t>（</w:t>
      </w:r>
      <w:r>
        <w:rPr>
          <w:rFonts w:hint="eastAsia" w:ascii="仿宋_GB2312" w:hAnsi="仿宋_GB2312" w:eastAsia="仿宋_GB2312" w:cs="仿宋_GB2312"/>
          <w:color w:val="auto"/>
          <w:sz w:val="36"/>
          <w:szCs w:val="36"/>
          <w:highlight w:val="none"/>
          <w:lang w:val="en-US" w:eastAsia="zh-CN"/>
        </w:rPr>
        <w:t>格式）</w:t>
      </w:r>
    </w:p>
    <w:p w14:paraId="3178C5E4">
      <w:pPr>
        <w:pStyle w:val="4"/>
        <w:bidi w:val="0"/>
        <w:jc w:val="center"/>
        <w:rPr>
          <w:rFonts w:hint="eastAsia"/>
        </w:rPr>
      </w:pPr>
      <w:r>
        <w:rPr>
          <w:rFonts w:hint="eastAsia"/>
        </w:rPr>
        <w:t>无串通竞标行为的承诺函</w:t>
      </w:r>
    </w:p>
    <w:p w14:paraId="48C3FDDF">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279E82D3">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1.不同供应商的响应文件由同一单位或者个人编制</w:t>
      </w:r>
      <w:r>
        <w:rPr>
          <w:rFonts w:hint="eastAsia" w:ascii="宋体" w:hAnsi="宋体" w:cs="宋体"/>
          <w:color w:val="auto"/>
          <w:szCs w:val="21"/>
          <w:highlight w:val="none"/>
          <w:lang w:val="en-US" w:eastAsia="zh-CN"/>
        </w:rPr>
        <w:t>；</w:t>
      </w:r>
    </w:p>
    <w:p w14:paraId="015D7FE7">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5A28F513">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3.不同的供应商的响应文件载明的项目管理员为同一个人；</w:t>
      </w:r>
    </w:p>
    <w:p w14:paraId="6AF16419">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59610A71">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3D0171BB">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6.不同供应商的竞标保证金从同一单位或者个人账户转出。</w:t>
      </w:r>
    </w:p>
    <w:p w14:paraId="28F73E9F">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2A6832ED">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2D8642BF">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4D018E0B">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2B4AF24F">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7BDD7180">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5.供应商之间事先约定一致抬高或者压低竞标报价,或者在竞争性谈判项目中事先约定轮流以高价位或者低价位成交,或者事先约定由某一特定供应商成交,然后再参加竞标；</w:t>
      </w:r>
    </w:p>
    <w:p w14:paraId="4F6B57CE">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07F859CE">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30B07BE9">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6632725A">
      <w:pPr>
        <w:spacing w:line="360" w:lineRule="auto"/>
        <w:contextualSpacing/>
        <w:rPr>
          <w:rFonts w:hint="eastAsia" w:ascii="宋体" w:hAnsi="宋体" w:cs="仿宋_GB2312"/>
          <w:color w:val="auto"/>
          <w:sz w:val="24"/>
          <w:highlight w:val="none"/>
        </w:rPr>
      </w:pPr>
    </w:p>
    <w:p w14:paraId="30FB3C5F">
      <w:pPr>
        <w:spacing w:line="360" w:lineRule="auto"/>
        <w:ind w:firstLine="3600" w:firstLineChars="150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供应商（电子签章 ）：</w:t>
      </w:r>
    </w:p>
    <w:p w14:paraId="2E7FCCFD">
      <w:pPr>
        <w:spacing w:line="360" w:lineRule="auto"/>
        <w:ind w:firstLine="480" w:firstLineChars="200"/>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 xml:space="preserve">                               年   月   日</w:t>
      </w:r>
    </w:p>
    <w:p w14:paraId="6EEAFC39">
      <w:pPr>
        <w:pStyle w:val="2"/>
        <w:rPr>
          <w:rFonts w:hint="eastAsia"/>
        </w:rPr>
      </w:pPr>
    </w:p>
    <w:p w14:paraId="43A91F27">
      <w:pPr>
        <w:spacing w:line="520" w:lineRule="exact"/>
        <w:jc w:val="left"/>
        <w:rPr>
          <w:rFonts w:hint="eastAsia" w:ascii="仿宋_GB2312" w:hAnsi="仿宋_GB2312" w:eastAsia="仿宋_GB2312" w:cs="仿宋_GB2312"/>
          <w:color w:val="auto"/>
          <w:sz w:val="36"/>
          <w:szCs w:val="36"/>
          <w:highlight w:val="none"/>
          <w:lang w:val="en-US" w:eastAsia="zh-CN"/>
        </w:rPr>
      </w:pPr>
      <w:r>
        <w:rPr>
          <w:rFonts w:hint="eastAsia" w:ascii="仿宋_GB2312" w:hAnsi="仿宋_GB2312" w:eastAsia="仿宋_GB2312" w:cs="仿宋_GB2312"/>
          <w:color w:val="auto"/>
          <w:sz w:val="36"/>
          <w:szCs w:val="36"/>
          <w:highlight w:val="none"/>
          <w:lang w:val="en-US" w:eastAsia="zh-CN"/>
        </w:rPr>
        <w:t>法定代表人证明书</w:t>
      </w:r>
      <w:r>
        <w:rPr>
          <w:rFonts w:hint="eastAsia" w:ascii="仿宋_GB2312" w:hAnsi="仿宋_GB2312" w:eastAsia="仿宋_GB2312" w:cs="仿宋_GB2312"/>
          <w:color w:val="auto"/>
          <w:sz w:val="36"/>
          <w:szCs w:val="36"/>
          <w:highlight w:val="none"/>
          <w:lang w:eastAsia="zh-CN"/>
        </w:rPr>
        <w:t>（</w:t>
      </w:r>
      <w:r>
        <w:rPr>
          <w:rFonts w:hint="eastAsia" w:ascii="仿宋_GB2312" w:hAnsi="仿宋_GB2312" w:eastAsia="仿宋_GB2312" w:cs="仿宋_GB2312"/>
          <w:color w:val="auto"/>
          <w:sz w:val="36"/>
          <w:szCs w:val="36"/>
          <w:highlight w:val="none"/>
          <w:lang w:val="en-US" w:eastAsia="zh-CN"/>
        </w:rPr>
        <w:t>格式）</w:t>
      </w:r>
    </w:p>
    <w:p w14:paraId="6072C7E8">
      <w:pPr>
        <w:pStyle w:val="2"/>
        <w:rPr>
          <w:rFonts w:hint="eastAsia" w:ascii="仿宋_GB2312" w:hAnsi="仿宋_GB2312" w:eastAsia="仿宋_GB2312" w:cs="仿宋_GB2312"/>
          <w:color w:val="auto"/>
          <w:sz w:val="36"/>
          <w:szCs w:val="36"/>
          <w:highlight w:val="none"/>
          <w:lang w:val="en-US" w:eastAsia="zh-CN"/>
        </w:rPr>
      </w:pPr>
    </w:p>
    <w:p w14:paraId="27A789F6">
      <w:pPr>
        <w:pStyle w:val="2"/>
        <w:rPr>
          <w:rFonts w:hint="eastAsia" w:ascii="仿宋_GB2312" w:hAnsi="仿宋_GB2312" w:eastAsia="仿宋_GB2312" w:cs="仿宋_GB2312"/>
          <w:color w:val="auto"/>
          <w:sz w:val="36"/>
          <w:szCs w:val="36"/>
          <w:highlight w:val="none"/>
          <w:lang w:val="en-US" w:eastAsia="zh-CN"/>
        </w:rPr>
      </w:pPr>
    </w:p>
    <w:p w14:paraId="5F0B18B5">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32"/>
          <w:szCs w:val="32"/>
          <w:highlight w:val="none"/>
        </w:rPr>
        <w:t>法定代表人证明书</w:t>
      </w:r>
    </w:p>
    <w:p w14:paraId="165F3115">
      <w:pPr>
        <w:spacing w:line="360" w:lineRule="auto"/>
        <w:ind w:left="540"/>
        <w:contextualSpacing/>
        <w:rPr>
          <w:rFonts w:hint="eastAsia" w:ascii="仿宋_GB2312" w:hAnsi="仿宋_GB2312" w:eastAsia="仿宋_GB2312" w:cs="仿宋_GB2312"/>
          <w:color w:val="auto"/>
          <w:sz w:val="32"/>
          <w:szCs w:val="32"/>
          <w:highlight w:val="none"/>
        </w:rPr>
      </w:pPr>
    </w:p>
    <w:p w14:paraId="7975E254">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0971A7A9">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34BBBCE9">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6636B550">
      <w:pPr>
        <w:spacing w:line="360" w:lineRule="auto"/>
        <w:ind w:left="540"/>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1BE88B1F">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15ECE8FA">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76E96ACD">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特此证明。</w:t>
      </w:r>
    </w:p>
    <w:p w14:paraId="52D61F11">
      <w:pPr>
        <w:spacing w:line="360" w:lineRule="auto"/>
        <w:ind w:left="540"/>
        <w:contextualSpacing/>
        <w:rPr>
          <w:rFonts w:hint="eastAsia" w:ascii="宋体" w:hAnsi="宋体" w:cs="仿宋_GB2312"/>
          <w:color w:val="auto"/>
          <w:sz w:val="24"/>
          <w:highlight w:val="none"/>
        </w:rPr>
      </w:pPr>
    </w:p>
    <w:p w14:paraId="49242BBE">
      <w:pPr>
        <w:spacing w:line="360" w:lineRule="auto"/>
        <w:ind w:left="540"/>
        <w:contextualSpacing/>
        <w:rPr>
          <w:rFonts w:hint="eastAsia" w:ascii="宋体" w:hAnsi="宋体" w:cs="仿宋_GB2312"/>
          <w:color w:val="auto"/>
          <w:sz w:val="24"/>
          <w:highlight w:val="none"/>
        </w:rPr>
      </w:pPr>
    </w:p>
    <w:p w14:paraId="5D567372">
      <w:pPr>
        <w:spacing w:line="360" w:lineRule="auto"/>
        <w:ind w:left="540"/>
        <w:contextualSpacing/>
        <w:rPr>
          <w:rFonts w:hint="eastAsia" w:ascii="宋体" w:hAnsi="宋体" w:cs="仿宋_GB2312"/>
          <w:color w:val="auto"/>
          <w:sz w:val="24"/>
          <w:highlight w:val="none"/>
        </w:rPr>
      </w:pPr>
    </w:p>
    <w:p w14:paraId="1F8B0E72">
      <w:pPr>
        <w:spacing w:line="360" w:lineRule="auto"/>
        <w:ind w:left="540"/>
        <w:contextualSpacing/>
        <w:rPr>
          <w:rFonts w:hint="default" w:ascii="宋体" w:hAnsi="宋体" w:eastAsia="宋体" w:cs="仿宋_GB2312"/>
          <w:color w:val="auto"/>
          <w:sz w:val="24"/>
          <w:highlight w:val="none"/>
          <w:lang w:val="en-US" w:eastAsia="zh-CN"/>
        </w:rPr>
      </w:pPr>
      <w:r>
        <w:rPr>
          <w:rFonts w:hint="eastAsia" w:ascii="宋体" w:hAnsi="宋体" w:cs="仿宋_GB2312"/>
          <w:color w:val="auto"/>
          <w:sz w:val="24"/>
          <w:highlight w:val="none"/>
        </w:rPr>
        <w:t>附件：法定代表人有效身份证正反面复印件</w:t>
      </w:r>
      <w:r>
        <w:rPr>
          <w:rFonts w:hint="eastAsia" w:ascii="宋体" w:hAnsi="宋体" w:cs="仿宋_GB2312"/>
          <w:color w:val="auto"/>
          <w:sz w:val="24"/>
          <w:highlight w:val="none"/>
          <w:lang w:val="en-US" w:eastAsia="zh-CN"/>
        </w:rPr>
        <w:t>或扫描件</w:t>
      </w:r>
    </w:p>
    <w:p w14:paraId="7C835C62">
      <w:pPr>
        <w:spacing w:line="360" w:lineRule="auto"/>
        <w:ind w:left="540"/>
        <w:contextualSpacing/>
        <w:rPr>
          <w:rFonts w:hint="eastAsia" w:ascii="宋体" w:hAnsi="宋体" w:cs="仿宋_GB2312"/>
          <w:color w:val="auto"/>
          <w:sz w:val="24"/>
          <w:highlight w:val="none"/>
        </w:rPr>
      </w:pPr>
    </w:p>
    <w:p w14:paraId="694410E5">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0C1A185D">
      <w:pPr>
        <w:spacing w:line="360" w:lineRule="auto"/>
        <w:contextualSpacing/>
        <w:jc w:val="center"/>
        <w:rPr>
          <w:rFonts w:hint="eastAsia"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762CE03E">
      <w:pPr>
        <w:spacing w:line="360" w:lineRule="auto"/>
        <w:contextualSpacing/>
        <w:jc w:val="left"/>
        <w:rPr>
          <w:rFonts w:hint="eastAsia" w:ascii="宋体" w:hAnsi="宋体" w:cs="仿宋_GB2312"/>
          <w:color w:val="auto"/>
          <w:sz w:val="24"/>
          <w:highlight w:val="none"/>
        </w:rPr>
      </w:pPr>
    </w:p>
    <w:p w14:paraId="137BA68E">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注：1</w:t>
      </w:r>
      <w:r>
        <w:rPr>
          <w:rFonts w:ascii="宋体" w:hAnsi="宋体" w:cs="仿宋_GB2312"/>
          <w:color w:val="auto"/>
          <w:sz w:val="24"/>
          <w:highlight w:val="none"/>
        </w:rPr>
        <w:t>.</w:t>
      </w:r>
      <w:r>
        <w:rPr>
          <w:rFonts w:hint="eastAsia" w:ascii="宋体" w:hAnsi="宋体" w:cs="仿宋_GB2312"/>
          <w:color w:val="auto"/>
          <w:sz w:val="24"/>
          <w:highlight w:val="none"/>
        </w:rPr>
        <w:t>自然人竞标的无需提供，联合体竞标的只需牵头人出具。</w:t>
      </w:r>
    </w:p>
    <w:p w14:paraId="57A4CDD0">
      <w:pPr>
        <w:numPr>
          <w:ilvl w:val="0"/>
          <w:numId w:val="3"/>
        </w:numPr>
        <w:spacing w:line="360" w:lineRule="auto"/>
        <w:ind w:left="0" w:leftChars="0" w:firstLine="0" w:firstLineChars="0"/>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供应商为其他组织或者自然人时，本竞争性谈判文件规定的法定代表人指负责人或者自然人。本竞争性谈判文件所称负责人是指参加竞标的其他组织营业执照上的负责人，本竞争性谈判文件所称自然人指参与竞标的自然人本人。</w:t>
      </w:r>
    </w:p>
    <w:p w14:paraId="6D8BBCA1">
      <w:pPr>
        <w:pStyle w:val="2"/>
        <w:widowControl w:val="0"/>
        <w:numPr>
          <w:ilvl w:val="0"/>
          <w:numId w:val="0"/>
        </w:numPr>
        <w:spacing w:after="120"/>
        <w:jc w:val="both"/>
        <w:rPr>
          <w:color w:val="auto"/>
          <w:highlight w:val="none"/>
        </w:rPr>
      </w:pPr>
    </w:p>
    <w:p w14:paraId="7B2B3FED">
      <w:pPr>
        <w:pStyle w:val="2"/>
        <w:widowControl w:val="0"/>
        <w:numPr>
          <w:ilvl w:val="0"/>
          <w:numId w:val="0"/>
        </w:numPr>
        <w:spacing w:after="120"/>
        <w:jc w:val="both"/>
        <w:rPr>
          <w:color w:val="auto"/>
          <w:highlight w:val="none"/>
        </w:rPr>
      </w:pPr>
    </w:p>
    <w:p w14:paraId="6DA124E7">
      <w:pPr>
        <w:pStyle w:val="2"/>
        <w:widowControl w:val="0"/>
        <w:numPr>
          <w:ilvl w:val="0"/>
          <w:numId w:val="0"/>
        </w:numPr>
        <w:spacing w:after="120"/>
        <w:jc w:val="both"/>
        <w:rPr>
          <w:color w:val="auto"/>
          <w:highlight w:val="none"/>
        </w:rPr>
      </w:pPr>
    </w:p>
    <w:tbl>
      <w:tblPr>
        <w:tblStyle w:val="24"/>
        <w:tblpPr w:leftFromText="180" w:rightFromText="180" w:vertAnchor="text" w:horzAnchor="margin" w:tblpXSpec="center" w:tblpY="11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2A7D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1" w:type="dxa"/>
            <w:noWrap w:val="0"/>
            <w:vAlign w:val="top"/>
          </w:tcPr>
          <w:p w14:paraId="2A4CA575">
            <w:pPr>
              <w:spacing w:line="360" w:lineRule="auto"/>
              <w:rPr>
                <w:rFonts w:ascii="宋体"/>
                <w:b/>
                <w:color w:val="auto"/>
                <w:sz w:val="24"/>
                <w:highlight w:val="none"/>
              </w:rPr>
            </w:pPr>
          </w:p>
          <w:p w14:paraId="3DBE1A0C">
            <w:pPr>
              <w:spacing w:line="360" w:lineRule="auto"/>
              <w:rPr>
                <w:rFonts w:ascii="宋体"/>
                <w:b/>
                <w:color w:val="auto"/>
                <w:sz w:val="24"/>
                <w:highlight w:val="none"/>
              </w:rPr>
            </w:pPr>
            <w:r>
              <w:rPr>
                <w:rFonts w:hint="eastAsia" w:ascii="宋体"/>
                <w:b/>
                <w:color w:val="auto"/>
                <w:sz w:val="24"/>
                <w:highlight w:val="none"/>
              </w:rPr>
              <w:t>法定代表身份证复印件</w:t>
            </w:r>
            <w:r>
              <w:rPr>
                <w:rFonts w:hint="eastAsia" w:ascii="宋体"/>
                <w:b/>
                <w:color w:val="auto"/>
                <w:sz w:val="24"/>
                <w:highlight w:val="none"/>
                <w:lang w:val="en-US" w:eastAsia="zh-CN"/>
              </w:rPr>
              <w:t>或扫描件</w:t>
            </w:r>
            <w:r>
              <w:rPr>
                <w:rFonts w:hint="eastAsia" w:ascii="宋体"/>
                <w:b/>
                <w:color w:val="auto"/>
                <w:sz w:val="24"/>
                <w:highlight w:val="none"/>
              </w:rPr>
              <w:t>（正、反面）</w:t>
            </w:r>
          </w:p>
        </w:tc>
      </w:tr>
    </w:tbl>
    <w:p w14:paraId="5E6C4534">
      <w:pPr>
        <w:spacing w:line="360" w:lineRule="auto"/>
        <w:ind w:firstLine="482" w:firstLineChars="200"/>
        <w:contextualSpacing/>
        <w:jc w:val="left"/>
        <w:rPr>
          <w:rFonts w:hint="eastAsia" w:ascii="仿宋_GB2312" w:hAnsi="仿宋_GB2312" w:eastAsia="仿宋_GB2312" w:cs="仿宋_GB2312"/>
          <w:b/>
          <w:color w:val="auto"/>
          <w:sz w:val="32"/>
          <w:szCs w:val="32"/>
          <w:highlight w:val="none"/>
        </w:rPr>
      </w:pPr>
      <w:r>
        <w:rPr>
          <w:rFonts w:hint="eastAsia" w:hAnsi="宋体"/>
          <w:b/>
          <w:color w:val="auto"/>
          <w:sz w:val="24"/>
          <w:highlight w:val="none"/>
        </w:rPr>
        <w:t>附件：</w:t>
      </w:r>
    </w:p>
    <w:p w14:paraId="4C084062">
      <w:pPr>
        <w:adjustRightInd w:val="0"/>
        <w:snapToGrid w:val="0"/>
        <w:spacing w:line="300" w:lineRule="auto"/>
        <w:jc w:val="left"/>
        <w:rPr>
          <w:rFonts w:hint="eastAsia" w:ascii="宋体" w:hAnsi="宋体"/>
          <w:b/>
          <w:color w:val="auto"/>
          <w:szCs w:val="21"/>
          <w:highlight w:val="none"/>
        </w:rPr>
      </w:pPr>
    </w:p>
    <w:p w14:paraId="7AFD4EB0">
      <w:pPr>
        <w:snapToGrid w:val="0"/>
        <w:spacing w:line="360" w:lineRule="auto"/>
        <w:jc w:val="left"/>
        <w:rPr>
          <w:rFonts w:hint="eastAsia"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仿宋_GB2312" w:hAnsi="仿宋_GB2312" w:eastAsia="仿宋_GB2312" w:cs="仿宋_GB2312"/>
          <w:color w:val="auto"/>
          <w:sz w:val="36"/>
          <w:szCs w:val="36"/>
          <w:highlight w:val="none"/>
        </w:rPr>
        <w:t>法定代表人授权委托书</w:t>
      </w:r>
      <w:r>
        <w:rPr>
          <w:rFonts w:hint="eastAsia" w:ascii="仿宋_GB2312" w:hAnsi="仿宋_GB2312" w:eastAsia="仿宋_GB2312" w:cs="仿宋_GB2312"/>
          <w:color w:val="auto"/>
          <w:sz w:val="36"/>
          <w:szCs w:val="36"/>
          <w:highlight w:val="none"/>
          <w:lang w:eastAsia="zh-CN"/>
        </w:rPr>
        <w:t>（</w:t>
      </w:r>
      <w:r>
        <w:rPr>
          <w:rFonts w:hint="eastAsia" w:ascii="仿宋_GB2312" w:hAnsi="仿宋_GB2312" w:eastAsia="仿宋_GB2312" w:cs="仿宋_GB2312"/>
          <w:color w:val="auto"/>
          <w:sz w:val="36"/>
          <w:szCs w:val="36"/>
          <w:highlight w:val="none"/>
          <w:lang w:val="en-US" w:eastAsia="zh-CN"/>
        </w:rPr>
        <w:t>格式）</w:t>
      </w:r>
    </w:p>
    <w:p w14:paraId="103EAEC1">
      <w:pPr>
        <w:bidi w:val="0"/>
        <w:jc w:val="center"/>
        <w:rPr>
          <w:rFonts w:hint="eastAsia"/>
          <w:b/>
          <w:bCs/>
          <w:color w:val="auto"/>
          <w:sz w:val="36"/>
          <w:szCs w:val="44"/>
          <w:highlight w:val="none"/>
        </w:rPr>
      </w:pPr>
      <w:r>
        <w:rPr>
          <w:rFonts w:hint="eastAsia"/>
          <w:b/>
          <w:bCs/>
          <w:color w:val="auto"/>
          <w:sz w:val="36"/>
          <w:szCs w:val="44"/>
          <w:highlight w:val="none"/>
        </w:rPr>
        <w:t>授权委托书</w:t>
      </w:r>
    </w:p>
    <w:p w14:paraId="0CED4170">
      <w:pPr>
        <w:bidi w:val="0"/>
        <w:jc w:val="center"/>
        <w:rPr>
          <w:rFonts w:hint="eastAsia"/>
          <w:b/>
          <w:bCs/>
          <w:color w:val="auto"/>
          <w:sz w:val="36"/>
          <w:szCs w:val="44"/>
          <w:highlight w:val="none"/>
        </w:rPr>
      </w:pPr>
      <w:r>
        <w:rPr>
          <w:rFonts w:hint="eastAsia"/>
          <w:b/>
          <w:bCs/>
          <w:color w:val="auto"/>
          <w:sz w:val="36"/>
          <w:szCs w:val="44"/>
          <w:highlight w:val="none"/>
        </w:rPr>
        <w:t>（如有委托时）</w:t>
      </w:r>
    </w:p>
    <w:p w14:paraId="3877EC21">
      <w:pPr>
        <w:spacing w:line="520" w:lineRule="exact"/>
        <w:rPr>
          <w:rFonts w:hint="eastAsia" w:ascii="仿宋_GB2312" w:hAnsi="仿宋_GB2312" w:eastAsia="仿宋_GB2312" w:cs="仿宋_GB2312"/>
          <w:color w:val="auto"/>
          <w:sz w:val="32"/>
          <w:szCs w:val="32"/>
          <w:highlight w:val="none"/>
        </w:rPr>
      </w:pPr>
    </w:p>
    <w:p w14:paraId="5E95523A">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0D6F96E9">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7EAD2823">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我方对委托代理人的签字事项负全部责任。</w:t>
      </w:r>
    </w:p>
    <w:p w14:paraId="64C6EF36">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51FBBC42">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0A4C2E8A">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p>
    <w:p w14:paraId="7ABEABE1">
      <w:pPr>
        <w:spacing w:line="360" w:lineRule="auto"/>
        <w:rPr>
          <w:rFonts w:hint="eastAsia" w:ascii="宋体" w:hAnsi="宋体" w:cs="仿宋_GB2312"/>
          <w:color w:val="auto"/>
          <w:sz w:val="24"/>
          <w:highlight w:val="none"/>
        </w:rPr>
      </w:pPr>
    </w:p>
    <w:p w14:paraId="7760AB3E">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委托代理人（签字</w:t>
      </w:r>
      <w:r>
        <w:rPr>
          <w:rFonts w:hint="eastAsia" w:ascii="宋体" w:hAnsi="宋体" w:cs="仿宋_GB2312"/>
          <w:color w:val="auto"/>
          <w:sz w:val="24"/>
          <w:highlight w:val="none"/>
          <w:lang w:eastAsia="zh-CN"/>
        </w:rPr>
        <w:t>或者电子签名</w:t>
      </w:r>
      <w:r>
        <w:rPr>
          <w:rFonts w:hint="eastAsia" w:ascii="宋体" w:hAnsi="宋体" w:cs="仿宋_GB2312"/>
          <w:color w:val="auto"/>
          <w:sz w:val="24"/>
          <w:highlight w:val="none"/>
        </w:rPr>
        <w:t>）：        法定代表人（签字</w:t>
      </w:r>
      <w:r>
        <w:rPr>
          <w:rFonts w:hint="eastAsia" w:ascii="宋体" w:hAnsi="宋体" w:cs="仿宋_GB2312"/>
          <w:color w:val="auto"/>
          <w:sz w:val="24"/>
          <w:highlight w:val="none"/>
          <w:lang w:eastAsia="zh-CN"/>
        </w:rPr>
        <w:t>或者电子签名</w:t>
      </w:r>
      <w:r>
        <w:rPr>
          <w:rFonts w:hint="eastAsia" w:ascii="宋体" w:hAnsi="宋体" w:cs="仿宋_GB2312"/>
          <w:color w:val="auto"/>
          <w:sz w:val="24"/>
          <w:highlight w:val="none"/>
        </w:rPr>
        <w:t xml:space="preserve">）：                    </w:t>
      </w:r>
    </w:p>
    <w:p w14:paraId="3EEED9AF">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375CF59D">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6B789829">
      <w:pPr>
        <w:spacing w:line="360" w:lineRule="auto"/>
        <w:ind w:firstLine="3840" w:firstLineChars="1600"/>
        <w:rPr>
          <w:rFonts w:ascii="宋体" w:hAnsi="宋体" w:cs="仿宋_GB2312"/>
          <w:color w:val="auto"/>
          <w:sz w:val="24"/>
          <w:highlight w:val="none"/>
        </w:rPr>
      </w:pPr>
      <w:r>
        <w:rPr>
          <w:rFonts w:hint="eastAsia" w:ascii="宋体" w:hAnsi="宋体" w:cs="仿宋_GB2312"/>
          <w:color w:val="auto"/>
          <w:sz w:val="24"/>
          <w:highlight w:val="none"/>
        </w:rPr>
        <w:t xml:space="preserve">  </w:t>
      </w:r>
      <w:r>
        <w:rPr>
          <w:rFonts w:hint="eastAsia" w:ascii="仿宋_GB2312" w:hAnsi="仿宋" w:eastAsia="仿宋_GB2312" w:cs="仿宋_GB2312"/>
          <w:color w:val="auto"/>
          <w:kern w:val="0"/>
          <w:sz w:val="24"/>
          <w:highlight w:val="none"/>
        </w:rPr>
        <w:t>供应商名称（电子签章）：</w:t>
      </w:r>
    </w:p>
    <w:p w14:paraId="55955FEB">
      <w:pPr>
        <w:spacing w:line="360" w:lineRule="auto"/>
        <w:contextualSpacing/>
        <w:jc w:val="center"/>
        <w:rPr>
          <w:rFonts w:hint="eastAsia"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52BADD97">
      <w:pPr>
        <w:spacing w:line="360" w:lineRule="auto"/>
        <w:rPr>
          <w:rFonts w:hint="eastAsia" w:ascii="宋体" w:hAnsi="宋体" w:cs="仿宋_GB2312"/>
          <w:color w:val="auto"/>
          <w:sz w:val="24"/>
          <w:highlight w:val="none"/>
        </w:rPr>
      </w:pPr>
    </w:p>
    <w:p w14:paraId="5109AC1B">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注：1. 法定代表人授权委托书必须由法定代表人及委托代理人签字</w:t>
      </w:r>
      <w:r>
        <w:rPr>
          <w:rFonts w:hint="eastAsia" w:ascii="宋体" w:hAnsi="宋体" w:cs="仿宋_GB2312"/>
          <w:color w:val="auto"/>
          <w:sz w:val="24"/>
          <w:highlight w:val="none"/>
          <w:lang w:eastAsia="zh-CN"/>
        </w:rPr>
        <w:t>或者电子签名</w:t>
      </w:r>
      <w:r>
        <w:rPr>
          <w:rFonts w:hint="eastAsia" w:ascii="宋体" w:hAnsi="宋体" w:cs="仿宋_GB2312"/>
          <w:color w:val="auto"/>
          <w:sz w:val="24"/>
          <w:highlight w:val="none"/>
        </w:rPr>
        <w:t>，并加盖供应商电子公章，</w:t>
      </w:r>
      <w:r>
        <w:rPr>
          <w:rFonts w:hint="eastAsia" w:ascii="宋体" w:hAnsi="宋体" w:cs="仿宋_GB2312"/>
          <w:b/>
          <w:bCs/>
          <w:color w:val="auto"/>
          <w:sz w:val="24"/>
          <w:highlight w:val="none"/>
        </w:rPr>
        <w:t>否则响应文件按无效响应处理</w:t>
      </w:r>
      <w:r>
        <w:rPr>
          <w:rFonts w:hint="eastAsia" w:ascii="宋体" w:hAnsi="宋体" w:cs="仿宋_GB2312"/>
          <w:color w:val="auto"/>
          <w:sz w:val="24"/>
          <w:highlight w:val="none"/>
        </w:rPr>
        <w:t>。</w:t>
      </w:r>
    </w:p>
    <w:p w14:paraId="7B96F56F">
      <w:pPr>
        <w:spacing w:line="360" w:lineRule="auto"/>
        <w:ind w:firstLine="480" w:firstLineChars="200"/>
        <w:jc w:val="left"/>
        <w:rPr>
          <w:rFonts w:ascii="宋体" w:hAnsi="宋体" w:cs="仿宋_GB2312"/>
          <w:color w:val="auto"/>
          <w:sz w:val="24"/>
          <w:highlight w:val="none"/>
        </w:rPr>
      </w:pPr>
      <w:r>
        <w:rPr>
          <w:rFonts w:ascii="宋体" w:hAnsi="宋体" w:cs="仿宋_GB2312"/>
          <w:color w:val="auto"/>
          <w:sz w:val="24"/>
          <w:highlight w:val="none"/>
        </w:rPr>
        <w:t>2.</w:t>
      </w:r>
      <w:r>
        <w:rPr>
          <w:rFonts w:hint="eastAsia" w:ascii="宋体" w:hAnsi="宋体" w:cs="仿宋_GB2312"/>
          <w:color w:val="auto"/>
          <w:sz w:val="24"/>
          <w:highlight w:val="none"/>
        </w:rPr>
        <w:t>供应商为其他组织或者自然人时，本竞争性谈判文件规定的法定代表人指负责人或者自然人。本竞争性谈判文件所称负责人是指参加竞标的其他组织营业执照上的负责人，本竞争性谈判文件所称自然人指参与竞标的自然人本人。</w:t>
      </w:r>
    </w:p>
    <w:p w14:paraId="10C9FD96">
      <w:pPr>
        <w:spacing w:line="360" w:lineRule="auto"/>
        <w:ind w:firstLine="480" w:firstLineChars="200"/>
        <w:jc w:val="left"/>
        <w:rPr>
          <w:rFonts w:hint="eastAsia" w:ascii="仿宋_GB2312" w:hAnsi="仿宋_GB2312" w:cs="仿宋_GB2312"/>
          <w:color w:val="auto"/>
          <w:szCs w:val="21"/>
          <w:highlight w:val="none"/>
        </w:rPr>
      </w:pPr>
      <w:r>
        <w:rPr>
          <w:rFonts w:hint="eastAsia" w:ascii="宋体" w:hAnsi="宋体" w:cs="仿宋_GB2312"/>
          <w:color w:val="auto"/>
          <w:sz w:val="24"/>
          <w:highlight w:val="none"/>
        </w:rPr>
        <w:t>3</w:t>
      </w:r>
      <w:r>
        <w:rPr>
          <w:rFonts w:ascii="宋体" w:hAnsi="宋体" w:cs="仿宋_GB2312"/>
          <w:color w:val="auto"/>
          <w:sz w:val="24"/>
          <w:highlight w:val="none"/>
        </w:rPr>
        <w:t>.</w:t>
      </w:r>
      <w:r>
        <w:rPr>
          <w:rFonts w:hint="eastAsia" w:ascii="宋体" w:hAnsi="宋体" w:cs="仿宋_GB2312"/>
          <w:color w:val="auto"/>
          <w:sz w:val="24"/>
          <w:highlight w:val="none"/>
        </w:rPr>
        <w:t xml:space="preserve"> 法人、其他组织竞标时“我方”是指“我单位”，自然人竞标时“我方”是指“本人”。</w:t>
      </w:r>
    </w:p>
    <w:p w14:paraId="39FEDA9E">
      <w:pPr>
        <w:spacing w:line="360" w:lineRule="auto"/>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14C3BD56">
      <w:pPr>
        <w:spacing w:line="360" w:lineRule="auto"/>
        <w:ind w:firstLine="420" w:firstLineChars="200"/>
        <w:contextualSpacing/>
        <w:jc w:val="left"/>
        <w:rPr>
          <w:rFonts w:hint="eastAsia" w:ascii="仿宋_GB2312" w:hAnsi="仿宋_GB2312" w:eastAsia="仿宋_GB2312" w:cs="仿宋_GB2312"/>
          <w:color w:val="auto"/>
          <w:szCs w:val="21"/>
          <w:highlight w:val="none"/>
        </w:rPr>
      </w:pPr>
    </w:p>
    <w:p w14:paraId="623BB1E8">
      <w:pPr>
        <w:spacing w:line="360" w:lineRule="auto"/>
        <w:contextualSpacing/>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6"/>
          <w:szCs w:val="36"/>
          <w:highlight w:val="none"/>
        </w:rPr>
        <w:t>商务要求偏离表</w:t>
      </w:r>
      <w:r>
        <w:rPr>
          <w:rFonts w:hint="eastAsia" w:ascii="仿宋_GB2312" w:hAnsi="仿宋_GB2312" w:eastAsia="仿宋_GB2312" w:cs="仿宋_GB2312"/>
          <w:color w:val="auto"/>
          <w:sz w:val="36"/>
          <w:szCs w:val="36"/>
          <w:highlight w:val="none"/>
          <w:lang w:eastAsia="zh-CN"/>
        </w:rPr>
        <w:t>（</w:t>
      </w:r>
      <w:r>
        <w:rPr>
          <w:rFonts w:hint="eastAsia" w:ascii="仿宋_GB2312" w:hAnsi="仿宋_GB2312" w:eastAsia="仿宋_GB2312" w:cs="仿宋_GB2312"/>
          <w:color w:val="auto"/>
          <w:sz w:val="36"/>
          <w:szCs w:val="36"/>
          <w:highlight w:val="none"/>
          <w:lang w:val="en-US" w:eastAsia="zh-CN"/>
        </w:rPr>
        <w:t>格式）</w:t>
      </w:r>
    </w:p>
    <w:p w14:paraId="1EACDFAC">
      <w:pPr>
        <w:pStyle w:val="2"/>
        <w:rPr>
          <w:rFonts w:hint="eastAsia"/>
          <w:color w:val="auto"/>
          <w:highlight w:val="none"/>
        </w:rPr>
      </w:pPr>
    </w:p>
    <w:p w14:paraId="5C811B7E">
      <w:pPr>
        <w:spacing w:line="500" w:lineRule="exact"/>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商务要求偏离表格式</w:t>
      </w:r>
    </w:p>
    <w:p w14:paraId="257A3874">
      <w:pPr>
        <w:snapToGrid w:val="0"/>
        <w:spacing w:before="50"/>
        <w:jc w:val="left"/>
        <w:rPr>
          <w:rFonts w:hint="eastAsia" w:ascii="宋体" w:hAnsi="宋体"/>
          <w:color w:val="auto"/>
          <w:sz w:val="24"/>
          <w:highlight w:val="none"/>
        </w:rPr>
      </w:pPr>
    </w:p>
    <w:p w14:paraId="53923777">
      <w:pPr>
        <w:pStyle w:val="13"/>
        <w:spacing w:line="360" w:lineRule="auto"/>
        <w:rPr>
          <w:rFonts w:hint="eastAsia" w:hAnsi="宋体" w:cs="仿宋_GB2312"/>
          <w:color w:val="auto"/>
          <w:sz w:val="24"/>
          <w:szCs w:val="24"/>
          <w:highlight w:val="none"/>
        </w:rPr>
      </w:pPr>
      <w:r>
        <w:rPr>
          <w:rFonts w:hint="eastAsia" w:hAnsi="宋体" w:cs="仿宋_GB2312"/>
          <w:color w:val="auto"/>
          <w:sz w:val="24"/>
          <w:szCs w:val="24"/>
          <w:highlight w:val="none"/>
        </w:rPr>
        <w:t>所竞分标：</w:t>
      </w:r>
      <w:r>
        <w:rPr>
          <w:rFonts w:hint="eastAsia" w:hAnsi="宋体" w:cs="仿宋_GB2312"/>
          <w:color w:val="auto"/>
          <w:sz w:val="24"/>
          <w:szCs w:val="24"/>
          <w:highlight w:val="none"/>
          <w:u w:val="single"/>
        </w:rPr>
        <w:t xml:space="preserve">              </w:t>
      </w:r>
    </w:p>
    <w:tbl>
      <w:tblPr>
        <w:tblStyle w:val="24"/>
        <w:tblpPr w:leftFromText="180" w:rightFromText="180" w:vertAnchor="text" w:horzAnchor="margin" w:tblpY="311"/>
        <w:tblOverlap w:val="never"/>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633"/>
        <w:gridCol w:w="1829"/>
      </w:tblGrid>
      <w:tr w14:paraId="4C82DE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6BB403BC">
            <w:pPr>
              <w:snapToGrid w:val="0"/>
              <w:spacing w:before="120" w:beforeLines="50"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项目</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7CEC1FE0">
            <w:pPr>
              <w:snapToGrid w:val="0"/>
              <w:spacing w:before="120" w:beforeLines="50"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谈判文件商务要求</w:t>
            </w:r>
          </w:p>
        </w:tc>
        <w:tc>
          <w:tcPr>
            <w:tcW w:w="2633" w:type="dxa"/>
            <w:tcBorders>
              <w:top w:val="single" w:color="auto" w:sz="4" w:space="0"/>
              <w:left w:val="single" w:color="auto" w:sz="4" w:space="0"/>
              <w:bottom w:val="single" w:color="auto" w:sz="4" w:space="0"/>
              <w:right w:val="single" w:color="auto" w:sz="4" w:space="0"/>
            </w:tcBorders>
            <w:noWrap w:val="0"/>
            <w:vAlign w:val="center"/>
          </w:tcPr>
          <w:p w14:paraId="732687F3">
            <w:pPr>
              <w:snapToGrid w:val="0"/>
              <w:spacing w:before="120" w:beforeLines="50"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供应商的响应</w:t>
            </w:r>
          </w:p>
        </w:tc>
        <w:tc>
          <w:tcPr>
            <w:tcW w:w="1829" w:type="dxa"/>
            <w:tcBorders>
              <w:top w:val="single" w:color="auto" w:sz="4" w:space="0"/>
              <w:left w:val="single" w:color="auto" w:sz="4" w:space="0"/>
              <w:bottom w:val="single" w:color="auto" w:sz="4" w:space="0"/>
              <w:right w:val="single" w:color="auto" w:sz="4" w:space="0"/>
            </w:tcBorders>
            <w:noWrap w:val="0"/>
            <w:vAlign w:val="center"/>
          </w:tcPr>
          <w:p w14:paraId="10DBAF44">
            <w:pPr>
              <w:snapToGrid w:val="0"/>
              <w:spacing w:before="120" w:beforeLines="50"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偏离说明</w:t>
            </w:r>
          </w:p>
        </w:tc>
      </w:tr>
      <w:tr w14:paraId="62A22F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0199A1A3">
            <w:pPr>
              <w:jc w:val="center"/>
              <w:rPr>
                <w:rFonts w:ascii="宋体" w:hAnsi="宋体"/>
                <w:color w:val="auto"/>
                <w:sz w:val="24"/>
                <w:highlight w:val="none"/>
              </w:rPr>
            </w:pPr>
            <w:r>
              <w:rPr>
                <w:rFonts w:hint="eastAsia" w:ascii="宋体" w:hAnsi="宋体"/>
                <w:color w:val="auto"/>
                <w:sz w:val="24"/>
                <w:highlight w:val="none"/>
              </w:rPr>
              <w:t>交付时间（期限）和地点</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2FF5BAFA">
            <w:pPr>
              <w:jc w:val="center"/>
              <w:rPr>
                <w:rFonts w:ascii="宋体" w:hAnsi="宋体"/>
                <w:color w:val="auto"/>
                <w:sz w:val="24"/>
                <w:highlight w:val="none"/>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4CB63EC5">
            <w:pPr>
              <w:snapToGrid w:val="0"/>
              <w:spacing w:before="120" w:beforeLines="50" w:line="360" w:lineRule="auto"/>
              <w:jc w:val="center"/>
              <w:rPr>
                <w:rFonts w:hint="eastAsia"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4F63F544">
            <w:pPr>
              <w:snapToGrid w:val="0"/>
              <w:spacing w:before="120" w:beforeLines="50" w:line="360" w:lineRule="auto"/>
              <w:jc w:val="center"/>
              <w:rPr>
                <w:rFonts w:hint="eastAsia" w:ascii="宋体" w:hAnsi="宋体" w:cs="仿宋_GB2312"/>
                <w:color w:val="auto"/>
                <w:sz w:val="24"/>
                <w:highlight w:val="none"/>
              </w:rPr>
            </w:pPr>
          </w:p>
        </w:tc>
      </w:tr>
      <w:tr w14:paraId="493CD5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79533213">
            <w:pPr>
              <w:jc w:val="center"/>
              <w:rPr>
                <w:rFonts w:ascii="宋体" w:hAnsi="宋体"/>
                <w:color w:val="auto"/>
                <w:sz w:val="24"/>
                <w:highlight w:val="none"/>
              </w:rPr>
            </w:pPr>
            <w:r>
              <w:rPr>
                <w:rFonts w:hint="eastAsia" w:ascii="宋体" w:hAnsi="宋体"/>
                <w:color w:val="auto"/>
                <w:sz w:val="24"/>
                <w:highlight w:val="none"/>
              </w:rPr>
              <w:t>合同签订时间</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49AD4AA8">
            <w:pPr>
              <w:jc w:val="center"/>
              <w:rPr>
                <w:rFonts w:ascii="宋体" w:hAnsi="宋体"/>
                <w:color w:val="auto"/>
                <w:sz w:val="24"/>
                <w:highlight w:val="none"/>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061BF0BF">
            <w:pPr>
              <w:snapToGrid w:val="0"/>
              <w:spacing w:before="120" w:beforeLines="50" w:line="360" w:lineRule="auto"/>
              <w:ind w:left="43"/>
              <w:jc w:val="center"/>
              <w:rPr>
                <w:rFonts w:hint="eastAsia"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1C677A2D">
            <w:pPr>
              <w:snapToGrid w:val="0"/>
              <w:spacing w:before="120" w:beforeLines="50" w:line="360" w:lineRule="auto"/>
              <w:ind w:left="43"/>
              <w:jc w:val="center"/>
              <w:rPr>
                <w:rFonts w:hint="eastAsia" w:ascii="宋体" w:hAnsi="宋体" w:cs="仿宋_GB2312"/>
                <w:color w:val="auto"/>
                <w:sz w:val="24"/>
                <w:highlight w:val="none"/>
              </w:rPr>
            </w:pPr>
          </w:p>
        </w:tc>
      </w:tr>
      <w:tr w14:paraId="45E69F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noWrap w:val="0"/>
            <w:vAlign w:val="center"/>
          </w:tcPr>
          <w:p w14:paraId="0C3680AA">
            <w:pPr>
              <w:snapToGrid w:val="0"/>
              <w:spacing w:before="120" w:beforeLines="50"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222464C4">
            <w:pPr>
              <w:snapToGrid w:val="0"/>
              <w:spacing w:before="120" w:beforeLines="50" w:line="360" w:lineRule="auto"/>
              <w:jc w:val="center"/>
              <w:rPr>
                <w:rFonts w:hint="eastAsia" w:ascii="宋体" w:hAnsi="宋体" w:cs="仿宋_GB2312"/>
                <w:color w:val="auto"/>
                <w:sz w:val="24"/>
                <w:highlight w:val="none"/>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6F77616B">
            <w:pPr>
              <w:snapToGrid w:val="0"/>
              <w:spacing w:before="120" w:beforeLines="50" w:line="360" w:lineRule="auto"/>
              <w:jc w:val="center"/>
              <w:rPr>
                <w:rFonts w:hint="eastAsia"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396DEFFF">
            <w:pPr>
              <w:snapToGrid w:val="0"/>
              <w:spacing w:before="120" w:beforeLines="50" w:line="360" w:lineRule="auto"/>
              <w:jc w:val="center"/>
              <w:rPr>
                <w:rFonts w:hint="eastAsia" w:ascii="宋体" w:hAnsi="宋体" w:cs="仿宋_GB2312"/>
                <w:color w:val="auto"/>
                <w:sz w:val="24"/>
                <w:highlight w:val="none"/>
              </w:rPr>
            </w:pPr>
          </w:p>
        </w:tc>
      </w:tr>
    </w:tbl>
    <w:p w14:paraId="2A24C514">
      <w:pPr>
        <w:pStyle w:val="10"/>
        <w:spacing w:after="0" w:line="360" w:lineRule="auto"/>
        <w:contextualSpacing/>
        <w:rPr>
          <w:rFonts w:hint="eastAsia" w:ascii="宋体" w:hAnsi="宋体"/>
          <w:color w:val="auto"/>
          <w:kern w:val="0"/>
          <w:sz w:val="24"/>
          <w:szCs w:val="24"/>
          <w:highlight w:val="none"/>
        </w:rPr>
      </w:pPr>
      <w:r>
        <w:rPr>
          <w:rFonts w:hint="eastAsia" w:ascii="宋体" w:hAnsi="宋体"/>
          <w:color w:val="auto"/>
          <w:kern w:val="0"/>
          <w:sz w:val="24"/>
          <w:szCs w:val="24"/>
          <w:highlight w:val="none"/>
        </w:rPr>
        <w:t>注：</w:t>
      </w:r>
    </w:p>
    <w:p w14:paraId="6C303427">
      <w:pPr>
        <w:pStyle w:val="10"/>
        <w:spacing w:after="0" w:line="360" w:lineRule="auto"/>
        <w:contextualSpacing/>
        <w:rPr>
          <w:rFonts w:ascii="宋体" w:hAnsi="宋体"/>
          <w:color w:val="auto"/>
          <w:kern w:val="0"/>
          <w:sz w:val="24"/>
          <w:szCs w:val="24"/>
          <w:highlight w:val="none"/>
        </w:rPr>
      </w:pPr>
      <w:r>
        <w:rPr>
          <w:rFonts w:hint="eastAsia" w:ascii="宋体" w:hAnsi="宋体"/>
          <w:color w:val="auto"/>
          <w:kern w:val="0"/>
          <w:sz w:val="24"/>
          <w:szCs w:val="24"/>
          <w:highlight w:val="none"/>
        </w:rPr>
        <w:t>1. 说明：应对照谈判文件“第三章 采购需求”中的商务要求逐条明确响应，并作出偏离说明。</w:t>
      </w:r>
    </w:p>
    <w:p w14:paraId="7BE31E06">
      <w:pPr>
        <w:pStyle w:val="10"/>
        <w:spacing w:after="0" w:line="360" w:lineRule="auto"/>
        <w:contextualSpacing/>
        <w:rPr>
          <w:rFonts w:hint="eastAsia" w:ascii="宋体" w:hAnsi="宋体"/>
          <w:color w:val="auto"/>
          <w:kern w:val="0"/>
          <w:sz w:val="24"/>
          <w:szCs w:val="24"/>
          <w:highlight w:val="none"/>
        </w:rPr>
      </w:pPr>
      <w:r>
        <w:rPr>
          <w:rFonts w:hint="eastAsia" w:ascii="宋体" w:hAnsi="宋体"/>
          <w:color w:val="auto"/>
          <w:kern w:val="0"/>
          <w:sz w:val="24"/>
          <w:szCs w:val="24"/>
          <w:highlight w:val="none"/>
        </w:rPr>
        <w:t>2.供应商应根据自身的承诺，对照谈判文件要求在“偏离说明”中注明“正偏离”、“负偏离”或者“无偏离”。既不属于“正偏离”也不属于“负偏离”即为“无偏离”。</w:t>
      </w:r>
    </w:p>
    <w:p w14:paraId="1D310AFE">
      <w:pPr>
        <w:spacing w:line="360" w:lineRule="auto"/>
        <w:contextualSpacing/>
        <w:jc w:val="left"/>
        <w:rPr>
          <w:rFonts w:hint="eastAsia" w:ascii="宋体" w:hAnsi="宋体" w:cs="仿宋_GB2312"/>
          <w:color w:val="auto"/>
          <w:sz w:val="24"/>
          <w:highlight w:val="none"/>
          <w:u w:val="single"/>
        </w:rPr>
      </w:pPr>
    </w:p>
    <w:p w14:paraId="54B24500">
      <w:pPr>
        <w:spacing w:line="360" w:lineRule="auto"/>
        <w:contextualSpacing/>
        <w:jc w:val="left"/>
        <w:rPr>
          <w:rFonts w:hint="eastAsia" w:ascii="宋体" w:hAnsi="宋体" w:cs="仿宋_GB2312"/>
          <w:color w:val="auto"/>
          <w:sz w:val="24"/>
          <w:highlight w:val="none"/>
          <w:u w:val="single"/>
        </w:rPr>
      </w:pPr>
    </w:p>
    <w:p w14:paraId="3784949B">
      <w:pPr>
        <w:spacing w:line="360" w:lineRule="auto"/>
        <w:ind w:right="-817" w:rightChars="-389"/>
        <w:contextualSpacing/>
        <w:rPr>
          <w:rFonts w:hint="eastAsia" w:ascii="宋体" w:hAnsi="宋体" w:cs="仿宋_GB2312"/>
          <w:color w:val="auto"/>
          <w:sz w:val="24"/>
          <w:highlight w:val="none"/>
        </w:rPr>
      </w:pPr>
    </w:p>
    <w:p w14:paraId="52579E79">
      <w:pPr>
        <w:spacing w:line="360" w:lineRule="auto"/>
        <w:ind w:right="-817" w:rightChars="-389"/>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2B4B7D08">
      <w:pPr>
        <w:spacing w:line="360" w:lineRule="auto"/>
        <w:ind w:right="-817" w:rightChars="-389" w:firstLine="2880" w:firstLineChars="1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7D40C7EF">
      <w:pPr>
        <w:spacing w:line="360" w:lineRule="auto"/>
        <w:ind w:right="-817" w:rightChars="-389" w:firstLine="2880" w:firstLineChars="1200"/>
        <w:contextualSpacing/>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01C421BD">
      <w:pPr>
        <w:adjustRightInd w:val="0"/>
        <w:snapToGrid w:val="0"/>
        <w:spacing w:line="520" w:lineRule="exact"/>
        <w:ind w:firstLine="7040" w:firstLineChars="1600"/>
        <w:jc w:val="center"/>
        <w:rPr>
          <w:rFonts w:hint="eastAsia" w:ascii="方正小标宋简体" w:hAnsi="方正小标宋简体" w:eastAsia="方正小标宋简体" w:cs="方正小标宋简体"/>
          <w:bCs/>
          <w:color w:val="auto"/>
          <w:sz w:val="44"/>
          <w:szCs w:val="44"/>
          <w:highlight w:val="none"/>
        </w:rPr>
      </w:pPr>
    </w:p>
    <w:p w14:paraId="6F00DDA0">
      <w:pPr>
        <w:adjustRightInd w:val="0"/>
        <w:snapToGrid w:val="0"/>
        <w:spacing w:line="520" w:lineRule="exact"/>
        <w:jc w:val="left"/>
        <w:rPr>
          <w:rFonts w:hint="eastAsia" w:ascii="方正小标宋简体" w:hAnsi="方正小标宋简体" w:eastAsia="方正小标宋简体" w:cs="方正小标宋简体"/>
          <w:bCs/>
          <w:color w:val="auto"/>
          <w:sz w:val="44"/>
          <w:szCs w:val="44"/>
          <w:highlight w:val="none"/>
        </w:rPr>
      </w:pPr>
      <w:r>
        <w:rPr>
          <w:rFonts w:ascii="方正小标宋简体" w:hAnsi="方正小标宋简体" w:eastAsia="方正小标宋简体" w:cs="方正小标宋简体"/>
          <w:bCs/>
          <w:color w:val="auto"/>
          <w:sz w:val="44"/>
          <w:szCs w:val="44"/>
          <w:highlight w:val="none"/>
        </w:rPr>
        <w:br w:type="page"/>
      </w:r>
      <w:r>
        <w:rPr>
          <w:rFonts w:hint="eastAsia" w:ascii="仿宋_GB2312" w:hAnsi="仿宋_GB2312" w:eastAsia="仿宋_GB2312" w:cs="仿宋_GB2312"/>
          <w:color w:val="auto"/>
          <w:sz w:val="36"/>
          <w:szCs w:val="36"/>
          <w:highlight w:val="none"/>
        </w:rPr>
        <w:t>售后服务承诺</w:t>
      </w:r>
      <w:r>
        <w:rPr>
          <w:rFonts w:hint="eastAsia" w:ascii="仿宋_GB2312" w:hAnsi="仿宋_GB2312" w:eastAsia="仿宋_GB2312" w:cs="仿宋_GB2312"/>
          <w:color w:val="auto"/>
          <w:sz w:val="36"/>
          <w:szCs w:val="36"/>
          <w:highlight w:val="none"/>
          <w:lang w:eastAsia="zh-CN"/>
        </w:rPr>
        <w:t>（</w:t>
      </w:r>
      <w:r>
        <w:rPr>
          <w:rFonts w:hint="eastAsia" w:ascii="仿宋_GB2312" w:hAnsi="仿宋_GB2312" w:eastAsia="仿宋_GB2312" w:cs="仿宋_GB2312"/>
          <w:color w:val="auto"/>
          <w:sz w:val="36"/>
          <w:szCs w:val="36"/>
          <w:highlight w:val="none"/>
          <w:lang w:val="en-US" w:eastAsia="zh-CN"/>
        </w:rPr>
        <w:t>格式自拟）</w:t>
      </w:r>
    </w:p>
    <w:p w14:paraId="3046A3E9">
      <w:pPr>
        <w:pStyle w:val="2"/>
        <w:ind w:firstLine="630" w:firstLineChars="300"/>
        <w:rPr>
          <w:rFonts w:hint="eastAsia"/>
          <w:color w:val="auto"/>
          <w:highlight w:val="none"/>
        </w:rPr>
      </w:pPr>
    </w:p>
    <w:p w14:paraId="72D75355">
      <w:pPr>
        <w:pStyle w:val="2"/>
        <w:ind w:firstLine="630" w:firstLineChars="300"/>
        <w:rPr>
          <w:rFonts w:hint="eastAsia"/>
          <w:color w:val="auto"/>
          <w:highlight w:val="none"/>
        </w:rPr>
      </w:pPr>
    </w:p>
    <w:p w14:paraId="516797A8">
      <w:pPr>
        <w:pStyle w:val="2"/>
        <w:ind w:firstLine="630" w:firstLineChars="300"/>
        <w:rPr>
          <w:rFonts w:hint="eastAsia"/>
          <w:color w:val="auto"/>
          <w:highlight w:val="none"/>
        </w:rPr>
      </w:pPr>
    </w:p>
    <w:p w14:paraId="1454A606">
      <w:pPr>
        <w:pStyle w:val="2"/>
        <w:ind w:firstLine="630" w:firstLineChars="300"/>
        <w:rPr>
          <w:rFonts w:hint="eastAsia"/>
          <w:color w:val="auto"/>
          <w:highlight w:val="none"/>
        </w:rPr>
      </w:pPr>
    </w:p>
    <w:p w14:paraId="74BD7CE6">
      <w:pPr>
        <w:pStyle w:val="2"/>
        <w:rPr>
          <w:rFonts w:hint="eastAsia"/>
          <w:color w:val="auto"/>
          <w:highlight w:val="none"/>
        </w:rPr>
      </w:pPr>
    </w:p>
    <w:p w14:paraId="08189161">
      <w:pPr>
        <w:adjustRightInd w:val="0"/>
        <w:snapToGrid w:val="0"/>
        <w:spacing w:line="520" w:lineRule="exact"/>
        <w:jc w:val="left"/>
        <w:rPr>
          <w:rFonts w:hint="eastAsia" w:ascii="方正小标宋简体" w:hAnsi="方正小标宋简体" w:eastAsia="方正小标宋简体" w:cs="方正小标宋简体"/>
          <w:bCs/>
          <w:color w:val="auto"/>
          <w:sz w:val="44"/>
          <w:szCs w:val="44"/>
          <w:highlight w:val="none"/>
        </w:rPr>
      </w:pPr>
      <w:r>
        <w:rPr>
          <w:rFonts w:hint="eastAsia" w:ascii="仿宋_GB2312" w:hAnsi="仿宋_GB2312" w:eastAsia="仿宋_GB2312" w:cs="仿宋_GB2312"/>
          <w:color w:val="auto"/>
          <w:sz w:val="36"/>
          <w:szCs w:val="36"/>
          <w:highlight w:val="none"/>
        </w:rPr>
        <w:t>货物配置清单</w:t>
      </w:r>
      <w:r>
        <w:rPr>
          <w:rFonts w:hint="eastAsia" w:ascii="仿宋_GB2312" w:hAnsi="仿宋_GB2312" w:eastAsia="仿宋_GB2312" w:cs="仿宋_GB2312"/>
          <w:color w:val="auto"/>
          <w:sz w:val="36"/>
          <w:szCs w:val="36"/>
          <w:highlight w:val="none"/>
          <w:lang w:eastAsia="zh-CN"/>
        </w:rPr>
        <w:t>（</w:t>
      </w:r>
      <w:r>
        <w:rPr>
          <w:rFonts w:hint="eastAsia" w:ascii="仿宋_GB2312" w:hAnsi="仿宋_GB2312" w:eastAsia="仿宋_GB2312" w:cs="仿宋_GB2312"/>
          <w:color w:val="auto"/>
          <w:sz w:val="36"/>
          <w:szCs w:val="36"/>
          <w:highlight w:val="none"/>
          <w:lang w:val="en-US" w:eastAsia="zh-CN"/>
        </w:rPr>
        <w:t>格式）</w:t>
      </w:r>
    </w:p>
    <w:p w14:paraId="6D3648A5">
      <w:pPr>
        <w:adjustRightInd w:val="0"/>
        <w:snapToGrid w:val="0"/>
        <w:spacing w:line="520" w:lineRule="exact"/>
        <w:jc w:val="center"/>
        <w:rPr>
          <w:rFonts w:hint="eastAsia" w:ascii="方正小标宋简体" w:hAnsi="方正小标宋简体" w:eastAsia="方正小标宋简体" w:cs="方正小标宋简体"/>
          <w:bCs/>
          <w:color w:val="auto"/>
          <w:sz w:val="44"/>
          <w:szCs w:val="44"/>
          <w:highlight w:val="none"/>
        </w:rPr>
      </w:pPr>
    </w:p>
    <w:p w14:paraId="620F5826">
      <w:pPr>
        <w:adjustRightInd w:val="0"/>
        <w:snapToGrid w:val="0"/>
        <w:spacing w:line="520" w:lineRule="exact"/>
        <w:jc w:val="center"/>
        <w:rPr>
          <w:rFonts w:hint="eastAsia" w:ascii="宋体" w:hAnsi="宋体"/>
          <w:b/>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货物配置清单</w:t>
      </w:r>
    </w:p>
    <w:p w14:paraId="6A45EA7D">
      <w:pPr>
        <w:spacing w:line="300" w:lineRule="auto"/>
        <w:rPr>
          <w:rFonts w:hint="eastAsia" w:ascii="宋体" w:hAnsi="宋体"/>
          <w:color w:val="auto"/>
          <w:szCs w:val="21"/>
          <w:highlight w:val="none"/>
        </w:rPr>
      </w:pPr>
    </w:p>
    <w:p w14:paraId="1C0C8489">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35340101">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23944A05">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所竞分标：</w:t>
      </w:r>
      <w:r>
        <w:rPr>
          <w:rFonts w:hint="eastAsia" w:ascii="宋体" w:hAnsi="宋体" w:cs="仿宋_GB2312"/>
          <w:color w:val="auto"/>
          <w:sz w:val="24"/>
          <w:highlight w:val="none"/>
          <w:u w:val="single"/>
        </w:rPr>
        <w:t xml:space="preserve">                 </w:t>
      </w:r>
    </w:p>
    <w:tbl>
      <w:tblPr>
        <w:tblStyle w:val="24"/>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9"/>
        <w:gridCol w:w="1245"/>
        <w:gridCol w:w="803"/>
        <w:gridCol w:w="895"/>
        <w:gridCol w:w="1786"/>
        <w:gridCol w:w="1245"/>
        <w:gridCol w:w="737"/>
        <w:gridCol w:w="1496"/>
      </w:tblGrid>
      <w:tr w14:paraId="442D38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2AA189E7">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序号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0C34315E">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货物名称</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07BD3E7A">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数量及单位</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5059B551">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品牌</w:t>
            </w:r>
          </w:p>
        </w:tc>
        <w:tc>
          <w:tcPr>
            <w:tcW w:w="998" w:type="pct"/>
            <w:tcBorders>
              <w:top w:val="single" w:color="auto" w:sz="4" w:space="0"/>
              <w:left w:val="single" w:color="auto" w:sz="4" w:space="0"/>
              <w:bottom w:val="single" w:color="auto" w:sz="4" w:space="0"/>
              <w:right w:val="single" w:color="auto" w:sz="4" w:space="0"/>
            </w:tcBorders>
            <w:noWrap w:val="0"/>
            <w:vAlign w:val="top"/>
          </w:tcPr>
          <w:p w14:paraId="2A3F165D">
            <w:pPr>
              <w:snapToGrid w:val="0"/>
              <w:spacing w:before="50" w:after="50"/>
              <w:jc w:val="center"/>
              <w:rPr>
                <w:rFonts w:ascii="宋体" w:hAnsi="宋体"/>
                <w:color w:val="auto"/>
                <w:sz w:val="24"/>
                <w:highlight w:val="none"/>
              </w:rPr>
            </w:pPr>
          </w:p>
          <w:p w14:paraId="5D43752D">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规格型号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7C729630">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制造商</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50EAA121">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原产地</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416D94F1">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参数性能、指标及配置</w:t>
            </w:r>
          </w:p>
        </w:tc>
      </w:tr>
      <w:tr w14:paraId="5B8A8F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37B493F9">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6DDF0A01">
            <w:pPr>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3B1E3E54">
            <w:pPr>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59148592">
            <w:pPr>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09E5065A">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68F20CDF">
            <w:pPr>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47F15EE1">
            <w:pPr>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5FE5484F">
            <w:pPr>
              <w:snapToGrid w:val="0"/>
              <w:spacing w:before="50" w:after="50"/>
              <w:jc w:val="center"/>
              <w:rPr>
                <w:rFonts w:hint="eastAsia" w:ascii="宋体" w:hAnsi="宋体"/>
                <w:color w:val="auto"/>
                <w:sz w:val="24"/>
                <w:highlight w:val="none"/>
              </w:rPr>
            </w:pPr>
          </w:p>
        </w:tc>
      </w:tr>
      <w:tr w14:paraId="236D70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75D0D1C9">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5A030E1A">
            <w:pPr>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5ACE02B5">
            <w:pPr>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59233FB9">
            <w:pPr>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27842702">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5186C584">
            <w:pPr>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4ED4FAF6">
            <w:pPr>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273F7CD4">
            <w:pPr>
              <w:snapToGrid w:val="0"/>
              <w:spacing w:before="50" w:after="50"/>
              <w:jc w:val="center"/>
              <w:rPr>
                <w:rFonts w:hint="eastAsia" w:ascii="宋体" w:hAnsi="宋体"/>
                <w:color w:val="auto"/>
                <w:sz w:val="24"/>
                <w:highlight w:val="none"/>
              </w:rPr>
            </w:pPr>
          </w:p>
        </w:tc>
      </w:tr>
      <w:tr w14:paraId="510610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13FF42C1">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7F56A3A1">
            <w:pPr>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0A82170D">
            <w:pPr>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6B4FF0D7">
            <w:pPr>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1B1B6F85">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5A1C8905">
            <w:pPr>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4F995C56">
            <w:pPr>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61412F2B">
            <w:pPr>
              <w:snapToGrid w:val="0"/>
              <w:spacing w:before="50" w:after="50"/>
              <w:jc w:val="center"/>
              <w:rPr>
                <w:rFonts w:hint="eastAsia" w:ascii="宋体" w:hAnsi="宋体"/>
                <w:color w:val="auto"/>
                <w:sz w:val="24"/>
                <w:highlight w:val="none"/>
              </w:rPr>
            </w:pPr>
          </w:p>
        </w:tc>
      </w:tr>
    </w:tbl>
    <w:p w14:paraId="19398D93">
      <w:pPr>
        <w:spacing w:line="360" w:lineRule="auto"/>
        <w:contextualSpacing/>
        <w:rPr>
          <w:rFonts w:hint="eastAsia" w:ascii="宋体" w:hAnsi="宋体"/>
          <w:color w:val="auto"/>
          <w:sz w:val="24"/>
          <w:highlight w:val="none"/>
        </w:rPr>
      </w:pPr>
      <w:r>
        <w:rPr>
          <w:rFonts w:hint="eastAsia" w:ascii="宋体" w:hAnsi="宋体"/>
          <w:color w:val="auto"/>
          <w:sz w:val="24"/>
          <w:highlight w:val="none"/>
        </w:rPr>
        <w:t>备注：</w:t>
      </w:r>
    </w:p>
    <w:p w14:paraId="544707B6">
      <w:pPr>
        <w:tabs>
          <w:tab w:val="left" w:pos="1065"/>
        </w:tabs>
        <w:adjustRightInd w:val="0"/>
        <w:spacing w:line="360" w:lineRule="auto"/>
        <w:contextualSpacing/>
        <w:rPr>
          <w:rFonts w:hint="eastAsia" w:ascii="宋体" w:hAnsi="宋体" w:cs="仿宋_GB2312"/>
          <w:color w:val="auto"/>
          <w:sz w:val="24"/>
          <w:highlight w:val="none"/>
        </w:rPr>
      </w:pPr>
      <w:r>
        <w:rPr>
          <w:rFonts w:hint="eastAsia" w:ascii="宋体" w:hAnsi="宋体"/>
          <w:b/>
          <w:bCs/>
          <w:color w:val="auto"/>
          <w:sz w:val="24"/>
          <w:highlight w:val="none"/>
        </w:rPr>
        <w:t>以上货物配置清单中“货物名称、数量及单位、品牌、规格型号、制造商、原产地、参数性能、指标及配置”必须如实填写完整，品牌、规格型号没有则填无，填写有缺漏的，响应文件按无效处理</w:t>
      </w:r>
      <w:r>
        <w:rPr>
          <w:rFonts w:hint="eastAsia" w:ascii="宋体" w:hAnsi="宋体"/>
          <w:b/>
          <w:color w:val="auto"/>
          <w:sz w:val="24"/>
          <w:highlight w:val="none"/>
        </w:rPr>
        <w:t>。</w:t>
      </w:r>
      <w:r>
        <w:rPr>
          <w:rFonts w:hint="eastAsia" w:ascii="宋体" w:hAnsi="宋体"/>
          <w:color w:val="auto"/>
          <w:sz w:val="24"/>
          <w:highlight w:val="none"/>
        </w:rPr>
        <w:t>货物名称、数量及单位、品牌必须与“竞标报价表”一致，</w:t>
      </w:r>
      <w:r>
        <w:rPr>
          <w:rFonts w:hint="eastAsia" w:ascii="宋体" w:hAnsi="宋体"/>
          <w:bCs/>
          <w:color w:val="auto"/>
          <w:sz w:val="24"/>
          <w:highlight w:val="none"/>
        </w:rPr>
        <w:t>否则响应文件按无效处理</w:t>
      </w:r>
      <w:r>
        <w:rPr>
          <w:rFonts w:hint="eastAsia" w:ascii="宋体" w:hAnsi="宋体"/>
          <w:b/>
          <w:color w:val="auto"/>
          <w:sz w:val="24"/>
          <w:highlight w:val="none"/>
        </w:rPr>
        <w:t>。</w:t>
      </w:r>
      <w:r>
        <w:rPr>
          <w:rFonts w:hint="eastAsia" w:ascii="宋体" w:hAnsi="宋体" w:cs="仿宋_GB2312"/>
          <w:color w:val="auto"/>
          <w:sz w:val="24"/>
          <w:highlight w:val="none"/>
        </w:rPr>
        <w:tab/>
      </w:r>
    </w:p>
    <w:p w14:paraId="33F8E291">
      <w:pPr>
        <w:adjustRightInd w:val="0"/>
        <w:spacing w:line="360" w:lineRule="auto"/>
        <w:contextualSpacing/>
        <w:jc w:val="left"/>
        <w:rPr>
          <w:rFonts w:hint="eastAsia" w:ascii="宋体" w:hAnsi="宋体" w:cs="仿宋_GB2312"/>
          <w:color w:val="auto"/>
          <w:sz w:val="24"/>
          <w:highlight w:val="none"/>
        </w:rPr>
      </w:pPr>
    </w:p>
    <w:p w14:paraId="75E917C7">
      <w:pPr>
        <w:adjustRightInd w:val="0"/>
        <w:spacing w:line="360" w:lineRule="auto"/>
        <w:contextualSpacing/>
        <w:jc w:val="left"/>
        <w:rPr>
          <w:rFonts w:hint="eastAsia" w:ascii="宋体" w:hAnsi="宋体" w:cs="仿宋_GB2312"/>
          <w:color w:val="auto"/>
          <w:sz w:val="24"/>
          <w:highlight w:val="none"/>
        </w:rPr>
      </w:pPr>
    </w:p>
    <w:p w14:paraId="4292F69F">
      <w:pPr>
        <w:adjustRightInd w:val="0"/>
        <w:spacing w:line="360" w:lineRule="auto"/>
        <w:contextualSpacing/>
        <w:jc w:val="left"/>
        <w:rPr>
          <w:rFonts w:hint="eastAsia" w:ascii="宋体" w:hAnsi="宋体" w:cs="仿宋_GB2312"/>
          <w:color w:val="auto"/>
          <w:sz w:val="24"/>
          <w:highlight w:val="none"/>
        </w:rPr>
      </w:pPr>
    </w:p>
    <w:p w14:paraId="50A5216F">
      <w:pPr>
        <w:spacing w:line="360" w:lineRule="auto"/>
        <w:ind w:right="-817" w:rightChars="-389"/>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13EDB677">
      <w:pPr>
        <w:spacing w:line="360" w:lineRule="auto"/>
        <w:ind w:right="-817" w:rightChars="-389" w:firstLine="2880" w:firstLineChars="12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44494969">
      <w:pPr>
        <w:spacing w:line="360" w:lineRule="auto"/>
        <w:ind w:right="-817" w:rightChars="-389" w:firstLine="2880" w:firstLineChars="1200"/>
        <w:contextualSpacing/>
        <w:rPr>
          <w:rFonts w:hint="eastAsia" w:ascii="仿宋_GB2312" w:hAnsi="仿宋_GB2312" w:eastAsia="仿宋_GB2312" w:cs="仿宋_GB2312"/>
          <w:b/>
          <w:color w:val="auto"/>
          <w:sz w:val="32"/>
          <w:szCs w:val="32"/>
          <w:highlight w:val="none"/>
        </w:rPr>
      </w:pPr>
      <w:r>
        <w:rPr>
          <w:rFonts w:hint="eastAsia" w:ascii="宋体" w:hAnsi="宋体" w:cs="仿宋_GB2312"/>
          <w:color w:val="auto"/>
          <w:sz w:val="24"/>
          <w:highlight w:val="none"/>
        </w:rPr>
        <w:t>日期：   年   月   日</w:t>
      </w:r>
    </w:p>
    <w:p w14:paraId="1DCADD66">
      <w:pPr>
        <w:adjustRightInd w:val="0"/>
        <w:snapToGrid w:val="0"/>
        <w:spacing w:line="300" w:lineRule="auto"/>
        <w:rPr>
          <w:rFonts w:hint="eastAsia" w:ascii="宋体" w:hAnsi="宋体"/>
          <w:color w:val="auto"/>
          <w:szCs w:val="21"/>
          <w:highlight w:val="none"/>
          <w:u w:val="single"/>
        </w:rPr>
      </w:pPr>
    </w:p>
    <w:p w14:paraId="0096E7F1">
      <w:pPr>
        <w:pStyle w:val="2"/>
        <w:rPr>
          <w:rFonts w:hint="eastAsia"/>
          <w:color w:val="auto"/>
          <w:highlight w:val="none"/>
        </w:rPr>
      </w:pPr>
    </w:p>
    <w:p w14:paraId="0AEBD863">
      <w:pPr>
        <w:adjustRightInd w:val="0"/>
        <w:snapToGrid w:val="0"/>
        <w:spacing w:line="300" w:lineRule="auto"/>
        <w:jc w:val="left"/>
        <w:rPr>
          <w:rFonts w:hint="eastAsia" w:ascii="仿宋_GB2312" w:hAnsi="仿宋_GB2312" w:eastAsia="仿宋_GB2312" w:cs="仿宋_GB2312"/>
          <w:color w:val="auto"/>
          <w:sz w:val="36"/>
          <w:szCs w:val="36"/>
          <w:highlight w:val="none"/>
        </w:rPr>
      </w:pPr>
      <w:r>
        <w:rPr>
          <w:rFonts w:hint="eastAsia" w:ascii="仿宋_GB2312" w:hAnsi="仿宋_GB2312" w:eastAsia="仿宋_GB2312" w:cs="仿宋_GB2312"/>
          <w:color w:val="auto"/>
          <w:sz w:val="36"/>
          <w:szCs w:val="36"/>
          <w:highlight w:val="none"/>
        </w:rPr>
        <w:t>技术要求偏离表</w:t>
      </w:r>
      <w:r>
        <w:rPr>
          <w:rFonts w:hint="eastAsia" w:ascii="仿宋_GB2312" w:hAnsi="仿宋_GB2312" w:eastAsia="仿宋_GB2312" w:cs="仿宋_GB2312"/>
          <w:color w:val="auto"/>
          <w:sz w:val="36"/>
          <w:szCs w:val="36"/>
          <w:highlight w:val="none"/>
          <w:lang w:eastAsia="zh-CN"/>
        </w:rPr>
        <w:t>（</w:t>
      </w:r>
      <w:r>
        <w:rPr>
          <w:rFonts w:hint="eastAsia" w:ascii="仿宋_GB2312" w:hAnsi="仿宋_GB2312" w:eastAsia="仿宋_GB2312" w:cs="仿宋_GB2312"/>
          <w:color w:val="auto"/>
          <w:sz w:val="36"/>
          <w:szCs w:val="36"/>
          <w:highlight w:val="none"/>
          <w:lang w:val="en-US" w:eastAsia="zh-CN"/>
        </w:rPr>
        <w:t>格式）</w:t>
      </w:r>
    </w:p>
    <w:p w14:paraId="63D096EC">
      <w:pPr>
        <w:pStyle w:val="2"/>
        <w:rPr>
          <w:rFonts w:hint="eastAsia"/>
          <w:color w:val="auto"/>
          <w:highlight w:val="none"/>
        </w:rPr>
      </w:pPr>
    </w:p>
    <w:p w14:paraId="1143FD2C">
      <w:pPr>
        <w:adjustRightInd w:val="0"/>
        <w:snapToGrid w:val="0"/>
        <w:spacing w:line="300" w:lineRule="auto"/>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技术要求偏离表</w:t>
      </w:r>
    </w:p>
    <w:p w14:paraId="79A68897">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采购项目编号：</w:t>
      </w:r>
      <w:r>
        <w:rPr>
          <w:rFonts w:hint="eastAsia" w:ascii="宋体" w:hAnsi="宋体" w:cs="仿宋_GB2312"/>
          <w:color w:val="auto"/>
          <w:sz w:val="24"/>
          <w:highlight w:val="none"/>
          <w:u w:val="single"/>
        </w:rPr>
        <w:t xml:space="preserve">                 </w:t>
      </w:r>
    </w:p>
    <w:p w14:paraId="438F0E9F">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采购项目名称：</w:t>
      </w:r>
      <w:r>
        <w:rPr>
          <w:rFonts w:hint="eastAsia" w:ascii="宋体" w:hAnsi="宋体" w:cs="仿宋_GB2312"/>
          <w:color w:val="auto"/>
          <w:sz w:val="24"/>
          <w:highlight w:val="none"/>
          <w:u w:val="single"/>
        </w:rPr>
        <w:t xml:space="preserve">                 </w:t>
      </w:r>
    </w:p>
    <w:p w14:paraId="4D239820">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分标号：</w:t>
      </w:r>
      <w:r>
        <w:rPr>
          <w:rFonts w:hint="eastAsia" w:ascii="宋体" w:hAnsi="宋体" w:cs="仿宋_GB2312"/>
          <w:color w:val="auto"/>
          <w:sz w:val="24"/>
          <w:highlight w:val="none"/>
          <w:u w:val="single"/>
        </w:rPr>
        <w:t xml:space="preserve">                       </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00"/>
        <w:gridCol w:w="1214"/>
        <w:gridCol w:w="2676"/>
        <w:gridCol w:w="2690"/>
        <w:gridCol w:w="1466"/>
      </w:tblGrid>
      <w:tr w14:paraId="733A76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7CA43554">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序号</w:t>
            </w:r>
          </w:p>
        </w:tc>
        <w:tc>
          <w:tcPr>
            <w:tcW w:w="678" w:type="pct"/>
            <w:tcBorders>
              <w:right w:val="single" w:color="auto" w:sz="4" w:space="0"/>
            </w:tcBorders>
            <w:noWrap w:val="0"/>
            <w:vAlign w:val="center"/>
          </w:tcPr>
          <w:p w14:paraId="2C86BFE6">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名称</w:t>
            </w:r>
          </w:p>
        </w:tc>
        <w:tc>
          <w:tcPr>
            <w:tcW w:w="1495" w:type="pct"/>
            <w:tcBorders>
              <w:left w:val="single" w:color="auto" w:sz="4" w:space="0"/>
            </w:tcBorders>
            <w:noWrap w:val="0"/>
            <w:vAlign w:val="center"/>
          </w:tcPr>
          <w:p w14:paraId="39E02157">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谈判文件要求</w:t>
            </w:r>
          </w:p>
        </w:tc>
        <w:tc>
          <w:tcPr>
            <w:tcW w:w="1503" w:type="pct"/>
            <w:noWrap w:val="0"/>
            <w:vAlign w:val="center"/>
          </w:tcPr>
          <w:p w14:paraId="11A38A5B">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竞标响应</w:t>
            </w:r>
          </w:p>
        </w:tc>
        <w:tc>
          <w:tcPr>
            <w:tcW w:w="819" w:type="pct"/>
            <w:noWrap w:val="0"/>
            <w:vAlign w:val="center"/>
          </w:tcPr>
          <w:p w14:paraId="7F095796">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偏离说明</w:t>
            </w:r>
          </w:p>
        </w:tc>
      </w:tr>
      <w:tr w14:paraId="106D88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45A8DF51">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1</w:t>
            </w:r>
          </w:p>
        </w:tc>
        <w:tc>
          <w:tcPr>
            <w:tcW w:w="678" w:type="pct"/>
            <w:tcBorders>
              <w:right w:val="single" w:color="auto" w:sz="4" w:space="0"/>
            </w:tcBorders>
            <w:noWrap w:val="0"/>
            <w:vAlign w:val="center"/>
          </w:tcPr>
          <w:p w14:paraId="204024FB">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c>
          <w:tcPr>
            <w:tcW w:w="1495" w:type="pct"/>
            <w:tcBorders>
              <w:left w:val="single" w:color="auto" w:sz="4" w:space="0"/>
            </w:tcBorders>
            <w:noWrap w:val="0"/>
            <w:vAlign w:val="center"/>
          </w:tcPr>
          <w:p w14:paraId="66490E16">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c>
          <w:tcPr>
            <w:tcW w:w="1503" w:type="pct"/>
            <w:noWrap w:val="0"/>
            <w:vAlign w:val="center"/>
          </w:tcPr>
          <w:p w14:paraId="21288F68">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c>
          <w:tcPr>
            <w:tcW w:w="819" w:type="pct"/>
            <w:noWrap w:val="0"/>
            <w:vAlign w:val="center"/>
          </w:tcPr>
          <w:p w14:paraId="059F8E3E">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r>
      <w:tr w14:paraId="321BF8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07DAB63B">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2</w:t>
            </w:r>
          </w:p>
        </w:tc>
        <w:tc>
          <w:tcPr>
            <w:tcW w:w="678" w:type="pct"/>
            <w:tcBorders>
              <w:right w:val="single" w:color="auto" w:sz="4" w:space="0"/>
            </w:tcBorders>
            <w:noWrap w:val="0"/>
            <w:vAlign w:val="center"/>
          </w:tcPr>
          <w:p w14:paraId="4A23CE68">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c>
          <w:tcPr>
            <w:tcW w:w="1495" w:type="pct"/>
            <w:tcBorders>
              <w:left w:val="single" w:color="auto" w:sz="4" w:space="0"/>
            </w:tcBorders>
            <w:noWrap w:val="0"/>
            <w:vAlign w:val="center"/>
          </w:tcPr>
          <w:p w14:paraId="549D4591">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c>
          <w:tcPr>
            <w:tcW w:w="1503" w:type="pct"/>
            <w:noWrap w:val="0"/>
            <w:vAlign w:val="center"/>
          </w:tcPr>
          <w:p w14:paraId="782ECDB6">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c>
          <w:tcPr>
            <w:tcW w:w="819" w:type="pct"/>
            <w:noWrap w:val="0"/>
            <w:vAlign w:val="center"/>
          </w:tcPr>
          <w:p w14:paraId="6291C9EF">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r>
      <w:tr w14:paraId="2D0440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38C24A53">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3</w:t>
            </w:r>
          </w:p>
        </w:tc>
        <w:tc>
          <w:tcPr>
            <w:tcW w:w="678" w:type="pct"/>
            <w:tcBorders>
              <w:right w:val="single" w:color="auto" w:sz="4" w:space="0"/>
            </w:tcBorders>
            <w:noWrap w:val="0"/>
            <w:vAlign w:val="center"/>
          </w:tcPr>
          <w:p w14:paraId="7B180D8B">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c>
          <w:tcPr>
            <w:tcW w:w="1495" w:type="pct"/>
            <w:tcBorders>
              <w:left w:val="single" w:color="auto" w:sz="4" w:space="0"/>
            </w:tcBorders>
            <w:noWrap w:val="0"/>
            <w:vAlign w:val="center"/>
          </w:tcPr>
          <w:p w14:paraId="0E4DB0D6">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c>
          <w:tcPr>
            <w:tcW w:w="1503" w:type="pct"/>
            <w:noWrap w:val="0"/>
            <w:vAlign w:val="center"/>
          </w:tcPr>
          <w:p w14:paraId="4CB957F4">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c>
          <w:tcPr>
            <w:tcW w:w="819" w:type="pct"/>
            <w:noWrap w:val="0"/>
            <w:vAlign w:val="center"/>
          </w:tcPr>
          <w:p w14:paraId="10219039">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r>
      <w:tr w14:paraId="68351A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41B0C0FC">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4</w:t>
            </w:r>
          </w:p>
        </w:tc>
        <w:tc>
          <w:tcPr>
            <w:tcW w:w="678" w:type="pct"/>
            <w:tcBorders>
              <w:right w:val="single" w:color="auto" w:sz="4" w:space="0"/>
            </w:tcBorders>
            <w:noWrap w:val="0"/>
            <w:vAlign w:val="center"/>
          </w:tcPr>
          <w:p w14:paraId="673F7EB3">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c>
          <w:tcPr>
            <w:tcW w:w="1495" w:type="pct"/>
            <w:tcBorders>
              <w:left w:val="single" w:color="auto" w:sz="4" w:space="0"/>
            </w:tcBorders>
            <w:noWrap w:val="0"/>
            <w:vAlign w:val="center"/>
          </w:tcPr>
          <w:p w14:paraId="17026C88">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c>
          <w:tcPr>
            <w:tcW w:w="1503" w:type="pct"/>
            <w:noWrap w:val="0"/>
            <w:vAlign w:val="center"/>
          </w:tcPr>
          <w:p w14:paraId="46599769">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c>
          <w:tcPr>
            <w:tcW w:w="819" w:type="pct"/>
            <w:noWrap w:val="0"/>
            <w:vAlign w:val="center"/>
          </w:tcPr>
          <w:p w14:paraId="6C9A5623">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r>
      <w:tr w14:paraId="2024BA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4B695171">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5</w:t>
            </w:r>
          </w:p>
        </w:tc>
        <w:tc>
          <w:tcPr>
            <w:tcW w:w="678" w:type="pct"/>
            <w:tcBorders>
              <w:right w:val="single" w:color="auto" w:sz="4" w:space="0"/>
            </w:tcBorders>
            <w:noWrap w:val="0"/>
            <w:vAlign w:val="center"/>
          </w:tcPr>
          <w:p w14:paraId="47BE8CF1">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c>
          <w:tcPr>
            <w:tcW w:w="1495" w:type="pct"/>
            <w:tcBorders>
              <w:left w:val="single" w:color="auto" w:sz="4" w:space="0"/>
            </w:tcBorders>
            <w:noWrap w:val="0"/>
            <w:vAlign w:val="center"/>
          </w:tcPr>
          <w:p w14:paraId="26C2FD41">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c>
          <w:tcPr>
            <w:tcW w:w="1503" w:type="pct"/>
            <w:noWrap w:val="0"/>
            <w:vAlign w:val="center"/>
          </w:tcPr>
          <w:p w14:paraId="3D556AF7">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c>
          <w:tcPr>
            <w:tcW w:w="819" w:type="pct"/>
            <w:noWrap w:val="0"/>
            <w:vAlign w:val="center"/>
          </w:tcPr>
          <w:p w14:paraId="0E2D7B9D">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r>
      <w:tr w14:paraId="414537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503" w:type="pct"/>
            <w:noWrap w:val="0"/>
            <w:vAlign w:val="center"/>
          </w:tcPr>
          <w:p w14:paraId="5DDA2871">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w:t>
            </w:r>
          </w:p>
        </w:tc>
        <w:tc>
          <w:tcPr>
            <w:tcW w:w="678" w:type="pct"/>
            <w:tcBorders>
              <w:right w:val="single" w:color="auto" w:sz="4" w:space="0"/>
            </w:tcBorders>
            <w:noWrap w:val="0"/>
            <w:vAlign w:val="center"/>
          </w:tcPr>
          <w:p w14:paraId="0687CF99">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c>
          <w:tcPr>
            <w:tcW w:w="1495" w:type="pct"/>
            <w:tcBorders>
              <w:left w:val="single" w:color="auto" w:sz="4" w:space="0"/>
            </w:tcBorders>
            <w:noWrap w:val="0"/>
            <w:vAlign w:val="center"/>
          </w:tcPr>
          <w:p w14:paraId="23E35A0A">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c>
          <w:tcPr>
            <w:tcW w:w="1503" w:type="pct"/>
            <w:noWrap w:val="0"/>
            <w:vAlign w:val="center"/>
          </w:tcPr>
          <w:p w14:paraId="2643D75F">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c>
          <w:tcPr>
            <w:tcW w:w="819" w:type="pct"/>
            <w:tcBorders>
              <w:right w:val="single" w:color="auto" w:sz="4" w:space="0"/>
            </w:tcBorders>
            <w:noWrap w:val="0"/>
            <w:vAlign w:val="center"/>
          </w:tcPr>
          <w:p w14:paraId="7086B92F">
            <w:pPr>
              <w:pStyle w:val="11"/>
              <w:spacing w:line="360" w:lineRule="auto"/>
              <w:ind w:firstLine="0" w:firstLineChars="0"/>
              <w:jc w:val="center"/>
              <w:rPr>
                <w:rFonts w:hint="eastAsia" w:ascii="宋体" w:hAnsi="宋体" w:eastAsia="宋体" w:cs="仿宋_GB2312"/>
                <w:color w:val="auto"/>
                <w:kern w:val="2"/>
                <w:sz w:val="24"/>
                <w:szCs w:val="24"/>
                <w:highlight w:val="none"/>
                <w:lang w:val="en-US" w:eastAsia="zh-CN"/>
              </w:rPr>
            </w:pPr>
          </w:p>
        </w:tc>
      </w:tr>
    </w:tbl>
    <w:p w14:paraId="4D20E1C9">
      <w:pPr>
        <w:pStyle w:val="11"/>
        <w:spacing w:line="360" w:lineRule="auto"/>
        <w:ind w:firstLine="0" w:firstLineChars="0"/>
        <w:contextualSpacing/>
        <w:rPr>
          <w:rFonts w:hint="eastAsia" w:ascii="宋体" w:hAnsi="宋体" w:eastAsia="宋体" w:cs="仿宋_GB2312"/>
          <w:color w:val="auto"/>
          <w:sz w:val="24"/>
          <w:szCs w:val="24"/>
          <w:highlight w:val="none"/>
        </w:rPr>
      </w:pPr>
    </w:p>
    <w:p w14:paraId="469BA74B">
      <w:pPr>
        <w:pStyle w:val="11"/>
        <w:spacing w:line="360" w:lineRule="auto"/>
        <w:ind w:firstLine="0" w:firstLineChars="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w:t>
      </w:r>
    </w:p>
    <w:p w14:paraId="5DE43C61">
      <w:pPr>
        <w:pStyle w:val="11"/>
        <w:spacing w:line="360" w:lineRule="auto"/>
        <w:ind w:firstLine="0" w:firstLineChars="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 说明：应对照谈判文件“第三章 采购需求”中的技术参数及要求逐条实质响应，并作出偏离说明。</w:t>
      </w:r>
    </w:p>
    <w:p w14:paraId="69ACCF0B">
      <w:pPr>
        <w:pStyle w:val="11"/>
        <w:spacing w:line="360" w:lineRule="auto"/>
        <w:ind w:firstLine="0" w:firstLineChars="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2.供应商应根据竞标设备的性能指标，对照谈判文件要求，在“偏离说明”中注明“正偏离”、“负偏离”或者“无偏离”。既不属于“正偏离”也不属于“负偏离”即为“无偏离”。</w:t>
      </w:r>
    </w:p>
    <w:p w14:paraId="1CB4F3E2">
      <w:pPr>
        <w:pStyle w:val="11"/>
        <w:spacing w:line="360" w:lineRule="auto"/>
        <w:ind w:firstLine="0" w:firstLineChars="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3.供应商认为其竞标响应有正偏离的，请在技术偏离表中列明，且在响应文件中提供竞标产品的彩页或国家认可有资质的第三方检测机构出具的检测报告复印件或产品生产厂家出具的技术参数说明证明作为佐证，以上佐证材料均需加盖生产厂家或代理商（附生产厂家授权资料）公章。</w:t>
      </w:r>
    </w:p>
    <w:p w14:paraId="29E52CA0">
      <w:pPr>
        <w:pStyle w:val="11"/>
        <w:spacing w:line="360" w:lineRule="auto"/>
        <w:ind w:firstLine="0" w:firstLineChars="0"/>
        <w:contextualSpacing/>
        <w:rPr>
          <w:rFonts w:hint="eastAsia" w:ascii="宋体" w:hAnsi="宋体" w:eastAsia="宋体" w:cs="仿宋_GB2312"/>
          <w:color w:val="auto"/>
          <w:sz w:val="24"/>
          <w:szCs w:val="24"/>
          <w:highlight w:val="none"/>
        </w:rPr>
      </w:pPr>
      <w:r>
        <w:rPr>
          <w:rFonts w:hint="eastAsia" w:ascii="宋体" w:hAnsi="宋体" w:eastAsia="宋体"/>
          <w:color w:val="auto"/>
          <w:sz w:val="24"/>
          <w:szCs w:val="24"/>
          <w:highlight w:val="none"/>
        </w:rPr>
        <w:t>4</w:t>
      </w:r>
      <w:r>
        <w:rPr>
          <w:rFonts w:ascii="宋体" w:hAnsi="宋体" w:eastAsia="宋体"/>
          <w:color w:val="auto"/>
          <w:sz w:val="24"/>
          <w:szCs w:val="24"/>
          <w:highlight w:val="none"/>
        </w:rPr>
        <w:t>.</w:t>
      </w:r>
      <w:r>
        <w:rPr>
          <w:rFonts w:hint="eastAsia" w:ascii="宋体" w:hAnsi="宋体" w:eastAsia="宋体"/>
          <w:color w:val="auto"/>
          <w:sz w:val="24"/>
          <w:szCs w:val="24"/>
          <w:highlight w:val="none"/>
        </w:rPr>
        <w:t xml:space="preserve"> 如技术偏离表中的竞标响应与佐证材料不一致的，以佐证材料为准。</w:t>
      </w:r>
    </w:p>
    <w:p w14:paraId="7DCF3938">
      <w:pPr>
        <w:spacing w:line="360" w:lineRule="auto"/>
        <w:ind w:right="-817" w:rightChars="-389"/>
        <w:contextualSpacing/>
        <w:rPr>
          <w:rFonts w:hint="eastAsia" w:ascii="宋体" w:hAnsi="宋体" w:cs="仿宋_GB2312"/>
          <w:color w:val="auto"/>
          <w:sz w:val="24"/>
          <w:highlight w:val="none"/>
        </w:rPr>
      </w:pPr>
    </w:p>
    <w:p w14:paraId="5B4580F8">
      <w:pPr>
        <w:spacing w:line="360" w:lineRule="auto"/>
        <w:ind w:right="-817" w:rightChars="-389"/>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2AAFEBCA">
      <w:pPr>
        <w:spacing w:line="360" w:lineRule="auto"/>
        <w:ind w:right="-817" w:rightChars="-389" w:firstLine="2880" w:firstLineChars="12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7F0C677F">
      <w:pPr>
        <w:spacing w:line="360" w:lineRule="auto"/>
        <w:ind w:right="-817" w:rightChars="-389" w:firstLine="2880" w:firstLineChars="1200"/>
        <w:contextualSpacing/>
        <w:rPr>
          <w:color w:val="auto"/>
          <w:highlight w:val="none"/>
        </w:rPr>
      </w:pPr>
      <w:r>
        <w:rPr>
          <w:rFonts w:hint="eastAsia" w:ascii="宋体" w:hAnsi="宋体" w:cs="仿宋_GB2312"/>
          <w:color w:val="auto"/>
          <w:sz w:val="24"/>
          <w:highlight w:val="none"/>
        </w:rPr>
        <w:t>日期：   年   月   日</w:t>
      </w:r>
    </w:p>
    <w:p w14:paraId="5C378572">
      <w:pPr>
        <w:spacing w:line="300" w:lineRule="auto"/>
        <w:rPr>
          <w:rFonts w:hint="eastAsia" w:ascii="宋体" w:hAnsi="宋体"/>
          <w:color w:val="auto"/>
          <w:szCs w:val="21"/>
          <w:highlight w:val="none"/>
        </w:rPr>
      </w:pPr>
      <w:r>
        <w:rPr>
          <w:rFonts w:hint="eastAsia" w:ascii="宋体" w:hAnsi="宋体"/>
          <w:b/>
          <w:bCs/>
          <w:color w:val="auto"/>
          <w:sz w:val="24"/>
          <w:highlight w:val="none"/>
        </w:rPr>
        <w:t>其他文书、文件格式</w:t>
      </w:r>
    </w:p>
    <w:p w14:paraId="190359EE">
      <w:pPr>
        <w:spacing w:line="360" w:lineRule="auto"/>
        <w:jc w:val="center"/>
        <w:rPr>
          <w:rFonts w:hint="eastAsia" w:ascii="宋体" w:hAnsi="宋体"/>
          <w:b/>
          <w:bCs/>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质疑函（格式）</w:t>
      </w:r>
    </w:p>
    <w:p w14:paraId="47D3F283">
      <w:pPr>
        <w:spacing w:line="360" w:lineRule="auto"/>
        <w:jc w:val="center"/>
        <w:rPr>
          <w:rFonts w:hint="eastAsia" w:ascii="宋体" w:hAnsi="宋体"/>
          <w:b/>
          <w:bCs/>
          <w:color w:val="auto"/>
          <w:sz w:val="32"/>
          <w:szCs w:val="32"/>
          <w:highlight w:val="none"/>
        </w:rPr>
      </w:pPr>
    </w:p>
    <w:p w14:paraId="5D52F7D4">
      <w:pPr>
        <w:pStyle w:val="13"/>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一、质疑供应商基本信息：</w:t>
      </w:r>
    </w:p>
    <w:p w14:paraId="64371831">
      <w:pPr>
        <w:pStyle w:val="13"/>
        <w:spacing w:line="360" w:lineRule="auto"/>
        <w:ind w:firstLine="480" w:firstLineChars="200"/>
        <w:contextualSpacing/>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D72A539">
      <w:pPr>
        <w:pStyle w:val="13"/>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47AD5D0">
      <w:pPr>
        <w:pStyle w:val="13"/>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2047CD6E">
      <w:pPr>
        <w:pStyle w:val="13"/>
        <w:spacing w:line="360" w:lineRule="auto"/>
        <w:ind w:firstLine="480" w:firstLineChars="200"/>
        <w:contextualSpacing/>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495B42F0">
      <w:pPr>
        <w:pStyle w:val="13"/>
        <w:spacing w:line="360" w:lineRule="auto"/>
        <w:ind w:firstLine="480" w:firstLineChars="200"/>
        <w:contextualSpacing/>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0EFFB0F7">
      <w:pPr>
        <w:pStyle w:val="13"/>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0B8C269">
      <w:pPr>
        <w:pStyle w:val="13"/>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13FECDB7">
      <w:pPr>
        <w:pStyle w:val="13"/>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10BB77ED">
      <w:pPr>
        <w:pStyle w:val="13"/>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60E66A8F">
      <w:pPr>
        <w:pStyle w:val="1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556ECC48">
      <w:pPr>
        <w:pStyle w:val="1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w:t>
      </w:r>
    </w:p>
    <w:p w14:paraId="5369C9F3">
      <w:pPr>
        <w:pStyle w:val="13"/>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36CA8710">
      <w:pPr>
        <w:pStyle w:val="13"/>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 xml:space="preserve">□采购过程   </w:t>
      </w:r>
    </w:p>
    <w:p w14:paraId="15107663">
      <w:pPr>
        <w:pStyle w:val="13"/>
        <w:spacing w:line="360" w:lineRule="auto"/>
        <w:ind w:left="25" w:leftChars="12" w:firstLine="352" w:firstLineChars="147"/>
        <w:contextualSpacing/>
        <w:rPr>
          <w:rFonts w:hint="eastAsia" w:hAnsi="宋体"/>
          <w:bCs/>
          <w:color w:val="auto"/>
          <w:sz w:val="24"/>
          <w:szCs w:val="24"/>
          <w:highlight w:val="none"/>
          <w:u w:val="single"/>
        </w:rPr>
      </w:pPr>
      <w:r>
        <w:rPr>
          <w:rFonts w:hint="eastAsia" w:hAnsi="宋体"/>
          <w:color w:val="auto"/>
          <w:sz w:val="24"/>
          <w:szCs w:val="24"/>
          <w:highlight w:val="none"/>
        </w:rPr>
        <w:t xml:space="preserve">□成交结果   </w:t>
      </w:r>
    </w:p>
    <w:p w14:paraId="438F9B96">
      <w:pPr>
        <w:pStyle w:val="13"/>
        <w:spacing w:line="360" w:lineRule="auto"/>
        <w:ind w:left="25" w:leftChars="12" w:firstLine="472" w:firstLineChars="196"/>
        <w:contextualSpacing/>
        <w:rPr>
          <w:rFonts w:hint="eastAsia" w:hAnsi="宋体"/>
          <w:b/>
          <w:color w:val="auto"/>
          <w:sz w:val="24"/>
          <w:szCs w:val="24"/>
          <w:highlight w:val="none"/>
        </w:rPr>
      </w:pPr>
      <w:r>
        <w:rPr>
          <w:rFonts w:hint="eastAsia" w:hAnsi="宋体"/>
          <w:b/>
          <w:color w:val="auto"/>
          <w:sz w:val="24"/>
          <w:szCs w:val="24"/>
          <w:highlight w:val="none"/>
        </w:rPr>
        <w:t>三、质疑事项具体内容</w:t>
      </w:r>
    </w:p>
    <w:p w14:paraId="246A8AFF">
      <w:pPr>
        <w:pStyle w:val="1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502C83FA">
      <w:pPr>
        <w:pStyle w:val="1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5A264B53">
      <w:pPr>
        <w:pStyle w:val="1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132D8996">
      <w:pPr>
        <w:pStyle w:val="1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质疑事项2</w:t>
      </w:r>
    </w:p>
    <w:p w14:paraId="02B78E4B">
      <w:pPr>
        <w:pStyle w:val="13"/>
        <w:spacing w:line="360" w:lineRule="auto"/>
        <w:ind w:left="25" w:leftChars="12" w:firstLine="472" w:firstLineChars="197"/>
        <w:contextualSpacing/>
        <w:rPr>
          <w:rFonts w:hint="eastAsia" w:hAnsi="宋体"/>
          <w:color w:val="auto"/>
          <w:sz w:val="24"/>
          <w:szCs w:val="24"/>
          <w:highlight w:val="none"/>
        </w:rPr>
      </w:pPr>
      <w:r>
        <w:rPr>
          <w:rFonts w:hAnsi="宋体"/>
          <w:color w:val="auto"/>
          <w:sz w:val="24"/>
          <w:szCs w:val="24"/>
          <w:highlight w:val="none"/>
        </w:rPr>
        <w:t>……</w:t>
      </w:r>
    </w:p>
    <w:p w14:paraId="62E69E5D">
      <w:pPr>
        <w:pStyle w:val="1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6561A7B0">
      <w:pPr>
        <w:pStyle w:val="1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6BF1A902">
      <w:pPr>
        <w:pStyle w:val="13"/>
        <w:spacing w:line="360" w:lineRule="auto"/>
        <w:ind w:left="25" w:leftChars="12" w:firstLine="352" w:firstLineChars="147"/>
        <w:contextualSpacing/>
        <w:rPr>
          <w:rFonts w:hint="eastAsia" w:hAnsi="宋体"/>
          <w:color w:val="auto"/>
          <w:sz w:val="24"/>
          <w:szCs w:val="24"/>
          <w:highlight w:val="none"/>
        </w:rPr>
      </w:pPr>
    </w:p>
    <w:p w14:paraId="64C72966">
      <w:pPr>
        <w:pStyle w:val="1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签字（签章）：                                       公章：</w:t>
      </w:r>
    </w:p>
    <w:p w14:paraId="3FB484AC">
      <w:pPr>
        <w:pStyle w:val="13"/>
        <w:spacing w:line="360" w:lineRule="auto"/>
        <w:ind w:left="25" w:leftChars="12" w:firstLine="352" w:firstLineChars="147"/>
        <w:contextualSpacing/>
        <w:rPr>
          <w:rFonts w:hint="eastAsia" w:hAnsi="宋体"/>
          <w:color w:val="auto"/>
          <w:sz w:val="24"/>
          <w:szCs w:val="24"/>
          <w:highlight w:val="none"/>
        </w:rPr>
      </w:pPr>
    </w:p>
    <w:p w14:paraId="25BE9F71">
      <w:pPr>
        <w:pStyle w:val="1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日期：</w:t>
      </w:r>
    </w:p>
    <w:p w14:paraId="36C3E408">
      <w:pPr>
        <w:pStyle w:val="13"/>
        <w:spacing w:line="360" w:lineRule="auto"/>
        <w:contextualSpacing/>
        <w:rPr>
          <w:rFonts w:hint="eastAsia" w:hAnsi="宋体"/>
          <w:b/>
          <w:color w:val="auto"/>
          <w:sz w:val="24"/>
          <w:szCs w:val="24"/>
          <w:highlight w:val="none"/>
        </w:rPr>
      </w:pPr>
    </w:p>
    <w:p w14:paraId="4135CF85">
      <w:pPr>
        <w:pStyle w:val="13"/>
        <w:spacing w:line="360" w:lineRule="auto"/>
        <w:contextualSpacing/>
        <w:rPr>
          <w:rFonts w:hint="eastAsia" w:hAnsi="宋体"/>
          <w:b/>
          <w:color w:val="auto"/>
          <w:sz w:val="24"/>
          <w:szCs w:val="24"/>
          <w:highlight w:val="none"/>
        </w:rPr>
      </w:pPr>
      <w:r>
        <w:rPr>
          <w:rFonts w:hint="eastAsia" w:hAnsi="宋体"/>
          <w:b/>
          <w:color w:val="auto"/>
          <w:sz w:val="24"/>
          <w:szCs w:val="24"/>
          <w:highlight w:val="none"/>
        </w:rPr>
        <w:t>说明：</w:t>
      </w:r>
    </w:p>
    <w:p w14:paraId="2E141C47">
      <w:pPr>
        <w:pStyle w:val="13"/>
        <w:spacing w:line="360" w:lineRule="auto"/>
        <w:ind w:left="25" w:leftChars="12" w:firstLine="354" w:firstLineChars="147"/>
        <w:contextualSpacing/>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28893EAA">
      <w:pPr>
        <w:pStyle w:val="13"/>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4739767">
      <w:pPr>
        <w:pStyle w:val="13"/>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11DCC3F2">
      <w:pPr>
        <w:pStyle w:val="13"/>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639EB0A9">
      <w:pPr>
        <w:pStyle w:val="13"/>
        <w:spacing w:line="360" w:lineRule="auto"/>
        <w:ind w:left="25" w:leftChars="12" w:firstLine="354" w:firstLineChars="147"/>
        <w:contextualSpacing/>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47629723">
      <w:pPr>
        <w:pStyle w:val="13"/>
        <w:snapToGrid w:val="0"/>
        <w:rPr>
          <w:rFonts w:hint="eastAsia"/>
          <w:b/>
          <w:color w:val="auto"/>
          <w:sz w:val="24"/>
          <w:szCs w:val="24"/>
          <w:highlight w:val="none"/>
        </w:rPr>
      </w:pPr>
    </w:p>
    <w:p w14:paraId="44CCDBD0">
      <w:pPr>
        <w:rPr>
          <w:rFonts w:hint="eastAsia"/>
          <w:color w:val="auto"/>
          <w:highlight w:val="none"/>
        </w:rPr>
      </w:pPr>
      <w:r>
        <w:rPr>
          <w:color w:val="auto"/>
          <w:highlight w:val="none"/>
        </w:rPr>
        <w:br w:type="page"/>
      </w:r>
    </w:p>
    <w:p w14:paraId="07BC19C0">
      <w:pPr>
        <w:spacing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投诉书（格式）</w:t>
      </w:r>
    </w:p>
    <w:p w14:paraId="768612D5">
      <w:pPr>
        <w:pStyle w:val="13"/>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6BAA1B28">
      <w:pPr>
        <w:pStyle w:val="13"/>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7AF61AA">
      <w:pPr>
        <w:pStyle w:val="13"/>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63B7A92">
      <w:pPr>
        <w:pStyle w:val="13"/>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416A8491">
      <w:pPr>
        <w:pStyle w:val="13"/>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51663344">
      <w:pPr>
        <w:pStyle w:val="13"/>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08C830DA">
      <w:pPr>
        <w:pStyle w:val="13"/>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515E9844">
      <w:pPr>
        <w:pStyle w:val="13"/>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699CD64">
      <w:pPr>
        <w:pStyle w:val="13"/>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被投诉人1：</w:t>
      </w:r>
    </w:p>
    <w:p w14:paraId="2A918DA5">
      <w:pPr>
        <w:pStyle w:val="13"/>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6B77C036">
      <w:pPr>
        <w:pStyle w:val="13"/>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E057299">
      <w:pPr>
        <w:pStyle w:val="13"/>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6A0F0CE0">
      <w:pPr>
        <w:pStyle w:val="13"/>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被投诉人2：</w:t>
      </w:r>
    </w:p>
    <w:p w14:paraId="769BDDD4">
      <w:pPr>
        <w:pStyle w:val="13"/>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w:t>
      </w:r>
    </w:p>
    <w:p w14:paraId="7863089B">
      <w:pPr>
        <w:pStyle w:val="13"/>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214E0889">
      <w:pPr>
        <w:pStyle w:val="13"/>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5E6AC0DE">
      <w:pPr>
        <w:pStyle w:val="13"/>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00D4895">
      <w:pPr>
        <w:pStyle w:val="13"/>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44F0B6B6">
      <w:pPr>
        <w:pStyle w:val="13"/>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2FD1579E">
      <w:pPr>
        <w:pStyle w:val="13"/>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050E1007">
      <w:pPr>
        <w:pStyle w:val="13"/>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1E057E0A">
      <w:pPr>
        <w:pStyle w:val="13"/>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0A7D2514">
      <w:pPr>
        <w:pStyle w:val="13"/>
        <w:spacing w:line="360" w:lineRule="auto"/>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55CD98EF">
      <w:pPr>
        <w:pStyle w:val="13"/>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17399D7F">
      <w:pPr>
        <w:pStyle w:val="13"/>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74CA39FA">
      <w:pPr>
        <w:pStyle w:val="13"/>
        <w:spacing w:line="360" w:lineRule="auto"/>
        <w:ind w:left="23" w:leftChars="11" w:firstLine="540" w:firstLineChars="225"/>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75CF7C15">
      <w:pPr>
        <w:pStyle w:val="13"/>
        <w:spacing w:line="360" w:lineRule="auto"/>
        <w:ind w:left="23" w:leftChars="11" w:firstLine="540" w:firstLineChars="225"/>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45B3A51F">
      <w:pPr>
        <w:pStyle w:val="13"/>
        <w:spacing w:line="360" w:lineRule="auto"/>
        <w:ind w:left="23" w:leftChars="11" w:firstLine="540" w:firstLineChars="225"/>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096E6066">
      <w:pPr>
        <w:pStyle w:val="13"/>
        <w:spacing w:line="360" w:lineRule="auto"/>
        <w:ind w:left="23" w:leftChars="11" w:firstLine="540" w:firstLineChars="225"/>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76904E56">
      <w:pPr>
        <w:pStyle w:val="13"/>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14FD30D3">
      <w:pPr>
        <w:pStyle w:val="13"/>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165816A8">
      <w:pPr>
        <w:pStyle w:val="13"/>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397C35E8">
      <w:pPr>
        <w:pStyle w:val="13"/>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245D627A">
      <w:pPr>
        <w:pStyle w:val="13"/>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4FBEFE56">
      <w:pPr>
        <w:pStyle w:val="13"/>
        <w:spacing w:line="360" w:lineRule="auto"/>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696A7E03">
      <w:pPr>
        <w:pStyle w:val="13"/>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7F675996">
      <w:pPr>
        <w:pStyle w:val="13"/>
        <w:spacing w:line="360" w:lineRule="auto"/>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2A5CFBC9">
      <w:pPr>
        <w:pStyle w:val="13"/>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19512431">
      <w:pPr>
        <w:pStyle w:val="1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5F1FA2FE">
      <w:pPr>
        <w:pStyle w:val="13"/>
        <w:spacing w:line="360" w:lineRule="auto"/>
        <w:ind w:left="25" w:leftChars="12" w:firstLine="352" w:firstLineChars="147"/>
        <w:rPr>
          <w:rFonts w:hint="eastAsia" w:hAnsi="宋体"/>
          <w:color w:val="auto"/>
          <w:sz w:val="24"/>
          <w:szCs w:val="24"/>
          <w:highlight w:val="none"/>
        </w:rPr>
      </w:pPr>
    </w:p>
    <w:p w14:paraId="544EF9FC">
      <w:pPr>
        <w:pStyle w:val="1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4C803AD8">
      <w:pPr>
        <w:pStyle w:val="13"/>
        <w:spacing w:line="360" w:lineRule="auto"/>
        <w:ind w:left="25" w:leftChars="12" w:firstLine="352" w:firstLineChars="147"/>
        <w:rPr>
          <w:rFonts w:hint="eastAsia" w:hAnsi="宋体"/>
          <w:color w:val="auto"/>
          <w:sz w:val="24"/>
          <w:szCs w:val="24"/>
          <w:highlight w:val="none"/>
        </w:rPr>
      </w:pPr>
    </w:p>
    <w:p w14:paraId="7E59EEBC">
      <w:pPr>
        <w:pStyle w:val="1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2BE13D91">
      <w:pPr>
        <w:pStyle w:val="13"/>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 xml:space="preserve">                                                                                 </w:t>
      </w:r>
    </w:p>
    <w:p w14:paraId="1345AE77">
      <w:pPr>
        <w:pStyle w:val="13"/>
        <w:snapToGrid w:val="0"/>
        <w:spacing w:line="360" w:lineRule="auto"/>
        <w:rPr>
          <w:rFonts w:hint="eastAsia" w:hAnsi="宋体"/>
          <w:b/>
          <w:color w:val="auto"/>
          <w:sz w:val="24"/>
          <w:szCs w:val="24"/>
          <w:highlight w:val="none"/>
        </w:rPr>
      </w:pPr>
    </w:p>
    <w:p w14:paraId="4FF4A977">
      <w:pPr>
        <w:pStyle w:val="13"/>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5F4CCFA5">
      <w:pPr>
        <w:pStyle w:val="13"/>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25290ADE">
      <w:pPr>
        <w:pStyle w:val="13"/>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3D580B4">
      <w:pPr>
        <w:pStyle w:val="13"/>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2E9CCB70">
      <w:pPr>
        <w:pStyle w:val="13"/>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56F6C14B">
      <w:pPr>
        <w:pStyle w:val="13"/>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64CCC3BC">
      <w:pPr>
        <w:pStyle w:val="13"/>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16ABDA37">
      <w:pPr>
        <w:pStyle w:val="3"/>
        <w:jc w:val="center"/>
        <w:rPr>
          <w:rFonts w:hint="eastAsia" w:ascii="宋体" w:hAnsi="宋体"/>
          <w:b/>
          <w:bCs/>
          <w:color w:val="auto"/>
          <w:sz w:val="32"/>
          <w:szCs w:val="32"/>
          <w:highlight w:val="none"/>
        </w:rPr>
      </w:pPr>
      <w:r>
        <w:rPr>
          <w:color w:val="auto"/>
          <w:highlight w:val="none"/>
        </w:rPr>
        <w:br w:type="page"/>
      </w:r>
      <w:bookmarkStart w:id="55" w:name="_Toc74322013"/>
      <w:r>
        <w:rPr>
          <w:rFonts w:hint="eastAsia"/>
          <w:color w:val="auto"/>
          <w:highlight w:val="none"/>
        </w:rPr>
        <w:t>第六章 合同文本</w:t>
      </w:r>
      <w:bookmarkEnd w:id="55"/>
    </w:p>
    <w:p w14:paraId="402D7827">
      <w:pPr>
        <w:snapToGrid w:val="0"/>
        <w:spacing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《广西壮族自治区政府采购合同》</w:t>
      </w:r>
      <w:r>
        <w:rPr>
          <w:rFonts w:hint="eastAsia" w:ascii="宋体" w:hAnsi="宋体"/>
          <w:b/>
          <w:color w:val="auto"/>
          <w:sz w:val="32"/>
          <w:szCs w:val="32"/>
          <w:highlight w:val="none"/>
        </w:rPr>
        <w:t>文本</w:t>
      </w:r>
    </w:p>
    <w:p w14:paraId="50820A6B">
      <w:pPr>
        <w:snapToGrid w:val="0"/>
        <w:spacing w:line="400" w:lineRule="exact"/>
        <w:ind w:right="480" w:firstLine="5250" w:firstLineChars="2500"/>
        <w:rPr>
          <w:rFonts w:hint="eastAsia" w:ascii="宋体" w:hAnsi="宋体"/>
          <w:bCs/>
          <w:color w:val="auto"/>
          <w:szCs w:val="21"/>
          <w:highlight w:val="none"/>
        </w:rPr>
      </w:pPr>
    </w:p>
    <w:p w14:paraId="76E2ED8B">
      <w:pPr>
        <w:snapToGrid w:val="0"/>
        <w:spacing w:line="400" w:lineRule="exact"/>
        <w:ind w:right="480" w:firstLine="5250" w:firstLineChars="2500"/>
        <w:rPr>
          <w:rFonts w:hint="eastAsia" w:ascii="宋体" w:hAnsi="宋体" w:cs="宋体"/>
          <w:bCs/>
          <w:color w:val="auto"/>
          <w:szCs w:val="21"/>
          <w:highlight w:val="none"/>
          <w:u w:val="single"/>
        </w:rPr>
      </w:pPr>
      <w:r>
        <w:rPr>
          <w:rFonts w:hint="eastAsia" w:ascii="宋体" w:hAnsi="宋体" w:cs="宋体"/>
          <w:bCs/>
          <w:color w:val="auto"/>
          <w:szCs w:val="21"/>
          <w:highlight w:val="none"/>
        </w:rPr>
        <w:t>合同编号：</w:t>
      </w:r>
    </w:p>
    <w:p w14:paraId="7E7583B2">
      <w:pPr>
        <w:snapToGrid w:val="0"/>
        <w:spacing w:line="400" w:lineRule="exact"/>
        <w:rPr>
          <w:rFonts w:hint="eastAsia" w:ascii="宋体" w:hAnsi="宋体" w:cs="宋体"/>
          <w:color w:val="auto"/>
          <w:szCs w:val="21"/>
          <w:highlight w:val="none"/>
        </w:rPr>
      </w:pPr>
    </w:p>
    <w:p w14:paraId="38FE95E5">
      <w:pPr>
        <w:snapToGrid w:val="0"/>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采购人（甲方）：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76DB117D">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供应商（乙方）：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2F821C46">
      <w:pPr>
        <w:snapToGrid w:val="0"/>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lang w:val="en-US" w:eastAsia="zh-CN"/>
        </w:rPr>
        <w:t>及编号</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4687AABA">
      <w:pPr>
        <w:snapToGrid w:val="0"/>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签订地点：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签订时间：</w:t>
      </w:r>
      <w:r>
        <w:rPr>
          <w:rFonts w:hint="eastAsia" w:ascii="宋体" w:hAnsi="宋体" w:cs="宋体"/>
          <w:color w:val="auto"/>
          <w:sz w:val="24"/>
          <w:highlight w:val="none"/>
          <w:u w:val="single"/>
        </w:rPr>
        <w:t xml:space="preserve">                          </w:t>
      </w:r>
    </w:p>
    <w:p w14:paraId="1C631983">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本合同为中小企业预留合同：（是）</w:t>
      </w:r>
    </w:p>
    <w:p w14:paraId="5F40A1E5">
      <w:pPr>
        <w:snapToGrid w:val="0"/>
        <w:spacing w:line="360" w:lineRule="auto"/>
        <w:rPr>
          <w:rFonts w:hint="eastAsia" w:ascii="宋体" w:hAnsi="宋体" w:cs="宋体"/>
          <w:color w:val="auto"/>
          <w:sz w:val="24"/>
          <w:highlight w:val="none"/>
        </w:rPr>
      </w:pPr>
    </w:p>
    <w:p w14:paraId="28A149FB">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根据《中华人民共和国政府采购法》、《中华人民共和国民法典》等法律、法规规定，按照竞争性谈判文件规定条款和成交供应商承诺，甲乙双方签订本合同。</w:t>
      </w:r>
    </w:p>
    <w:p w14:paraId="783875AA">
      <w:pPr>
        <w:snapToGrid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第一条　合同标的</w:t>
      </w:r>
    </w:p>
    <w:p w14:paraId="64435034">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1.供货一览表</w:t>
      </w:r>
    </w:p>
    <w:tbl>
      <w:tblPr>
        <w:tblStyle w:val="24"/>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33"/>
        <w:gridCol w:w="1059"/>
        <w:gridCol w:w="1233"/>
        <w:gridCol w:w="1210"/>
        <w:gridCol w:w="737"/>
        <w:gridCol w:w="735"/>
        <w:gridCol w:w="1095"/>
        <w:gridCol w:w="1145"/>
      </w:tblGrid>
      <w:tr w14:paraId="177B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09" w:type="dxa"/>
            <w:noWrap w:val="0"/>
            <w:vAlign w:val="center"/>
          </w:tcPr>
          <w:p w14:paraId="75DC1CB5">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序号</w:t>
            </w:r>
          </w:p>
        </w:tc>
        <w:tc>
          <w:tcPr>
            <w:tcW w:w="1233" w:type="dxa"/>
            <w:noWrap w:val="0"/>
            <w:vAlign w:val="center"/>
          </w:tcPr>
          <w:p w14:paraId="43C46852">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产品名称</w:t>
            </w:r>
          </w:p>
        </w:tc>
        <w:tc>
          <w:tcPr>
            <w:tcW w:w="1059" w:type="dxa"/>
            <w:noWrap w:val="0"/>
            <w:vAlign w:val="center"/>
          </w:tcPr>
          <w:p w14:paraId="35F50567">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商标品牌</w:t>
            </w:r>
          </w:p>
        </w:tc>
        <w:tc>
          <w:tcPr>
            <w:tcW w:w="1233" w:type="dxa"/>
            <w:noWrap w:val="0"/>
            <w:vAlign w:val="center"/>
          </w:tcPr>
          <w:p w14:paraId="6834C139">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规格型号</w:t>
            </w:r>
          </w:p>
        </w:tc>
        <w:tc>
          <w:tcPr>
            <w:tcW w:w="1210" w:type="dxa"/>
            <w:noWrap w:val="0"/>
            <w:vAlign w:val="center"/>
          </w:tcPr>
          <w:p w14:paraId="4DBE3338">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生产厂家</w:t>
            </w:r>
          </w:p>
        </w:tc>
        <w:tc>
          <w:tcPr>
            <w:tcW w:w="737" w:type="dxa"/>
            <w:noWrap w:val="0"/>
            <w:vAlign w:val="center"/>
          </w:tcPr>
          <w:p w14:paraId="2691CFC2">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数量</w:t>
            </w:r>
          </w:p>
        </w:tc>
        <w:tc>
          <w:tcPr>
            <w:tcW w:w="735" w:type="dxa"/>
            <w:noWrap w:val="0"/>
            <w:vAlign w:val="center"/>
          </w:tcPr>
          <w:p w14:paraId="04721C48">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单位</w:t>
            </w:r>
          </w:p>
        </w:tc>
        <w:tc>
          <w:tcPr>
            <w:tcW w:w="1095" w:type="dxa"/>
            <w:noWrap w:val="0"/>
            <w:vAlign w:val="center"/>
          </w:tcPr>
          <w:p w14:paraId="32D6A1E8">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单价（元）</w:t>
            </w:r>
          </w:p>
        </w:tc>
        <w:tc>
          <w:tcPr>
            <w:tcW w:w="1145" w:type="dxa"/>
            <w:noWrap w:val="0"/>
            <w:vAlign w:val="center"/>
          </w:tcPr>
          <w:p w14:paraId="0119C821">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金额（元）</w:t>
            </w:r>
          </w:p>
        </w:tc>
      </w:tr>
      <w:tr w14:paraId="61077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noWrap w:val="0"/>
            <w:vAlign w:val="center"/>
          </w:tcPr>
          <w:p w14:paraId="76D909FC">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1233" w:type="dxa"/>
            <w:noWrap w:val="0"/>
            <w:vAlign w:val="center"/>
          </w:tcPr>
          <w:p w14:paraId="5F9BA7DB">
            <w:pPr>
              <w:snapToGrid w:val="0"/>
              <w:spacing w:line="360" w:lineRule="auto"/>
              <w:jc w:val="center"/>
              <w:rPr>
                <w:rFonts w:hint="eastAsia" w:ascii="宋体" w:hAnsi="宋体" w:cs="宋体"/>
                <w:color w:val="auto"/>
                <w:sz w:val="24"/>
                <w:highlight w:val="none"/>
              </w:rPr>
            </w:pPr>
          </w:p>
        </w:tc>
        <w:tc>
          <w:tcPr>
            <w:tcW w:w="1059" w:type="dxa"/>
            <w:noWrap w:val="0"/>
            <w:vAlign w:val="center"/>
          </w:tcPr>
          <w:p w14:paraId="2F48344F">
            <w:pPr>
              <w:snapToGrid w:val="0"/>
              <w:spacing w:line="360" w:lineRule="auto"/>
              <w:jc w:val="center"/>
              <w:rPr>
                <w:rFonts w:hint="eastAsia" w:ascii="宋体" w:hAnsi="宋体" w:cs="宋体"/>
                <w:color w:val="auto"/>
                <w:sz w:val="24"/>
                <w:highlight w:val="none"/>
              </w:rPr>
            </w:pPr>
          </w:p>
        </w:tc>
        <w:tc>
          <w:tcPr>
            <w:tcW w:w="1233" w:type="dxa"/>
            <w:noWrap w:val="0"/>
            <w:vAlign w:val="center"/>
          </w:tcPr>
          <w:p w14:paraId="57E7499D">
            <w:pPr>
              <w:snapToGrid w:val="0"/>
              <w:spacing w:line="360" w:lineRule="auto"/>
              <w:jc w:val="center"/>
              <w:rPr>
                <w:rFonts w:hint="eastAsia" w:ascii="宋体" w:hAnsi="宋体" w:cs="宋体"/>
                <w:color w:val="auto"/>
                <w:sz w:val="24"/>
                <w:highlight w:val="none"/>
              </w:rPr>
            </w:pPr>
          </w:p>
        </w:tc>
        <w:tc>
          <w:tcPr>
            <w:tcW w:w="1210" w:type="dxa"/>
            <w:noWrap w:val="0"/>
            <w:vAlign w:val="top"/>
          </w:tcPr>
          <w:p w14:paraId="31EA707D">
            <w:pPr>
              <w:snapToGrid w:val="0"/>
              <w:spacing w:line="360" w:lineRule="auto"/>
              <w:jc w:val="center"/>
              <w:rPr>
                <w:rFonts w:hint="eastAsia" w:ascii="宋体" w:hAnsi="宋体" w:cs="宋体"/>
                <w:color w:val="auto"/>
                <w:sz w:val="24"/>
                <w:highlight w:val="none"/>
              </w:rPr>
            </w:pPr>
          </w:p>
        </w:tc>
        <w:tc>
          <w:tcPr>
            <w:tcW w:w="737" w:type="dxa"/>
            <w:noWrap w:val="0"/>
            <w:vAlign w:val="top"/>
          </w:tcPr>
          <w:p w14:paraId="47813888">
            <w:pPr>
              <w:snapToGrid w:val="0"/>
              <w:spacing w:line="360" w:lineRule="auto"/>
              <w:jc w:val="center"/>
              <w:rPr>
                <w:rFonts w:hint="eastAsia" w:ascii="宋体" w:hAnsi="宋体" w:cs="宋体"/>
                <w:color w:val="auto"/>
                <w:sz w:val="24"/>
                <w:highlight w:val="none"/>
              </w:rPr>
            </w:pPr>
          </w:p>
        </w:tc>
        <w:tc>
          <w:tcPr>
            <w:tcW w:w="735" w:type="dxa"/>
            <w:noWrap w:val="0"/>
            <w:vAlign w:val="top"/>
          </w:tcPr>
          <w:p w14:paraId="7055A022">
            <w:pPr>
              <w:snapToGrid w:val="0"/>
              <w:spacing w:line="360" w:lineRule="auto"/>
              <w:jc w:val="center"/>
              <w:rPr>
                <w:rFonts w:hint="eastAsia" w:ascii="宋体" w:hAnsi="宋体" w:cs="宋体"/>
                <w:color w:val="auto"/>
                <w:sz w:val="24"/>
                <w:highlight w:val="none"/>
              </w:rPr>
            </w:pPr>
          </w:p>
        </w:tc>
        <w:tc>
          <w:tcPr>
            <w:tcW w:w="1095" w:type="dxa"/>
            <w:noWrap w:val="0"/>
            <w:vAlign w:val="center"/>
          </w:tcPr>
          <w:p w14:paraId="5B687CF8">
            <w:pPr>
              <w:snapToGrid w:val="0"/>
              <w:spacing w:line="360" w:lineRule="auto"/>
              <w:jc w:val="center"/>
              <w:rPr>
                <w:rFonts w:hint="eastAsia" w:ascii="宋体" w:hAnsi="宋体" w:cs="宋体"/>
                <w:color w:val="auto"/>
                <w:sz w:val="24"/>
                <w:highlight w:val="none"/>
              </w:rPr>
            </w:pPr>
          </w:p>
        </w:tc>
        <w:tc>
          <w:tcPr>
            <w:tcW w:w="1145" w:type="dxa"/>
            <w:noWrap w:val="0"/>
            <w:vAlign w:val="center"/>
          </w:tcPr>
          <w:p w14:paraId="66DF2679">
            <w:pPr>
              <w:snapToGrid w:val="0"/>
              <w:spacing w:line="360" w:lineRule="auto"/>
              <w:jc w:val="center"/>
              <w:rPr>
                <w:rFonts w:hint="eastAsia" w:ascii="宋体" w:hAnsi="宋体" w:cs="宋体"/>
                <w:color w:val="auto"/>
                <w:sz w:val="24"/>
                <w:highlight w:val="none"/>
              </w:rPr>
            </w:pPr>
          </w:p>
        </w:tc>
      </w:tr>
      <w:tr w14:paraId="6461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noWrap w:val="0"/>
            <w:vAlign w:val="center"/>
          </w:tcPr>
          <w:p w14:paraId="6A310052">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1233" w:type="dxa"/>
            <w:noWrap w:val="0"/>
            <w:vAlign w:val="center"/>
          </w:tcPr>
          <w:p w14:paraId="25E89CB3">
            <w:pPr>
              <w:snapToGrid w:val="0"/>
              <w:spacing w:line="360" w:lineRule="auto"/>
              <w:jc w:val="center"/>
              <w:rPr>
                <w:rFonts w:hint="eastAsia" w:ascii="宋体" w:hAnsi="宋体" w:cs="宋体"/>
                <w:color w:val="auto"/>
                <w:sz w:val="24"/>
                <w:highlight w:val="none"/>
              </w:rPr>
            </w:pPr>
          </w:p>
        </w:tc>
        <w:tc>
          <w:tcPr>
            <w:tcW w:w="1059" w:type="dxa"/>
            <w:noWrap w:val="0"/>
            <w:vAlign w:val="center"/>
          </w:tcPr>
          <w:p w14:paraId="54D64A3A">
            <w:pPr>
              <w:snapToGrid w:val="0"/>
              <w:spacing w:line="360" w:lineRule="auto"/>
              <w:jc w:val="center"/>
              <w:rPr>
                <w:rFonts w:hint="eastAsia" w:ascii="宋体" w:hAnsi="宋体" w:cs="宋体"/>
                <w:color w:val="auto"/>
                <w:sz w:val="24"/>
                <w:highlight w:val="none"/>
              </w:rPr>
            </w:pPr>
          </w:p>
        </w:tc>
        <w:tc>
          <w:tcPr>
            <w:tcW w:w="1233" w:type="dxa"/>
            <w:noWrap w:val="0"/>
            <w:vAlign w:val="center"/>
          </w:tcPr>
          <w:p w14:paraId="258FEDCF">
            <w:pPr>
              <w:snapToGrid w:val="0"/>
              <w:spacing w:line="360" w:lineRule="auto"/>
              <w:jc w:val="center"/>
              <w:rPr>
                <w:rFonts w:hint="eastAsia" w:ascii="宋体" w:hAnsi="宋体" w:cs="宋体"/>
                <w:color w:val="auto"/>
                <w:sz w:val="24"/>
                <w:highlight w:val="none"/>
              </w:rPr>
            </w:pPr>
          </w:p>
        </w:tc>
        <w:tc>
          <w:tcPr>
            <w:tcW w:w="1210" w:type="dxa"/>
            <w:noWrap w:val="0"/>
            <w:vAlign w:val="top"/>
          </w:tcPr>
          <w:p w14:paraId="62803A00">
            <w:pPr>
              <w:snapToGrid w:val="0"/>
              <w:spacing w:line="360" w:lineRule="auto"/>
              <w:jc w:val="center"/>
              <w:rPr>
                <w:rFonts w:hint="eastAsia" w:ascii="宋体" w:hAnsi="宋体" w:cs="宋体"/>
                <w:color w:val="auto"/>
                <w:sz w:val="24"/>
                <w:highlight w:val="none"/>
              </w:rPr>
            </w:pPr>
          </w:p>
        </w:tc>
        <w:tc>
          <w:tcPr>
            <w:tcW w:w="737" w:type="dxa"/>
            <w:noWrap w:val="0"/>
            <w:vAlign w:val="top"/>
          </w:tcPr>
          <w:p w14:paraId="29BD8685">
            <w:pPr>
              <w:snapToGrid w:val="0"/>
              <w:spacing w:line="360" w:lineRule="auto"/>
              <w:jc w:val="center"/>
              <w:rPr>
                <w:rFonts w:hint="eastAsia" w:ascii="宋体" w:hAnsi="宋体" w:cs="宋体"/>
                <w:color w:val="auto"/>
                <w:sz w:val="24"/>
                <w:highlight w:val="none"/>
              </w:rPr>
            </w:pPr>
          </w:p>
        </w:tc>
        <w:tc>
          <w:tcPr>
            <w:tcW w:w="735" w:type="dxa"/>
            <w:noWrap w:val="0"/>
            <w:vAlign w:val="top"/>
          </w:tcPr>
          <w:p w14:paraId="2A8C4ED0">
            <w:pPr>
              <w:snapToGrid w:val="0"/>
              <w:spacing w:line="360" w:lineRule="auto"/>
              <w:jc w:val="center"/>
              <w:rPr>
                <w:rFonts w:hint="eastAsia" w:ascii="宋体" w:hAnsi="宋体" w:cs="宋体"/>
                <w:color w:val="auto"/>
                <w:sz w:val="24"/>
                <w:highlight w:val="none"/>
              </w:rPr>
            </w:pPr>
          </w:p>
        </w:tc>
        <w:tc>
          <w:tcPr>
            <w:tcW w:w="1095" w:type="dxa"/>
            <w:noWrap w:val="0"/>
            <w:vAlign w:val="center"/>
          </w:tcPr>
          <w:p w14:paraId="3D7F314B">
            <w:pPr>
              <w:snapToGrid w:val="0"/>
              <w:spacing w:line="360" w:lineRule="auto"/>
              <w:jc w:val="center"/>
              <w:rPr>
                <w:rFonts w:hint="eastAsia" w:ascii="宋体" w:hAnsi="宋体" w:cs="宋体"/>
                <w:color w:val="auto"/>
                <w:sz w:val="24"/>
                <w:highlight w:val="none"/>
              </w:rPr>
            </w:pPr>
          </w:p>
        </w:tc>
        <w:tc>
          <w:tcPr>
            <w:tcW w:w="1145" w:type="dxa"/>
            <w:noWrap w:val="0"/>
            <w:vAlign w:val="center"/>
          </w:tcPr>
          <w:p w14:paraId="184873CE">
            <w:pPr>
              <w:snapToGrid w:val="0"/>
              <w:spacing w:line="360" w:lineRule="auto"/>
              <w:jc w:val="center"/>
              <w:rPr>
                <w:rFonts w:hint="eastAsia" w:ascii="宋体" w:hAnsi="宋体" w:cs="宋体"/>
                <w:color w:val="auto"/>
                <w:sz w:val="24"/>
                <w:highlight w:val="none"/>
              </w:rPr>
            </w:pPr>
          </w:p>
        </w:tc>
      </w:tr>
      <w:tr w14:paraId="4F1A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noWrap w:val="0"/>
            <w:vAlign w:val="center"/>
          </w:tcPr>
          <w:p w14:paraId="70C19B5F">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1233" w:type="dxa"/>
            <w:noWrap w:val="0"/>
            <w:vAlign w:val="center"/>
          </w:tcPr>
          <w:p w14:paraId="132C2E8C">
            <w:pPr>
              <w:snapToGrid w:val="0"/>
              <w:spacing w:line="360" w:lineRule="auto"/>
              <w:jc w:val="center"/>
              <w:rPr>
                <w:rFonts w:hint="eastAsia" w:ascii="宋体" w:hAnsi="宋体" w:cs="宋体"/>
                <w:color w:val="auto"/>
                <w:sz w:val="24"/>
                <w:highlight w:val="none"/>
              </w:rPr>
            </w:pPr>
          </w:p>
        </w:tc>
        <w:tc>
          <w:tcPr>
            <w:tcW w:w="1059" w:type="dxa"/>
            <w:noWrap w:val="0"/>
            <w:vAlign w:val="center"/>
          </w:tcPr>
          <w:p w14:paraId="21F65ACB">
            <w:pPr>
              <w:snapToGrid w:val="0"/>
              <w:spacing w:line="360" w:lineRule="auto"/>
              <w:jc w:val="center"/>
              <w:rPr>
                <w:rFonts w:hint="eastAsia" w:ascii="宋体" w:hAnsi="宋体" w:cs="宋体"/>
                <w:color w:val="auto"/>
                <w:sz w:val="24"/>
                <w:highlight w:val="none"/>
              </w:rPr>
            </w:pPr>
          </w:p>
        </w:tc>
        <w:tc>
          <w:tcPr>
            <w:tcW w:w="1233" w:type="dxa"/>
            <w:noWrap w:val="0"/>
            <w:vAlign w:val="center"/>
          </w:tcPr>
          <w:p w14:paraId="0928751C">
            <w:pPr>
              <w:snapToGrid w:val="0"/>
              <w:spacing w:line="360" w:lineRule="auto"/>
              <w:jc w:val="center"/>
              <w:rPr>
                <w:rFonts w:hint="eastAsia" w:ascii="宋体" w:hAnsi="宋体" w:cs="宋体"/>
                <w:color w:val="auto"/>
                <w:sz w:val="24"/>
                <w:highlight w:val="none"/>
              </w:rPr>
            </w:pPr>
          </w:p>
        </w:tc>
        <w:tc>
          <w:tcPr>
            <w:tcW w:w="1210" w:type="dxa"/>
            <w:noWrap w:val="0"/>
            <w:vAlign w:val="top"/>
          </w:tcPr>
          <w:p w14:paraId="5B7B5FB6">
            <w:pPr>
              <w:snapToGrid w:val="0"/>
              <w:spacing w:line="360" w:lineRule="auto"/>
              <w:jc w:val="center"/>
              <w:rPr>
                <w:rFonts w:hint="eastAsia" w:ascii="宋体" w:hAnsi="宋体" w:cs="宋体"/>
                <w:color w:val="auto"/>
                <w:sz w:val="24"/>
                <w:highlight w:val="none"/>
              </w:rPr>
            </w:pPr>
          </w:p>
        </w:tc>
        <w:tc>
          <w:tcPr>
            <w:tcW w:w="737" w:type="dxa"/>
            <w:noWrap w:val="0"/>
            <w:vAlign w:val="top"/>
          </w:tcPr>
          <w:p w14:paraId="694D9386">
            <w:pPr>
              <w:snapToGrid w:val="0"/>
              <w:spacing w:line="360" w:lineRule="auto"/>
              <w:jc w:val="center"/>
              <w:rPr>
                <w:rFonts w:hint="eastAsia" w:ascii="宋体" w:hAnsi="宋体" w:cs="宋体"/>
                <w:color w:val="auto"/>
                <w:sz w:val="24"/>
                <w:highlight w:val="none"/>
              </w:rPr>
            </w:pPr>
          </w:p>
        </w:tc>
        <w:tc>
          <w:tcPr>
            <w:tcW w:w="735" w:type="dxa"/>
            <w:noWrap w:val="0"/>
            <w:vAlign w:val="top"/>
          </w:tcPr>
          <w:p w14:paraId="0B8B2332">
            <w:pPr>
              <w:snapToGrid w:val="0"/>
              <w:spacing w:line="360" w:lineRule="auto"/>
              <w:jc w:val="center"/>
              <w:rPr>
                <w:rFonts w:hint="eastAsia" w:ascii="宋体" w:hAnsi="宋体" w:cs="宋体"/>
                <w:color w:val="auto"/>
                <w:sz w:val="24"/>
                <w:highlight w:val="none"/>
              </w:rPr>
            </w:pPr>
          </w:p>
        </w:tc>
        <w:tc>
          <w:tcPr>
            <w:tcW w:w="1095" w:type="dxa"/>
            <w:noWrap w:val="0"/>
            <w:vAlign w:val="center"/>
          </w:tcPr>
          <w:p w14:paraId="74FB0344">
            <w:pPr>
              <w:snapToGrid w:val="0"/>
              <w:spacing w:line="360" w:lineRule="auto"/>
              <w:jc w:val="center"/>
              <w:rPr>
                <w:rFonts w:hint="eastAsia" w:ascii="宋体" w:hAnsi="宋体" w:cs="宋体"/>
                <w:color w:val="auto"/>
                <w:sz w:val="24"/>
                <w:highlight w:val="none"/>
              </w:rPr>
            </w:pPr>
          </w:p>
        </w:tc>
        <w:tc>
          <w:tcPr>
            <w:tcW w:w="1145" w:type="dxa"/>
            <w:noWrap w:val="0"/>
            <w:vAlign w:val="center"/>
          </w:tcPr>
          <w:p w14:paraId="67B10B90">
            <w:pPr>
              <w:snapToGrid w:val="0"/>
              <w:spacing w:line="360" w:lineRule="auto"/>
              <w:jc w:val="center"/>
              <w:rPr>
                <w:rFonts w:hint="eastAsia" w:ascii="宋体" w:hAnsi="宋体" w:cs="宋体"/>
                <w:color w:val="auto"/>
                <w:sz w:val="24"/>
                <w:highlight w:val="none"/>
              </w:rPr>
            </w:pPr>
          </w:p>
        </w:tc>
      </w:tr>
      <w:tr w14:paraId="7D4C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noWrap w:val="0"/>
            <w:vAlign w:val="center"/>
          </w:tcPr>
          <w:p w14:paraId="6FB33B7A">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tc>
        <w:tc>
          <w:tcPr>
            <w:tcW w:w="1233" w:type="dxa"/>
            <w:noWrap w:val="0"/>
            <w:vAlign w:val="center"/>
          </w:tcPr>
          <w:p w14:paraId="1B134672">
            <w:pPr>
              <w:snapToGrid w:val="0"/>
              <w:spacing w:line="360" w:lineRule="auto"/>
              <w:jc w:val="center"/>
              <w:rPr>
                <w:rFonts w:hint="eastAsia" w:ascii="宋体" w:hAnsi="宋体" w:cs="宋体"/>
                <w:color w:val="auto"/>
                <w:sz w:val="24"/>
                <w:highlight w:val="none"/>
              </w:rPr>
            </w:pPr>
          </w:p>
        </w:tc>
        <w:tc>
          <w:tcPr>
            <w:tcW w:w="1059" w:type="dxa"/>
            <w:noWrap w:val="0"/>
            <w:vAlign w:val="center"/>
          </w:tcPr>
          <w:p w14:paraId="5BD71249">
            <w:pPr>
              <w:snapToGrid w:val="0"/>
              <w:spacing w:line="360" w:lineRule="auto"/>
              <w:jc w:val="center"/>
              <w:rPr>
                <w:rFonts w:hint="eastAsia" w:ascii="宋体" w:hAnsi="宋体" w:cs="宋体"/>
                <w:color w:val="auto"/>
                <w:sz w:val="24"/>
                <w:highlight w:val="none"/>
              </w:rPr>
            </w:pPr>
          </w:p>
        </w:tc>
        <w:tc>
          <w:tcPr>
            <w:tcW w:w="1233" w:type="dxa"/>
            <w:noWrap w:val="0"/>
            <w:vAlign w:val="center"/>
          </w:tcPr>
          <w:p w14:paraId="1E7B5DC4">
            <w:pPr>
              <w:snapToGrid w:val="0"/>
              <w:spacing w:line="360" w:lineRule="auto"/>
              <w:jc w:val="center"/>
              <w:rPr>
                <w:rFonts w:hint="eastAsia" w:ascii="宋体" w:hAnsi="宋体" w:cs="宋体"/>
                <w:color w:val="auto"/>
                <w:sz w:val="24"/>
                <w:highlight w:val="none"/>
              </w:rPr>
            </w:pPr>
          </w:p>
        </w:tc>
        <w:tc>
          <w:tcPr>
            <w:tcW w:w="1210" w:type="dxa"/>
            <w:noWrap w:val="0"/>
            <w:vAlign w:val="top"/>
          </w:tcPr>
          <w:p w14:paraId="53B2CDCD">
            <w:pPr>
              <w:snapToGrid w:val="0"/>
              <w:spacing w:line="360" w:lineRule="auto"/>
              <w:jc w:val="center"/>
              <w:rPr>
                <w:rFonts w:hint="eastAsia" w:ascii="宋体" w:hAnsi="宋体" w:cs="宋体"/>
                <w:color w:val="auto"/>
                <w:sz w:val="24"/>
                <w:highlight w:val="none"/>
              </w:rPr>
            </w:pPr>
          </w:p>
        </w:tc>
        <w:tc>
          <w:tcPr>
            <w:tcW w:w="737" w:type="dxa"/>
            <w:noWrap w:val="0"/>
            <w:vAlign w:val="top"/>
          </w:tcPr>
          <w:p w14:paraId="161C09E7">
            <w:pPr>
              <w:snapToGrid w:val="0"/>
              <w:spacing w:line="360" w:lineRule="auto"/>
              <w:jc w:val="center"/>
              <w:rPr>
                <w:rFonts w:hint="eastAsia" w:ascii="宋体" w:hAnsi="宋体" w:cs="宋体"/>
                <w:color w:val="auto"/>
                <w:sz w:val="24"/>
                <w:highlight w:val="none"/>
              </w:rPr>
            </w:pPr>
          </w:p>
        </w:tc>
        <w:tc>
          <w:tcPr>
            <w:tcW w:w="735" w:type="dxa"/>
            <w:noWrap w:val="0"/>
            <w:vAlign w:val="top"/>
          </w:tcPr>
          <w:p w14:paraId="00F10DEF">
            <w:pPr>
              <w:snapToGrid w:val="0"/>
              <w:spacing w:line="360" w:lineRule="auto"/>
              <w:jc w:val="center"/>
              <w:rPr>
                <w:rFonts w:hint="eastAsia" w:ascii="宋体" w:hAnsi="宋体" w:cs="宋体"/>
                <w:color w:val="auto"/>
                <w:sz w:val="24"/>
                <w:highlight w:val="none"/>
              </w:rPr>
            </w:pPr>
          </w:p>
        </w:tc>
        <w:tc>
          <w:tcPr>
            <w:tcW w:w="1095" w:type="dxa"/>
            <w:noWrap w:val="0"/>
            <w:vAlign w:val="center"/>
          </w:tcPr>
          <w:p w14:paraId="1D3CD92A">
            <w:pPr>
              <w:snapToGrid w:val="0"/>
              <w:spacing w:line="360" w:lineRule="auto"/>
              <w:jc w:val="center"/>
              <w:rPr>
                <w:rFonts w:hint="eastAsia" w:ascii="宋体" w:hAnsi="宋体" w:cs="宋体"/>
                <w:color w:val="auto"/>
                <w:sz w:val="24"/>
                <w:highlight w:val="none"/>
              </w:rPr>
            </w:pPr>
          </w:p>
        </w:tc>
        <w:tc>
          <w:tcPr>
            <w:tcW w:w="1145" w:type="dxa"/>
            <w:noWrap w:val="0"/>
            <w:vAlign w:val="center"/>
          </w:tcPr>
          <w:p w14:paraId="72F9F78D">
            <w:pPr>
              <w:snapToGrid w:val="0"/>
              <w:spacing w:line="360" w:lineRule="auto"/>
              <w:jc w:val="center"/>
              <w:rPr>
                <w:rFonts w:hint="eastAsia" w:ascii="宋体" w:hAnsi="宋体" w:cs="宋体"/>
                <w:color w:val="auto"/>
                <w:sz w:val="24"/>
                <w:highlight w:val="none"/>
              </w:rPr>
            </w:pPr>
          </w:p>
        </w:tc>
      </w:tr>
      <w:tr w14:paraId="64D3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156" w:type="dxa"/>
            <w:gridSpan w:val="9"/>
            <w:noWrap w:val="0"/>
            <w:vAlign w:val="center"/>
          </w:tcPr>
          <w:p w14:paraId="31B46E8F">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人民币合计金额（大写）                          （小写）                 </w:t>
            </w:r>
          </w:p>
        </w:tc>
      </w:tr>
    </w:tbl>
    <w:p w14:paraId="610B5368">
      <w:pPr>
        <w:numPr>
          <w:ilvl w:val="0"/>
          <w:numId w:val="0"/>
        </w:numPr>
        <w:snapToGrid w:val="0"/>
        <w:spacing w:line="360" w:lineRule="auto"/>
        <w:ind w:leftChars="0" w:right="420" w:rightChars="0"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合同合计金额包括货物</w:t>
      </w:r>
      <w:r>
        <w:rPr>
          <w:rFonts w:hint="eastAsia" w:ascii="宋体" w:hAnsi="宋体" w:cs="宋体"/>
          <w:color w:val="auto"/>
          <w:sz w:val="24"/>
          <w:highlight w:val="none"/>
          <w:lang w:eastAsia="zh-CN"/>
        </w:rPr>
        <w:t>及其配套服务费用</w:t>
      </w:r>
      <w:r>
        <w:rPr>
          <w:rFonts w:hint="eastAsia" w:ascii="宋体" w:hAnsi="宋体" w:cs="宋体"/>
          <w:color w:val="auto"/>
          <w:sz w:val="24"/>
          <w:highlight w:val="none"/>
        </w:rPr>
        <w:t>（包括</w:t>
      </w:r>
      <w:r>
        <w:rPr>
          <w:rFonts w:hint="eastAsia" w:ascii="宋体" w:hAnsi="宋体" w:cs="宋体"/>
          <w:color w:val="auto"/>
          <w:sz w:val="24"/>
          <w:highlight w:val="none"/>
          <w:lang w:eastAsia="zh-CN"/>
        </w:rPr>
        <w:t>但不限于调换维修、供货配发、包装费、检测费、运输费、运输保险费、仓储保险费、仓储费、增值税发票税费及其它可能发生的有关费用），甲方除此之外不再支付任何其它费用。</w:t>
      </w:r>
    </w:p>
    <w:p w14:paraId="07F1FBC4">
      <w:pPr>
        <w:numPr>
          <w:ilvl w:val="0"/>
          <w:numId w:val="0"/>
        </w:numPr>
        <w:snapToGrid w:val="0"/>
        <w:spacing w:line="360" w:lineRule="auto"/>
        <w:ind w:leftChars="0" w:right="420" w:rightChars="0"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当采购数量与实际使用数量不一致时，乙方应根据实际使用数量供货，合同的最终结算金额按实际使用数量乘以单价进行计算。</w:t>
      </w:r>
    </w:p>
    <w:p w14:paraId="7AE3E1AB">
      <w:pPr>
        <w:snapToGrid w:val="0"/>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第二条　质量要求</w:t>
      </w:r>
    </w:p>
    <w:p w14:paraId="375FA5FC">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1.乙方所提供的产品名称、商标品牌、生产厂家、规格型号、技术参数等质量必须与竞争性谈判文件规定及响应文件承诺相一致。乙方提供的节能和环保产品必须是列入政府采购品目清单的产品。</w:t>
      </w:r>
    </w:p>
    <w:p w14:paraId="11F6CF9B">
      <w:pPr>
        <w:snapToGrid w:val="0"/>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2.乙方所提供的货物必须是全新、未使用的原装产品，且在正常安装、使用和保养条件下，其使用寿命期内各项指标均达到竞争性谈判文件规定或者响应文件承诺的质量要求。</w:t>
      </w:r>
    </w:p>
    <w:p w14:paraId="0CCB71D6">
      <w:pPr>
        <w:snapToGrid w:val="0"/>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第三条　权利保证</w:t>
      </w:r>
    </w:p>
    <w:p w14:paraId="4842C878">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1.乙方应保证所提供货物在使用时不会侵犯任何第三方的专利权、商标权、工业设计权或者其他权利。</w:t>
      </w:r>
    </w:p>
    <w:p w14:paraId="3E47199A">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2.乙方应按竞争性谈判文件规定或者响应文件承诺的时间向甲方提供使用货物的有关技术资料。</w:t>
      </w:r>
    </w:p>
    <w:p w14:paraId="66E087F6">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w:t>
      </w:r>
    </w:p>
    <w:p w14:paraId="5FBDB939">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4.乙方保证将要交付的货物的所有权完全属于乙方且无任何抵押、质押、查封等产权瑕疵。</w:t>
      </w:r>
    </w:p>
    <w:p w14:paraId="3B0D9223">
      <w:pPr>
        <w:snapToGrid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第四条　包装和运输</w:t>
      </w:r>
    </w:p>
    <w:p w14:paraId="04EAA590">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1.乙方提供的货物均应按竞争性谈判文件规定或者响应文件承诺的要求的包装材料、包装标准、包装方式进行包装，每一包装单元内应附详细的装箱单和质量合格证。</w:t>
      </w:r>
    </w:p>
    <w:p w14:paraId="6F4F82C4">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2.货物的运输方式：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D5216B5">
      <w:pPr>
        <w:snapToGrid w:val="0"/>
        <w:spacing w:line="360" w:lineRule="auto"/>
        <w:ind w:firstLine="480" w:firstLineChars="200"/>
        <w:rPr>
          <w:rFonts w:hint="eastAsia" w:ascii="宋体" w:hAnsi="宋体" w:eastAsia="宋体" w:cs="宋体"/>
          <w:color w:val="auto"/>
          <w:sz w:val="24"/>
          <w:highlight w:val="none"/>
          <w:u w:val="single"/>
          <w:lang w:eastAsia="zh-CN"/>
        </w:rPr>
      </w:pPr>
      <w:r>
        <w:rPr>
          <w:rFonts w:hint="eastAsia" w:ascii="宋体" w:hAnsi="宋体" w:cs="宋体"/>
          <w:color w:val="auto"/>
          <w:sz w:val="24"/>
          <w:highlight w:val="none"/>
        </w:rPr>
        <w:t>3.乙方负责货物运输，货物运输合理损耗及计算方法：</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乙方自行负责</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5E6EA74F">
      <w:pPr>
        <w:snapToGrid w:val="0"/>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第五条　交付和验收</w:t>
      </w:r>
    </w:p>
    <w:p w14:paraId="187A125A">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1.交付时间：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；交付地点：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5CD41297">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2.乙方提供不符合竞争性谈判文件规定或者响应文件承诺的和本合同规定的货物，甲方有权拒绝接受。</w:t>
      </w:r>
    </w:p>
    <w:p w14:paraId="113A5C81">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3.乙方应将所提供货物的装箱清单、用户手册、原厂保修卡、随机资料、工具和备品、备件等交付给甲方，货物属于进口产品的，供货时应同时附上</w:t>
      </w:r>
      <w:r>
        <w:rPr>
          <w:rFonts w:hint="eastAsia" w:ascii="宋体" w:hAnsi="宋体" w:cs="宋体"/>
          <w:color w:val="auto"/>
          <w:sz w:val="24"/>
          <w:highlight w:val="none"/>
          <w:lang w:eastAsia="zh-CN"/>
        </w:rPr>
        <w:t>货物的合格证书、出厂检验报告等相关质量证明文件以及</w:t>
      </w:r>
      <w:r>
        <w:rPr>
          <w:rFonts w:hint="eastAsia" w:ascii="宋体" w:hAnsi="宋体" w:cs="宋体"/>
          <w:color w:val="auto"/>
          <w:sz w:val="24"/>
          <w:highlight w:val="none"/>
        </w:rPr>
        <w:t>中文使用说明书，如有缺失应在合理的规定时间内补齐，否则视为逾期交货。</w:t>
      </w:r>
    </w:p>
    <w:p w14:paraId="3276398F">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4.甲方应当在到货（安装、调试完）后七个工作日内进行验收，逾期不验收的，乙方可视同验收合格。验收合格后由甲乙双方签署货物验收单并加盖甲方公章，甲乙双方各执</w:t>
      </w:r>
      <w:r>
        <w:rPr>
          <w:rFonts w:hint="eastAsia" w:ascii="宋体" w:hAnsi="宋体" w:cs="宋体"/>
          <w:color w:val="auto"/>
          <w:sz w:val="24"/>
          <w:highlight w:val="none"/>
          <w:lang w:eastAsia="zh-CN"/>
        </w:rPr>
        <w:t>两</w:t>
      </w:r>
      <w:r>
        <w:rPr>
          <w:rFonts w:hint="eastAsia" w:ascii="宋体" w:hAnsi="宋体" w:cs="宋体"/>
          <w:color w:val="auto"/>
          <w:sz w:val="24"/>
          <w:highlight w:val="none"/>
        </w:rPr>
        <w:t>份。</w:t>
      </w:r>
    </w:p>
    <w:p w14:paraId="18CE62C6">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甲方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47D12903">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6.甲方对验收有异议的，在验收后五个工作日内以书面形式向乙方提出，乙方应自收到甲方书面异议后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日内及时予以解决。</w:t>
      </w:r>
    </w:p>
    <w:p w14:paraId="6F9AEBF3">
      <w:pPr>
        <w:snapToGrid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第六条　安装和培训</w:t>
      </w:r>
    </w:p>
    <w:p w14:paraId="57152E37">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1.甲方应提供必要安装条件（如场地、电源、水源等）。</w:t>
      </w:r>
    </w:p>
    <w:p w14:paraId="1D5EB1C3">
      <w:pPr>
        <w:snapToGrid w:val="0"/>
        <w:spacing w:line="360" w:lineRule="auto"/>
        <w:ind w:firstLine="436" w:firstLineChars="200"/>
        <w:rPr>
          <w:rFonts w:hint="eastAsia" w:ascii="宋体" w:hAnsi="宋体" w:cs="宋体"/>
          <w:color w:val="auto"/>
          <w:spacing w:val="-11"/>
          <w:sz w:val="24"/>
          <w:highlight w:val="none"/>
          <w:u w:val="single"/>
        </w:rPr>
      </w:pPr>
      <w:r>
        <w:rPr>
          <w:rFonts w:hint="eastAsia" w:ascii="宋体" w:hAnsi="宋体" w:cs="宋体"/>
          <w:color w:val="auto"/>
          <w:spacing w:val="-11"/>
          <w:sz w:val="24"/>
          <w:highlight w:val="none"/>
        </w:rPr>
        <w:t>2.乙方响应文件承诺负责甲方有关人员的培训。培训时间、地点：</w:t>
      </w:r>
      <w:r>
        <w:rPr>
          <w:rFonts w:hint="eastAsia" w:ascii="宋体" w:hAnsi="宋体" w:cs="宋体"/>
          <w:color w:val="auto"/>
          <w:spacing w:val="-11"/>
          <w:sz w:val="24"/>
          <w:highlight w:val="none"/>
          <w:u w:val="single"/>
        </w:rPr>
        <w:t xml:space="preserve">                   </w:t>
      </w:r>
      <w:r>
        <w:rPr>
          <w:rFonts w:hint="eastAsia" w:ascii="宋体" w:hAnsi="宋体" w:cs="宋体"/>
          <w:color w:val="auto"/>
          <w:spacing w:val="-11"/>
          <w:sz w:val="24"/>
          <w:highlight w:val="none"/>
        </w:rPr>
        <w:t>。</w:t>
      </w:r>
    </w:p>
    <w:p w14:paraId="267BDED5">
      <w:pPr>
        <w:snapToGrid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第七条  售后服务、保修期</w:t>
      </w:r>
    </w:p>
    <w:p w14:paraId="049BBD06">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1.乙方应按照国家有关法律法规和“三包”规定以及本合同所附的《服务承诺》，为甲方提供售后服务。</w:t>
      </w:r>
    </w:p>
    <w:p w14:paraId="48E3F275">
      <w:pPr>
        <w:snapToGrid w:val="0"/>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2.货物保修期：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6E92AA7">
      <w:pPr>
        <w:snapToGrid w:val="0"/>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3.乙方提供的服务承诺和售后服务及保修期责任等其它具体约定事项。（见合同附件）</w:t>
      </w:r>
    </w:p>
    <w:p w14:paraId="78A95397">
      <w:pPr>
        <w:snapToGrid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第八条　付款方式</w:t>
      </w:r>
    </w:p>
    <w:p w14:paraId="52C6B890">
      <w:pPr>
        <w:snapToGrid w:val="0"/>
        <w:spacing w:line="360" w:lineRule="auto"/>
        <w:ind w:left="-61" w:leftChars="-29" w:firstLine="514" w:firstLineChars="245"/>
        <w:rPr>
          <w:rFonts w:hint="eastAsia" w:ascii="宋体" w:hAnsi="宋体"/>
          <w:color w:val="auto"/>
          <w:kern w:val="0"/>
          <w:szCs w:val="21"/>
          <w:highlight w:val="none"/>
          <w:lang w:val="en-US" w:eastAsia="zh-CN"/>
        </w:rPr>
      </w:pPr>
      <w:r>
        <w:rPr>
          <w:rFonts w:hint="eastAsia" w:ascii="宋体" w:hAnsi="宋体"/>
          <w:color w:val="auto"/>
          <w:szCs w:val="21"/>
          <w:highlight w:val="none"/>
          <w:lang w:val="en-US" w:eastAsia="zh-CN"/>
        </w:rPr>
        <w:t>本项目无预付款，</w:t>
      </w:r>
      <w:r>
        <w:rPr>
          <w:rFonts w:hint="eastAsia" w:ascii="宋体" w:hAnsi="宋体"/>
          <w:color w:val="auto"/>
          <w:szCs w:val="21"/>
          <w:highlight w:val="none"/>
        </w:rPr>
        <w:t>合同签订后</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待成交供应商</w:t>
      </w:r>
      <w:r>
        <w:rPr>
          <w:rFonts w:hint="eastAsia" w:ascii="宋体" w:hAnsi="宋体"/>
          <w:color w:val="auto"/>
          <w:kern w:val="0"/>
          <w:szCs w:val="21"/>
          <w:highlight w:val="none"/>
          <w:lang w:val="en-US" w:eastAsia="zh-CN"/>
        </w:rPr>
        <w:t>按要求交付所有货物</w:t>
      </w:r>
      <w:r>
        <w:rPr>
          <w:rFonts w:hint="eastAsia" w:ascii="宋体" w:hAnsi="宋体"/>
          <w:color w:val="auto"/>
          <w:kern w:val="0"/>
          <w:szCs w:val="21"/>
          <w:highlight w:val="none"/>
          <w:lang w:eastAsia="zh-CN"/>
        </w:rPr>
        <w:t>并经</w:t>
      </w:r>
      <w:r>
        <w:rPr>
          <w:rFonts w:hint="eastAsia" w:ascii="宋体" w:hAnsi="宋体"/>
          <w:color w:val="auto"/>
          <w:kern w:val="0"/>
          <w:szCs w:val="21"/>
          <w:highlight w:val="none"/>
        </w:rPr>
        <w:t>验收合格</w:t>
      </w:r>
      <w:r>
        <w:rPr>
          <w:rFonts w:hint="eastAsia" w:ascii="宋体" w:hAnsi="宋体"/>
          <w:color w:val="auto"/>
          <w:kern w:val="0"/>
          <w:szCs w:val="21"/>
          <w:highlight w:val="none"/>
          <w:lang w:eastAsia="zh-CN"/>
        </w:rPr>
        <w:t>后，</w:t>
      </w:r>
      <w:r>
        <w:rPr>
          <w:rFonts w:hint="eastAsia" w:ascii="宋体" w:hAnsi="宋体" w:eastAsia="宋体" w:cs="宋体"/>
          <w:color w:val="auto"/>
          <w:spacing w:val="8"/>
          <w:highlight w:val="none"/>
          <w:lang w:eastAsia="zh-CN"/>
        </w:rPr>
        <w:t>采购人</w:t>
      </w:r>
      <w:r>
        <w:rPr>
          <w:rFonts w:hint="eastAsia" w:ascii="宋体" w:hAnsi="宋体" w:eastAsia="宋体" w:cs="宋体"/>
          <w:color w:val="auto"/>
          <w:spacing w:val="8"/>
          <w:highlight w:val="none"/>
          <w:lang w:val="en-US" w:eastAsia="zh-CN"/>
        </w:rPr>
        <w:t>在收到</w:t>
      </w:r>
      <w:r>
        <w:rPr>
          <w:rFonts w:hint="eastAsia" w:ascii="宋体" w:hAnsi="宋体" w:eastAsia="宋体" w:cs="宋体"/>
          <w:color w:val="auto"/>
          <w:spacing w:val="8"/>
          <w:highlight w:val="none"/>
          <w:lang w:eastAsia="zh-CN"/>
        </w:rPr>
        <w:t>成交供应商</w:t>
      </w:r>
      <w:r>
        <w:rPr>
          <w:rFonts w:hint="eastAsia" w:ascii="宋体" w:hAnsi="宋体" w:eastAsia="宋体" w:cs="宋体"/>
          <w:color w:val="auto"/>
          <w:spacing w:val="8"/>
          <w:highlight w:val="none"/>
          <w:lang w:val="en-US" w:eastAsia="zh-CN"/>
        </w:rPr>
        <w:t>开具的合法有效的</w:t>
      </w:r>
      <w:r>
        <w:rPr>
          <w:rFonts w:hint="eastAsia" w:ascii="宋体" w:hAnsi="宋体" w:eastAsia="宋体" w:cs="宋体"/>
          <w:color w:val="auto"/>
          <w:spacing w:val="8"/>
          <w:highlight w:val="none"/>
          <w:lang w:eastAsia="zh-CN"/>
        </w:rPr>
        <w:t>增值税发票之日起</w:t>
      </w:r>
      <w:r>
        <w:rPr>
          <w:rFonts w:hint="eastAsia" w:ascii="宋体" w:hAnsi="宋体" w:eastAsia="宋体" w:cs="宋体"/>
          <w:color w:val="auto"/>
          <w:spacing w:val="8"/>
          <w:highlight w:val="none"/>
          <w:lang w:val="en-US" w:eastAsia="zh-CN"/>
        </w:rPr>
        <w:t>15</w:t>
      </w:r>
      <w:r>
        <w:rPr>
          <w:rFonts w:hint="eastAsia" w:ascii="宋体" w:hAnsi="宋体" w:eastAsia="宋体" w:cs="宋体"/>
          <w:color w:val="auto"/>
          <w:spacing w:val="8"/>
          <w:highlight w:val="none"/>
          <w:lang w:eastAsia="zh-CN"/>
        </w:rPr>
        <w:t>日内</w:t>
      </w:r>
      <w:r>
        <w:rPr>
          <w:rFonts w:hint="eastAsia" w:ascii="宋体" w:hAnsi="宋体"/>
          <w:color w:val="auto"/>
          <w:kern w:val="0"/>
          <w:szCs w:val="21"/>
          <w:highlight w:val="none"/>
          <w:lang w:val="en-US" w:eastAsia="zh-CN"/>
        </w:rPr>
        <w:t>一次性付清合同价款。</w:t>
      </w:r>
    </w:p>
    <w:p w14:paraId="08345739">
      <w:pPr>
        <w:snapToGrid w:val="0"/>
        <w:spacing w:line="360" w:lineRule="auto"/>
        <w:ind w:left="-61" w:leftChars="-29" w:firstLine="590" w:firstLineChars="245"/>
        <w:rPr>
          <w:rFonts w:hint="eastAsia" w:ascii="宋体" w:hAnsi="宋体" w:cs="宋体"/>
          <w:b/>
          <w:color w:val="auto"/>
          <w:sz w:val="24"/>
          <w:highlight w:val="none"/>
        </w:rPr>
      </w:pPr>
      <w:r>
        <w:rPr>
          <w:rFonts w:hint="eastAsia" w:ascii="宋体" w:hAnsi="宋体" w:cs="宋体"/>
          <w:b/>
          <w:color w:val="auto"/>
          <w:sz w:val="24"/>
          <w:highlight w:val="none"/>
        </w:rPr>
        <w:t>第九条　履约保证金</w:t>
      </w:r>
    </w:p>
    <w:p w14:paraId="46FF8E6D">
      <w:pPr>
        <w:autoSpaceDE w:val="0"/>
        <w:autoSpaceDN w:val="0"/>
        <w:snapToGrid w:val="0"/>
        <w:spacing w:line="360" w:lineRule="auto"/>
        <w:ind w:firstLine="484" w:firstLineChars="202"/>
        <w:textAlignment w:val="bottom"/>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本项目无履约保证金。</w:t>
      </w:r>
    </w:p>
    <w:p w14:paraId="32D2D17D">
      <w:pPr>
        <w:snapToGrid w:val="0"/>
        <w:spacing w:line="360" w:lineRule="auto"/>
        <w:ind w:left="-61" w:firstLine="514"/>
        <w:rPr>
          <w:rFonts w:hint="eastAsia" w:ascii="宋体" w:hAnsi="宋体" w:cs="宋体"/>
          <w:b/>
          <w:color w:val="auto"/>
          <w:sz w:val="24"/>
          <w:highlight w:val="none"/>
        </w:rPr>
      </w:pPr>
      <w:r>
        <w:rPr>
          <w:rFonts w:hint="eastAsia" w:ascii="宋体" w:hAnsi="宋体" w:cs="宋体"/>
          <w:b/>
          <w:color w:val="auto"/>
          <w:sz w:val="24"/>
          <w:highlight w:val="none"/>
        </w:rPr>
        <w:t>第十条  税费</w:t>
      </w:r>
    </w:p>
    <w:p w14:paraId="7C853B0C">
      <w:pPr>
        <w:snapToGrid w:val="0"/>
        <w:spacing w:line="360" w:lineRule="auto"/>
        <w:ind w:left="-61" w:firstLine="514"/>
        <w:rPr>
          <w:rFonts w:hint="eastAsia" w:ascii="宋体" w:hAnsi="宋体" w:cs="宋体"/>
          <w:color w:val="auto"/>
          <w:sz w:val="24"/>
          <w:highlight w:val="none"/>
        </w:rPr>
      </w:pPr>
      <w:r>
        <w:rPr>
          <w:rFonts w:hint="eastAsia" w:ascii="宋体" w:hAnsi="宋体" w:cs="宋体"/>
          <w:color w:val="auto"/>
          <w:sz w:val="24"/>
          <w:highlight w:val="none"/>
        </w:rPr>
        <w:t>本合同执行中相关的一切税费均由乙方负担。</w:t>
      </w:r>
    </w:p>
    <w:p w14:paraId="7CB01E34">
      <w:pPr>
        <w:snapToGrid w:val="0"/>
        <w:spacing w:line="360" w:lineRule="auto"/>
        <w:ind w:left="-61" w:firstLine="514"/>
        <w:rPr>
          <w:rFonts w:hint="eastAsia" w:ascii="宋体" w:hAnsi="宋体" w:cs="宋体"/>
          <w:color w:val="auto"/>
          <w:sz w:val="24"/>
          <w:highlight w:val="none"/>
        </w:rPr>
      </w:pPr>
      <w:r>
        <w:rPr>
          <w:rFonts w:hint="eastAsia" w:ascii="宋体" w:hAnsi="宋体" w:cs="宋体"/>
          <w:b/>
          <w:color w:val="auto"/>
          <w:sz w:val="24"/>
          <w:highlight w:val="none"/>
        </w:rPr>
        <w:t>第十一条  质量保证及售后服务</w:t>
      </w:r>
    </w:p>
    <w:p w14:paraId="0E090F78">
      <w:pPr>
        <w:pStyle w:val="13"/>
        <w:snapToGrid w:val="0"/>
        <w:spacing w:line="360" w:lineRule="auto"/>
        <w:ind w:firstLine="420"/>
        <w:rPr>
          <w:rFonts w:hint="eastAsia" w:hAnsi="宋体" w:cs="宋体"/>
          <w:color w:val="auto"/>
          <w:sz w:val="24"/>
          <w:szCs w:val="24"/>
          <w:highlight w:val="none"/>
        </w:rPr>
      </w:pPr>
      <w:r>
        <w:rPr>
          <w:rFonts w:hint="eastAsia" w:hAnsi="宋体" w:cs="宋体"/>
          <w:bCs/>
          <w:color w:val="auto"/>
          <w:sz w:val="24"/>
          <w:szCs w:val="24"/>
          <w:highlight w:val="none"/>
        </w:rPr>
        <w:t>1.</w:t>
      </w:r>
      <w:r>
        <w:rPr>
          <w:rFonts w:hint="eastAsia" w:hAnsi="宋体" w:cs="宋体"/>
          <w:color w:val="auto"/>
          <w:sz w:val="24"/>
          <w:szCs w:val="24"/>
          <w:highlight w:val="none"/>
        </w:rPr>
        <w:t>乙方应按竞争性谈判文件规定的产品名称、商标品牌、生产厂家、规格型号、技术参数、质量标准向甲方提供未经使用的全新产品。</w:t>
      </w:r>
      <w:r>
        <w:rPr>
          <w:rFonts w:hint="eastAsia" w:hAnsi="宋体" w:cs="宋体"/>
          <w:color w:val="auto"/>
          <w:sz w:val="24"/>
          <w:szCs w:val="24"/>
          <w:highlight w:val="none"/>
          <w:lang w:eastAsia="zh-CN"/>
        </w:rPr>
        <w:t>质量要求不明确的，按照国家标准、行业标准履行；没有国家标准、行业标准的，按照通常标准或者符合合同目的的标准履行。</w:t>
      </w:r>
    </w:p>
    <w:p w14:paraId="324301D4">
      <w:pPr>
        <w:pStyle w:val="13"/>
        <w:snapToGrid w:val="0"/>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2.如在使用过程中发生质量问题，乙方在接到甲方通知后到达甲方现场处理的时间（</w:t>
      </w:r>
      <w:r>
        <w:rPr>
          <w:rFonts w:hint="eastAsia" w:hAnsi="宋体" w:cs="宋体"/>
          <w:color w:val="auto"/>
          <w:sz w:val="24"/>
          <w:szCs w:val="24"/>
          <w:highlight w:val="none"/>
          <w:u w:val="single"/>
        </w:rPr>
        <w:t>按响应文件承诺的数据填写</w:t>
      </w:r>
      <w:r>
        <w:rPr>
          <w:rFonts w:hint="eastAsia" w:hAnsi="宋体" w:cs="宋体"/>
          <w:color w:val="auto"/>
          <w:sz w:val="24"/>
          <w:szCs w:val="24"/>
          <w:highlight w:val="none"/>
        </w:rPr>
        <w:t>）小时内。</w:t>
      </w:r>
    </w:p>
    <w:p w14:paraId="5215D609">
      <w:pPr>
        <w:pStyle w:val="13"/>
        <w:snapToGrid w:val="0"/>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3.在保修期内，乙方应对货物出现的质量及安全问题负责处理解决并承担一切费用。</w:t>
      </w:r>
    </w:p>
    <w:p w14:paraId="4875B063">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4.上述的货物保修期为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年，因人为因素出现的故障不在免费保修范围内。超过保修期的机器设备，终生维修，维修时只收部件成本费。</w:t>
      </w:r>
    </w:p>
    <w:p w14:paraId="0831673F">
      <w:pPr>
        <w:snapToGrid w:val="0"/>
        <w:spacing w:line="360" w:lineRule="auto"/>
        <w:ind w:left="-61" w:firstLine="514"/>
        <w:rPr>
          <w:rFonts w:hint="eastAsia" w:ascii="宋体" w:hAnsi="宋体" w:cs="宋体"/>
          <w:color w:val="auto"/>
          <w:sz w:val="24"/>
          <w:highlight w:val="none"/>
        </w:rPr>
      </w:pPr>
      <w:r>
        <w:rPr>
          <w:rFonts w:hint="eastAsia" w:ascii="宋体" w:hAnsi="宋体" w:cs="宋体"/>
          <w:b/>
          <w:color w:val="auto"/>
          <w:sz w:val="24"/>
          <w:highlight w:val="none"/>
        </w:rPr>
        <w:t>第十二条  调试和验收（本条款适用于甲方自行验收，委托第三方验收的另行规定）</w:t>
      </w:r>
    </w:p>
    <w:p w14:paraId="7EEA72E5">
      <w:pPr>
        <w:pStyle w:val="13"/>
        <w:snapToGrid w:val="0"/>
        <w:spacing w:line="360" w:lineRule="auto"/>
        <w:ind w:firstLine="480" w:firstLineChars="200"/>
        <w:jc w:val="left"/>
        <w:rPr>
          <w:rFonts w:hint="eastAsia" w:hAnsi="宋体" w:cs="宋体"/>
          <w:color w:val="auto"/>
          <w:sz w:val="24"/>
          <w:szCs w:val="24"/>
          <w:highlight w:val="none"/>
        </w:rPr>
      </w:pPr>
      <w:r>
        <w:rPr>
          <w:rFonts w:hint="eastAsia" w:hAnsi="宋体" w:cs="宋体"/>
          <w:color w:val="auto"/>
          <w:sz w:val="24"/>
          <w:szCs w:val="24"/>
          <w:highlight w:val="none"/>
        </w:rPr>
        <w:t>1.甲方对乙方提交的货物依据竞争性谈判文件上的技术规格要求和国家有关质量标准进行验收，外观、说明书符合竞争性谈判文件技术要求，给予签收。货到后，甲方应当在到货（安装、调试完）后七个工作日内进行验收。</w:t>
      </w:r>
    </w:p>
    <w:p w14:paraId="67D8220F">
      <w:pPr>
        <w:pStyle w:val="13"/>
        <w:snapToGrid w:val="0"/>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2.乙方交货前应对产品作出全面检查和对验收文件进行整理，并列出清单，作为甲方收货验收和使用的技术条件依据，检验的结果应随货物交甲方。</w:t>
      </w:r>
    </w:p>
    <w:p w14:paraId="64EC915B">
      <w:pPr>
        <w:pStyle w:val="13"/>
        <w:snapToGrid w:val="0"/>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3.甲方对乙方提供的货物在使用前进行调试时，乙方需负责安装并培训甲方的使用操作人员，并协助甲方一起调试，直到符合技术要求，甲方才做最终验收。</w:t>
      </w:r>
    </w:p>
    <w:p w14:paraId="49A453BD">
      <w:pPr>
        <w:pStyle w:val="13"/>
        <w:snapToGrid w:val="0"/>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4.对技术复杂的货物，甲方应请国家认可的专业检测机构参与初步验收及最终验收，并由其出具质量检测报告。</w:t>
      </w:r>
    </w:p>
    <w:p w14:paraId="0F90661A">
      <w:pPr>
        <w:snapToGrid w:val="0"/>
        <w:spacing w:line="360" w:lineRule="auto"/>
        <w:ind w:left="-61" w:firstLine="514"/>
        <w:rPr>
          <w:rFonts w:hint="eastAsia" w:ascii="宋体" w:hAnsi="宋体" w:cs="宋体"/>
          <w:color w:val="auto"/>
          <w:sz w:val="24"/>
          <w:highlight w:val="none"/>
        </w:rPr>
      </w:pPr>
      <w:r>
        <w:rPr>
          <w:rFonts w:hint="eastAsia" w:ascii="宋体" w:hAnsi="宋体" w:cs="宋体"/>
          <w:color w:val="auto"/>
          <w:sz w:val="24"/>
          <w:highlight w:val="none"/>
        </w:rPr>
        <w:t>5.验收完毕后作出验收结果报告；验收费用按竞争性谈判文件约定承担方负责。</w:t>
      </w:r>
    </w:p>
    <w:p w14:paraId="7ED492D3">
      <w:pPr>
        <w:pStyle w:val="13"/>
        <w:snapToGrid w:val="0"/>
        <w:spacing w:line="360" w:lineRule="auto"/>
        <w:ind w:firstLine="472" w:firstLineChars="196"/>
        <w:rPr>
          <w:rFonts w:hint="eastAsia" w:hAnsi="宋体" w:cs="宋体"/>
          <w:b/>
          <w:color w:val="auto"/>
          <w:sz w:val="24"/>
          <w:szCs w:val="24"/>
          <w:highlight w:val="none"/>
        </w:rPr>
      </w:pPr>
      <w:r>
        <w:rPr>
          <w:rFonts w:hint="eastAsia" w:hAnsi="宋体" w:cs="宋体"/>
          <w:b/>
          <w:color w:val="auto"/>
          <w:sz w:val="24"/>
          <w:szCs w:val="24"/>
          <w:highlight w:val="none"/>
        </w:rPr>
        <w:t>第十三条  货物包装、发运及运输</w:t>
      </w:r>
    </w:p>
    <w:p w14:paraId="08EAC83C">
      <w:pPr>
        <w:pStyle w:val="13"/>
        <w:snapToGrid w:val="0"/>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1.乙方应在货物发运前对其进行满足运输距离、防潮、防震、防锈和防破损装卸等要求包装，以保证货物安全运达甲方指定地点。</w:t>
      </w:r>
    </w:p>
    <w:p w14:paraId="03E62543">
      <w:pPr>
        <w:pStyle w:val="13"/>
        <w:snapToGrid w:val="0"/>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2.中文使用说明书、质量检验证明书、随配附件和工具以及清单一并附于货物内。</w:t>
      </w:r>
    </w:p>
    <w:p w14:paraId="7B0459EB">
      <w:pPr>
        <w:pStyle w:val="13"/>
        <w:snapToGrid w:val="0"/>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3.乙方在货物发运手续办理完毕后二十四小时内或者货到甲方四十八小时前通知甲方，以准备接货。</w:t>
      </w:r>
    </w:p>
    <w:p w14:paraId="7C87D2D6">
      <w:pPr>
        <w:pStyle w:val="13"/>
        <w:snapToGrid w:val="0"/>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4.货物在交付甲方前发生的风险均由乙方负责。</w:t>
      </w:r>
    </w:p>
    <w:p w14:paraId="6912CE53">
      <w:pPr>
        <w:pStyle w:val="13"/>
        <w:snapToGrid w:val="0"/>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5.货物在规定的交付期限内由乙方送达甲方指定的地点视为交付，乙方同时需通知甲方货物已送达。</w:t>
      </w:r>
    </w:p>
    <w:p w14:paraId="59D6952B">
      <w:pPr>
        <w:snapToGrid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第十四条　违约责任</w:t>
      </w:r>
    </w:p>
    <w:p w14:paraId="4535D4C2">
      <w:pPr>
        <w:pStyle w:val="13"/>
        <w:snapToGrid w:val="0"/>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 xml:space="preserve">1.乙方所提供的产品名称、商标品牌、生产厂家、规格型号、技术参数等质量不合格的，应及时更换，更换不及时的按逾期交货处罚；因质量问题甲方不同意接收的或者特殊情况甲方同意接收的，乙方应向甲方支付违约货款额 5%违约金并赔偿甲方经济损失。                                       </w:t>
      </w:r>
    </w:p>
    <w:p w14:paraId="3EB56F1A">
      <w:pPr>
        <w:pStyle w:val="13"/>
        <w:snapToGrid w:val="0"/>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2.乙方提供的货物如侵犯了第三方合法权益而引发的任何纠纷或者诉讼，均由乙方负责交涉并承担全部责任。</w:t>
      </w:r>
    </w:p>
    <w:p w14:paraId="7045724A">
      <w:pPr>
        <w:pStyle w:val="13"/>
        <w:snapToGrid w:val="0"/>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3.因包装、运输引起的货物损坏，按质量不合格处</w:t>
      </w:r>
      <w:r>
        <w:rPr>
          <w:rFonts w:hint="eastAsia" w:hAnsi="宋体" w:cs="宋体"/>
          <w:color w:val="auto"/>
          <w:sz w:val="24"/>
          <w:szCs w:val="24"/>
          <w:highlight w:val="none"/>
          <w:lang w:val="en-US" w:eastAsia="zh-CN"/>
        </w:rPr>
        <w:t>理</w:t>
      </w:r>
      <w:r>
        <w:rPr>
          <w:rFonts w:hint="eastAsia" w:hAnsi="宋体" w:cs="宋体"/>
          <w:color w:val="auto"/>
          <w:sz w:val="24"/>
          <w:szCs w:val="24"/>
          <w:highlight w:val="none"/>
        </w:rPr>
        <w:t>。</w:t>
      </w:r>
    </w:p>
    <w:p w14:paraId="1582B6AD">
      <w:pPr>
        <w:pStyle w:val="13"/>
        <w:snapToGrid w:val="0"/>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4.甲方无故延期接收货物、乙方逾期交货的，每天向对方偿付违约货款额3‰违约金，但违约金累计不得超过违约货款额5%，超过</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天对方有权解除合同，违约方承担因此给对方造成经济损失；甲方延期付货款的，每天向乙方偿付延期货款额3‰滞纳金，但滞纳金累计不得超过延期货款额5%。甲方无故延期退付履约保证金的，每天向对方偿付未退付履约保证金3‰的违约金。</w:t>
      </w:r>
    </w:p>
    <w:p w14:paraId="5E2E79A7">
      <w:pPr>
        <w:pStyle w:val="13"/>
        <w:snapToGrid w:val="0"/>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5.乙方未按本合同和响应文件中规定的服务承诺提供售后服务的，乙方应按本合同合计金额 5%向甲方支付违约金。</w:t>
      </w:r>
    </w:p>
    <w:p w14:paraId="4CDF58BA">
      <w:pPr>
        <w:pStyle w:val="13"/>
        <w:snapToGrid w:val="0"/>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6.乙方提供的货物在保修期内，因设计、工艺或者材料的缺陷和其它质量原因造成的问题，由乙方负责，费用从余款或者履约保证金中扣除，不足另补。</w:t>
      </w:r>
    </w:p>
    <w:p w14:paraId="73C73CF4">
      <w:pPr>
        <w:pStyle w:val="13"/>
        <w:snapToGrid w:val="0"/>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7.甲乙双方有其它违约行为的，由违约方向对方支付违约内容涉及货款额的5%，违约内容涉及货款额的5%不足以赔偿经济损失的按实际赔偿。</w:t>
      </w:r>
    </w:p>
    <w:p w14:paraId="0267EA4C">
      <w:pPr>
        <w:pStyle w:val="13"/>
        <w:snapToGrid w:val="0"/>
        <w:spacing w:line="360" w:lineRule="auto"/>
        <w:ind w:firstLine="472" w:firstLineChars="196"/>
        <w:rPr>
          <w:rFonts w:hint="eastAsia" w:hAnsi="宋体" w:cs="宋体"/>
          <w:b/>
          <w:color w:val="auto"/>
          <w:sz w:val="24"/>
          <w:szCs w:val="24"/>
          <w:highlight w:val="none"/>
        </w:rPr>
      </w:pPr>
      <w:r>
        <w:rPr>
          <w:rFonts w:hint="eastAsia" w:hAnsi="宋体" w:cs="宋体"/>
          <w:b/>
          <w:color w:val="auto"/>
          <w:sz w:val="24"/>
          <w:szCs w:val="24"/>
          <w:highlight w:val="none"/>
        </w:rPr>
        <w:t>第十五条  不可抗力事件处理</w:t>
      </w:r>
    </w:p>
    <w:p w14:paraId="4F376657">
      <w:pPr>
        <w:pStyle w:val="13"/>
        <w:snapToGrid w:val="0"/>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1.在合同有效期内，任何一方因不可抗力事件导致不能履行合同，则合同履行期可延长，其延长期与不可抗力影响期相同。</w:t>
      </w:r>
    </w:p>
    <w:p w14:paraId="1D5BAECC">
      <w:pPr>
        <w:pStyle w:val="13"/>
        <w:snapToGrid w:val="0"/>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2.不可抗力事件发生后，应立即通知对方，并寄送有关权威机构出具的证明。</w:t>
      </w:r>
    </w:p>
    <w:p w14:paraId="463A2988">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3.不可抗力事件延续一百二十天以上，双方应通过友好协商，确定是否继续履行合同。</w:t>
      </w:r>
    </w:p>
    <w:p w14:paraId="3817AEE7">
      <w:pPr>
        <w:snapToGrid w:val="0"/>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第十六条  合同争议解决</w:t>
      </w:r>
    </w:p>
    <w:p w14:paraId="06819A8A">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1.因货物质量问题发生争议的，应邀请国家认可的质量检测机构对货物质量进行鉴定。货物符合标准的，鉴定费由甲方承担；货物不符合标准的，鉴定费由乙方承担。</w:t>
      </w:r>
    </w:p>
    <w:p w14:paraId="3521C99D">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2.因履行本合同引起的或者与本合同有关的争议，甲乙双方应首先通过友好协商解决，如果协商不能解决，可向甲方所在地人民法院提起诉讼。</w:t>
      </w:r>
    </w:p>
    <w:p w14:paraId="53BD013C">
      <w:pPr>
        <w:snapToGrid w:val="0"/>
        <w:spacing w:line="360" w:lineRule="auto"/>
        <w:ind w:left="-61" w:firstLine="514"/>
        <w:rPr>
          <w:rFonts w:hint="eastAsia" w:ascii="宋体" w:hAnsi="宋体" w:cs="宋体"/>
          <w:color w:val="auto"/>
          <w:sz w:val="24"/>
          <w:highlight w:val="none"/>
        </w:rPr>
      </w:pPr>
      <w:r>
        <w:rPr>
          <w:rFonts w:hint="eastAsia" w:ascii="宋体" w:hAnsi="宋体" w:cs="宋体"/>
          <w:color w:val="auto"/>
          <w:sz w:val="24"/>
          <w:highlight w:val="none"/>
        </w:rPr>
        <w:t>3.诉讼期间，本合同继续履行。</w:t>
      </w:r>
    </w:p>
    <w:p w14:paraId="55076D99">
      <w:pPr>
        <w:pStyle w:val="13"/>
        <w:snapToGrid w:val="0"/>
        <w:spacing w:line="360" w:lineRule="auto"/>
        <w:ind w:firstLine="472" w:firstLineChars="196"/>
        <w:rPr>
          <w:rFonts w:hint="eastAsia" w:hAnsi="宋体" w:cs="宋体"/>
          <w:b/>
          <w:color w:val="auto"/>
          <w:sz w:val="24"/>
          <w:szCs w:val="24"/>
          <w:highlight w:val="none"/>
        </w:rPr>
      </w:pPr>
      <w:r>
        <w:rPr>
          <w:rFonts w:hint="eastAsia" w:hAnsi="宋体" w:cs="宋体"/>
          <w:b/>
          <w:color w:val="auto"/>
          <w:sz w:val="24"/>
          <w:szCs w:val="24"/>
          <w:highlight w:val="none"/>
        </w:rPr>
        <w:t>第十七条  合同生效及其它</w:t>
      </w:r>
    </w:p>
    <w:p w14:paraId="5F62508B">
      <w:pPr>
        <w:pStyle w:val="13"/>
        <w:snapToGrid w:val="0"/>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1. 合同经双方法定代表人或者委托代理人签字并加盖单位公章后生效。</w:t>
      </w:r>
    </w:p>
    <w:p w14:paraId="5261532E">
      <w:pPr>
        <w:pStyle w:val="13"/>
        <w:snapToGrid w:val="0"/>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lang w:val="en-US" w:eastAsia="zh-CN"/>
        </w:rPr>
        <w:t>2</w:t>
      </w:r>
      <w:r>
        <w:rPr>
          <w:rFonts w:hint="eastAsia" w:hAnsi="宋体" w:cs="宋体"/>
          <w:b/>
          <w:color w:val="auto"/>
          <w:sz w:val="24"/>
          <w:szCs w:val="24"/>
          <w:highlight w:val="none"/>
        </w:rPr>
        <w:t>.本合同未尽事宜，遵照《中华人民共和国民法典》有关条文执行。</w:t>
      </w:r>
    </w:p>
    <w:p w14:paraId="6FFAD978">
      <w:pPr>
        <w:snapToGrid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第十八条　合同的变更、终止与转让</w:t>
      </w:r>
    </w:p>
    <w:p w14:paraId="2E596095">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1.除《中华人民共和国政府采购法》第五十条规定的情形外，本合同一经签订，甲乙双方不得擅自变更、中止或者终止。</w:t>
      </w:r>
    </w:p>
    <w:p w14:paraId="2F691498">
      <w:pPr>
        <w:snapToGrid w:val="0"/>
        <w:spacing w:line="360" w:lineRule="auto"/>
        <w:ind w:left="-61" w:firstLine="514"/>
        <w:rPr>
          <w:rFonts w:hint="eastAsia" w:ascii="宋体" w:hAnsi="宋体" w:cs="宋体"/>
          <w:color w:val="auto"/>
          <w:sz w:val="24"/>
          <w:highlight w:val="none"/>
        </w:rPr>
      </w:pPr>
      <w:r>
        <w:rPr>
          <w:rFonts w:hint="eastAsia" w:ascii="宋体" w:hAnsi="宋体" w:cs="宋体"/>
          <w:color w:val="auto"/>
          <w:sz w:val="24"/>
          <w:highlight w:val="none"/>
        </w:rPr>
        <w:t>2.乙方不得擅自转让（无进口资格的供应商委托进口货物除外）其应履行的合同义务。</w:t>
      </w:r>
    </w:p>
    <w:p w14:paraId="13D5D225">
      <w:pPr>
        <w:snapToGrid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第十九条　</w:t>
      </w:r>
      <w:r>
        <w:rPr>
          <w:rFonts w:hint="eastAsia" w:ascii="宋体" w:hAnsi="宋体" w:cs="宋体"/>
          <w:b/>
          <w:bCs/>
          <w:color w:val="auto"/>
          <w:kern w:val="0"/>
          <w:sz w:val="24"/>
          <w:highlight w:val="none"/>
        </w:rPr>
        <w:t>本合同书与下列文件一起构成合同文件</w:t>
      </w:r>
    </w:p>
    <w:p w14:paraId="2944CEF0">
      <w:pPr>
        <w:pStyle w:val="13"/>
        <w:snapToGrid w:val="0"/>
        <w:spacing w:line="360" w:lineRule="auto"/>
        <w:ind w:left="420" w:leftChars="200"/>
        <w:rPr>
          <w:rFonts w:hint="eastAsia" w:hAnsi="宋体" w:cs="宋体"/>
          <w:color w:val="auto"/>
          <w:sz w:val="24"/>
          <w:szCs w:val="24"/>
          <w:highlight w:val="none"/>
        </w:rPr>
      </w:pPr>
      <w:r>
        <w:rPr>
          <w:rFonts w:hint="eastAsia" w:hAnsi="宋体" w:cs="宋体"/>
          <w:color w:val="auto"/>
          <w:sz w:val="24"/>
          <w:szCs w:val="24"/>
          <w:highlight w:val="none"/>
        </w:rPr>
        <w:t>1.成交通知书；</w:t>
      </w:r>
    </w:p>
    <w:p w14:paraId="79C078E3">
      <w:pPr>
        <w:pStyle w:val="13"/>
        <w:snapToGrid w:val="0"/>
        <w:spacing w:line="360" w:lineRule="auto"/>
        <w:ind w:left="420" w:leftChars="200"/>
        <w:rPr>
          <w:rFonts w:hint="eastAsia" w:hAnsi="宋体" w:cs="宋体"/>
          <w:color w:val="auto"/>
          <w:sz w:val="24"/>
          <w:szCs w:val="24"/>
          <w:highlight w:val="none"/>
        </w:rPr>
      </w:pPr>
      <w:r>
        <w:rPr>
          <w:rFonts w:hint="eastAsia" w:hAnsi="宋体" w:cs="宋体"/>
          <w:color w:val="auto"/>
          <w:sz w:val="24"/>
          <w:szCs w:val="24"/>
          <w:highlight w:val="none"/>
        </w:rPr>
        <w:t>2.竞标声明书；</w:t>
      </w:r>
    </w:p>
    <w:p w14:paraId="4CFC3E9F">
      <w:pPr>
        <w:pStyle w:val="13"/>
        <w:snapToGrid w:val="0"/>
        <w:spacing w:line="360" w:lineRule="auto"/>
        <w:ind w:left="420" w:leftChars="200"/>
        <w:rPr>
          <w:rFonts w:hint="eastAsia" w:hAnsi="宋体" w:cs="宋体"/>
          <w:color w:val="auto"/>
          <w:sz w:val="24"/>
          <w:szCs w:val="24"/>
          <w:highlight w:val="none"/>
        </w:rPr>
      </w:pPr>
      <w:r>
        <w:rPr>
          <w:rFonts w:hint="eastAsia" w:hAnsi="宋体" w:cs="宋体"/>
          <w:color w:val="auto"/>
          <w:sz w:val="24"/>
          <w:szCs w:val="24"/>
          <w:highlight w:val="none"/>
        </w:rPr>
        <w:t>3.商务要求偏离表和技术要求偏离表；</w:t>
      </w:r>
    </w:p>
    <w:p w14:paraId="3A4201FD">
      <w:pPr>
        <w:pStyle w:val="13"/>
        <w:snapToGrid w:val="0"/>
        <w:spacing w:line="360" w:lineRule="auto"/>
        <w:ind w:left="420" w:leftChars="200"/>
        <w:rPr>
          <w:rFonts w:hint="eastAsia" w:hAnsi="宋体" w:cs="宋体"/>
          <w:color w:val="auto"/>
          <w:sz w:val="24"/>
          <w:szCs w:val="24"/>
          <w:highlight w:val="none"/>
        </w:rPr>
      </w:pPr>
      <w:r>
        <w:rPr>
          <w:rFonts w:hint="eastAsia" w:hAnsi="宋体" w:cs="宋体"/>
          <w:color w:val="auto"/>
          <w:sz w:val="24"/>
          <w:szCs w:val="24"/>
          <w:highlight w:val="none"/>
        </w:rPr>
        <w:t>4.采购需求；</w:t>
      </w:r>
    </w:p>
    <w:p w14:paraId="4ABE0B7C">
      <w:pPr>
        <w:pStyle w:val="13"/>
        <w:snapToGrid w:val="0"/>
        <w:spacing w:line="360" w:lineRule="auto"/>
        <w:ind w:left="420" w:leftChars="200"/>
        <w:rPr>
          <w:rFonts w:hint="eastAsia" w:hAnsi="宋体" w:cs="宋体"/>
          <w:color w:val="auto"/>
          <w:sz w:val="24"/>
          <w:szCs w:val="24"/>
          <w:highlight w:val="none"/>
        </w:rPr>
      </w:pPr>
      <w:r>
        <w:rPr>
          <w:rFonts w:hint="eastAsia" w:hAnsi="宋体" w:cs="宋体"/>
          <w:color w:val="auto"/>
          <w:sz w:val="24"/>
          <w:szCs w:val="24"/>
          <w:highlight w:val="none"/>
        </w:rPr>
        <w:t>5.竞标报价表；</w:t>
      </w:r>
    </w:p>
    <w:p w14:paraId="1F617EA2">
      <w:pPr>
        <w:pStyle w:val="13"/>
        <w:snapToGrid w:val="0"/>
        <w:spacing w:line="360" w:lineRule="auto"/>
        <w:ind w:left="420" w:leftChars="200"/>
        <w:rPr>
          <w:rFonts w:hint="eastAsia" w:hAnsi="宋体" w:cs="宋体"/>
          <w:color w:val="auto"/>
          <w:sz w:val="24"/>
          <w:szCs w:val="24"/>
          <w:highlight w:val="none"/>
        </w:rPr>
      </w:pPr>
      <w:r>
        <w:rPr>
          <w:rFonts w:hint="eastAsia" w:hAnsi="宋体" w:cs="宋体"/>
          <w:color w:val="auto"/>
          <w:sz w:val="24"/>
          <w:szCs w:val="24"/>
          <w:highlight w:val="none"/>
        </w:rPr>
        <w:t>6.其他合同文件。</w:t>
      </w:r>
    </w:p>
    <w:p w14:paraId="78BF37A7">
      <w:pPr>
        <w:pStyle w:val="13"/>
        <w:snapToGrid w:val="0"/>
        <w:spacing w:line="360" w:lineRule="auto"/>
        <w:ind w:firstLine="424" w:firstLineChars="177"/>
        <w:rPr>
          <w:rFonts w:hint="eastAsia" w:hAnsi="宋体" w:cs="宋体"/>
          <w:b/>
          <w:color w:val="auto"/>
          <w:sz w:val="24"/>
          <w:szCs w:val="24"/>
          <w:highlight w:val="none"/>
        </w:rPr>
      </w:pPr>
      <w:r>
        <w:rPr>
          <w:rFonts w:hint="eastAsia" w:hAnsi="宋体" w:cs="宋体"/>
          <w:color w:val="auto"/>
          <w:sz w:val="24"/>
          <w:szCs w:val="24"/>
          <w:highlight w:val="none"/>
        </w:rPr>
        <w:t>7.上述合同文件互相补充和解释。如果合同文件之间存在矛盾或者不一致之处，以上述文件的排列顺序在先者为准。</w:t>
      </w:r>
    </w:p>
    <w:p w14:paraId="43E461F4">
      <w:pPr>
        <w:snapToGrid w:val="0"/>
        <w:spacing w:line="360" w:lineRule="auto"/>
        <w:ind w:firstLine="482" w:firstLineChars="200"/>
        <w:rPr>
          <w:rFonts w:hint="eastAsia" w:ascii="宋体" w:hAnsi="宋体"/>
          <w:color w:val="auto"/>
          <w:sz w:val="24"/>
          <w:szCs w:val="24"/>
          <w:highlight w:val="none"/>
        </w:rPr>
      </w:pPr>
      <w:r>
        <w:rPr>
          <w:rFonts w:hint="eastAsia" w:ascii="宋体" w:hAnsi="宋体" w:cs="宋体"/>
          <w:b/>
          <w:color w:val="auto"/>
          <w:sz w:val="24"/>
          <w:szCs w:val="24"/>
          <w:highlight w:val="none"/>
        </w:rPr>
        <w:t>第二十条　</w:t>
      </w:r>
      <w:r>
        <w:rPr>
          <w:rFonts w:hint="eastAsia" w:ascii="宋体" w:hAnsi="宋体"/>
          <w:color w:val="auto"/>
          <w:sz w:val="24"/>
          <w:szCs w:val="24"/>
          <w:highlight w:val="none"/>
        </w:rPr>
        <w:t>本合同一式四份，具有同等法律效力，财政部门（政府采购监管部门）、采购代理机构各一份，甲乙双方各一份（可根据需要另增加）。</w:t>
      </w:r>
    </w:p>
    <w:p w14:paraId="01BC72B6">
      <w:pPr>
        <w:snapToGrid w:val="0"/>
        <w:spacing w:line="360" w:lineRule="auto"/>
        <w:ind w:left="-61" w:firstLine="514"/>
        <w:rPr>
          <w:rFonts w:hint="eastAsia" w:ascii="宋体" w:hAnsi="宋体"/>
          <w:color w:val="auto"/>
          <w:sz w:val="24"/>
          <w:szCs w:val="24"/>
          <w:highlight w:val="none"/>
        </w:rPr>
      </w:pPr>
      <w:r>
        <w:rPr>
          <w:rFonts w:hint="eastAsia" w:ascii="宋体" w:hAnsi="宋体"/>
          <w:color w:val="auto"/>
          <w:sz w:val="24"/>
          <w:szCs w:val="24"/>
          <w:highlight w:val="none"/>
        </w:rPr>
        <w:t>本合同甲乙双方签字盖章后生效，自签订之日起七个工作日内，甲方应当将合同副本报同级财政部门备案。</w:t>
      </w:r>
    </w:p>
    <w:p w14:paraId="3915516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szCs w:val="24"/>
          <w:highlight w:val="none"/>
        </w:rPr>
        <w:t>本合同自签订之日起2个工作日内，甲方应当将采购合同在广西壮族自治区财政厅指定的媒体上公告。</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14:paraId="720E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16" w:type="dxa"/>
            <w:noWrap w:val="0"/>
            <w:vAlign w:val="center"/>
          </w:tcPr>
          <w:p w14:paraId="2D47019D">
            <w:pPr>
              <w:snapToGrid w:val="0"/>
              <w:spacing w:line="360" w:lineRule="auto"/>
              <w:rPr>
                <w:rFonts w:hint="eastAsia" w:ascii="宋体" w:hAnsi="宋体"/>
                <w:color w:val="auto"/>
                <w:sz w:val="24"/>
                <w:highlight w:val="none"/>
              </w:rPr>
            </w:pPr>
            <w:r>
              <w:rPr>
                <w:rFonts w:hint="eastAsia" w:ascii="宋体" w:hAnsi="宋体"/>
                <w:color w:val="auto"/>
                <w:sz w:val="24"/>
                <w:highlight w:val="none"/>
              </w:rPr>
              <w:t xml:space="preserve">甲方（章）           </w:t>
            </w:r>
          </w:p>
          <w:p w14:paraId="06EDDD9C">
            <w:pPr>
              <w:snapToGrid w:val="0"/>
              <w:spacing w:line="360" w:lineRule="auto"/>
              <w:rPr>
                <w:rFonts w:hint="eastAsia" w:ascii="宋体" w:hAnsi="宋体"/>
                <w:color w:val="auto"/>
                <w:sz w:val="24"/>
                <w:highlight w:val="none"/>
              </w:rPr>
            </w:pPr>
          </w:p>
          <w:p w14:paraId="2BDDC5D9">
            <w:pPr>
              <w:snapToGrid w:val="0"/>
              <w:spacing w:line="360" w:lineRule="auto"/>
              <w:ind w:firstLine="1080" w:firstLineChars="450"/>
              <w:jc w:val="right"/>
              <w:rPr>
                <w:rFonts w:hint="eastAsia" w:ascii="宋体" w:hAnsi="宋体"/>
                <w:color w:val="auto"/>
                <w:sz w:val="24"/>
                <w:highlight w:val="none"/>
              </w:rPr>
            </w:pPr>
            <w:r>
              <w:rPr>
                <w:rFonts w:hint="eastAsia" w:ascii="宋体" w:hAnsi="宋体"/>
                <w:color w:val="auto"/>
                <w:sz w:val="24"/>
                <w:highlight w:val="none"/>
              </w:rPr>
              <w:t>年   月   日</w:t>
            </w:r>
          </w:p>
        </w:tc>
        <w:tc>
          <w:tcPr>
            <w:tcW w:w="4517" w:type="dxa"/>
            <w:noWrap w:val="0"/>
            <w:vAlign w:val="center"/>
          </w:tcPr>
          <w:p w14:paraId="101E6C8B">
            <w:pPr>
              <w:snapToGrid w:val="0"/>
              <w:spacing w:line="360" w:lineRule="auto"/>
              <w:rPr>
                <w:rFonts w:hint="eastAsia" w:ascii="宋体" w:hAnsi="宋体"/>
                <w:color w:val="auto"/>
                <w:sz w:val="24"/>
                <w:highlight w:val="none"/>
              </w:rPr>
            </w:pPr>
            <w:r>
              <w:rPr>
                <w:rFonts w:hint="eastAsia" w:ascii="宋体" w:hAnsi="宋体"/>
                <w:color w:val="auto"/>
                <w:sz w:val="24"/>
                <w:highlight w:val="none"/>
              </w:rPr>
              <w:t xml:space="preserve">乙方（章）              </w:t>
            </w:r>
          </w:p>
          <w:p w14:paraId="71519E6A">
            <w:pPr>
              <w:snapToGrid w:val="0"/>
              <w:spacing w:line="360" w:lineRule="auto"/>
              <w:rPr>
                <w:rFonts w:hint="eastAsia" w:ascii="宋体" w:hAnsi="宋体"/>
                <w:color w:val="auto"/>
                <w:sz w:val="24"/>
                <w:highlight w:val="none"/>
              </w:rPr>
            </w:pPr>
          </w:p>
          <w:p w14:paraId="783606FB">
            <w:pPr>
              <w:snapToGrid w:val="0"/>
              <w:spacing w:line="360" w:lineRule="auto"/>
              <w:jc w:val="right"/>
              <w:rPr>
                <w:rFonts w:hint="eastAsia" w:ascii="宋体" w:hAnsi="宋体"/>
                <w:color w:val="auto"/>
                <w:sz w:val="24"/>
                <w:highlight w:val="none"/>
              </w:rPr>
            </w:pPr>
            <w:r>
              <w:rPr>
                <w:rFonts w:hint="eastAsia" w:ascii="宋体" w:hAnsi="宋体"/>
                <w:color w:val="auto"/>
                <w:sz w:val="24"/>
                <w:highlight w:val="none"/>
              </w:rPr>
              <w:t xml:space="preserve"> 年   月   日</w:t>
            </w:r>
          </w:p>
        </w:tc>
      </w:tr>
      <w:tr w14:paraId="694C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4516" w:type="dxa"/>
            <w:noWrap w:val="0"/>
            <w:vAlign w:val="center"/>
          </w:tcPr>
          <w:p w14:paraId="23C0961D">
            <w:pPr>
              <w:snapToGrid w:val="0"/>
              <w:spacing w:line="360" w:lineRule="auto"/>
              <w:rPr>
                <w:rFonts w:hint="eastAsia" w:ascii="宋体" w:hAnsi="宋体"/>
                <w:color w:val="auto"/>
                <w:sz w:val="24"/>
                <w:highlight w:val="none"/>
              </w:rPr>
            </w:pPr>
            <w:r>
              <w:rPr>
                <w:rFonts w:hint="eastAsia" w:ascii="宋体" w:hAnsi="宋体"/>
                <w:color w:val="auto"/>
                <w:sz w:val="24"/>
                <w:highlight w:val="none"/>
              </w:rPr>
              <w:t>单位地址：</w:t>
            </w:r>
          </w:p>
        </w:tc>
        <w:tc>
          <w:tcPr>
            <w:tcW w:w="4517" w:type="dxa"/>
            <w:noWrap w:val="0"/>
            <w:vAlign w:val="center"/>
          </w:tcPr>
          <w:p w14:paraId="61013334">
            <w:pPr>
              <w:snapToGrid w:val="0"/>
              <w:spacing w:line="360" w:lineRule="auto"/>
              <w:rPr>
                <w:rFonts w:hint="eastAsia" w:ascii="宋体" w:hAnsi="宋体"/>
                <w:color w:val="auto"/>
                <w:sz w:val="24"/>
                <w:highlight w:val="none"/>
              </w:rPr>
            </w:pPr>
            <w:r>
              <w:rPr>
                <w:rFonts w:hint="eastAsia" w:ascii="宋体" w:hAnsi="宋体"/>
                <w:color w:val="auto"/>
                <w:sz w:val="24"/>
                <w:highlight w:val="none"/>
              </w:rPr>
              <w:t>单位地址：</w:t>
            </w:r>
          </w:p>
        </w:tc>
      </w:tr>
      <w:tr w14:paraId="6D85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rPr>
        <w:tc>
          <w:tcPr>
            <w:tcW w:w="4516" w:type="dxa"/>
            <w:noWrap w:val="0"/>
            <w:vAlign w:val="top"/>
          </w:tcPr>
          <w:p w14:paraId="44359F38">
            <w:pPr>
              <w:snapToGrid w:val="0"/>
              <w:spacing w:line="360" w:lineRule="auto"/>
              <w:rPr>
                <w:rFonts w:hint="eastAsia" w:ascii="宋体" w:hAnsi="宋体"/>
                <w:color w:val="auto"/>
                <w:sz w:val="24"/>
                <w:highlight w:val="none"/>
              </w:rPr>
            </w:pPr>
            <w:r>
              <w:rPr>
                <w:rFonts w:hint="eastAsia" w:ascii="宋体" w:hAnsi="宋体"/>
                <w:color w:val="auto"/>
                <w:sz w:val="24"/>
                <w:highlight w:val="none"/>
              </w:rPr>
              <w:t>法定代表人或者委托代理人：</w:t>
            </w:r>
          </w:p>
        </w:tc>
        <w:tc>
          <w:tcPr>
            <w:tcW w:w="4517" w:type="dxa"/>
            <w:noWrap w:val="0"/>
            <w:vAlign w:val="top"/>
          </w:tcPr>
          <w:p w14:paraId="4E0103BB">
            <w:pPr>
              <w:snapToGrid w:val="0"/>
              <w:spacing w:line="360" w:lineRule="auto"/>
              <w:rPr>
                <w:rFonts w:hint="eastAsia" w:ascii="宋体" w:hAnsi="宋体"/>
                <w:color w:val="auto"/>
                <w:sz w:val="24"/>
                <w:highlight w:val="none"/>
              </w:rPr>
            </w:pPr>
            <w:r>
              <w:rPr>
                <w:rFonts w:hint="eastAsia" w:ascii="宋体" w:hAnsi="宋体"/>
                <w:color w:val="auto"/>
                <w:sz w:val="24"/>
                <w:highlight w:val="none"/>
              </w:rPr>
              <w:t>法定代表人或者委托代理人：</w:t>
            </w:r>
          </w:p>
        </w:tc>
      </w:tr>
      <w:tr w14:paraId="7E35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4516" w:type="dxa"/>
            <w:noWrap w:val="0"/>
            <w:vAlign w:val="center"/>
          </w:tcPr>
          <w:p w14:paraId="136BC266">
            <w:pPr>
              <w:snapToGrid w:val="0"/>
              <w:spacing w:line="360" w:lineRule="auto"/>
              <w:rPr>
                <w:rFonts w:hint="eastAsia" w:ascii="宋体" w:hAnsi="宋体"/>
                <w:color w:val="auto"/>
                <w:sz w:val="24"/>
                <w:highlight w:val="none"/>
              </w:rPr>
            </w:pPr>
            <w:r>
              <w:rPr>
                <w:rFonts w:hint="eastAsia" w:ascii="宋体" w:hAnsi="宋体"/>
                <w:color w:val="auto"/>
                <w:sz w:val="24"/>
                <w:highlight w:val="none"/>
              </w:rPr>
              <w:t>电话：</w:t>
            </w:r>
          </w:p>
        </w:tc>
        <w:tc>
          <w:tcPr>
            <w:tcW w:w="4517" w:type="dxa"/>
            <w:noWrap w:val="0"/>
            <w:vAlign w:val="center"/>
          </w:tcPr>
          <w:p w14:paraId="2C809EE1">
            <w:pPr>
              <w:snapToGrid w:val="0"/>
              <w:spacing w:line="360" w:lineRule="auto"/>
              <w:rPr>
                <w:rFonts w:hint="eastAsia" w:ascii="宋体" w:hAnsi="宋体"/>
                <w:color w:val="auto"/>
                <w:sz w:val="24"/>
                <w:highlight w:val="none"/>
              </w:rPr>
            </w:pPr>
            <w:r>
              <w:rPr>
                <w:rFonts w:hint="eastAsia" w:ascii="宋体" w:hAnsi="宋体"/>
                <w:color w:val="auto"/>
                <w:sz w:val="24"/>
                <w:highlight w:val="none"/>
              </w:rPr>
              <w:t>电话：</w:t>
            </w:r>
          </w:p>
        </w:tc>
      </w:tr>
      <w:tr w14:paraId="3325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4516" w:type="dxa"/>
            <w:noWrap w:val="0"/>
            <w:vAlign w:val="center"/>
          </w:tcPr>
          <w:p w14:paraId="701194CE">
            <w:pPr>
              <w:snapToGrid w:val="0"/>
              <w:spacing w:line="360" w:lineRule="auto"/>
              <w:rPr>
                <w:rFonts w:hint="eastAsia" w:ascii="宋体" w:hAnsi="宋体"/>
                <w:color w:val="auto"/>
                <w:sz w:val="24"/>
                <w:highlight w:val="none"/>
              </w:rPr>
            </w:pPr>
            <w:r>
              <w:rPr>
                <w:rFonts w:hint="eastAsia" w:ascii="宋体" w:hAnsi="宋体"/>
                <w:color w:val="auto"/>
                <w:sz w:val="24"/>
                <w:highlight w:val="none"/>
              </w:rPr>
              <w:t>电子邮箱：</w:t>
            </w:r>
          </w:p>
        </w:tc>
        <w:tc>
          <w:tcPr>
            <w:tcW w:w="4517" w:type="dxa"/>
            <w:noWrap w:val="0"/>
            <w:vAlign w:val="center"/>
          </w:tcPr>
          <w:p w14:paraId="24763F7E">
            <w:pPr>
              <w:snapToGrid w:val="0"/>
              <w:spacing w:line="360" w:lineRule="auto"/>
              <w:rPr>
                <w:rFonts w:hint="eastAsia" w:ascii="宋体" w:hAnsi="宋体"/>
                <w:color w:val="auto"/>
                <w:sz w:val="24"/>
                <w:highlight w:val="none"/>
              </w:rPr>
            </w:pPr>
            <w:r>
              <w:rPr>
                <w:rFonts w:hint="eastAsia" w:ascii="宋体" w:hAnsi="宋体"/>
                <w:color w:val="auto"/>
                <w:sz w:val="24"/>
                <w:highlight w:val="none"/>
              </w:rPr>
              <w:t>电子邮箱：</w:t>
            </w:r>
          </w:p>
        </w:tc>
      </w:tr>
      <w:tr w14:paraId="1FB3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16" w:type="dxa"/>
            <w:noWrap w:val="0"/>
            <w:vAlign w:val="center"/>
          </w:tcPr>
          <w:p w14:paraId="1B78AC29">
            <w:pPr>
              <w:snapToGrid w:val="0"/>
              <w:spacing w:line="360" w:lineRule="auto"/>
              <w:rPr>
                <w:rFonts w:hint="eastAsia" w:ascii="宋体" w:hAnsi="宋体"/>
                <w:color w:val="auto"/>
                <w:sz w:val="24"/>
                <w:highlight w:val="none"/>
              </w:rPr>
            </w:pPr>
            <w:r>
              <w:rPr>
                <w:rFonts w:hint="eastAsia" w:ascii="宋体" w:hAnsi="宋体"/>
                <w:color w:val="auto"/>
                <w:sz w:val="24"/>
                <w:highlight w:val="none"/>
              </w:rPr>
              <w:t>开户银行：</w:t>
            </w:r>
          </w:p>
        </w:tc>
        <w:tc>
          <w:tcPr>
            <w:tcW w:w="4517" w:type="dxa"/>
            <w:noWrap w:val="0"/>
            <w:vAlign w:val="center"/>
          </w:tcPr>
          <w:p w14:paraId="2DA3A133">
            <w:pPr>
              <w:snapToGrid w:val="0"/>
              <w:spacing w:line="360" w:lineRule="auto"/>
              <w:rPr>
                <w:rFonts w:hint="eastAsia" w:ascii="宋体" w:hAnsi="宋体"/>
                <w:color w:val="auto"/>
                <w:sz w:val="24"/>
                <w:highlight w:val="none"/>
              </w:rPr>
            </w:pPr>
            <w:r>
              <w:rPr>
                <w:rFonts w:hint="eastAsia" w:ascii="宋体" w:hAnsi="宋体"/>
                <w:color w:val="auto"/>
                <w:sz w:val="24"/>
                <w:highlight w:val="none"/>
              </w:rPr>
              <w:t>开户银行：</w:t>
            </w:r>
          </w:p>
        </w:tc>
      </w:tr>
      <w:tr w14:paraId="00836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4516" w:type="dxa"/>
            <w:noWrap w:val="0"/>
            <w:vAlign w:val="center"/>
          </w:tcPr>
          <w:p w14:paraId="076C02E3">
            <w:pPr>
              <w:snapToGrid w:val="0"/>
              <w:spacing w:line="360" w:lineRule="auto"/>
              <w:rPr>
                <w:rFonts w:hint="eastAsia" w:ascii="宋体" w:hAnsi="宋体"/>
                <w:color w:val="auto"/>
                <w:sz w:val="24"/>
                <w:highlight w:val="none"/>
              </w:rPr>
            </w:pPr>
            <w:r>
              <w:rPr>
                <w:rFonts w:hint="eastAsia" w:ascii="宋体" w:hAnsi="宋体"/>
                <w:color w:val="auto"/>
                <w:sz w:val="24"/>
                <w:highlight w:val="none"/>
              </w:rPr>
              <w:t>账号：</w:t>
            </w:r>
          </w:p>
        </w:tc>
        <w:tc>
          <w:tcPr>
            <w:tcW w:w="4517" w:type="dxa"/>
            <w:noWrap w:val="0"/>
            <w:vAlign w:val="center"/>
          </w:tcPr>
          <w:p w14:paraId="0C628878">
            <w:pPr>
              <w:snapToGrid w:val="0"/>
              <w:spacing w:line="360" w:lineRule="auto"/>
              <w:rPr>
                <w:rFonts w:hint="eastAsia" w:ascii="宋体" w:hAnsi="宋体"/>
                <w:color w:val="auto"/>
                <w:sz w:val="24"/>
                <w:highlight w:val="none"/>
              </w:rPr>
            </w:pPr>
            <w:r>
              <w:rPr>
                <w:rFonts w:hint="eastAsia" w:ascii="宋体" w:hAnsi="宋体"/>
                <w:color w:val="auto"/>
                <w:sz w:val="24"/>
                <w:highlight w:val="none"/>
              </w:rPr>
              <w:t>账号：</w:t>
            </w:r>
          </w:p>
        </w:tc>
      </w:tr>
      <w:tr w14:paraId="6296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4516" w:type="dxa"/>
            <w:noWrap w:val="0"/>
            <w:vAlign w:val="center"/>
          </w:tcPr>
          <w:p w14:paraId="786FB59D">
            <w:pPr>
              <w:snapToGrid w:val="0"/>
              <w:spacing w:line="360" w:lineRule="auto"/>
              <w:rPr>
                <w:rFonts w:hint="eastAsia" w:ascii="宋体" w:hAnsi="宋体"/>
                <w:color w:val="auto"/>
                <w:sz w:val="24"/>
                <w:highlight w:val="none"/>
              </w:rPr>
            </w:pPr>
            <w:r>
              <w:rPr>
                <w:rFonts w:hint="eastAsia" w:ascii="宋体" w:hAnsi="宋体"/>
                <w:color w:val="auto"/>
                <w:sz w:val="24"/>
                <w:highlight w:val="none"/>
              </w:rPr>
              <w:t>邮政编码：</w:t>
            </w:r>
          </w:p>
        </w:tc>
        <w:tc>
          <w:tcPr>
            <w:tcW w:w="4517" w:type="dxa"/>
            <w:noWrap w:val="0"/>
            <w:vAlign w:val="center"/>
          </w:tcPr>
          <w:p w14:paraId="7EF406F3">
            <w:pPr>
              <w:snapToGrid w:val="0"/>
              <w:spacing w:line="360" w:lineRule="auto"/>
              <w:rPr>
                <w:rFonts w:hint="eastAsia" w:ascii="宋体" w:hAnsi="宋体"/>
                <w:color w:val="auto"/>
                <w:sz w:val="24"/>
                <w:highlight w:val="none"/>
              </w:rPr>
            </w:pPr>
            <w:r>
              <w:rPr>
                <w:rFonts w:hint="eastAsia" w:ascii="宋体" w:hAnsi="宋体"/>
                <w:color w:val="auto"/>
                <w:sz w:val="24"/>
                <w:highlight w:val="none"/>
              </w:rPr>
              <w:t>邮政编码：</w:t>
            </w:r>
          </w:p>
        </w:tc>
      </w:tr>
    </w:tbl>
    <w:p w14:paraId="42FE14B7">
      <w:pPr>
        <w:snapToGrid w:val="0"/>
        <w:spacing w:line="360" w:lineRule="auto"/>
        <w:ind w:left="480" w:hanging="480" w:hangingChars="200"/>
        <w:rPr>
          <w:rFonts w:hint="eastAsia" w:ascii="宋体" w:hAnsi="宋体"/>
          <w:color w:val="auto"/>
          <w:sz w:val="24"/>
          <w:highlight w:val="none"/>
        </w:rPr>
      </w:pPr>
    </w:p>
    <w:p w14:paraId="3E9679D5">
      <w:pPr>
        <w:snapToGrid w:val="0"/>
        <w:spacing w:line="360" w:lineRule="auto"/>
        <w:jc w:val="center"/>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合 同 附 件</w:t>
      </w:r>
    </w:p>
    <w:p w14:paraId="109A3D9F">
      <w:pPr>
        <w:snapToGrid w:val="0"/>
        <w:spacing w:line="360" w:lineRule="auto"/>
        <w:rPr>
          <w:rFonts w:hint="eastAsia" w:ascii="宋体" w:hAnsi="宋体"/>
          <w:color w:val="auto"/>
          <w:sz w:val="24"/>
          <w:highlight w:val="none"/>
        </w:rPr>
      </w:pPr>
      <w:r>
        <w:rPr>
          <w:rFonts w:hint="eastAsia" w:ascii="宋体" w:hAnsi="宋体"/>
          <w:color w:val="auto"/>
          <w:sz w:val="24"/>
          <w:highlight w:val="none"/>
        </w:rPr>
        <w:t>一般货物类</w:t>
      </w:r>
    </w:p>
    <w:tbl>
      <w:tblPr>
        <w:tblStyle w:val="24"/>
        <w:tblW w:w="0" w:type="auto"/>
        <w:jc w:val="center"/>
        <w:tblLayout w:type="fixed"/>
        <w:tblCellMar>
          <w:top w:w="0" w:type="dxa"/>
          <w:left w:w="108" w:type="dxa"/>
          <w:bottom w:w="0" w:type="dxa"/>
          <w:right w:w="108" w:type="dxa"/>
        </w:tblCellMar>
      </w:tblPr>
      <w:tblGrid>
        <w:gridCol w:w="4263"/>
        <w:gridCol w:w="4259"/>
      </w:tblGrid>
      <w:tr w14:paraId="7E2EF201">
        <w:tblPrEx>
          <w:tblCellMar>
            <w:top w:w="0" w:type="dxa"/>
            <w:left w:w="108" w:type="dxa"/>
            <w:bottom w:w="0" w:type="dxa"/>
            <w:right w:w="108" w:type="dxa"/>
          </w:tblCellMar>
        </w:tblPrEx>
        <w:trPr>
          <w:trHeight w:val="1226" w:hRule="atLeast"/>
          <w:jc w:val="center"/>
        </w:trPr>
        <w:tc>
          <w:tcPr>
            <w:tcW w:w="8522" w:type="dxa"/>
            <w:gridSpan w:val="2"/>
            <w:tcBorders>
              <w:top w:val="single" w:color="auto" w:sz="4" w:space="0"/>
              <w:left w:val="single" w:color="auto" w:sz="4" w:space="0"/>
              <w:right w:val="single" w:color="auto" w:sz="4" w:space="0"/>
            </w:tcBorders>
            <w:noWrap w:val="0"/>
            <w:vAlign w:val="top"/>
          </w:tcPr>
          <w:p w14:paraId="475CA429">
            <w:pPr>
              <w:snapToGrid w:val="0"/>
              <w:spacing w:line="360" w:lineRule="auto"/>
              <w:rPr>
                <w:rFonts w:hint="eastAsia" w:ascii="宋体" w:hAnsi="宋体"/>
                <w:b/>
                <w:color w:val="auto"/>
                <w:sz w:val="24"/>
                <w:highlight w:val="none"/>
              </w:rPr>
            </w:pPr>
            <w:r>
              <w:rPr>
                <w:rFonts w:hint="eastAsia" w:ascii="宋体" w:hAnsi="宋体"/>
                <w:b/>
                <w:color w:val="auto"/>
                <w:sz w:val="24"/>
                <w:highlight w:val="none"/>
              </w:rPr>
              <w:t>1. 供应商承诺具体事项：</w:t>
            </w:r>
          </w:p>
        </w:tc>
      </w:tr>
      <w:tr w14:paraId="47126F1E">
        <w:tblPrEx>
          <w:tblCellMar>
            <w:top w:w="0" w:type="dxa"/>
            <w:left w:w="108" w:type="dxa"/>
            <w:bottom w:w="0" w:type="dxa"/>
            <w:right w:w="108" w:type="dxa"/>
          </w:tblCellMar>
        </w:tblPrEx>
        <w:trPr>
          <w:trHeight w:val="1228" w:hRule="atLeast"/>
          <w:jc w:val="center"/>
        </w:trPr>
        <w:tc>
          <w:tcPr>
            <w:tcW w:w="8522" w:type="dxa"/>
            <w:gridSpan w:val="2"/>
            <w:tcBorders>
              <w:top w:val="single" w:color="auto" w:sz="4" w:space="0"/>
              <w:left w:val="single" w:color="auto" w:sz="4" w:space="0"/>
              <w:right w:val="single" w:color="auto" w:sz="4" w:space="0"/>
            </w:tcBorders>
            <w:noWrap w:val="0"/>
            <w:vAlign w:val="top"/>
          </w:tcPr>
          <w:p w14:paraId="210FFE5A">
            <w:pPr>
              <w:snapToGrid w:val="0"/>
              <w:spacing w:line="360" w:lineRule="auto"/>
              <w:rPr>
                <w:rFonts w:hint="eastAsia" w:ascii="宋体" w:hAnsi="宋体"/>
                <w:b/>
                <w:color w:val="auto"/>
                <w:sz w:val="24"/>
                <w:highlight w:val="none"/>
              </w:rPr>
            </w:pPr>
            <w:r>
              <w:rPr>
                <w:rFonts w:hint="eastAsia" w:ascii="宋体" w:hAnsi="宋体"/>
                <w:b/>
                <w:color w:val="auto"/>
                <w:sz w:val="24"/>
                <w:highlight w:val="none"/>
              </w:rPr>
              <w:t>2. 售后服务具体事项：</w:t>
            </w:r>
          </w:p>
        </w:tc>
      </w:tr>
      <w:tr w14:paraId="47F0937C">
        <w:tblPrEx>
          <w:tblCellMar>
            <w:top w:w="0" w:type="dxa"/>
            <w:left w:w="108" w:type="dxa"/>
            <w:bottom w:w="0" w:type="dxa"/>
            <w:right w:w="108" w:type="dxa"/>
          </w:tblCellMar>
        </w:tblPrEx>
        <w:trPr>
          <w:trHeight w:val="1088" w:hRule="atLeast"/>
          <w:jc w:val="center"/>
        </w:trPr>
        <w:tc>
          <w:tcPr>
            <w:tcW w:w="8522" w:type="dxa"/>
            <w:gridSpan w:val="2"/>
            <w:tcBorders>
              <w:top w:val="single" w:color="auto" w:sz="4" w:space="0"/>
              <w:left w:val="single" w:color="auto" w:sz="4" w:space="0"/>
              <w:right w:val="single" w:color="auto" w:sz="4" w:space="0"/>
            </w:tcBorders>
            <w:noWrap w:val="0"/>
            <w:vAlign w:val="top"/>
          </w:tcPr>
          <w:p w14:paraId="44B1627A">
            <w:pPr>
              <w:snapToGrid w:val="0"/>
              <w:spacing w:line="360" w:lineRule="auto"/>
              <w:rPr>
                <w:rFonts w:hint="eastAsia" w:ascii="宋体" w:hAnsi="宋体"/>
                <w:b/>
                <w:color w:val="auto"/>
                <w:sz w:val="24"/>
                <w:highlight w:val="none"/>
              </w:rPr>
            </w:pPr>
            <w:r>
              <w:rPr>
                <w:rFonts w:hint="eastAsia" w:ascii="宋体" w:hAnsi="宋体"/>
                <w:b/>
                <w:color w:val="auto"/>
                <w:sz w:val="24"/>
                <w:highlight w:val="none"/>
              </w:rPr>
              <w:t>3. 保修期责任：</w:t>
            </w:r>
          </w:p>
        </w:tc>
      </w:tr>
      <w:tr w14:paraId="766CD6AF">
        <w:tblPrEx>
          <w:tblCellMar>
            <w:top w:w="0" w:type="dxa"/>
            <w:left w:w="108" w:type="dxa"/>
            <w:bottom w:w="0" w:type="dxa"/>
            <w:right w:w="108" w:type="dxa"/>
          </w:tblCellMar>
        </w:tblPrEx>
        <w:trPr>
          <w:trHeight w:val="1360" w:hRule="atLeast"/>
          <w:jc w:val="center"/>
        </w:trPr>
        <w:tc>
          <w:tcPr>
            <w:tcW w:w="8522" w:type="dxa"/>
            <w:gridSpan w:val="2"/>
            <w:tcBorders>
              <w:top w:val="single" w:color="auto" w:sz="4" w:space="0"/>
              <w:left w:val="single" w:color="auto" w:sz="4" w:space="0"/>
              <w:right w:val="single" w:color="auto" w:sz="4" w:space="0"/>
            </w:tcBorders>
            <w:noWrap w:val="0"/>
            <w:vAlign w:val="top"/>
          </w:tcPr>
          <w:p w14:paraId="6CDA913E">
            <w:pPr>
              <w:snapToGrid w:val="0"/>
              <w:spacing w:line="360" w:lineRule="auto"/>
              <w:rPr>
                <w:rFonts w:hint="eastAsia" w:ascii="宋体" w:hAnsi="宋体"/>
                <w:b/>
                <w:color w:val="auto"/>
                <w:sz w:val="24"/>
                <w:highlight w:val="none"/>
              </w:rPr>
            </w:pPr>
            <w:r>
              <w:rPr>
                <w:rFonts w:hint="eastAsia" w:ascii="宋体" w:hAnsi="宋体"/>
                <w:b/>
                <w:color w:val="auto"/>
                <w:sz w:val="24"/>
                <w:highlight w:val="none"/>
              </w:rPr>
              <w:t>4. 其他具体事项：</w:t>
            </w:r>
          </w:p>
        </w:tc>
      </w:tr>
      <w:tr w14:paraId="02EC6759">
        <w:tblPrEx>
          <w:tblCellMar>
            <w:top w:w="0" w:type="dxa"/>
            <w:left w:w="108" w:type="dxa"/>
            <w:bottom w:w="0" w:type="dxa"/>
            <w:right w:w="108" w:type="dxa"/>
          </w:tblCellMar>
        </w:tblPrEx>
        <w:trPr>
          <w:trHeight w:val="1703" w:hRule="atLeast"/>
          <w:jc w:val="center"/>
        </w:trPr>
        <w:tc>
          <w:tcPr>
            <w:tcW w:w="4263" w:type="dxa"/>
            <w:tcBorders>
              <w:top w:val="single" w:color="auto" w:sz="4" w:space="0"/>
              <w:left w:val="single" w:color="auto" w:sz="4" w:space="0"/>
              <w:bottom w:val="single" w:color="auto" w:sz="4" w:space="0"/>
              <w:right w:val="single" w:color="auto" w:sz="4" w:space="0"/>
            </w:tcBorders>
            <w:noWrap w:val="0"/>
            <w:vAlign w:val="center"/>
          </w:tcPr>
          <w:p w14:paraId="2BFDA483">
            <w:pPr>
              <w:snapToGrid w:val="0"/>
              <w:spacing w:line="360" w:lineRule="auto"/>
              <w:rPr>
                <w:rFonts w:hint="eastAsia" w:ascii="宋体" w:hAnsi="宋体"/>
                <w:b/>
                <w:color w:val="auto"/>
                <w:sz w:val="24"/>
                <w:highlight w:val="none"/>
              </w:rPr>
            </w:pPr>
            <w:r>
              <w:rPr>
                <w:rFonts w:hint="eastAsia" w:ascii="宋体" w:hAnsi="宋体"/>
                <w:b/>
                <w:color w:val="auto"/>
                <w:sz w:val="24"/>
                <w:highlight w:val="none"/>
              </w:rPr>
              <w:t>甲方（章）</w:t>
            </w:r>
          </w:p>
          <w:p w14:paraId="3BD0739C">
            <w:pPr>
              <w:snapToGrid w:val="0"/>
              <w:spacing w:line="360" w:lineRule="auto"/>
              <w:ind w:firstLine="482" w:firstLineChars="200"/>
              <w:rPr>
                <w:rFonts w:hint="eastAsia" w:ascii="宋体" w:hAnsi="宋体"/>
                <w:b/>
                <w:color w:val="auto"/>
                <w:sz w:val="24"/>
                <w:highlight w:val="none"/>
              </w:rPr>
            </w:pPr>
          </w:p>
          <w:p w14:paraId="220015B8">
            <w:pPr>
              <w:snapToGrid w:val="0"/>
              <w:spacing w:line="360" w:lineRule="auto"/>
              <w:rPr>
                <w:rFonts w:hint="eastAsia" w:ascii="宋体" w:hAnsi="宋体"/>
                <w:b/>
                <w:color w:val="auto"/>
                <w:sz w:val="24"/>
                <w:highlight w:val="none"/>
              </w:rPr>
            </w:pPr>
          </w:p>
          <w:p w14:paraId="42DDC394">
            <w:pPr>
              <w:snapToGrid w:val="0"/>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 xml:space="preserve">                 年   月   日 </w:t>
            </w:r>
          </w:p>
        </w:tc>
        <w:tc>
          <w:tcPr>
            <w:tcW w:w="4259" w:type="dxa"/>
            <w:tcBorders>
              <w:top w:val="single" w:color="auto" w:sz="4" w:space="0"/>
              <w:left w:val="single" w:color="auto" w:sz="4" w:space="0"/>
              <w:bottom w:val="single" w:color="auto" w:sz="4" w:space="0"/>
              <w:right w:val="single" w:color="auto" w:sz="4" w:space="0"/>
            </w:tcBorders>
            <w:noWrap w:val="0"/>
            <w:vAlign w:val="center"/>
          </w:tcPr>
          <w:p w14:paraId="46FCDE77">
            <w:pPr>
              <w:snapToGrid w:val="0"/>
              <w:spacing w:line="360" w:lineRule="auto"/>
              <w:rPr>
                <w:rFonts w:hint="eastAsia" w:ascii="宋体" w:hAnsi="宋体"/>
                <w:b/>
                <w:color w:val="auto"/>
                <w:sz w:val="24"/>
                <w:highlight w:val="none"/>
              </w:rPr>
            </w:pPr>
            <w:r>
              <w:rPr>
                <w:rFonts w:hint="eastAsia" w:ascii="宋体" w:hAnsi="宋体"/>
                <w:b/>
                <w:color w:val="auto"/>
                <w:sz w:val="24"/>
                <w:highlight w:val="none"/>
              </w:rPr>
              <w:t>乙方（章）</w:t>
            </w:r>
          </w:p>
          <w:p w14:paraId="3999DDFE">
            <w:pPr>
              <w:snapToGrid w:val="0"/>
              <w:spacing w:line="360" w:lineRule="auto"/>
              <w:ind w:firstLine="482" w:firstLineChars="200"/>
              <w:rPr>
                <w:rFonts w:hint="eastAsia" w:ascii="宋体" w:hAnsi="宋体"/>
                <w:b/>
                <w:color w:val="auto"/>
                <w:sz w:val="24"/>
                <w:highlight w:val="none"/>
              </w:rPr>
            </w:pPr>
          </w:p>
          <w:p w14:paraId="22F96BCC">
            <w:pPr>
              <w:snapToGrid w:val="0"/>
              <w:spacing w:line="360" w:lineRule="auto"/>
              <w:rPr>
                <w:rFonts w:hint="eastAsia" w:ascii="宋体" w:hAnsi="宋体"/>
                <w:b/>
                <w:color w:val="auto"/>
                <w:sz w:val="24"/>
                <w:highlight w:val="none"/>
              </w:rPr>
            </w:pPr>
          </w:p>
          <w:p w14:paraId="09A3ED1A">
            <w:pPr>
              <w:snapToGrid w:val="0"/>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 xml:space="preserve">                 年   月   日</w:t>
            </w:r>
          </w:p>
        </w:tc>
      </w:tr>
    </w:tbl>
    <w:p w14:paraId="7B3191B4">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 xml:space="preserve">   注：售后服务事项填不下时可另加附页</w:t>
      </w:r>
    </w:p>
    <w:sectPr>
      <w:footerReference r:id="rId11" w:type="first"/>
      <w:pgSz w:w="11910" w:h="16840"/>
      <w:pgMar w:top="1338" w:right="1500" w:bottom="1422"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A75FEC4-73D5-4EBE-99C8-CA403A9C18BE}"/>
  </w:font>
  <w:font w:name="黑体">
    <w:panose1 w:val="02010609060101010101"/>
    <w:charset w:val="86"/>
    <w:family w:val="auto"/>
    <w:pitch w:val="default"/>
    <w:sig w:usb0="800002BF" w:usb1="38CF7CFA" w:usb2="00000016" w:usb3="00000000" w:csb0="00040001" w:csb1="00000000"/>
    <w:embedRegular r:id="rId2" w:fontKey="{9C57C17F-3B61-4E60-8F2B-8B2D94A13CCA}"/>
  </w:font>
  <w:font w:name="Courier New">
    <w:panose1 w:val="02070309020205020404"/>
    <w:charset w:val="01"/>
    <w:family w:val="modern"/>
    <w:pitch w:val="default"/>
    <w:sig w:usb0="E0002EFF" w:usb1="C0007843" w:usb2="00000009" w:usb3="00000000" w:csb0="400001FF" w:csb1="FFFF0000"/>
    <w:embedRegular r:id="rId3" w:fontKey="{0F9DB172-22E0-4FB1-96A8-176D0EA85ED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17FE8576-25AA-4843-872B-D53CF2F6FDFE}"/>
  </w:font>
  <w:font w:name="Cambria">
    <w:panose1 w:val="02040503050406030204"/>
    <w:charset w:val="00"/>
    <w:family w:val="roman"/>
    <w:pitch w:val="default"/>
    <w:sig w:usb0="E00006FF" w:usb1="420024FF" w:usb2="02000000" w:usb3="00000000" w:csb0="2000019F" w:csb1="00000000"/>
    <w:embedRegular r:id="rId5" w:fontKey="{7B663F01-83D8-4148-A8C8-E2493EFE2157}"/>
  </w:font>
  <w:font w:name="仿宋_GB2312">
    <w:panose1 w:val="02010609030101010101"/>
    <w:charset w:val="86"/>
    <w:family w:val="auto"/>
    <w:pitch w:val="default"/>
    <w:sig w:usb0="00000001" w:usb1="080E0000" w:usb2="00000000" w:usb3="00000000" w:csb0="00040000" w:csb1="00000000"/>
    <w:embedRegular r:id="rId6" w:fontKey="{FD1F2162-FC0B-40C3-BF13-095D1FF0AB02}"/>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7" w:fontKey="{7D8FBD92-DED6-4ECD-9459-2C4C88AF784E}"/>
  </w:font>
  <w:font w:name="微软雅黑">
    <w:panose1 w:val="020B0503020204020204"/>
    <w:charset w:val="86"/>
    <w:family w:val="swiss"/>
    <w:pitch w:val="default"/>
    <w:sig w:usb0="80000287" w:usb1="2ACF3C50" w:usb2="00000016" w:usb3="00000000" w:csb0="0004001F" w:csb1="00000000"/>
    <w:embedRegular r:id="rId8" w:fontKey="{F76643CB-81B1-40D9-97BC-70F81860D69F}"/>
  </w:font>
  <w:font w:name="新宋体">
    <w:panose1 w:val="02010609030101010101"/>
    <w:charset w:val="86"/>
    <w:family w:val="modern"/>
    <w:pitch w:val="default"/>
    <w:sig w:usb0="00000203" w:usb1="288F0000" w:usb2="00000006" w:usb3="00000000" w:csb0="00040001" w:csb1="00000000"/>
    <w:embedRegular r:id="rId9" w:fontKey="{EE694E47-8412-428F-B9B1-D0E3FF53E522}"/>
  </w:font>
  <w:font w:name="方正小标宋_GBK">
    <w:panose1 w:val="02000000000000000000"/>
    <w:charset w:val="86"/>
    <w:family w:val="script"/>
    <w:pitch w:val="default"/>
    <w:sig w:usb0="A00002BF" w:usb1="38CF7CFA" w:usb2="00082016" w:usb3="00000000" w:csb0="00040001" w:csb1="00000000"/>
    <w:embedRegular r:id="rId10" w:fontKey="{D4AEC6AD-F9EE-4DE6-B72A-C63C602564C5}"/>
  </w:font>
  <w:font w:name="Arial Unicode MS">
    <w:panose1 w:val="020B0604020202020204"/>
    <w:charset w:val="86"/>
    <w:family w:val="swiss"/>
    <w:pitch w:val="default"/>
    <w:sig w:usb0="FFFFFFFF" w:usb1="E9FFFFFF" w:usb2="0000003F" w:usb3="00000000" w:csb0="603F01FF" w:csb1="FFFF0000"/>
    <w:embedRegular r:id="rId11" w:fontKey="{564219C1-451C-4B1F-AE2B-CDD8E55DDB17}"/>
  </w:font>
  <w:font w:name="方正小标宋简体">
    <w:panose1 w:val="03000509000000000000"/>
    <w:charset w:val="86"/>
    <w:family w:val="script"/>
    <w:pitch w:val="default"/>
    <w:sig w:usb0="00000001" w:usb1="080E0000" w:usb2="00000000" w:usb3="00000000" w:csb0="00040000" w:csb1="00000000"/>
    <w:embedRegular r:id="rId12" w:fontKey="{E2E1CAE5-25FB-46E1-A2AE-61758A0D0A77}"/>
  </w:font>
  <w:font w:name="WPSEMBED2">
    <w:panose1 w:val="02000000000000000000"/>
    <w:charset w:val="86"/>
    <w:family w:val="auto"/>
    <w:pitch w:val="default"/>
    <w:sig w:usb0="A00002BF" w:usb1="38CF7CFA" w:usb2="00082016" w:usb3="00000000" w:csb0="00040001" w:csb1="00000000"/>
  </w:font>
  <w:font w:name="WPSEMBED1">
    <w:panose1 w:val="02010609030101010101"/>
    <w:charset w:val="86"/>
    <w:family w:val="auto"/>
    <w:pitch w:val="default"/>
    <w:sig w:usb0="00000001" w:usb1="080E0000" w:usb2="00000000" w:usb3="00000000" w:csb0="00040000" w:csb1="00000000"/>
  </w:font>
  <w:font w:name="WPSEMBED3">
    <w:panose1 w:val="020B0604020202020204"/>
    <w:charset w:val="86"/>
    <w:family w:val="auto"/>
    <w:pitch w:val="default"/>
    <w:sig w:usb0="FFFFFFFF" w:usb1="E9FFFFFF" w:usb2="0000003F" w:usb3="00000000" w:csb0="603F01FF" w:csb1="FFFF0000"/>
  </w:font>
  <w:font w:name="WPSEMBED4">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F0943">
    <w:pPr>
      <w:pStyle w:val="16"/>
      <w:jc w:val="center"/>
    </w:pPr>
  </w:p>
  <w:p w14:paraId="3D5E91DE">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ED7FB">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F2EBE">
    <w:pPr>
      <w:pStyle w:val="16"/>
      <w:jc w:val="center"/>
    </w:pPr>
  </w:p>
  <w:p w14:paraId="2F0561EC">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541BD">
    <w:pPr>
      <w:pStyle w:val="1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A77D68">
                          <w:pPr>
                            <w:pStyle w:val="16"/>
                          </w:pPr>
                          <w:r>
                            <w:fldChar w:fldCharType="begin"/>
                          </w:r>
                          <w:r>
                            <w:instrText xml:space="preserve"> PAGE  \* MERGEFORMAT </w:instrText>
                          </w:r>
                          <w:r>
                            <w:fldChar w:fldCharType="separate"/>
                          </w:r>
                          <w:r>
                            <w:t>0</w:t>
                          </w:r>
                          <w:r>
                            <w:fldChar w:fldCharType="end"/>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pCPP/IAQAAmQMAAA4AAAAAAAAAAQAgAAAAHgEAAGRycy9lMm9Eb2Mu&#10;eG1sUEsFBgAAAAAGAAYAWQEAAFgFAAAAAA==&#10;">
              <v:fill on="f" focussize="0,0"/>
              <v:stroke on="f"/>
              <v:imagedata o:title=""/>
              <o:lock v:ext="edit" aspectratio="f"/>
              <v:textbox inset="0mm,0mm,0mm,0mm" style="mso-fit-shape-to-text:t;">
                <w:txbxContent>
                  <w:p w14:paraId="68A77D68">
                    <w:pPr>
                      <w:pStyle w:val="1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E7E01">
    <w:pPr>
      <w:pStyle w:val="1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65A245">
                          <w:pPr>
                            <w:pStyle w:val="16"/>
                            <w:jc w:val="center"/>
                          </w:pPr>
                          <w:r>
                            <w:fldChar w:fldCharType="begin"/>
                          </w:r>
                          <w:r>
                            <w:instrText xml:space="preserve"> PAGE   \* MERGEFORMAT </w:instrText>
                          </w:r>
                          <w:r>
                            <w:fldChar w:fldCharType="separate"/>
                          </w:r>
                          <w:r>
                            <w:rPr>
                              <w:lang w:val="zh-CN"/>
                            </w:rPr>
                            <w:t>28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1B65A245">
                    <w:pPr>
                      <w:pStyle w:val="16"/>
                      <w:jc w:val="center"/>
                    </w:pPr>
                    <w:r>
                      <w:fldChar w:fldCharType="begin"/>
                    </w:r>
                    <w:r>
                      <w:instrText xml:space="preserve"> PAGE   \* MERGEFORMAT </w:instrText>
                    </w:r>
                    <w:r>
                      <w:fldChar w:fldCharType="separate"/>
                    </w:r>
                    <w:r>
                      <w:rPr>
                        <w:lang w:val="zh-CN"/>
                      </w:rPr>
                      <w:t>28</w:t>
                    </w:r>
                    <w:r>
                      <w:fldChar w:fldCharType="end"/>
                    </w:r>
                  </w:p>
                </w:txbxContent>
              </v:textbox>
            </v:shape>
          </w:pict>
        </mc:Fallback>
      </mc:AlternateContent>
    </w:r>
  </w:p>
  <w:p w14:paraId="55F5FE95">
    <w:pPr>
      <w:pStyle w:val="1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B8630">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33CBA5">
                          <w:pPr>
                            <w:pStyle w:val="1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0E33CBA5">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2937D">
    <w:pPr>
      <w:pStyle w:val="1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9797EE">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0">
                      <a:spAutoFit/>
                    </wps:bodyPr>
                  </wps:wsp>
                </a:graphicData>
              </a:graphic>
            </wp:anchor>
          </w:drawing>
        </mc:Choice>
        <mc:Fallback>
          <w:pict>
            <v:shape id="文本框 409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UXAYXzAEAAJwDAAAOAAAAAAAAAAEAIAAAAB4BAABkcnMvZTJv&#10;RG9jLnhtbFBLBQYAAAAABgAGAFkBAABcBQAAAAA=&#10;">
              <v:fill on="f" focussize="0,0"/>
              <v:stroke on="f"/>
              <v:imagedata o:title=""/>
              <o:lock v:ext="edit" aspectratio="f"/>
              <v:textbox inset="0mm,0mm,0mm,0mm" style="mso-fit-shape-to-text:t;">
                <w:txbxContent>
                  <w:p w14:paraId="619797EE">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C4369">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34937">
    <w:pPr>
      <w:pStyle w:val="17"/>
      <w:pBdr>
        <w:bottom w:val="none" w:color="auto" w:sz="0" w:space="1"/>
      </w:pBdr>
    </w:pPr>
  </w:p>
  <w:p w14:paraId="668317A4">
    <w:pPr>
      <w:pStyle w:val="17"/>
      <w:pBdr>
        <w:bottom w:val="none" w:color="auto" w:sz="0" w:space="1"/>
      </w:pBdr>
    </w:pPr>
  </w:p>
  <w:p w14:paraId="25BFA610">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14AAA5"/>
    <w:multiLevelType w:val="singleLevel"/>
    <w:tmpl w:val="8A14AAA5"/>
    <w:lvl w:ilvl="0" w:tentative="0">
      <w:start w:val="1"/>
      <w:numFmt w:val="decimal"/>
      <w:lvlText w:val="%1."/>
      <w:lvlJc w:val="left"/>
      <w:pPr>
        <w:tabs>
          <w:tab w:val="left" w:pos="312"/>
        </w:tabs>
      </w:pPr>
    </w:lvl>
  </w:abstractNum>
  <w:abstractNum w:abstractNumId="1">
    <w:nsid w:val="A16E5AED"/>
    <w:multiLevelType w:val="singleLevel"/>
    <w:tmpl w:val="A16E5AED"/>
    <w:lvl w:ilvl="0" w:tentative="0">
      <w:start w:val="2"/>
      <w:numFmt w:val="decimal"/>
      <w:suff w:val="space"/>
      <w:lvlText w:val="%1."/>
      <w:lvlJc w:val="left"/>
    </w:lvl>
  </w:abstractNum>
  <w:abstractNum w:abstractNumId="2">
    <w:nsid w:val="A5DBB5D4"/>
    <w:multiLevelType w:val="singleLevel"/>
    <w:tmpl w:val="A5DBB5D4"/>
    <w:lvl w:ilvl="0" w:tentative="0">
      <w:start w:val="1"/>
      <w:numFmt w:val="decimal"/>
      <w:suff w:val="nothing"/>
      <w:lvlText w:val="%1、"/>
      <w:lvlJc w:val="left"/>
    </w:lvl>
  </w:abstractNum>
  <w:abstractNum w:abstractNumId="3">
    <w:nsid w:val="C18BB223"/>
    <w:multiLevelType w:val="singleLevel"/>
    <w:tmpl w:val="C18BB223"/>
    <w:lvl w:ilvl="0" w:tentative="0">
      <w:start w:val="1"/>
      <w:numFmt w:val="decimal"/>
      <w:lvlText w:val="%1."/>
      <w:lvlJc w:val="left"/>
      <w:pPr>
        <w:tabs>
          <w:tab w:val="left" w:pos="312"/>
        </w:tabs>
      </w:pPr>
    </w:lvl>
  </w:abstractNum>
  <w:abstractNum w:abstractNumId="4">
    <w:nsid w:val="0F3650E0"/>
    <w:multiLevelType w:val="singleLevel"/>
    <w:tmpl w:val="0F3650E0"/>
    <w:lvl w:ilvl="0" w:tentative="0">
      <w:start w:val="1"/>
      <w:numFmt w:val="decimal"/>
      <w:suff w:val="space"/>
      <w:lvlText w:val="%1."/>
      <w:lvlJc w:val="left"/>
    </w:lvl>
  </w:abstractNum>
  <w:abstractNum w:abstractNumId="5">
    <w:nsid w:val="15F7F67B"/>
    <w:multiLevelType w:val="singleLevel"/>
    <w:tmpl w:val="15F7F67B"/>
    <w:lvl w:ilvl="0" w:tentative="0">
      <w:start w:val="1"/>
      <w:numFmt w:val="decimal"/>
      <w:suff w:val="nothing"/>
      <w:lvlText w:val="%1、"/>
      <w:lvlJc w:val="left"/>
    </w:lvl>
  </w:abstractNum>
  <w:abstractNum w:abstractNumId="6">
    <w:nsid w:val="1F5788D3"/>
    <w:multiLevelType w:val="singleLevel"/>
    <w:tmpl w:val="1F5788D3"/>
    <w:lvl w:ilvl="0" w:tentative="0">
      <w:start w:val="1"/>
      <w:numFmt w:val="decimal"/>
      <w:suff w:val="nothing"/>
      <w:lvlText w:val="%1、"/>
      <w:lvlJc w:val="left"/>
    </w:lvl>
  </w:abstractNum>
  <w:abstractNum w:abstractNumId="7">
    <w:nsid w:val="3381A030"/>
    <w:multiLevelType w:val="singleLevel"/>
    <w:tmpl w:val="3381A030"/>
    <w:lvl w:ilvl="0" w:tentative="0">
      <w:start w:val="1"/>
      <w:numFmt w:val="decimal"/>
      <w:suff w:val="nothing"/>
      <w:lvlText w:val="%1、"/>
      <w:lvlJc w:val="left"/>
    </w:lvl>
  </w:abstractNum>
  <w:abstractNum w:abstractNumId="8">
    <w:nsid w:val="5D0D2E6E"/>
    <w:multiLevelType w:val="singleLevel"/>
    <w:tmpl w:val="5D0D2E6E"/>
    <w:lvl w:ilvl="0" w:tentative="0">
      <w:start w:val="1"/>
      <w:numFmt w:val="decimal"/>
      <w:suff w:val="nothing"/>
      <w:lvlText w:val="%1、"/>
      <w:lvlJc w:val="left"/>
    </w:lvl>
  </w:abstractNum>
  <w:abstractNum w:abstractNumId="9">
    <w:nsid w:val="6A73165C"/>
    <w:multiLevelType w:val="singleLevel"/>
    <w:tmpl w:val="6A73165C"/>
    <w:lvl w:ilvl="0" w:tentative="0">
      <w:start w:val="1"/>
      <w:numFmt w:val="chineseCounting"/>
      <w:suff w:val="space"/>
      <w:lvlText w:val="第%1章"/>
      <w:lvlJc w:val="left"/>
      <w:rPr>
        <w:rFonts w:hint="eastAsia"/>
      </w:rPr>
    </w:lvl>
  </w:abstractNum>
  <w:abstractNum w:abstractNumId="10">
    <w:nsid w:val="727A3E6E"/>
    <w:multiLevelType w:val="singleLevel"/>
    <w:tmpl w:val="727A3E6E"/>
    <w:lvl w:ilvl="0" w:tentative="0">
      <w:start w:val="1"/>
      <w:numFmt w:val="decimal"/>
      <w:suff w:val="nothing"/>
      <w:lvlText w:val="%1、"/>
      <w:lvlJc w:val="left"/>
    </w:lvl>
  </w:abstractNum>
  <w:abstractNum w:abstractNumId="11">
    <w:nsid w:val="7EDBB7F3"/>
    <w:multiLevelType w:val="singleLevel"/>
    <w:tmpl w:val="7EDBB7F3"/>
    <w:lvl w:ilvl="0" w:tentative="0">
      <w:start w:val="1"/>
      <w:numFmt w:val="decimal"/>
      <w:suff w:val="nothing"/>
      <w:lvlText w:val="%1、"/>
      <w:lvlJc w:val="left"/>
    </w:lvl>
  </w:abstractNum>
  <w:num w:numId="1">
    <w:abstractNumId w:val="9"/>
  </w:num>
  <w:num w:numId="2">
    <w:abstractNumId w:val="1"/>
  </w:num>
  <w:num w:numId="3">
    <w:abstractNumId w:val="3"/>
  </w:num>
  <w:num w:numId="4">
    <w:abstractNumId w:val="0"/>
  </w:num>
  <w:num w:numId="5">
    <w:abstractNumId w:val="4"/>
  </w:num>
  <w:num w:numId="6">
    <w:abstractNumId w:val="8"/>
  </w:num>
  <w:num w:numId="7">
    <w:abstractNumId w:val="10"/>
  </w:num>
  <w:num w:numId="8">
    <w:abstractNumId w:val="11"/>
  </w:num>
  <w:num w:numId="9">
    <w:abstractNumId w:val="7"/>
  </w:num>
  <w:num w:numId="10">
    <w:abstractNumId w:val="6"/>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1M2FlNmZkODA4MmNkOWYyZDg4MmQ4N2IxYTIyNzcifQ=="/>
  </w:docVars>
  <w:rsids>
    <w:rsidRoot w:val="00F34B14"/>
    <w:rsid w:val="00000672"/>
    <w:rsid w:val="00001799"/>
    <w:rsid w:val="00002D29"/>
    <w:rsid w:val="000040C5"/>
    <w:rsid w:val="00004A8A"/>
    <w:rsid w:val="0000574C"/>
    <w:rsid w:val="00005E55"/>
    <w:rsid w:val="00005FDF"/>
    <w:rsid w:val="00006586"/>
    <w:rsid w:val="000065BA"/>
    <w:rsid w:val="0001045D"/>
    <w:rsid w:val="00010D39"/>
    <w:rsid w:val="000112BB"/>
    <w:rsid w:val="0001149B"/>
    <w:rsid w:val="0001172C"/>
    <w:rsid w:val="00012854"/>
    <w:rsid w:val="00012EA6"/>
    <w:rsid w:val="000139DC"/>
    <w:rsid w:val="00013D8C"/>
    <w:rsid w:val="00013DFE"/>
    <w:rsid w:val="000141EA"/>
    <w:rsid w:val="00014385"/>
    <w:rsid w:val="00016960"/>
    <w:rsid w:val="00017396"/>
    <w:rsid w:val="000177DB"/>
    <w:rsid w:val="00020227"/>
    <w:rsid w:val="000203E4"/>
    <w:rsid w:val="00020455"/>
    <w:rsid w:val="00022731"/>
    <w:rsid w:val="00022792"/>
    <w:rsid w:val="00025382"/>
    <w:rsid w:val="00025636"/>
    <w:rsid w:val="00025E36"/>
    <w:rsid w:val="00026627"/>
    <w:rsid w:val="00026886"/>
    <w:rsid w:val="00030496"/>
    <w:rsid w:val="000329E0"/>
    <w:rsid w:val="000333A0"/>
    <w:rsid w:val="000352E9"/>
    <w:rsid w:val="00036A07"/>
    <w:rsid w:val="00036E33"/>
    <w:rsid w:val="00037E2D"/>
    <w:rsid w:val="00040571"/>
    <w:rsid w:val="0004156E"/>
    <w:rsid w:val="00041597"/>
    <w:rsid w:val="0004440C"/>
    <w:rsid w:val="00045880"/>
    <w:rsid w:val="000462CB"/>
    <w:rsid w:val="00046B5E"/>
    <w:rsid w:val="0004783A"/>
    <w:rsid w:val="000509D9"/>
    <w:rsid w:val="000552A6"/>
    <w:rsid w:val="00055D41"/>
    <w:rsid w:val="00057CEC"/>
    <w:rsid w:val="00060DCE"/>
    <w:rsid w:val="0006171E"/>
    <w:rsid w:val="000623B4"/>
    <w:rsid w:val="000634A7"/>
    <w:rsid w:val="00063E85"/>
    <w:rsid w:val="00063F81"/>
    <w:rsid w:val="00064847"/>
    <w:rsid w:val="0006484B"/>
    <w:rsid w:val="000673E2"/>
    <w:rsid w:val="000711E4"/>
    <w:rsid w:val="00072AED"/>
    <w:rsid w:val="00073F47"/>
    <w:rsid w:val="00075B7E"/>
    <w:rsid w:val="00077C70"/>
    <w:rsid w:val="00080B57"/>
    <w:rsid w:val="00081BA3"/>
    <w:rsid w:val="00081D2E"/>
    <w:rsid w:val="0008267B"/>
    <w:rsid w:val="00082D02"/>
    <w:rsid w:val="00083B91"/>
    <w:rsid w:val="0008520B"/>
    <w:rsid w:val="000871B8"/>
    <w:rsid w:val="00087DB6"/>
    <w:rsid w:val="000913BE"/>
    <w:rsid w:val="000918F8"/>
    <w:rsid w:val="00092442"/>
    <w:rsid w:val="0009588E"/>
    <w:rsid w:val="000959EE"/>
    <w:rsid w:val="00095B51"/>
    <w:rsid w:val="00097DA0"/>
    <w:rsid w:val="000A0D6B"/>
    <w:rsid w:val="000A1389"/>
    <w:rsid w:val="000A166E"/>
    <w:rsid w:val="000A2B0E"/>
    <w:rsid w:val="000A398F"/>
    <w:rsid w:val="000A509C"/>
    <w:rsid w:val="000A6007"/>
    <w:rsid w:val="000A65A6"/>
    <w:rsid w:val="000A7275"/>
    <w:rsid w:val="000A7A12"/>
    <w:rsid w:val="000A7CA5"/>
    <w:rsid w:val="000B039A"/>
    <w:rsid w:val="000B1801"/>
    <w:rsid w:val="000B1D0C"/>
    <w:rsid w:val="000B2D03"/>
    <w:rsid w:val="000B3815"/>
    <w:rsid w:val="000B3C7B"/>
    <w:rsid w:val="000B6C95"/>
    <w:rsid w:val="000C0C58"/>
    <w:rsid w:val="000C1679"/>
    <w:rsid w:val="000C2F89"/>
    <w:rsid w:val="000C366E"/>
    <w:rsid w:val="000C4635"/>
    <w:rsid w:val="000C548E"/>
    <w:rsid w:val="000C5698"/>
    <w:rsid w:val="000C6DE4"/>
    <w:rsid w:val="000D01EB"/>
    <w:rsid w:val="000D056E"/>
    <w:rsid w:val="000D0675"/>
    <w:rsid w:val="000D0A89"/>
    <w:rsid w:val="000D1389"/>
    <w:rsid w:val="000D1798"/>
    <w:rsid w:val="000D1A2A"/>
    <w:rsid w:val="000D2626"/>
    <w:rsid w:val="000D3ECB"/>
    <w:rsid w:val="000D4A06"/>
    <w:rsid w:val="000D73DD"/>
    <w:rsid w:val="000D7D9B"/>
    <w:rsid w:val="000E18E2"/>
    <w:rsid w:val="000E28AB"/>
    <w:rsid w:val="000E2E3E"/>
    <w:rsid w:val="000E33C5"/>
    <w:rsid w:val="000E3583"/>
    <w:rsid w:val="000E3AF0"/>
    <w:rsid w:val="000E3D53"/>
    <w:rsid w:val="000E4E04"/>
    <w:rsid w:val="000E6EC9"/>
    <w:rsid w:val="000E70B4"/>
    <w:rsid w:val="000F3281"/>
    <w:rsid w:val="000F3733"/>
    <w:rsid w:val="000F4D88"/>
    <w:rsid w:val="000F64AA"/>
    <w:rsid w:val="000F7AF4"/>
    <w:rsid w:val="000F7C33"/>
    <w:rsid w:val="000F7F0C"/>
    <w:rsid w:val="00100246"/>
    <w:rsid w:val="001004D6"/>
    <w:rsid w:val="00100D90"/>
    <w:rsid w:val="00103918"/>
    <w:rsid w:val="00104889"/>
    <w:rsid w:val="00104897"/>
    <w:rsid w:val="00104EDE"/>
    <w:rsid w:val="00106BEE"/>
    <w:rsid w:val="00113134"/>
    <w:rsid w:val="00113AC0"/>
    <w:rsid w:val="00114851"/>
    <w:rsid w:val="00115E11"/>
    <w:rsid w:val="00115F56"/>
    <w:rsid w:val="00117CBD"/>
    <w:rsid w:val="0012006A"/>
    <w:rsid w:val="00120990"/>
    <w:rsid w:val="001217B5"/>
    <w:rsid w:val="00121979"/>
    <w:rsid w:val="00122064"/>
    <w:rsid w:val="00125004"/>
    <w:rsid w:val="001263B8"/>
    <w:rsid w:val="00126763"/>
    <w:rsid w:val="00130217"/>
    <w:rsid w:val="00130783"/>
    <w:rsid w:val="001312CB"/>
    <w:rsid w:val="00132B47"/>
    <w:rsid w:val="00132E64"/>
    <w:rsid w:val="001351CB"/>
    <w:rsid w:val="001359A2"/>
    <w:rsid w:val="00135E37"/>
    <w:rsid w:val="00136020"/>
    <w:rsid w:val="00136445"/>
    <w:rsid w:val="00140132"/>
    <w:rsid w:val="00141C9C"/>
    <w:rsid w:val="001434BE"/>
    <w:rsid w:val="0014479F"/>
    <w:rsid w:val="001452B4"/>
    <w:rsid w:val="00146EC6"/>
    <w:rsid w:val="001478D2"/>
    <w:rsid w:val="00152A87"/>
    <w:rsid w:val="00154486"/>
    <w:rsid w:val="00156D0E"/>
    <w:rsid w:val="0016086E"/>
    <w:rsid w:val="00160D0C"/>
    <w:rsid w:val="00161172"/>
    <w:rsid w:val="0016139E"/>
    <w:rsid w:val="00161E65"/>
    <w:rsid w:val="00162597"/>
    <w:rsid w:val="001629AF"/>
    <w:rsid w:val="0016428A"/>
    <w:rsid w:val="001647C9"/>
    <w:rsid w:val="001661A3"/>
    <w:rsid w:val="0016782B"/>
    <w:rsid w:val="00173256"/>
    <w:rsid w:val="001733E1"/>
    <w:rsid w:val="00173F74"/>
    <w:rsid w:val="00175086"/>
    <w:rsid w:val="00175BA6"/>
    <w:rsid w:val="0017617F"/>
    <w:rsid w:val="00176CA7"/>
    <w:rsid w:val="001778C5"/>
    <w:rsid w:val="00177E56"/>
    <w:rsid w:val="00177F0A"/>
    <w:rsid w:val="00185617"/>
    <w:rsid w:val="0019171E"/>
    <w:rsid w:val="0019220F"/>
    <w:rsid w:val="001928B1"/>
    <w:rsid w:val="00194ED5"/>
    <w:rsid w:val="00195424"/>
    <w:rsid w:val="001955FF"/>
    <w:rsid w:val="00197EDD"/>
    <w:rsid w:val="001A02B3"/>
    <w:rsid w:val="001A04BB"/>
    <w:rsid w:val="001A08D0"/>
    <w:rsid w:val="001A14B1"/>
    <w:rsid w:val="001A1B39"/>
    <w:rsid w:val="001A2492"/>
    <w:rsid w:val="001A2E69"/>
    <w:rsid w:val="001A3C34"/>
    <w:rsid w:val="001A3E8E"/>
    <w:rsid w:val="001A3EDE"/>
    <w:rsid w:val="001A4222"/>
    <w:rsid w:val="001A50EA"/>
    <w:rsid w:val="001A5E24"/>
    <w:rsid w:val="001A6D8B"/>
    <w:rsid w:val="001B079E"/>
    <w:rsid w:val="001B0CDA"/>
    <w:rsid w:val="001B0E26"/>
    <w:rsid w:val="001B125A"/>
    <w:rsid w:val="001B1EBA"/>
    <w:rsid w:val="001B2142"/>
    <w:rsid w:val="001B26CF"/>
    <w:rsid w:val="001B2F2B"/>
    <w:rsid w:val="001B327A"/>
    <w:rsid w:val="001B35DE"/>
    <w:rsid w:val="001B3A13"/>
    <w:rsid w:val="001B59FF"/>
    <w:rsid w:val="001B636D"/>
    <w:rsid w:val="001B65D7"/>
    <w:rsid w:val="001B6752"/>
    <w:rsid w:val="001B6768"/>
    <w:rsid w:val="001B6F1F"/>
    <w:rsid w:val="001B7ECC"/>
    <w:rsid w:val="001C25A7"/>
    <w:rsid w:val="001C318C"/>
    <w:rsid w:val="001C4287"/>
    <w:rsid w:val="001C4479"/>
    <w:rsid w:val="001C5DBF"/>
    <w:rsid w:val="001C76B7"/>
    <w:rsid w:val="001C76FB"/>
    <w:rsid w:val="001D2764"/>
    <w:rsid w:val="001D3697"/>
    <w:rsid w:val="001D51DE"/>
    <w:rsid w:val="001D540E"/>
    <w:rsid w:val="001D58A1"/>
    <w:rsid w:val="001D5A8A"/>
    <w:rsid w:val="001D735E"/>
    <w:rsid w:val="001D73C8"/>
    <w:rsid w:val="001D74D4"/>
    <w:rsid w:val="001D7E1F"/>
    <w:rsid w:val="001E0756"/>
    <w:rsid w:val="001E0A8D"/>
    <w:rsid w:val="001E0FFB"/>
    <w:rsid w:val="001E129E"/>
    <w:rsid w:val="001E2B9F"/>
    <w:rsid w:val="001E4A8D"/>
    <w:rsid w:val="001E5A94"/>
    <w:rsid w:val="001E7648"/>
    <w:rsid w:val="001F127B"/>
    <w:rsid w:val="001F2A2E"/>
    <w:rsid w:val="001F3B72"/>
    <w:rsid w:val="001F3C63"/>
    <w:rsid w:val="001F4460"/>
    <w:rsid w:val="001F5DAF"/>
    <w:rsid w:val="001F637C"/>
    <w:rsid w:val="001F6B6C"/>
    <w:rsid w:val="001F711A"/>
    <w:rsid w:val="001F75B0"/>
    <w:rsid w:val="001F7686"/>
    <w:rsid w:val="00200CE5"/>
    <w:rsid w:val="002014DB"/>
    <w:rsid w:val="00201E12"/>
    <w:rsid w:val="002031E2"/>
    <w:rsid w:val="002033B5"/>
    <w:rsid w:val="0020382C"/>
    <w:rsid w:val="0020437A"/>
    <w:rsid w:val="00204B5F"/>
    <w:rsid w:val="0020532C"/>
    <w:rsid w:val="00205D23"/>
    <w:rsid w:val="0021064F"/>
    <w:rsid w:val="002114C7"/>
    <w:rsid w:val="00212756"/>
    <w:rsid w:val="0021302C"/>
    <w:rsid w:val="00213045"/>
    <w:rsid w:val="00213483"/>
    <w:rsid w:val="00213B1C"/>
    <w:rsid w:val="00214202"/>
    <w:rsid w:val="002146F3"/>
    <w:rsid w:val="002148E3"/>
    <w:rsid w:val="00215373"/>
    <w:rsid w:val="0021552D"/>
    <w:rsid w:val="002156AE"/>
    <w:rsid w:val="00217861"/>
    <w:rsid w:val="0022054D"/>
    <w:rsid w:val="00224DE1"/>
    <w:rsid w:val="00225664"/>
    <w:rsid w:val="002269DC"/>
    <w:rsid w:val="00227F2D"/>
    <w:rsid w:val="00231851"/>
    <w:rsid w:val="002319FB"/>
    <w:rsid w:val="00231B89"/>
    <w:rsid w:val="002355BE"/>
    <w:rsid w:val="00236DE9"/>
    <w:rsid w:val="00237D5A"/>
    <w:rsid w:val="00241300"/>
    <w:rsid w:val="00241D3C"/>
    <w:rsid w:val="002439AB"/>
    <w:rsid w:val="002450D5"/>
    <w:rsid w:val="00245587"/>
    <w:rsid w:val="00245F2B"/>
    <w:rsid w:val="00246F95"/>
    <w:rsid w:val="00247F3A"/>
    <w:rsid w:val="00250122"/>
    <w:rsid w:val="00250755"/>
    <w:rsid w:val="00250AE3"/>
    <w:rsid w:val="00251C4A"/>
    <w:rsid w:val="0025271C"/>
    <w:rsid w:val="00252A91"/>
    <w:rsid w:val="002533CD"/>
    <w:rsid w:val="00253664"/>
    <w:rsid w:val="002544C1"/>
    <w:rsid w:val="00254EAB"/>
    <w:rsid w:val="002557AF"/>
    <w:rsid w:val="00256474"/>
    <w:rsid w:val="002566B1"/>
    <w:rsid w:val="002575E3"/>
    <w:rsid w:val="002603C1"/>
    <w:rsid w:val="002609A1"/>
    <w:rsid w:val="002612B1"/>
    <w:rsid w:val="00266165"/>
    <w:rsid w:val="0026782A"/>
    <w:rsid w:val="0027125E"/>
    <w:rsid w:val="00271767"/>
    <w:rsid w:val="00272293"/>
    <w:rsid w:val="002723C8"/>
    <w:rsid w:val="00273CBE"/>
    <w:rsid w:val="002802D7"/>
    <w:rsid w:val="0028232C"/>
    <w:rsid w:val="002827F1"/>
    <w:rsid w:val="00282EC3"/>
    <w:rsid w:val="002835B0"/>
    <w:rsid w:val="0028407E"/>
    <w:rsid w:val="0028410F"/>
    <w:rsid w:val="002854BF"/>
    <w:rsid w:val="00286603"/>
    <w:rsid w:val="00286A98"/>
    <w:rsid w:val="00286FB5"/>
    <w:rsid w:val="00287763"/>
    <w:rsid w:val="00290606"/>
    <w:rsid w:val="00290F9D"/>
    <w:rsid w:val="002918A7"/>
    <w:rsid w:val="00291D6D"/>
    <w:rsid w:val="00291FF1"/>
    <w:rsid w:val="002923F6"/>
    <w:rsid w:val="00293361"/>
    <w:rsid w:val="00294AE8"/>
    <w:rsid w:val="00295287"/>
    <w:rsid w:val="002952B1"/>
    <w:rsid w:val="00295D11"/>
    <w:rsid w:val="00295FA0"/>
    <w:rsid w:val="00297A7A"/>
    <w:rsid w:val="002A0C3A"/>
    <w:rsid w:val="002A1130"/>
    <w:rsid w:val="002A14D3"/>
    <w:rsid w:val="002A1880"/>
    <w:rsid w:val="002A1D47"/>
    <w:rsid w:val="002A23B7"/>
    <w:rsid w:val="002A3A57"/>
    <w:rsid w:val="002A6D22"/>
    <w:rsid w:val="002A6DEF"/>
    <w:rsid w:val="002A7411"/>
    <w:rsid w:val="002A7C24"/>
    <w:rsid w:val="002B013E"/>
    <w:rsid w:val="002B058D"/>
    <w:rsid w:val="002B0C16"/>
    <w:rsid w:val="002B11C9"/>
    <w:rsid w:val="002B169E"/>
    <w:rsid w:val="002B2621"/>
    <w:rsid w:val="002B2AC5"/>
    <w:rsid w:val="002B3528"/>
    <w:rsid w:val="002B3539"/>
    <w:rsid w:val="002B3B2B"/>
    <w:rsid w:val="002B6D17"/>
    <w:rsid w:val="002B6E71"/>
    <w:rsid w:val="002C0C1C"/>
    <w:rsid w:val="002C184E"/>
    <w:rsid w:val="002C54C2"/>
    <w:rsid w:val="002C5D34"/>
    <w:rsid w:val="002C5EA7"/>
    <w:rsid w:val="002C661A"/>
    <w:rsid w:val="002C7C6E"/>
    <w:rsid w:val="002D0AF5"/>
    <w:rsid w:val="002D1C54"/>
    <w:rsid w:val="002D2231"/>
    <w:rsid w:val="002D25FC"/>
    <w:rsid w:val="002D318B"/>
    <w:rsid w:val="002D3380"/>
    <w:rsid w:val="002D4925"/>
    <w:rsid w:val="002D4AC6"/>
    <w:rsid w:val="002D5C7B"/>
    <w:rsid w:val="002D6DFC"/>
    <w:rsid w:val="002D7648"/>
    <w:rsid w:val="002D7909"/>
    <w:rsid w:val="002E109C"/>
    <w:rsid w:val="002E115E"/>
    <w:rsid w:val="002E193E"/>
    <w:rsid w:val="002E1D76"/>
    <w:rsid w:val="002E243C"/>
    <w:rsid w:val="002E26C4"/>
    <w:rsid w:val="002E33E9"/>
    <w:rsid w:val="002E4B37"/>
    <w:rsid w:val="002E4BF9"/>
    <w:rsid w:val="002E6F5B"/>
    <w:rsid w:val="002F16DD"/>
    <w:rsid w:val="002F199D"/>
    <w:rsid w:val="002F23B2"/>
    <w:rsid w:val="002F4084"/>
    <w:rsid w:val="002F4672"/>
    <w:rsid w:val="002F4A08"/>
    <w:rsid w:val="002F4ADB"/>
    <w:rsid w:val="002F531E"/>
    <w:rsid w:val="002F5ACC"/>
    <w:rsid w:val="002F6C2C"/>
    <w:rsid w:val="002F704B"/>
    <w:rsid w:val="002F72C3"/>
    <w:rsid w:val="002F768C"/>
    <w:rsid w:val="002F7D1E"/>
    <w:rsid w:val="00301839"/>
    <w:rsid w:val="00302929"/>
    <w:rsid w:val="00302F0F"/>
    <w:rsid w:val="00303243"/>
    <w:rsid w:val="00303BCC"/>
    <w:rsid w:val="00303F2B"/>
    <w:rsid w:val="00303F8D"/>
    <w:rsid w:val="00304541"/>
    <w:rsid w:val="00304580"/>
    <w:rsid w:val="0030586A"/>
    <w:rsid w:val="003074C5"/>
    <w:rsid w:val="00307A3C"/>
    <w:rsid w:val="00307FA4"/>
    <w:rsid w:val="00310CC1"/>
    <w:rsid w:val="00313026"/>
    <w:rsid w:val="00313213"/>
    <w:rsid w:val="0031421F"/>
    <w:rsid w:val="00314B31"/>
    <w:rsid w:val="00314B36"/>
    <w:rsid w:val="00315158"/>
    <w:rsid w:val="00315346"/>
    <w:rsid w:val="00315A65"/>
    <w:rsid w:val="00317BA7"/>
    <w:rsid w:val="00320BE2"/>
    <w:rsid w:val="00321886"/>
    <w:rsid w:val="00321902"/>
    <w:rsid w:val="00323694"/>
    <w:rsid w:val="00324D63"/>
    <w:rsid w:val="003255AF"/>
    <w:rsid w:val="003256EB"/>
    <w:rsid w:val="003259DB"/>
    <w:rsid w:val="00331A48"/>
    <w:rsid w:val="003330C9"/>
    <w:rsid w:val="0033364C"/>
    <w:rsid w:val="00334415"/>
    <w:rsid w:val="0033691E"/>
    <w:rsid w:val="00336CCB"/>
    <w:rsid w:val="0033745F"/>
    <w:rsid w:val="00337631"/>
    <w:rsid w:val="00337F44"/>
    <w:rsid w:val="003411D1"/>
    <w:rsid w:val="003416BA"/>
    <w:rsid w:val="00341BD6"/>
    <w:rsid w:val="00342A8A"/>
    <w:rsid w:val="00342F99"/>
    <w:rsid w:val="00344726"/>
    <w:rsid w:val="003454A4"/>
    <w:rsid w:val="00350E6C"/>
    <w:rsid w:val="003518A6"/>
    <w:rsid w:val="00351E5E"/>
    <w:rsid w:val="00351E7F"/>
    <w:rsid w:val="00352953"/>
    <w:rsid w:val="00354062"/>
    <w:rsid w:val="003542B0"/>
    <w:rsid w:val="00355C0D"/>
    <w:rsid w:val="003566A9"/>
    <w:rsid w:val="00356988"/>
    <w:rsid w:val="00356B20"/>
    <w:rsid w:val="00357128"/>
    <w:rsid w:val="0035755E"/>
    <w:rsid w:val="00357A80"/>
    <w:rsid w:val="00361B8B"/>
    <w:rsid w:val="00363F39"/>
    <w:rsid w:val="00364AB0"/>
    <w:rsid w:val="003667B0"/>
    <w:rsid w:val="003667DD"/>
    <w:rsid w:val="00366B48"/>
    <w:rsid w:val="00367764"/>
    <w:rsid w:val="00370316"/>
    <w:rsid w:val="00370DC7"/>
    <w:rsid w:val="0037156C"/>
    <w:rsid w:val="00371CBD"/>
    <w:rsid w:val="00373CBE"/>
    <w:rsid w:val="003740CC"/>
    <w:rsid w:val="0037435E"/>
    <w:rsid w:val="00374E79"/>
    <w:rsid w:val="00375388"/>
    <w:rsid w:val="00375FB9"/>
    <w:rsid w:val="00376851"/>
    <w:rsid w:val="00376FA2"/>
    <w:rsid w:val="00377A3B"/>
    <w:rsid w:val="00377E3C"/>
    <w:rsid w:val="00380BBE"/>
    <w:rsid w:val="00381D70"/>
    <w:rsid w:val="00382128"/>
    <w:rsid w:val="0038235E"/>
    <w:rsid w:val="003829D0"/>
    <w:rsid w:val="00382FBA"/>
    <w:rsid w:val="0038444F"/>
    <w:rsid w:val="00384E83"/>
    <w:rsid w:val="00387051"/>
    <w:rsid w:val="00387ECF"/>
    <w:rsid w:val="0039021B"/>
    <w:rsid w:val="00390429"/>
    <w:rsid w:val="0039327C"/>
    <w:rsid w:val="003933A2"/>
    <w:rsid w:val="0039366C"/>
    <w:rsid w:val="003938F3"/>
    <w:rsid w:val="00393EC8"/>
    <w:rsid w:val="00395E42"/>
    <w:rsid w:val="00396052"/>
    <w:rsid w:val="00396A2D"/>
    <w:rsid w:val="00396FC3"/>
    <w:rsid w:val="003A1A94"/>
    <w:rsid w:val="003A204E"/>
    <w:rsid w:val="003A2D25"/>
    <w:rsid w:val="003A4DDB"/>
    <w:rsid w:val="003A60E7"/>
    <w:rsid w:val="003B0B6A"/>
    <w:rsid w:val="003B0F79"/>
    <w:rsid w:val="003B29CF"/>
    <w:rsid w:val="003B54DF"/>
    <w:rsid w:val="003B6659"/>
    <w:rsid w:val="003B7733"/>
    <w:rsid w:val="003C0166"/>
    <w:rsid w:val="003C350C"/>
    <w:rsid w:val="003C3903"/>
    <w:rsid w:val="003C3BA0"/>
    <w:rsid w:val="003C4580"/>
    <w:rsid w:val="003C52D8"/>
    <w:rsid w:val="003C5C5E"/>
    <w:rsid w:val="003C6746"/>
    <w:rsid w:val="003C7133"/>
    <w:rsid w:val="003C7555"/>
    <w:rsid w:val="003C7898"/>
    <w:rsid w:val="003D0FF5"/>
    <w:rsid w:val="003D2D1B"/>
    <w:rsid w:val="003D30AB"/>
    <w:rsid w:val="003D3D94"/>
    <w:rsid w:val="003D48C7"/>
    <w:rsid w:val="003D4C08"/>
    <w:rsid w:val="003D51ED"/>
    <w:rsid w:val="003D7CE8"/>
    <w:rsid w:val="003E1032"/>
    <w:rsid w:val="003E1904"/>
    <w:rsid w:val="003E285E"/>
    <w:rsid w:val="003E3300"/>
    <w:rsid w:val="003E6340"/>
    <w:rsid w:val="003E65AC"/>
    <w:rsid w:val="003E6E24"/>
    <w:rsid w:val="003E72B9"/>
    <w:rsid w:val="003E7ED4"/>
    <w:rsid w:val="003F0E52"/>
    <w:rsid w:val="003F0EF2"/>
    <w:rsid w:val="003F0F6B"/>
    <w:rsid w:val="003F1F40"/>
    <w:rsid w:val="003F1FE3"/>
    <w:rsid w:val="003F3865"/>
    <w:rsid w:val="003F3A0A"/>
    <w:rsid w:val="003F4632"/>
    <w:rsid w:val="003F47BA"/>
    <w:rsid w:val="003F6617"/>
    <w:rsid w:val="00401070"/>
    <w:rsid w:val="00402332"/>
    <w:rsid w:val="004025C2"/>
    <w:rsid w:val="00403E55"/>
    <w:rsid w:val="00404532"/>
    <w:rsid w:val="00404681"/>
    <w:rsid w:val="0040496D"/>
    <w:rsid w:val="00405010"/>
    <w:rsid w:val="0040595A"/>
    <w:rsid w:val="00406923"/>
    <w:rsid w:val="0040713A"/>
    <w:rsid w:val="0040763D"/>
    <w:rsid w:val="004105B0"/>
    <w:rsid w:val="00410EC5"/>
    <w:rsid w:val="004133A8"/>
    <w:rsid w:val="00413821"/>
    <w:rsid w:val="00413D43"/>
    <w:rsid w:val="004141A3"/>
    <w:rsid w:val="00414909"/>
    <w:rsid w:val="00415E66"/>
    <w:rsid w:val="00416112"/>
    <w:rsid w:val="00416DF0"/>
    <w:rsid w:val="00417AE0"/>
    <w:rsid w:val="00417BAA"/>
    <w:rsid w:val="00420BA9"/>
    <w:rsid w:val="00420D7A"/>
    <w:rsid w:val="004223DE"/>
    <w:rsid w:val="0042293E"/>
    <w:rsid w:val="00422A10"/>
    <w:rsid w:val="00424D17"/>
    <w:rsid w:val="00425DFD"/>
    <w:rsid w:val="004263A3"/>
    <w:rsid w:val="00427713"/>
    <w:rsid w:val="00427CCC"/>
    <w:rsid w:val="0043013A"/>
    <w:rsid w:val="00430421"/>
    <w:rsid w:val="00430B4F"/>
    <w:rsid w:val="004314B1"/>
    <w:rsid w:val="00431E65"/>
    <w:rsid w:val="00432589"/>
    <w:rsid w:val="00432A94"/>
    <w:rsid w:val="00433827"/>
    <w:rsid w:val="004360C8"/>
    <w:rsid w:val="0044006B"/>
    <w:rsid w:val="0044033F"/>
    <w:rsid w:val="00440630"/>
    <w:rsid w:val="00441123"/>
    <w:rsid w:val="00442095"/>
    <w:rsid w:val="00442965"/>
    <w:rsid w:val="00444157"/>
    <w:rsid w:val="0044417C"/>
    <w:rsid w:val="00444DB3"/>
    <w:rsid w:val="004452B9"/>
    <w:rsid w:val="00445A2F"/>
    <w:rsid w:val="00446328"/>
    <w:rsid w:val="00446341"/>
    <w:rsid w:val="0044684E"/>
    <w:rsid w:val="004479CA"/>
    <w:rsid w:val="004503A4"/>
    <w:rsid w:val="00450555"/>
    <w:rsid w:val="00450DC6"/>
    <w:rsid w:val="004516A5"/>
    <w:rsid w:val="004535AE"/>
    <w:rsid w:val="00453C42"/>
    <w:rsid w:val="0045463A"/>
    <w:rsid w:val="00454AC9"/>
    <w:rsid w:val="004554A3"/>
    <w:rsid w:val="00455A6E"/>
    <w:rsid w:val="004569CD"/>
    <w:rsid w:val="004578EB"/>
    <w:rsid w:val="00460303"/>
    <w:rsid w:val="00460697"/>
    <w:rsid w:val="00462593"/>
    <w:rsid w:val="00465EEF"/>
    <w:rsid w:val="00466D03"/>
    <w:rsid w:val="0046711B"/>
    <w:rsid w:val="00467312"/>
    <w:rsid w:val="00471156"/>
    <w:rsid w:val="00472429"/>
    <w:rsid w:val="004725E5"/>
    <w:rsid w:val="004726FE"/>
    <w:rsid w:val="00472751"/>
    <w:rsid w:val="00473128"/>
    <w:rsid w:val="00475078"/>
    <w:rsid w:val="00475226"/>
    <w:rsid w:val="004779A0"/>
    <w:rsid w:val="004808E3"/>
    <w:rsid w:val="0048097D"/>
    <w:rsid w:val="00481016"/>
    <w:rsid w:val="004814D3"/>
    <w:rsid w:val="0048204C"/>
    <w:rsid w:val="004821BB"/>
    <w:rsid w:val="00482233"/>
    <w:rsid w:val="004826FE"/>
    <w:rsid w:val="004827D5"/>
    <w:rsid w:val="004830C9"/>
    <w:rsid w:val="00483347"/>
    <w:rsid w:val="00483E2E"/>
    <w:rsid w:val="00484B69"/>
    <w:rsid w:val="00485406"/>
    <w:rsid w:val="0048590F"/>
    <w:rsid w:val="004867A5"/>
    <w:rsid w:val="00486D60"/>
    <w:rsid w:val="00487C87"/>
    <w:rsid w:val="00492A25"/>
    <w:rsid w:val="0049474A"/>
    <w:rsid w:val="00496350"/>
    <w:rsid w:val="00496F91"/>
    <w:rsid w:val="00497274"/>
    <w:rsid w:val="0049797C"/>
    <w:rsid w:val="00497C2C"/>
    <w:rsid w:val="00497E9D"/>
    <w:rsid w:val="004A1405"/>
    <w:rsid w:val="004A1FC6"/>
    <w:rsid w:val="004A3C03"/>
    <w:rsid w:val="004A3DB7"/>
    <w:rsid w:val="004A3FB3"/>
    <w:rsid w:val="004A5088"/>
    <w:rsid w:val="004A5255"/>
    <w:rsid w:val="004A6097"/>
    <w:rsid w:val="004A6CB0"/>
    <w:rsid w:val="004A70FF"/>
    <w:rsid w:val="004B1B84"/>
    <w:rsid w:val="004B29AC"/>
    <w:rsid w:val="004B35DF"/>
    <w:rsid w:val="004B3627"/>
    <w:rsid w:val="004B3F3A"/>
    <w:rsid w:val="004B4779"/>
    <w:rsid w:val="004B4922"/>
    <w:rsid w:val="004B57DF"/>
    <w:rsid w:val="004C03A0"/>
    <w:rsid w:val="004C2138"/>
    <w:rsid w:val="004C2ED0"/>
    <w:rsid w:val="004C32D4"/>
    <w:rsid w:val="004C3940"/>
    <w:rsid w:val="004C51FD"/>
    <w:rsid w:val="004C65A8"/>
    <w:rsid w:val="004C786C"/>
    <w:rsid w:val="004C7963"/>
    <w:rsid w:val="004D2F63"/>
    <w:rsid w:val="004D35BA"/>
    <w:rsid w:val="004D4701"/>
    <w:rsid w:val="004D47C7"/>
    <w:rsid w:val="004D618D"/>
    <w:rsid w:val="004D62A9"/>
    <w:rsid w:val="004D6FC3"/>
    <w:rsid w:val="004D7476"/>
    <w:rsid w:val="004E0306"/>
    <w:rsid w:val="004E0572"/>
    <w:rsid w:val="004E25A8"/>
    <w:rsid w:val="004E2AA0"/>
    <w:rsid w:val="004E3930"/>
    <w:rsid w:val="004E3ED9"/>
    <w:rsid w:val="004E5866"/>
    <w:rsid w:val="004E6097"/>
    <w:rsid w:val="004E61EF"/>
    <w:rsid w:val="004E6772"/>
    <w:rsid w:val="004E76A7"/>
    <w:rsid w:val="004E7736"/>
    <w:rsid w:val="004E7B03"/>
    <w:rsid w:val="004F0064"/>
    <w:rsid w:val="004F06AC"/>
    <w:rsid w:val="004F1AE6"/>
    <w:rsid w:val="004F243F"/>
    <w:rsid w:val="004F3E0C"/>
    <w:rsid w:val="004F6A2D"/>
    <w:rsid w:val="004F7160"/>
    <w:rsid w:val="00500258"/>
    <w:rsid w:val="0050175E"/>
    <w:rsid w:val="00501A99"/>
    <w:rsid w:val="00503180"/>
    <w:rsid w:val="0050417C"/>
    <w:rsid w:val="00505450"/>
    <w:rsid w:val="005100B7"/>
    <w:rsid w:val="005113C9"/>
    <w:rsid w:val="0051280C"/>
    <w:rsid w:val="00512842"/>
    <w:rsid w:val="005128BE"/>
    <w:rsid w:val="00512B7B"/>
    <w:rsid w:val="00512E6C"/>
    <w:rsid w:val="0051356F"/>
    <w:rsid w:val="00513E7C"/>
    <w:rsid w:val="005140BB"/>
    <w:rsid w:val="005143C2"/>
    <w:rsid w:val="00514FD9"/>
    <w:rsid w:val="0051608F"/>
    <w:rsid w:val="005165E9"/>
    <w:rsid w:val="005210F7"/>
    <w:rsid w:val="00521753"/>
    <w:rsid w:val="00521A44"/>
    <w:rsid w:val="00521D16"/>
    <w:rsid w:val="005222BE"/>
    <w:rsid w:val="005224EE"/>
    <w:rsid w:val="00523BB1"/>
    <w:rsid w:val="0052451A"/>
    <w:rsid w:val="00524737"/>
    <w:rsid w:val="00526265"/>
    <w:rsid w:val="0052652D"/>
    <w:rsid w:val="0052655D"/>
    <w:rsid w:val="005265E0"/>
    <w:rsid w:val="00526BC3"/>
    <w:rsid w:val="00530F9E"/>
    <w:rsid w:val="0053274E"/>
    <w:rsid w:val="0053358A"/>
    <w:rsid w:val="00534668"/>
    <w:rsid w:val="00534DDD"/>
    <w:rsid w:val="00535291"/>
    <w:rsid w:val="00535A94"/>
    <w:rsid w:val="00537874"/>
    <w:rsid w:val="00540204"/>
    <w:rsid w:val="00540578"/>
    <w:rsid w:val="005407D2"/>
    <w:rsid w:val="00540808"/>
    <w:rsid w:val="0054080E"/>
    <w:rsid w:val="00540EA1"/>
    <w:rsid w:val="0054358E"/>
    <w:rsid w:val="00543AF4"/>
    <w:rsid w:val="00544191"/>
    <w:rsid w:val="00544F39"/>
    <w:rsid w:val="00547EFB"/>
    <w:rsid w:val="005531DF"/>
    <w:rsid w:val="00553874"/>
    <w:rsid w:val="00553ACC"/>
    <w:rsid w:val="00554AD8"/>
    <w:rsid w:val="00554F78"/>
    <w:rsid w:val="005556A5"/>
    <w:rsid w:val="00556BF7"/>
    <w:rsid w:val="00562149"/>
    <w:rsid w:val="005630D8"/>
    <w:rsid w:val="00563FFD"/>
    <w:rsid w:val="00565855"/>
    <w:rsid w:val="005677CE"/>
    <w:rsid w:val="00567B5D"/>
    <w:rsid w:val="00573733"/>
    <w:rsid w:val="00574554"/>
    <w:rsid w:val="00576089"/>
    <w:rsid w:val="005764B1"/>
    <w:rsid w:val="00576A56"/>
    <w:rsid w:val="00576D06"/>
    <w:rsid w:val="005779E4"/>
    <w:rsid w:val="00580AC5"/>
    <w:rsid w:val="0058289C"/>
    <w:rsid w:val="00582C35"/>
    <w:rsid w:val="00582DC6"/>
    <w:rsid w:val="005836C7"/>
    <w:rsid w:val="0058408E"/>
    <w:rsid w:val="00585374"/>
    <w:rsid w:val="00590B77"/>
    <w:rsid w:val="005913A3"/>
    <w:rsid w:val="00591DCD"/>
    <w:rsid w:val="00594A7B"/>
    <w:rsid w:val="00594AFA"/>
    <w:rsid w:val="0059580E"/>
    <w:rsid w:val="00596A6F"/>
    <w:rsid w:val="005976E1"/>
    <w:rsid w:val="005A0541"/>
    <w:rsid w:val="005A1525"/>
    <w:rsid w:val="005A1EC3"/>
    <w:rsid w:val="005A252B"/>
    <w:rsid w:val="005A2A71"/>
    <w:rsid w:val="005A3204"/>
    <w:rsid w:val="005A3341"/>
    <w:rsid w:val="005A46EC"/>
    <w:rsid w:val="005A4847"/>
    <w:rsid w:val="005A494F"/>
    <w:rsid w:val="005B0160"/>
    <w:rsid w:val="005B0185"/>
    <w:rsid w:val="005B07EC"/>
    <w:rsid w:val="005B09D8"/>
    <w:rsid w:val="005B24F3"/>
    <w:rsid w:val="005B2B11"/>
    <w:rsid w:val="005B2E00"/>
    <w:rsid w:val="005B370E"/>
    <w:rsid w:val="005B4DA3"/>
    <w:rsid w:val="005B5B71"/>
    <w:rsid w:val="005B5BEE"/>
    <w:rsid w:val="005B77D2"/>
    <w:rsid w:val="005C019B"/>
    <w:rsid w:val="005C144E"/>
    <w:rsid w:val="005C30F5"/>
    <w:rsid w:val="005C357E"/>
    <w:rsid w:val="005C51A5"/>
    <w:rsid w:val="005C557A"/>
    <w:rsid w:val="005C61DD"/>
    <w:rsid w:val="005C6438"/>
    <w:rsid w:val="005C6B8B"/>
    <w:rsid w:val="005D02E3"/>
    <w:rsid w:val="005D1F34"/>
    <w:rsid w:val="005D2529"/>
    <w:rsid w:val="005D2C1F"/>
    <w:rsid w:val="005D34B2"/>
    <w:rsid w:val="005D3B54"/>
    <w:rsid w:val="005D40CD"/>
    <w:rsid w:val="005D6B59"/>
    <w:rsid w:val="005D7037"/>
    <w:rsid w:val="005E03E4"/>
    <w:rsid w:val="005E0454"/>
    <w:rsid w:val="005E171D"/>
    <w:rsid w:val="005E34C2"/>
    <w:rsid w:val="005E35C6"/>
    <w:rsid w:val="005E5B01"/>
    <w:rsid w:val="005E7933"/>
    <w:rsid w:val="005E7E0B"/>
    <w:rsid w:val="005F009E"/>
    <w:rsid w:val="005F080C"/>
    <w:rsid w:val="005F0A88"/>
    <w:rsid w:val="005F0DF1"/>
    <w:rsid w:val="005F1516"/>
    <w:rsid w:val="005F229E"/>
    <w:rsid w:val="005F2564"/>
    <w:rsid w:val="005F3822"/>
    <w:rsid w:val="005F3E0B"/>
    <w:rsid w:val="005F4D16"/>
    <w:rsid w:val="005F4E52"/>
    <w:rsid w:val="005F5967"/>
    <w:rsid w:val="005F77C8"/>
    <w:rsid w:val="0060058E"/>
    <w:rsid w:val="00602A3C"/>
    <w:rsid w:val="00603EFD"/>
    <w:rsid w:val="006041DF"/>
    <w:rsid w:val="0060475B"/>
    <w:rsid w:val="00604FB6"/>
    <w:rsid w:val="00605387"/>
    <w:rsid w:val="00606302"/>
    <w:rsid w:val="006072EF"/>
    <w:rsid w:val="006076FD"/>
    <w:rsid w:val="00607BA3"/>
    <w:rsid w:val="0061143F"/>
    <w:rsid w:val="006114D8"/>
    <w:rsid w:val="00611585"/>
    <w:rsid w:val="00612931"/>
    <w:rsid w:val="00613601"/>
    <w:rsid w:val="00613791"/>
    <w:rsid w:val="00613AAB"/>
    <w:rsid w:val="006148C7"/>
    <w:rsid w:val="006150D6"/>
    <w:rsid w:val="00617EEE"/>
    <w:rsid w:val="006210FE"/>
    <w:rsid w:val="00622811"/>
    <w:rsid w:val="00622894"/>
    <w:rsid w:val="00622BB7"/>
    <w:rsid w:val="00622F3B"/>
    <w:rsid w:val="00623389"/>
    <w:rsid w:val="0062352A"/>
    <w:rsid w:val="00625E45"/>
    <w:rsid w:val="006265C4"/>
    <w:rsid w:val="00627383"/>
    <w:rsid w:val="00627733"/>
    <w:rsid w:val="006301BB"/>
    <w:rsid w:val="006321FE"/>
    <w:rsid w:val="00632605"/>
    <w:rsid w:val="00633F8D"/>
    <w:rsid w:val="006341EF"/>
    <w:rsid w:val="00634BED"/>
    <w:rsid w:val="00635A4A"/>
    <w:rsid w:val="00635FB9"/>
    <w:rsid w:val="00637774"/>
    <w:rsid w:val="0064024C"/>
    <w:rsid w:val="00640291"/>
    <w:rsid w:val="00641FAC"/>
    <w:rsid w:val="006432A5"/>
    <w:rsid w:val="00643664"/>
    <w:rsid w:val="00643CAA"/>
    <w:rsid w:val="00652137"/>
    <w:rsid w:val="00652680"/>
    <w:rsid w:val="00652A09"/>
    <w:rsid w:val="006530A1"/>
    <w:rsid w:val="00653CDE"/>
    <w:rsid w:val="006540B4"/>
    <w:rsid w:val="0065636A"/>
    <w:rsid w:val="00656C3C"/>
    <w:rsid w:val="00657003"/>
    <w:rsid w:val="00657126"/>
    <w:rsid w:val="006572C1"/>
    <w:rsid w:val="00660238"/>
    <w:rsid w:val="006602EF"/>
    <w:rsid w:val="00661277"/>
    <w:rsid w:val="006616FE"/>
    <w:rsid w:val="006619D1"/>
    <w:rsid w:val="00663FEA"/>
    <w:rsid w:val="00664253"/>
    <w:rsid w:val="00664803"/>
    <w:rsid w:val="006661A4"/>
    <w:rsid w:val="006670E0"/>
    <w:rsid w:val="00667532"/>
    <w:rsid w:val="006704FD"/>
    <w:rsid w:val="0067294B"/>
    <w:rsid w:val="00673AA4"/>
    <w:rsid w:val="00674187"/>
    <w:rsid w:val="0067508F"/>
    <w:rsid w:val="00675349"/>
    <w:rsid w:val="00675E7E"/>
    <w:rsid w:val="0068051E"/>
    <w:rsid w:val="00680B9D"/>
    <w:rsid w:val="00681F13"/>
    <w:rsid w:val="0068231C"/>
    <w:rsid w:val="00682344"/>
    <w:rsid w:val="00682F28"/>
    <w:rsid w:val="00684842"/>
    <w:rsid w:val="00685BD6"/>
    <w:rsid w:val="006878A6"/>
    <w:rsid w:val="00690437"/>
    <w:rsid w:val="00690E65"/>
    <w:rsid w:val="0069188E"/>
    <w:rsid w:val="00691974"/>
    <w:rsid w:val="00692CE6"/>
    <w:rsid w:val="00693B6C"/>
    <w:rsid w:val="006942AE"/>
    <w:rsid w:val="0069483C"/>
    <w:rsid w:val="00695421"/>
    <w:rsid w:val="00696D4B"/>
    <w:rsid w:val="00697BD3"/>
    <w:rsid w:val="00697DFA"/>
    <w:rsid w:val="006A10F3"/>
    <w:rsid w:val="006A16D5"/>
    <w:rsid w:val="006A1772"/>
    <w:rsid w:val="006A1780"/>
    <w:rsid w:val="006A25A5"/>
    <w:rsid w:val="006A2790"/>
    <w:rsid w:val="006A3CEC"/>
    <w:rsid w:val="006A3F75"/>
    <w:rsid w:val="006A4FB3"/>
    <w:rsid w:val="006A5A3E"/>
    <w:rsid w:val="006A6CA7"/>
    <w:rsid w:val="006A703E"/>
    <w:rsid w:val="006A7BE3"/>
    <w:rsid w:val="006B01D1"/>
    <w:rsid w:val="006B16EA"/>
    <w:rsid w:val="006B1780"/>
    <w:rsid w:val="006B224E"/>
    <w:rsid w:val="006B376E"/>
    <w:rsid w:val="006B4589"/>
    <w:rsid w:val="006B6805"/>
    <w:rsid w:val="006B6BBE"/>
    <w:rsid w:val="006B6DE0"/>
    <w:rsid w:val="006B7D5F"/>
    <w:rsid w:val="006C32F4"/>
    <w:rsid w:val="006C3C54"/>
    <w:rsid w:val="006C40F4"/>
    <w:rsid w:val="006C427B"/>
    <w:rsid w:val="006C4F9F"/>
    <w:rsid w:val="006C61AB"/>
    <w:rsid w:val="006C650D"/>
    <w:rsid w:val="006C748D"/>
    <w:rsid w:val="006D0C1D"/>
    <w:rsid w:val="006D0CE1"/>
    <w:rsid w:val="006D2004"/>
    <w:rsid w:val="006D2A8C"/>
    <w:rsid w:val="006D2E9D"/>
    <w:rsid w:val="006D4C1E"/>
    <w:rsid w:val="006D4C42"/>
    <w:rsid w:val="006D5809"/>
    <w:rsid w:val="006D630A"/>
    <w:rsid w:val="006D668D"/>
    <w:rsid w:val="006D7363"/>
    <w:rsid w:val="006D74F2"/>
    <w:rsid w:val="006E04C8"/>
    <w:rsid w:val="006E0712"/>
    <w:rsid w:val="006E0754"/>
    <w:rsid w:val="006E2668"/>
    <w:rsid w:val="006E2D39"/>
    <w:rsid w:val="006E32B0"/>
    <w:rsid w:val="006E36D8"/>
    <w:rsid w:val="006E396A"/>
    <w:rsid w:val="006E3A73"/>
    <w:rsid w:val="006E5DD8"/>
    <w:rsid w:val="006E5EA1"/>
    <w:rsid w:val="006E7ABC"/>
    <w:rsid w:val="006F0760"/>
    <w:rsid w:val="006F0FF1"/>
    <w:rsid w:val="006F11E2"/>
    <w:rsid w:val="006F12F5"/>
    <w:rsid w:val="006F2574"/>
    <w:rsid w:val="006F3231"/>
    <w:rsid w:val="006F3DE3"/>
    <w:rsid w:val="006F511F"/>
    <w:rsid w:val="006F61D8"/>
    <w:rsid w:val="006F62B7"/>
    <w:rsid w:val="006F70BC"/>
    <w:rsid w:val="006F713A"/>
    <w:rsid w:val="006F76BF"/>
    <w:rsid w:val="007066A4"/>
    <w:rsid w:val="00706865"/>
    <w:rsid w:val="00706F37"/>
    <w:rsid w:val="00707D09"/>
    <w:rsid w:val="0071209F"/>
    <w:rsid w:val="007125A2"/>
    <w:rsid w:val="00713F79"/>
    <w:rsid w:val="007148A8"/>
    <w:rsid w:val="007171E0"/>
    <w:rsid w:val="0072033C"/>
    <w:rsid w:val="00720B1B"/>
    <w:rsid w:val="00721062"/>
    <w:rsid w:val="00721E5D"/>
    <w:rsid w:val="007229D4"/>
    <w:rsid w:val="007230F8"/>
    <w:rsid w:val="007233F4"/>
    <w:rsid w:val="00724044"/>
    <w:rsid w:val="007244E1"/>
    <w:rsid w:val="007248D3"/>
    <w:rsid w:val="00725137"/>
    <w:rsid w:val="007263ED"/>
    <w:rsid w:val="00727A43"/>
    <w:rsid w:val="00727FF2"/>
    <w:rsid w:val="007323E0"/>
    <w:rsid w:val="00733791"/>
    <w:rsid w:val="00733DE2"/>
    <w:rsid w:val="007352EA"/>
    <w:rsid w:val="007364E5"/>
    <w:rsid w:val="0073792F"/>
    <w:rsid w:val="00740DA6"/>
    <w:rsid w:val="00741A0E"/>
    <w:rsid w:val="00741D1E"/>
    <w:rsid w:val="00741EE2"/>
    <w:rsid w:val="00742367"/>
    <w:rsid w:val="007423DD"/>
    <w:rsid w:val="00742EAA"/>
    <w:rsid w:val="00743818"/>
    <w:rsid w:val="007439E2"/>
    <w:rsid w:val="00743E9C"/>
    <w:rsid w:val="007441FB"/>
    <w:rsid w:val="00744517"/>
    <w:rsid w:val="00744810"/>
    <w:rsid w:val="00747BE9"/>
    <w:rsid w:val="00747DE2"/>
    <w:rsid w:val="007504BF"/>
    <w:rsid w:val="007506CD"/>
    <w:rsid w:val="0075267F"/>
    <w:rsid w:val="007526EC"/>
    <w:rsid w:val="0075310C"/>
    <w:rsid w:val="00753347"/>
    <w:rsid w:val="00753C48"/>
    <w:rsid w:val="00754C97"/>
    <w:rsid w:val="00754FE4"/>
    <w:rsid w:val="00755538"/>
    <w:rsid w:val="00756236"/>
    <w:rsid w:val="00756271"/>
    <w:rsid w:val="00756521"/>
    <w:rsid w:val="00756AB7"/>
    <w:rsid w:val="00760477"/>
    <w:rsid w:val="00761AF4"/>
    <w:rsid w:val="00762071"/>
    <w:rsid w:val="007623FB"/>
    <w:rsid w:val="0076376A"/>
    <w:rsid w:val="0076500F"/>
    <w:rsid w:val="0076504E"/>
    <w:rsid w:val="00765E6A"/>
    <w:rsid w:val="00767EA0"/>
    <w:rsid w:val="0077068F"/>
    <w:rsid w:val="0077408D"/>
    <w:rsid w:val="00774270"/>
    <w:rsid w:val="00775679"/>
    <w:rsid w:val="00775803"/>
    <w:rsid w:val="00777B32"/>
    <w:rsid w:val="0078051E"/>
    <w:rsid w:val="00781FDD"/>
    <w:rsid w:val="00782A9F"/>
    <w:rsid w:val="0078508A"/>
    <w:rsid w:val="00786D5C"/>
    <w:rsid w:val="00786E96"/>
    <w:rsid w:val="00787F93"/>
    <w:rsid w:val="007907CA"/>
    <w:rsid w:val="00791E6D"/>
    <w:rsid w:val="007928DC"/>
    <w:rsid w:val="007933DF"/>
    <w:rsid w:val="007939CC"/>
    <w:rsid w:val="00796FB8"/>
    <w:rsid w:val="007A11C2"/>
    <w:rsid w:val="007A2367"/>
    <w:rsid w:val="007A41BF"/>
    <w:rsid w:val="007A490A"/>
    <w:rsid w:val="007A581D"/>
    <w:rsid w:val="007A7B95"/>
    <w:rsid w:val="007B0297"/>
    <w:rsid w:val="007B0F53"/>
    <w:rsid w:val="007B1DD8"/>
    <w:rsid w:val="007B21AE"/>
    <w:rsid w:val="007B2570"/>
    <w:rsid w:val="007B3113"/>
    <w:rsid w:val="007B3304"/>
    <w:rsid w:val="007B332B"/>
    <w:rsid w:val="007B394D"/>
    <w:rsid w:val="007B7490"/>
    <w:rsid w:val="007B774A"/>
    <w:rsid w:val="007C0525"/>
    <w:rsid w:val="007C0B56"/>
    <w:rsid w:val="007C13F7"/>
    <w:rsid w:val="007C218D"/>
    <w:rsid w:val="007C2D28"/>
    <w:rsid w:val="007C3E22"/>
    <w:rsid w:val="007C67C6"/>
    <w:rsid w:val="007C707A"/>
    <w:rsid w:val="007C7E59"/>
    <w:rsid w:val="007D0B91"/>
    <w:rsid w:val="007D1452"/>
    <w:rsid w:val="007D1E29"/>
    <w:rsid w:val="007D460C"/>
    <w:rsid w:val="007D4AD3"/>
    <w:rsid w:val="007D4C8D"/>
    <w:rsid w:val="007D5D19"/>
    <w:rsid w:val="007D5FDC"/>
    <w:rsid w:val="007D6D68"/>
    <w:rsid w:val="007E01DA"/>
    <w:rsid w:val="007E1603"/>
    <w:rsid w:val="007E32DA"/>
    <w:rsid w:val="007E4998"/>
    <w:rsid w:val="007E4A9C"/>
    <w:rsid w:val="007E6914"/>
    <w:rsid w:val="007E7F78"/>
    <w:rsid w:val="007F0C8B"/>
    <w:rsid w:val="007F1517"/>
    <w:rsid w:val="007F1D44"/>
    <w:rsid w:val="007F2C13"/>
    <w:rsid w:val="007F2CEC"/>
    <w:rsid w:val="007F55DE"/>
    <w:rsid w:val="007F5605"/>
    <w:rsid w:val="007F6147"/>
    <w:rsid w:val="007F78FF"/>
    <w:rsid w:val="0080088E"/>
    <w:rsid w:val="00800F6C"/>
    <w:rsid w:val="008025BE"/>
    <w:rsid w:val="00804C86"/>
    <w:rsid w:val="008051FC"/>
    <w:rsid w:val="008055A9"/>
    <w:rsid w:val="008070EB"/>
    <w:rsid w:val="00807376"/>
    <w:rsid w:val="00810B0E"/>
    <w:rsid w:val="00810E8E"/>
    <w:rsid w:val="0081142D"/>
    <w:rsid w:val="00812462"/>
    <w:rsid w:val="0081481D"/>
    <w:rsid w:val="00814BE8"/>
    <w:rsid w:val="00814F6E"/>
    <w:rsid w:val="00815B84"/>
    <w:rsid w:val="00821A3D"/>
    <w:rsid w:val="00822037"/>
    <w:rsid w:val="00823FC6"/>
    <w:rsid w:val="00823FFC"/>
    <w:rsid w:val="00824811"/>
    <w:rsid w:val="00825C74"/>
    <w:rsid w:val="00826AB9"/>
    <w:rsid w:val="00826E0E"/>
    <w:rsid w:val="0082731F"/>
    <w:rsid w:val="00827D11"/>
    <w:rsid w:val="00827E0F"/>
    <w:rsid w:val="00827F6E"/>
    <w:rsid w:val="00831758"/>
    <w:rsid w:val="00831977"/>
    <w:rsid w:val="0083279F"/>
    <w:rsid w:val="00833B7F"/>
    <w:rsid w:val="00834906"/>
    <w:rsid w:val="00836075"/>
    <w:rsid w:val="00836417"/>
    <w:rsid w:val="008411F9"/>
    <w:rsid w:val="008413AB"/>
    <w:rsid w:val="00842D10"/>
    <w:rsid w:val="0084322B"/>
    <w:rsid w:val="00843B93"/>
    <w:rsid w:val="00843F81"/>
    <w:rsid w:val="00844087"/>
    <w:rsid w:val="0084519E"/>
    <w:rsid w:val="00846370"/>
    <w:rsid w:val="00847C2B"/>
    <w:rsid w:val="0085270D"/>
    <w:rsid w:val="008532BF"/>
    <w:rsid w:val="00853BF4"/>
    <w:rsid w:val="00854294"/>
    <w:rsid w:val="0085788B"/>
    <w:rsid w:val="00857941"/>
    <w:rsid w:val="00857A9E"/>
    <w:rsid w:val="00857DE2"/>
    <w:rsid w:val="00863E7D"/>
    <w:rsid w:val="0086407F"/>
    <w:rsid w:val="00864E79"/>
    <w:rsid w:val="00866111"/>
    <w:rsid w:val="0086661F"/>
    <w:rsid w:val="00866A0D"/>
    <w:rsid w:val="00866DB5"/>
    <w:rsid w:val="0086784E"/>
    <w:rsid w:val="00867AF1"/>
    <w:rsid w:val="00872118"/>
    <w:rsid w:val="00872827"/>
    <w:rsid w:val="00872A32"/>
    <w:rsid w:val="00874ECA"/>
    <w:rsid w:val="00876EAE"/>
    <w:rsid w:val="00880F95"/>
    <w:rsid w:val="00882B44"/>
    <w:rsid w:val="00882FE5"/>
    <w:rsid w:val="00886138"/>
    <w:rsid w:val="00886E66"/>
    <w:rsid w:val="008871B0"/>
    <w:rsid w:val="0089217C"/>
    <w:rsid w:val="008928A1"/>
    <w:rsid w:val="00893671"/>
    <w:rsid w:val="00895838"/>
    <w:rsid w:val="00895A72"/>
    <w:rsid w:val="00895CDF"/>
    <w:rsid w:val="008968C7"/>
    <w:rsid w:val="00897A55"/>
    <w:rsid w:val="008A0FC9"/>
    <w:rsid w:val="008A1956"/>
    <w:rsid w:val="008A40D3"/>
    <w:rsid w:val="008A469C"/>
    <w:rsid w:val="008A484A"/>
    <w:rsid w:val="008A5877"/>
    <w:rsid w:val="008A6539"/>
    <w:rsid w:val="008A701C"/>
    <w:rsid w:val="008B05DD"/>
    <w:rsid w:val="008B17E8"/>
    <w:rsid w:val="008B266C"/>
    <w:rsid w:val="008B2D03"/>
    <w:rsid w:val="008B2E7C"/>
    <w:rsid w:val="008B45A7"/>
    <w:rsid w:val="008B4A70"/>
    <w:rsid w:val="008B502F"/>
    <w:rsid w:val="008B6AFE"/>
    <w:rsid w:val="008B7034"/>
    <w:rsid w:val="008B7227"/>
    <w:rsid w:val="008C191C"/>
    <w:rsid w:val="008C1DA4"/>
    <w:rsid w:val="008C2CD5"/>
    <w:rsid w:val="008C3618"/>
    <w:rsid w:val="008C3F20"/>
    <w:rsid w:val="008C43AD"/>
    <w:rsid w:val="008C59FB"/>
    <w:rsid w:val="008C6687"/>
    <w:rsid w:val="008C68F0"/>
    <w:rsid w:val="008C6F92"/>
    <w:rsid w:val="008C731F"/>
    <w:rsid w:val="008C74D9"/>
    <w:rsid w:val="008D1052"/>
    <w:rsid w:val="008D124C"/>
    <w:rsid w:val="008D1BB3"/>
    <w:rsid w:val="008D22AE"/>
    <w:rsid w:val="008D234A"/>
    <w:rsid w:val="008D566C"/>
    <w:rsid w:val="008D58D9"/>
    <w:rsid w:val="008D66EA"/>
    <w:rsid w:val="008D6E59"/>
    <w:rsid w:val="008D7155"/>
    <w:rsid w:val="008D7DE4"/>
    <w:rsid w:val="008E09B3"/>
    <w:rsid w:val="008E141A"/>
    <w:rsid w:val="008E1A44"/>
    <w:rsid w:val="008E28E6"/>
    <w:rsid w:val="008E2B60"/>
    <w:rsid w:val="008E3232"/>
    <w:rsid w:val="008E3674"/>
    <w:rsid w:val="008E3B6C"/>
    <w:rsid w:val="008E68BB"/>
    <w:rsid w:val="008E6C9B"/>
    <w:rsid w:val="008E77D4"/>
    <w:rsid w:val="008F0981"/>
    <w:rsid w:val="008F0AFD"/>
    <w:rsid w:val="008F17B2"/>
    <w:rsid w:val="008F28EE"/>
    <w:rsid w:val="008F357B"/>
    <w:rsid w:val="008F44CA"/>
    <w:rsid w:val="008F49B9"/>
    <w:rsid w:val="008F49D3"/>
    <w:rsid w:val="008F6519"/>
    <w:rsid w:val="008F7012"/>
    <w:rsid w:val="008F7B17"/>
    <w:rsid w:val="00900042"/>
    <w:rsid w:val="0090034B"/>
    <w:rsid w:val="00902623"/>
    <w:rsid w:val="00902890"/>
    <w:rsid w:val="00904BE4"/>
    <w:rsid w:val="0090504A"/>
    <w:rsid w:val="00905D7E"/>
    <w:rsid w:val="009063B7"/>
    <w:rsid w:val="00907037"/>
    <w:rsid w:val="0091160A"/>
    <w:rsid w:val="00913258"/>
    <w:rsid w:val="0091564D"/>
    <w:rsid w:val="009156DA"/>
    <w:rsid w:val="00916BC5"/>
    <w:rsid w:val="0091726A"/>
    <w:rsid w:val="00920184"/>
    <w:rsid w:val="00920EA4"/>
    <w:rsid w:val="00921792"/>
    <w:rsid w:val="00921BEA"/>
    <w:rsid w:val="00923998"/>
    <w:rsid w:val="00923DB4"/>
    <w:rsid w:val="0092430E"/>
    <w:rsid w:val="0092625F"/>
    <w:rsid w:val="009268A9"/>
    <w:rsid w:val="00927B37"/>
    <w:rsid w:val="009301B2"/>
    <w:rsid w:val="009313DD"/>
    <w:rsid w:val="00931BDE"/>
    <w:rsid w:val="009321B1"/>
    <w:rsid w:val="00932ED7"/>
    <w:rsid w:val="0093357E"/>
    <w:rsid w:val="0093422D"/>
    <w:rsid w:val="00934DD7"/>
    <w:rsid w:val="009369A9"/>
    <w:rsid w:val="00936CF7"/>
    <w:rsid w:val="00937201"/>
    <w:rsid w:val="0093734A"/>
    <w:rsid w:val="00937783"/>
    <w:rsid w:val="00940FE1"/>
    <w:rsid w:val="00942306"/>
    <w:rsid w:val="009424B8"/>
    <w:rsid w:val="009433A4"/>
    <w:rsid w:val="0094435B"/>
    <w:rsid w:val="00944668"/>
    <w:rsid w:val="00944DC6"/>
    <w:rsid w:val="0094537D"/>
    <w:rsid w:val="0094573F"/>
    <w:rsid w:val="009458B0"/>
    <w:rsid w:val="00945B52"/>
    <w:rsid w:val="00945DC0"/>
    <w:rsid w:val="00945F05"/>
    <w:rsid w:val="00946348"/>
    <w:rsid w:val="009471AD"/>
    <w:rsid w:val="009478A2"/>
    <w:rsid w:val="00952DE9"/>
    <w:rsid w:val="00955643"/>
    <w:rsid w:val="00955FBB"/>
    <w:rsid w:val="0095694B"/>
    <w:rsid w:val="00956BD5"/>
    <w:rsid w:val="009574BB"/>
    <w:rsid w:val="009577B5"/>
    <w:rsid w:val="009608E6"/>
    <w:rsid w:val="009609E4"/>
    <w:rsid w:val="00961779"/>
    <w:rsid w:val="00962EB1"/>
    <w:rsid w:val="00966522"/>
    <w:rsid w:val="00967D3F"/>
    <w:rsid w:val="00967E78"/>
    <w:rsid w:val="00970D7E"/>
    <w:rsid w:val="00970F18"/>
    <w:rsid w:val="00971CF1"/>
    <w:rsid w:val="009721E9"/>
    <w:rsid w:val="00972A58"/>
    <w:rsid w:val="00973772"/>
    <w:rsid w:val="0097451E"/>
    <w:rsid w:val="00975E1E"/>
    <w:rsid w:val="00975E70"/>
    <w:rsid w:val="00977CD6"/>
    <w:rsid w:val="00982481"/>
    <w:rsid w:val="00982D26"/>
    <w:rsid w:val="0098330E"/>
    <w:rsid w:val="009849E9"/>
    <w:rsid w:val="00987812"/>
    <w:rsid w:val="00990225"/>
    <w:rsid w:val="0099244B"/>
    <w:rsid w:val="009947B6"/>
    <w:rsid w:val="00995150"/>
    <w:rsid w:val="009957F3"/>
    <w:rsid w:val="00995D67"/>
    <w:rsid w:val="009970BF"/>
    <w:rsid w:val="009A013B"/>
    <w:rsid w:val="009A02F4"/>
    <w:rsid w:val="009A1F12"/>
    <w:rsid w:val="009A2494"/>
    <w:rsid w:val="009A26CA"/>
    <w:rsid w:val="009A36F2"/>
    <w:rsid w:val="009A5749"/>
    <w:rsid w:val="009A57D0"/>
    <w:rsid w:val="009A6559"/>
    <w:rsid w:val="009A68FC"/>
    <w:rsid w:val="009A7514"/>
    <w:rsid w:val="009A7E7A"/>
    <w:rsid w:val="009B1584"/>
    <w:rsid w:val="009B2469"/>
    <w:rsid w:val="009B314F"/>
    <w:rsid w:val="009B439C"/>
    <w:rsid w:val="009B4A6C"/>
    <w:rsid w:val="009B5777"/>
    <w:rsid w:val="009B5779"/>
    <w:rsid w:val="009B6753"/>
    <w:rsid w:val="009B6A26"/>
    <w:rsid w:val="009C079D"/>
    <w:rsid w:val="009C0D70"/>
    <w:rsid w:val="009C13D1"/>
    <w:rsid w:val="009C2913"/>
    <w:rsid w:val="009C3008"/>
    <w:rsid w:val="009C5AFE"/>
    <w:rsid w:val="009C6606"/>
    <w:rsid w:val="009C6CE5"/>
    <w:rsid w:val="009C6D50"/>
    <w:rsid w:val="009C7547"/>
    <w:rsid w:val="009D1678"/>
    <w:rsid w:val="009D1693"/>
    <w:rsid w:val="009D2721"/>
    <w:rsid w:val="009D2F60"/>
    <w:rsid w:val="009D338C"/>
    <w:rsid w:val="009D3D0D"/>
    <w:rsid w:val="009D5BAC"/>
    <w:rsid w:val="009D64BD"/>
    <w:rsid w:val="009D7B6C"/>
    <w:rsid w:val="009E0D0A"/>
    <w:rsid w:val="009E0D1A"/>
    <w:rsid w:val="009E153F"/>
    <w:rsid w:val="009E2D6C"/>
    <w:rsid w:val="009E388B"/>
    <w:rsid w:val="009E393E"/>
    <w:rsid w:val="009E444E"/>
    <w:rsid w:val="009E4968"/>
    <w:rsid w:val="009E663C"/>
    <w:rsid w:val="009E6BB1"/>
    <w:rsid w:val="009F0092"/>
    <w:rsid w:val="009F0CD9"/>
    <w:rsid w:val="009F1A79"/>
    <w:rsid w:val="009F1F57"/>
    <w:rsid w:val="009F2E26"/>
    <w:rsid w:val="009F4FCF"/>
    <w:rsid w:val="009F5DE2"/>
    <w:rsid w:val="009F65F4"/>
    <w:rsid w:val="009F676B"/>
    <w:rsid w:val="00A004DF"/>
    <w:rsid w:val="00A00D29"/>
    <w:rsid w:val="00A00FD5"/>
    <w:rsid w:val="00A019A8"/>
    <w:rsid w:val="00A01B03"/>
    <w:rsid w:val="00A02C66"/>
    <w:rsid w:val="00A03861"/>
    <w:rsid w:val="00A0464C"/>
    <w:rsid w:val="00A054E0"/>
    <w:rsid w:val="00A0663F"/>
    <w:rsid w:val="00A066CE"/>
    <w:rsid w:val="00A0740B"/>
    <w:rsid w:val="00A075A9"/>
    <w:rsid w:val="00A077E2"/>
    <w:rsid w:val="00A11042"/>
    <w:rsid w:val="00A133D8"/>
    <w:rsid w:val="00A14E97"/>
    <w:rsid w:val="00A20069"/>
    <w:rsid w:val="00A20280"/>
    <w:rsid w:val="00A2244D"/>
    <w:rsid w:val="00A2253D"/>
    <w:rsid w:val="00A22AEC"/>
    <w:rsid w:val="00A2418A"/>
    <w:rsid w:val="00A247B8"/>
    <w:rsid w:val="00A24D39"/>
    <w:rsid w:val="00A24D8F"/>
    <w:rsid w:val="00A25B8B"/>
    <w:rsid w:val="00A269C3"/>
    <w:rsid w:val="00A26ECA"/>
    <w:rsid w:val="00A324C1"/>
    <w:rsid w:val="00A337DB"/>
    <w:rsid w:val="00A3467F"/>
    <w:rsid w:val="00A3551A"/>
    <w:rsid w:val="00A376E8"/>
    <w:rsid w:val="00A37E69"/>
    <w:rsid w:val="00A37F8E"/>
    <w:rsid w:val="00A41737"/>
    <w:rsid w:val="00A42B8F"/>
    <w:rsid w:val="00A43254"/>
    <w:rsid w:val="00A43896"/>
    <w:rsid w:val="00A43A26"/>
    <w:rsid w:val="00A447A0"/>
    <w:rsid w:val="00A459F5"/>
    <w:rsid w:val="00A45FC0"/>
    <w:rsid w:val="00A46B32"/>
    <w:rsid w:val="00A47ECC"/>
    <w:rsid w:val="00A5008C"/>
    <w:rsid w:val="00A50171"/>
    <w:rsid w:val="00A5102E"/>
    <w:rsid w:val="00A51083"/>
    <w:rsid w:val="00A5132E"/>
    <w:rsid w:val="00A51533"/>
    <w:rsid w:val="00A51E68"/>
    <w:rsid w:val="00A52F3B"/>
    <w:rsid w:val="00A531D4"/>
    <w:rsid w:val="00A55ACD"/>
    <w:rsid w:val="00A55CFA"/>
    <w:rsid w:val="00A575B8"/>
    <w:rsid w:val="00A647B1"/>
    <w:rsid w:val="00A64DEF"/>
    <w:rsid w:val="00A65E4E"/>
    <w:rsid w:val="00A665DF"/>
    <w:rsid w:val="00A67F1B"/>
    <w:rsid w:val="00A67FCC"/>
    <w:rsid w:val="00A716DC"/>
    <w:rsid w:val="00A7217B"/>
    <w:rsid w:val="00A7293E"/>
    <w:rsid w:val="00A72EE4"/>
    <w:rsid w:val="00A73067"/>
    <w:rsid w:val="00A737C4"/>
    <w:rsid w:val="00A739A6"/>
    <w:rsid w:val="00A73C3B"/>
    <w:rsid w:val="00A75D77"/>
    <w:rsid w:val="00A75EF9"/>
    <w:rsid w:val="00A76BC9"/>
    <w:rsid w:val="00A77566"/>
    <w:rsid w:val="00A80563"/>
    <w:rsid w:val="00A8311C"/>
    <w:rsid w:val="00A84BC8"/>
    <w:rsid w:val="00A84C5F"/>
    <w:rsid w:val="00A85D91"/>
    <w:rsid w:val="00A86973"/>
    <w:rsid w:val="00A8721F"/>
    <w:rsid w:val="00A8740B"/>
    <w:rsid w:val="00A87519"/>
    <w:rsid w:val="00A9246D"/>
    <w:rsid w:val="00A93644"/>
    <w:rsid w:val="00A93BD0"/>
    <w:rsid w:val="00A95D69"/>
    <w:rsid w:val="00A975A4"/>
    <w:rsid w:val="00AA2001"/>
    <w:rsid w:val="00AA2B5C"/>
    <w:rsid w:val="00AA4E59"/>
    <w:rsid w:val="00AA5328"/>
    <w:rsid w:val="00AA5393"/>
    <w:rsid w:val="00AA63D4"/>
    <w:rsid w:val="00AA6767"/>
    <w:rsid w:val="00AB03FD"/>
    <w:rsid w:val="00AB38CB"/>
    <w:rsid w:val="00AB3BEC"/>
    <w:rsid w:val="00AB44E4"/>
    <w:rsid w:val="00AB4AEB"/>
    <w:rsid w:val="00AB5352"/>
    <w:rsid w:val="00AB56AE"/>
    <w:rsid w:val="00AB62D5"/>
    <w:rsid w:val="00AB65B5"/>
    <w:rsid w:val="00AB6DCD"/>
    <w:rsid w:val="00AB6EE0"/>
    <w:rsid w:val="00AC2DFD"/>
    <w:rsid w:val="00AC352D"/>
    <w:rsid w:val="00AC40B7"/>
    <w:rsid w:val="00AC531F"/>
    <w:rsid w:val="00AC6121"/>
    <w:rsid w:val="00AC626D"/>
    <w:rsid w:val="00AC6CB1"/>
    <w:rsid w:val="00AC79DA"/>
    <w:rsid w:val="00AD0091"/>
    <w:rsid w:val="00AD23D8"/>
    <w:rsid w:val="00AD23EF"/>
    <w:rsid w:val="00AD307B"/>
    <w:rsid w:val="00AD41B3"/>
    <w:rsid w:val="00AD4C48"/>
    <w:rsid w:val="00AD57AF"/>
    <w:rsid w:val="00AD6267"/>
    <w:rsid w:val="00AD7317"/>
    <w:rsid w:val="00AE01A8"/>
    <w:rsid w:val="00AE0CBD"/>
    <w:rsid w:val="00AE123A"/>
    <w:rsid w:val="00AE28A7"/>
    <w:rsid w:val="00AE33A6"/>
    <w:rsid w:val="00AE3715"/>
    <w:rsid w:val="00AE3729"/>
    <w:rsid w:val="00AE55B2"/>
    <w:rsid w:val="00AE5C6A"/>
    <w:rsid w:val="00AE65F7"/>
    <w:rsid w:val="00AE7280"/>
    <w:rsid w:val="00AF033A"/>
    <w:rsid w:val="00AF1699"/>
    <w:rsid w:val="00AF3896"/>
    <w:rsid w:val="00AF6C33"/>
    <w:rsid w:val="00B0098A"/>
    <w:rsid w:val="00B00A5F"/>
    <w:rsid w:val="00B0225F"/>
    <w:rsid w:val="00B029B8"/>
    <w:rsid w:val="00B02F60"/>
    <w:rsid w:val="00B032B8"/>
    <w:rsid w:val="00B04B46"/>
    <w:rsid w:val="00B05050"/>
    <w:rsid w:val="00B0534D"/>
    <w:rsid w:val="00B06368"/>
    <w:rsid w:val="00B06FC6"/>
    <w:rsid w:val="00B07163"/>
    <w:rsid w:val="00B07429"/>
    <w:rsid w:val="00B12FE6"/>
    <w:rsid w:val="00B1303F"/>
    <w:rsid w:val="00B1364A"/>
    <w:rsid w:val="00B13D3C"/>
    <w:rsid w:val="00B1525C"/>
    <w:rsid w:val="00B16715"/>
    <w:rsid w:val="00B17910"/>
    <w:rsid w:val="00B20F18"/>
    <w:rsid w:val="00B21516"/>
    <w:rsid w:val="00B22CE0"/>
    <w:rsid w:val="00B23738"/>
    <w:rsid w:val="00B23BEF"/>
    <w:rsid w:val="00B247BB"/>
    <w:rsid w:val="00B25C11"/>
    <w:rsid w:val="00B25EDF"/>
    <w:rsid w:val="00B25EE6"/>
    <w:rsid w:val="00B3115A"/>
    <w:rsid w:val="00B31A5C"/>
    <w:rsid w:val="00B33C19"/>
    <w:rsid w:val="00B34861"/>
    <w:rsid w:val="00B363BD"/>
    <w:rsid w:val="00B369F7"/>
    <w:rsid w:val="00B36A99"/>
    <w:rsid w:val="00B37537"/>
    <w:rsid w:val="00B41B81"/>
    <w:rsid w:val="00B42980"/>
    <w:rsid w:val="00B434B2"/>
    <w:rsid w:val="00B434C7"/>
    <w:rsid w:val="00B43D45"/>
    <w:rsid w:val="00B44771"/>
    <w:rsid w:val="00B4650E"/>
    <w:rsid w:val="00B468F2"/>
    <w:rsid w:val="00B46B45"/>
    <w:rsid w:val="00B46F6B"/>
    <w:rsid w:val="00B47286"/>
    <w:rsid w:val="00B47894"/>
    <w:rsid w:val="00B50234"/>
    <w:rsid w:val="00B51BF4"/>
    <w:rsid w:val="00B52C68"/>
    <w:rsid w:val="00B542FE"/>
    <w:rsid w:val="00B55A1B"/>
    <w:rsid w:val="00B561DB"/>
    <w:rsid w:val="00B57494"/>
    <w:rsid w:val="00B61DCE"/>
    <w:rsid w:val="00B62188"/>
    <w:rsid w:val="00B62467"/>
    <w:rsid w:val="00B62F79"/>
    <w:rsid w:val="00B62F82"/>
    <w:rsid w:val="00B648FA"/>
    <w:rsid w:val="00B662FF"/>
    <w:rsid w:val="00B72C80"/>
    <w:rsid w:val="00B730B4"/>
    <w:rsid w:val="00B74340"/>
    <w:rsid w:val="00B744E0"/>
    <w:rsid w:val="00B7481A"/>
    <w:rsid w:val="00B74F2F"/>
    <w:rsid w:val="00B756FB"/>
    <w:rsid w:val="00B769BC"/>
    <w:rsid w:val="00B77349"/>
    <w:rsid w:val="00B7761E"/>
    <w:rsid w:val="00B80A37"/>
    <w:rsid w:val="00B80A3D"/>
    <w:rsid w:val="00B823E0"/>
    <w:rsid w:val="00B82B78"/>
    <w:rsid w:val="00B84662"/>
    <w:rsid w:val="00B85402"/>
    <w:rsid w:val="00B864A3"/>
    <w:rsid w:val="00B86C2A"/>
    <w:rsid w:val="00B877F1"/>
    <w:rsid w:val="00B902A5"/>
    <w:rsid w:val="00B90420"/>
    <w:rsid w:val="00B913E4"/>
    <w:rsid w:val="00B91DB9"/>
    <w:rsid w:val="00B93EFE"/>
    <w:rsid w:val="00B94956"/>
    <w:rsid w:val="00B94C7F"/>
    <w:rsid w:val="00B956B5"/>
    <w:rsid w:val="00B95C3A"/>
    <w:rsid w:val="00B95FCE"/>
    <w:rsid w:val="00BA0D44"/>
    <w:rsid w:val="00BA0E26"/>
    <w:rsid w:val="00BA1A1E"/>
    <w:rsid w:val="00BA31BF"/>
    <w:rsid w:val="00BA43FC"/>
    <w:rsid w:val="00BA478B"/>
    <w:rsid w:val="00BA5224"/>
    <w:rsid w:val="00BA7B27"/>
    <w:rsid w:val="00BA7E3B"/>
    <w:rsid w:val="00BB079C"/>
    <w:rsid w:val="00BB39C1"/>
    <w:rsid w:val="00BB5D16"/>
    <w:rsid w:val="00BB6180"/>
    <w:rsid w:val="00BB69E6"/>
    <w:rsid w:val="00BC1B7A"/>
    <w:rsid w:val="00BC2BC7"/>
    <w:rsid w:val="00BC2C17"/>
    <w:rsid w:val="00BC3ACD"/>
    <w:rsid w:val="00BC6E73"/>
    <w:rsid w:val="00BD0014"/>
    <w:rsid w:val="00BD01D8"/>
    <w:rsid w:val="00BD2512"/>
    <w:rsid w:val="00BD255F"/>
    <w:rsid w:val="00BD383D"/>
    <w:rsid w:val="00BD4236"/>
    <w:rsid w:val="00BD5CCA"/>
    <w:rsid w:val="00BD5CD4"/>
    <w:rsid w:val="00BD6EF9"/>
    <w:rsid w:val="00BD77DD"/>
    <w:rsid w:val="00BE0ACB"/>
    <w:rsid w:val="00BE1A90"/>
    <w:rsid w:val="00BE3537"/>
    <w:rsid w:val="00BE360F"/>
    <w:rsid w:val="00BE50FD"/>
    <w:rsid w:val="00BE51CA"/>
    <w:rsid w:val="00BE5E5A"/>
    <w:rsid w:val="00BE6247"/>
    <w:rsid w:val="00BE6D47"/>
    <w:rsid w:val="00BE7032"/>
    <w:rsid w:val="00BE7330"/>
    <w:rsid w:val="00BF01C5"/>
    <w:rsid w:val="00BF066A"/>
    <w:rsid w:val="00BF361C"/>
    <w:rsid w:val="00BF4342"/>
    <w:rsid w:val="00BF5050"/>
    <w:rsid w:val="00BF5422"/>
    <w:rsid w:val="00BF54CF"/>
    <w:rsid w:val="00BF59B1"/>
    <w:rsid w:val="00BF6A78"/>
    <w:rsid w:val="00BF6E19"/>
    <w:rsid w:val="00BF79B4"/>
    <w:rsid w:val="00C01427"/>
    <w:rsid w:val="00C016A1"/>
    <w:rsid w:val="00C0508D"/>
    <w:rsid w:val="00C058AF"/>
    <w:rsid w:val="00C124C1"/>
    <w:rsid w:val="00C128AE"/>
    <w:rsid w:val="00C136D6"/>
    <w:rsid w:val="00C13D5B"/>
    <w:rsid w:val="00C17AE2"/>
    <w:rsid w:val="00C20F27"/>
    <w:rsid w:val="00C215CF"/>
    <w:rsid w:val="00C2244B"/>
    <w:rsid w:val="00C22B0D"/>
    <w:rsid w:val="00C22F55"/>
    <w:rsid w:val="00C240C1"/>
    <w:rsid w:val="00C250D0"/>
    <w:rsid w:val="00C252AC"/>
    <w:rsid w:val="00C255AB"/>
    <w:rsid w:val="00C27214"/>
    <w:rsid w:val="00C27597"/>
    <w:rsid w:val="00C30382"/>
    <w:rsid w:val="00C30D6F"/>
    <w:rsid w:val="00C31063"/>
    <w:rsid w:val="00C31B7E"/>
    <w:rsid w:val="00C3242A"/>
    <w:rsid w:val="00C32AE2"/>
    <w:rsid w:val="00C33201"/>
    <w:rsid w:val="00C332C4"/>
    <w:rsid w:val="00C360B3"/>
    <w:rsid w:val="00C3679B"/>
    <w:rsid w:val="00C37027"/>
    <w:rsid w:val="00C3778D"/>
    <w:rsid w:val="00C405A3"/>
    <w:rsid w:val="00C42752"/>
    <w:rsid w:val="00C42973"/>
    <w:rsid w:val="00C44F9C"/>
    <w:rsid w:val="00C4730E"/>
    <w:rsid w:val="00C5019C"/>
    <w:rsid w:val="00C5034F"/>
    <w:rsid w:val="00C52479"/>
    <w:rsid w:val="00C5291F"/>
    <w:rsid w:val="00C52C59"/>
    <w:rsid w:val="00C5349E"/>
    <w:rsid w:val="00C5354B"/>
    <w:rsid w:val="00C54467"/>
    <w:rsid w:val="00C54D3D"/>
    <w:rsid w:val="00C55116"/>
    <w:rsid w:val="00C55A30"/>
    <w:rsid w:val="00C57C58"/>
    <w:rsid w:val="00C6028F"/>
    <w:rsid w:val="00C608F1"/>
    <w:rsid w:val="00C631E1"/>
    <w:rsid w:val="00C638D8"/>
    <w:rsid w:val="00C63C84"/>
    <w:rsid w:val="00C63D26"/>
    <w:rsid w:val="00C641EB"/>
    <w:rsid w:val="00C65053"/>
    <w:rsid w:val="00C65BD9"/>
    <w:rsid w:val="00C66061"/>
    <w:rsid w:val="00C66F69"/>
    <w:rsid w:val="00C67223"/>
    <w:rsid w:val="00C67CFF"/>
    <w:rsid w:val="00C707B8"/>
    <w:rsid w:val="00C7084B"/>
    <w:rsid w:val="00C71C15"/>
    <w:rsid w:val="00C71F3D"/>
    <w:rsid w:val="00C72F53"/>
    <w:rsid w:val="00C74035"/>
    <w:rsid w:val="00C76FF4"/>
    <w:rsid w:val="00C77818"/>
    <w:rsid w:val="00C77AE3"/>
    <w:rsid w:val="00C8063F"/>
    <w:rsid w:val="00C81549"/>
    <w:rsid w:val="00C829A1"/>
    <w:rsid w:val="00C83B36"/>
    <w:rsid w:val="00C84F8A"/>
    <w:rsid w:val="00C85209"/>
    <w:rsid w:val="00C8618F"/>
    <w:rsid w:val="00C90372"/>
    <w:rsid w:val="00C9041F"/>
    <w:rsid w:val="00C91A45"/>
    <w:rsid w:val="00C91ED2"/>
    <w:rsid w:val="00C91FB4"/>
    <w:rsid w:val="00C95745"/>
    <w:rsid w:val="00C962E3"/>
    <w:rsid w:val="00C965BD"/>
    <w:rsid w:val="00C97997"/>
    <w:rsid w:val="00CA08FE"/>
    <w:rsid w:val="00CA0FAC"/>
    <w:rsid w:val="00CA25C0"/>
    <w:rsid w:val="00CA3451"/>
    <w:rsid w:val="00CA4948"/>
    <w:rsid w:val="00CA52F9"/>
    <w:rsid w:val="00CA568B"/>
    <w:rsid w:val="00CA7500"/>
    <w:rsid w:val="00CB1239"/>
    <w:rsid w:val="00CB19FE"/>
    <w:rsid w:val="00CB304C"/>
    <w:rsid w:val="00CB53E8"/>
    <w:rsid w:val="00CB594A"/>
    <w:rsid w:val="00CB5CB2"/>
    <w:rsid w:val="00CB6979"/>
    <w:rsid w:val="00CB74EC"/>
    <w:rsid w:val="00CC0A3D"/>
    <w:rsid w:val="00CC2373"/>
    <w:rsid w:val="00CC3D24"/>
    <w:rsid w:val="00CC3F91"/>
    <w:rsid w:val="00CC4B0A"/>
    <w:rsid w:val="00CC544A"/>
    <w:rsid w:val="00CC57EA"/>
    <w:rsid w:val="00CC5954"/>
    <w:rsid w:val="00CC6C4E"/>
    <w:rsid w:val="00CD05A2"/>
    <w:rsid w:val="00CD19DA"/>
    <w:rsid w:val="00CD29D4"/>
    <w:rsid w:val="00CD38F5"/>
    <w:rsid w:val="00CD437E"/>
    <w:rsid w:val="00CD5A89"/>
    <w:rsid w:val="00CD5DAD"/>
    <w:rsid w:val="00CD72C5"/>
    <w:rsid w:val="00CD79A7"/>
    <w:rsid w:val="00CE0789"/>
    <w:rsid w:val="00CE1A03"/>
    <w:rsid w:val="00CE2346"/>
    <w:rsid w:val="00CE3529"/>
    <w:rsid w:val="00CE35C8"/>
    <w:rsid w:val="00CE3962"/>
    <w:rsid w:val="00CE5105"/>
    <w:rsid w:val="00CE56BD"/>
    <w:rsid w:val="00CE5EC0"/>
    <w:rsid w:val="00CE6F9F"/>
    <w:rsid w:val="00CE773B"/>
    <w:rsid w:val="00CE781A"/>
    <w:rsid w:val="00CF1D74"/>
    <w:rsid w:val="00CF2BE2"/>
    <w:rsid w:val="00CF3A2E"/>
    <w:rsid w:val="00CF55F9"/>
    <w:rsid w:val="00CF71A6"/>
    <w:rsid w:val="00CF7495"/>
    <w:rsid w:val="00CF7671"/>
    <w:rsid w:val="00D01CF9"/>
    <w:rsid w:val="00D0334D"/>
    <w:rsid w:val="00D0374D"/>
    <w:rsid w:val="00D05A76"/>
    <w:rsid w:val="00D07F1D"/>
    <w:rsid w:val="00D10558"/>
    <w:rsid w:val="00D1203E"/>
    <w:rsid w:val="00D13E70"/>
    <w:rsid w:val="00D16C58"/>
    <w:rsid w:val="00D17019"/>
    <w:rsid w:val="00D170C1"/>
    <w:rsid w:val="00D21168"/>
    <w:rsid w:val="00D235C8"/>
    <w:rsid w:val="00D2438C"/>
    <w:rsid w:val="00D26C3F"/>
    <w:rsid w:val="00D27185"/>
    <w:rsid w:val="00D32B84"/>
    <w:rsid w:val="00D337AE"/>
    <w:rsid w:val="00D33AB3"/>
    <w:rsid w:val="00D33F24"/>
    <w:rsid w:val="00D346B7"/>
    <w:rsid w:val="00D346B8"/>
    <w:rsid w:val="00D35AC8"/>
    <w:rsid w:val="00D35D34"/>
    <w:rsid w:val="00D36F87"/>
    <w:rsid w:val="00D37E4E"/>
    <w:rsid w:val="00D42E6C"/>
    <w:rsid w:val="00D43218"/>
    <w:rsid w:val="00D43B80"/>
    <w:rsid w:val="00D44236"/>
    <w:rsid w:val="00D45B1E"/>
    <w:rsid w:val="00D45BA4"/>
    <w:rsid w:val="00D471AF"/>
    <w:rsid w:val="00D4724F"/>
    <w:rsid w:val="00D50519"/>
    <w:rsid w:val="00D516A5"/>
    <w:rsid w:val="00D5264C"/>
    <w:rsid w:val="00D5289A"/>
    <w:rsid w:val="00D537FE"/>
    <w:rsid w:val="00D538F0"/>
    <w:rsid w:val="00D54A6A"/>
    <w:rsid w:val="00D54BF8"/>
    <w:rsid w:val="00D54D7C"/>
    <w:rsid w:val="00D55951"/>
    <w:rsid w:val="00D572BE"/>
    <w:rsid w:val="00D57EB6"/>
    <w:rsid w:val="00D60ED7"/>
    <w:rsid w:val="00D63586"/>
    <w:rsid w:val="00D664BF"/>
    <w:rsid w:val="00D66D8B"/>
    <w:rsid w:val="00D72A1C"/>
    <w:rsid w:val="00D73580"/>
    <w:rsid w:val="00D73802"/>
    <w:rsid w:val="00D73868"/>
    <w:rsid w:val="00D73C2C"/>
    <w:rsid w:val="00D73D52"/>
    <w:rsid w:val="00D745E7"/>
    <w:rsid w:val="00D77495"/>
    <w:rsid w:val="00D774ED"/>
    <w:rsid w:val="00D777F6"/>
    <w:rsid w:val="00D77F88"/>
    <w:rsid w:val="00D81EAA"/>
    <w:rsid w:val="00D8259F"/>
    <w:rsid w:val="00D825F2"/>
    <w:rsid w:val="00D828B1"/>
    <w:rsid w:val="00D84F27"/>
    <w:rsid w:val="00D850D4"/>
    <w:rsid w:val="00D862D1"/>
    <w:rsid w:val="00D873C6"/>
    <w:rsid w:val="00D91027"/>
    <w:rsid w:val="00D94C7D"/>
    <w:rsid w:val="00D94CA4"/>
    <w:rsid w:val="00D94FB4"/>
    <w:rsid w:val="00D95E99"/>
    <w:rsid w:val="00DA098C"/>
    <w:rsid w:val="00DA1A3A"/>
    <w:rsid w:val="00DA2C65"/>
    <w:rsid w:val="00DA395D"/>
    <w:rsid w:val="00DB16B8"/>
    <w:rsid w:val="00DB1D52"/>
    <w:rsid w:val="00DB1F62"/>
    <w:rsid w:val="00DB2E03"/>
    <w:rsid w:val="00DB3742"/>
    <w:rsid w:val="00DB3F4B"/>
    <w:rsid w:val="00DB61A4"/>
    <w:rsid w:val="00DB67C1"/>
    <w:rsid w:val="00DB70CD"/>
    <w:rsid w:val="00DB70F4"/>
    <w:rsid w:val="00DC1056"/>
    <w:rsid w:val="00DC211E"/>
    <w:rsid w:val="00DC21D8"/>
    <w:rsid w:val="00DC282A"/>
    <w:rsid w:val="00DC34DC"/>
    <w:rsid w:val="00DC3CC6"/>
    <w:rsid w:val="00DC514A"/>
    <w:rsid w:val="00DC64EC"/>
    <w:rsid w:val="00DC67B1"/>
    <w:rsid w:val="00DC7833"/>
    <w:rsid w:val="00DD132B"/>
    <w:rsid w:val="00DD1725"/>
    <w:rsid w:val="00DD21B9"/>
    <w:rsid w:val="00DD2427"/>
    <w:rsid w:val="00DD2A18"/>
    <w:rsid w:val="00DD5B1A"/>
    <w:rsid w:val="00DD61E8"/>
    <w:rsid w:val="00DD62C0"/>
    <w:rsid w:val="00DD7859"/>
    <w:rsid w:val="00DE03AC"/>
    <w:rsid w:val="00DE0A1D"/>
    <w:rsid w:val="00DE15B2"/>
    <w:rsid w:val="00DE1A9A"/>
    <w:rsid w:val="00DE3D2C"/>
    <w:rsid w:val="00DE5E82"/>
    <w:rsid w:val="00DE5FA6"/>
    <w:rsid w:val="00DE6494"/>
    <w:rsid w:val="00DE6AA1"/>
    <w:rsid w:val="00DE74D7"/>
    <w:rsid w:val="00DE7EF7"/>
    <w:rsid w:val="00DF1185"/>
    <w:rsid w:val="00DF1299"/>
    <w:rsid w:val="00DF1A70"/>
    <w:rsid w:val="00DF23A8"/>
    <w:rsid w:val="00DF2F27"/>
    <w:rsid w:val="00DF6CCC"/>
    <w:rsid w:val="00DF6D0C"/>
    <w:rsid w:val="00DF6F64"/>
    <w:rsid w:val="00DF721E"/>
    <w:rsid w:val="00DF7C87"/>
    <w:rsid w:val="00E009B0"/>
    <w:rsid w:val="00E03D5C"/>
    <w:rsid w:val="00E046A9"/>
    <w:rsid w:val="00E04C0F"/>
    <w:rsid w:val="00E0570B"/>
    <w:rsid w:val="00E057B2"/>
    <w:rsid w:val="00E05996"/>
    <w:rsid w:val="00E10B87"/>
    <w:rsid w:val="00E1478B"/>
    <w:rsid w:val="00E14FAC"/>
    <w:rsid w:val="00E15007"/>
    <w:rsid w:val="00E16EC7"/>
    <w:rsid w:val="00E1714F"/>
    <w:rsid w:val="00E21576"/>
    <w:rsid w:val="00E219CE"/>
    <w:rsid w:val="00E23961"/>
    <w:rsid w:val="00E24071"/>
    <w:rsid w:val="00E24EBC"/>
    <w:rsid w:val="00E2522C"/>
    <w:rsid w:val="00E2599B"/>
    <w:rsid w:val="00E27383"/>
    <w:rsid w:val="00E2793D"/>
    <w:rsid w:val="00E31AFA"/>
    <w:rsid w:val="00E3203D"/>
    <w:rsid w:val="00E324EE"/>
    <w:rsid w:val="00E359FF"/>
    <w:rsid w:val="00E36AA7"/>
    <w:rsid w:val="00E36E39"/>
    <w:rsid w:val="00E405F1"/>
    <w:rsid w:val="00E43054"/>
    <w:rsid w:val="00E434C4"/>
    <w:rsid w:val="00E44FE4"/>
    <w:rsid w:val="00E46013"/>
    <w:rsid w:val="00E477C3"/>
    <w:rsid w:val="00E5048D"/>
    <w:rsid w:val="00E50AC4"/>
    <w:rsid w:val="00E51077"/>
    <w:rsid w:val="00E5132D"/>
    <w:rsid w:val="00E51741"/>
    <w:rsid w:val="00E51E16"/>
    <w:rsid w:val="00E52151"/>
    <w:rsid w:val="00E53730"/>
    <w:rsid w:val="00E53C46"/>
    <w:rsid w:val="00E54511"/>
    <w:rsid w:val="00E55DC3"/>
    <w:rsid w:val="00E57577"/>
    <w:rsid w:val="00E62043"/>
    <w:rsid w:val="00E626B9"/>
    <w:rsid w:val="00E627C9"/>
    <w:rsid w:val="00E630F3"/>
    <w:rsid w:val="00E65198"/>
    <w:rsid w:val="00E664FB"/>
    <w:rsid w:val="00E66F0D"/>
    <w:rsid w:val="00E70615"/>
    <w:rsid w:val="00E71A5E"/>
    <w:rsid w:val="00E7207B"/>
    <w:rsid w:val="00E7347A"/>
    <w:rsid w:val="00E75325"/>
    <w:rsid w:val="00E75A47"/>
    <w:rsid w:val="00E75D8C"/>
    <w:rsid w:val="00E77771"/>
    <w:rsid w:val="00E777F2"/>
    <w:rsid w:val="00E779ED"/>
    <w:rsid w:val="00E802C9"/>
    <w:rsid w:val="00E80EDD"/>
    <w:rsid w:val="00E80F0A"/>
    <w:rsid w:val="00E81A6A"/>
    <w:rsid w:val="00E8291B"/>
    <w:rsid w:val="00E8395F"/>
    <w:rsid w:val="00E8473F"/>
    <w:rsid w:val="00E85E41"/>
    <w:rsid w:val="00E85EA1"/>
    <w:rsid w:val="00E91044"/>
    <w:rsid w:val="00E910D3"/>
    <w:rsid w:val="00E923CF"/>
    <w:rsid w:val="00E9335F"/>
    <w:rsid w:val="00E95111"/>
    <w:rsid w:val="00EA061E"/>
    <w:rsid w:val="00EA14C8"/>
    <w:rsid w:val="00EA19D3"/>
    <w:rsid w:val="00EA6649"/>
    <w:rsid w:val="00EB05D0"/>
    <w:rsid w:val="00EB07C5"/>
    <w:rsid w:val="00EB1D49"/>
    <w:rsid w:val="00EB42DD"/>
    <w:rsid w:val="00EB559F"/>
    <w:rsid w:val="00EB5F3D"/>
    <w:rsid w:val="00EB6EC2"/>
    <w:rsid w:val="00EC1CEB"/>
    <w:rsid w:val="00EC268C"/>
    <w:rsid w:val="00EC3753"/>
    <w:rsid w:val="00EC3CB8"/>
    <w:rsid w:val="00EC3D46"/>
    <w:rsid w:val="00EC4E71"/>
    <w:rsid w:val="00EC6667"/>
    <w:rsid w:val="00ED0365"/>
    <w:rsid w:val="00ED0865"/>
    <w:rsid w:val="00ED094F"/>
    <w:rsid w:val="00ED16B6"/>
    <w:rsid w:val="00ED1C60"/>
    <w:rsid w:val="00ED2EB9"/>
    <w:rsid w:val="00ED4469"/>
    <w:rsid w:val="00ED5F23"/>
    <w:rsid w:val="00ED6DC0"/>
    <w:rsid w:val="00ED79CE"/>
    <w:rsid w:val="00ED7A7A"/>
    <w:rsid w:val="00EE038C"/>
    <w:rsid w:val="00EE040B"/>
    <w:rsid w:val="00EE47C5"/>
    <w:rsid w:val="00EE490C"/>
    <w:rsid w:val="00EE613B"/>
    <w:rsid w:val="00EE7E17"/>
    <w:rsid w:val="00EF2C8E"/>
    <w:rsid w:val="00EF3A0D"/>
    <w:rsid w:val="00EF3CEB"/>
    <w:rsid w:val="00EF41A8"/>
    <w:rsid w:val="00EF44FB"/>
    <w:rsid w:val="00EF4D3C"/>
    <w:rsid w:val="00EF51CA"/>
    <w:rsid w:val="00EF5554"/>
    <w:rsid w:val="00EF5AD8"/>
    <w:rsid w:val="00EF5D2F"/>
    <w:rsid w:val="00EF63F5"/>
    <w:rsid w:val="00EF6758"/>
    <w:rsid w:val="00EF6B90"/>
    <w:rsid w:val="00EF70AE"/>
    <w:rsid w:val="00EF79F7"/>
    <w:rsid w:val="00F00418"/>
    <w:rsid w:val="00F006C0"/>
    <w:rsid w:val="00F019AA"/>
    <w:rsid w:val="00F0267E"/>
    <w:rsid w:val="00F02686"/>
    <w:rsid w:val="00F0459B"/>
    <w:rsid w:val="00F04E15"/>
    <w:rsid w:val="00F05DF3"/>
    <w:rsid w:val="00F0641B"/>
    <w:rsid w:val="00F069EA"/>
    <w:rsid w:val="00F07B6E"/>
    <w:rsid w:val="00F07DF8"/>
    <w:rsid w:val="00F11461"/>
    <w:rsid w:val="00F11675"/>
    <w:rsid w:val="00F1182D"/>
    <w:rsid w:val="00F12557"/>
    <w:rsid w:val="00F13A8F"/>
    <w:rsid w:val="00F144F8"/>
    <w:rsid w:val="00F14DF8"/>
    <w:rsid w:val="00F164A3"/>
    <w:rsid w:val="00F17AD9"/>
    <w:rsid w:val="00F17F74"/>
    <w:rsid w:val="00F202C2"/>
    <w:rsid w:val="00F22756"/>
    <w:rsid w:val="00F23890"/>
    <w:rsid w:val="00F2447A"/>
    <w:rsid w:val="00F24638"/>
    <w:rsid w:val="00F2504D"/>
    <w:rsid w:val="00F2637F"/>
    <w:rsid w:val="00F263A8"/>
    <w:rsid w:val="00F268F7"/>
    <w:rsid w:val="00F3053D"/>
    <w:rsid w:val="00F30BDB"/>
    <w:rsid w:val="00F30CF8"/>
    <w:rsid w:val="00F31633"/>
    <w:rsid w:val="00F31EDF"/>
    <w:rsid w:val="00F32CDE"/>
    <w:rsid w:val="00F32D4C"/>
    <w:rsid w:val="00F34811"/>
    <w:rsid w:val="00F34B14"/>
    <w:rsid w:val="00F36A6A"/>
    <w:rsid w:val="00F40101"/>
    <w:rsid w:val="00F404F7"/>
    <w:rsid w:val="00F40CCA"/>
    <w:rsid w:val="00F41521"/>
    <w:rsid w:val="00F42D97"/>
    <w:rsid w:val="00F43F09"/>
    <w:rsid w:val="00F45A72"/>
    <w:rsid w:val="00F46723"/>
    <w:rsid w:val="00F50016"/>
    <w:rsid w:val="00F50647"/>
    <w:rsid w:val="00F5118A"/>
    <w:rsid w:val="00F51A21"/>
    <w:rsid w:val="00F5276E"/>
    <w:rsid w:val="00F529F9"/>
    <w:rsid w:val="00F52E9F"/>
    <w:rsid w:val="00F53304"/>
    <w:rsid w:val="00F53D40"/>
    <w:rsid w:val="00F545ED"/>
    <w:rsid w:val="00F5687F"/>
    <w:rsid w:val="00F575C7"/>
    <w:rsid w:val="00F60305"/>
    <w:rsid w:val="00F61B12"/>
    <w:rsid w:val="00F62398"/>
    <w:rsid w:val="00F631E8"/>
    <w:rsid w:val="00F63223"/>
    <w:rsid w:val="00F63264"/>
    <w:rsid w:val="00F6379E"/>
    <w:rsid w:val="00F70799"/>
    <w:rsid w:val="00F70906"/>
    <w:rsid w:val="00F70A8B"/>
    <w:rsid w:val="00F724FB"/>
    <w:rsid w:val="00F72578"/>
    <w:rsid w:val="00F72A26"/>
    <w:rsid w:val="00F733C3"/>
    <w:rsid w:val="00F756DD"/>
    <w:rsid w:val="00F75DB3"/>
    <w:rsid w:val="00F80047"/>
    <w:rsid w:val="00F8104D"/>
    <w:rsid w:val="00F81587"/>
    <w:rsid w:val="00F82571"/>
    <w:rsid w:val="00F85B72"/>
    <w:rsid w:val="00F8766F"/>
    <w:rsid w:val="00F9104C"/>
    <w:rsid w:val="00F91082"/>
    <w:rsid w:val="00F91A9A"/>
    <w:rsid w:val="00F93ABB"/>
    <w:rsid w:val="00F94D79"/>
    <w:rsid w:val="00FA118A"/>
    <w:rsid w:val="00FA31C7"/>
    <w:rsid w:val="00FA472D"/>
    <w:rsid w:val="00FA7254"/>
    <w:rsid w:val="00FB0214"/>
    <w:rsid w:val="00FB080C"/>
    <w:rsid w:val="00FB18F6"/>
    <w:rsid w:val="00FB2A52"/>
    <w:rsid w:val="00FB2F13"/>
    <w:rsid w:val="00FB6E19"/>
    <w:rsid w:val="00FB71F6"/>
    <w:rsid w:val="00FC0016"/>
    <w:rsid w:val="00FC1483"/>
    <w:rsid w:val="00FC1C47"/>
    <w:rsid w:val="00FC2EF2"/>
    <w:rsid w:val="00FC39ED"/>
    <w:rsid w:val="00FC4419"/>
    <w:rsid w:val="00FC47E2"/>
    <w:rsid w:val="00FC4AA5"/>
    <w:rsid w:val="00FC5148"/>
    <w:rsid w:val="00FC75AC"/>
    <w:rsid w:val="00FD01BF"/>
    <w:rsid w:val="00FD0525"/>
    <w:rsid w:val="00FD297D"/>
    <w:rsid w:val="00FD2D13"/>
    <w:rsid w:val="00FD3D26"/>
    <w:rsid w:val="00FD4789"/>
    <w:rsid w:val="00FD6071"/>
    <w:rsid w:val="00FE0794"/>
    <w:rsid w:val="00FE1041"/>
    <w:rsid w:val="00FE24CB"/>
    <w:rsid w:val="00FE3166"/>
    <w:rsid w:val="00FE3320"/>
    <w:rsid w:val="00FE3473"/>
    <w:rsid w:val="00FE353B"/>
    <w:rsid w:val="00FE4049"/>
    <w:rsid w:val="00FE4794"/>
    <w:rsid w:val="00FE5DF7"/>
    <w:rsid w:val="00FE5F72"/>
    <w:rsid w:val="00FE6466"/>
    <w:rsid w:val="00FF0231"/>
    <w:rsid w:val="00FF1C9B"/>
    <w:rsid w:val="00FF1D49"/>
    <w:rsid w:val="00FF2562"/>
    <w:rsid w:val="00FF2CE1"/>
    <w:rsid w:val="00FF3A41"/>
    <w:rsid w:val="00FF3E5B"/>
    <w:rsid w:val="00FF544F"/>
    <w:rsid w:val="00FF57E4"/>
    <w:rsid w:val="00FF78E5"/>
    <w:rsid w:val="01DF6ED8"/>
    <w:rsid w:val="02511F9D"/>
    <w:rsid w:val="03056ED3"/>
    <w:rsid w:val="034E5B8A"/>
    <w:rsid w:val="03A314B8"/>
    <w:rsid w:val="03D82B98"/>
    <w:rsid w:val="03F83E8B"/>
    <w:rsid w:val="07892BC2"/>
    <w:rsid w:val="07B72767"/>
    <w:rsid w:val="07E2246A"/>
    <w:rsid w:val="08077E72"/>
    <w:rsid w:val="09CC2AAC"/>
    <w:rsid w:val="09D820EE"/>
    <w:rsid w:val="09DF0E4D"/>
    <w:rsid w:val="0A652D3E"/>
    <w:rsid w:val="0B3A48F0"/>
    <w:rsid w:val="0C92213C"/>
    <w:rsid w:val="0D3453E5"/>
    <w:rsid w:val="0D4F221D"/>
    <w:rsid w:val="0D84032B"/>
    <w:rsid w:val="0DA94BE1"/>
    <w:rsid w:val="0DCB711C"/>
    <w:rsid w:val="0E5D77A0"/>
    <w:rsid w:val="0E77676A"/>
    <w:rsid w:val="0F612693"/>
    <w:rsid w:val="10A27F31"/>
    <w:rsid w:val="10CA487C"/>
    <w:rsid w:val="11927058"/>
    <w:rsid w:val="126F3564"/>
    <w:rsid w:val="12A604D9"/>
    <w:rsid w:val="13AF4F03"/>
    <w:rsid w:val="14502701"/>
    <w:rsid w:val="14736E66"/>
    <w:rsid w:val="149B6AC2"/>
    <w:rsid w:val="14ED6CDA"/>
    <w:rsid w:val="15264037"/>
    <w:rsid w:val="15293653"/>
    <w:rsid w:val="1534169A"/>
    <w:rsid w:val="15541A6A"/>
    <w:rsid w:val="15B14241"/>
    <w:rsid w:val="15C03E03"/>
    <w:rsid w:val="162A25EB"/>
    <w:rsid w:val="165537C3"/>
    <w:rsid w:val="16FD2A55"/>
    <w:rsid w:val="17366761"/>
    <w:rsid w:val="177C01F0"/>
    <w:rsid w:val="17CE6630"/>
    <w:rsid w:val="17D81FF2"/>
    <w:rsid w:val="19820BA0"/>
    <w:rsid w:val="19C171BC"/>
    <w:rsid w:val="19F52192"/>
    <w:rsid w:val="1A8B362F"/>
    <w:rsid w:val="1AFA16D5"/>
    <w:rsid w:val="1B4F19F8"/>
    <w:rsid w:val="1BD31E91"/>
    <w:rsid w:val="1BD92184"/>
    <w:rsid w:val="1C5170A2"/>
    <w:rsid w:val="1D4061A8"/>
    <w:rsid w:val="1E9B4F4B"/>
    <w:rsid w:val="1ECC37BB"/>
    <w:rsid w:val="1F063325"/>
    <w:rsid w:val="1F3C13CB"/>
    <w:rsid w:val="1FBC5DF5"/>
    <w:rsid w:val="1FC55574"/>
    <w:rsid w:val="20781442"/>
    <w:rsid w:val="20E41FA5"/>
    <w:rsid w:val="210E3EE8"/>
    <w:rsid w:val="21B83F86"/>
    <w:rsid w:val="21E55E66"/>
    <w:rsid w:val="221178A8"/>
    <w:rsid w:val="221213CF"/>
    <w:rsid w:val="22327A92"/>
    <w:rsid w:val="22965435"/>
    <w:rsid w:val="22BD6F35"/>
    <w:rsid w:val="231D53A2"/>
    <w:rsid w:val="23B7504C"/>
    <w:rsid w:val="240E0F63"/>
    <w:rsid w:val="24571307"/>
    <w:rsid w:val="24BA2984"/>
    <w:rsid w:val="24D4261C"/>
    <w:rsid w:val="25246333"/>
    <w:rsid w:val="259D3F61"/>
    <w:rsid w:val="26446DE3"/>
    <w:rsid w:val="264D165B"/>
    <w:rsid w:val="26D7699F"/>
    <w:rsid w:val="272144A7"/>
    <w:rsid w:val="274A5E17"/>
    <w:rsid w:val="288D3B24"/>
    <w:rsid w:val="2912495F"/>
    <w:rsid w:val="2B09065E"/>
    <w:rsid w:val="2B774624"/>
    <w:rsid w:val="2C3047F6"/>
    <w:rsid w:val="2C7A72BE"/>
    <w:rsid w:val="2EFF0DA3"/>
    <w:rsid w:val="2F401D3C"/>
    <w:rsid w:val="2FA95C88"/>
    <w:rsid w:val="301205AD"/>
    <w:rsid w:val="3041370F"/>
    <w:rsid w:val="310318C8"/>
    <w:rsid w:val="31083A05"/>
    <w:rsid w:val="32453A27"/>
    <w:rsid w:val="3263064A"/>
    <w:rsid w:val="32872F2D"/>
    <w:rsid w:val="32AC0C06"/>
    <w:rsid w:val="33397115"/>
    <w:rsid w:val="33680246"/>
    <w:rsid w:val="34CA3F9D"/>
    <w:rsid w:val="3537750C"/>
    <w:rsid w:val="3537798C"/>
    <w:rsid w:val="357F7ED5"/>
    <w:rsid w:val="35C13FC9"/>
    <w:rsid w:val="362E6D87"/>
    <w:rsid w:val="364257B6"/>
    <w:rsid w:val="36A069F5"/>
    <w:rsid w:val="36F834D1"/>
    <w:rsid w:val="371814DD"/>
    <w:rsid w:val="374264D3"/>
    <w:rsid w:val="37DB7874"/>
    <w:rsid w:val="37EA5922"/>
    <w:rsid w:val="38276B93"/>
    <w:rsid w:val="3A0B64A7"/>
    <w:rsid w:val="3AF74C02"/>
    <w:rsid w:val="3BC6658C"/>
    <w:rsid w:val="3C0059A5"/>
    <w:rsid w:val="3C134E78"/>
    <w:rsid w:val="3D26214F"/>
    <w:rsid w:val="3DF6345D"/>
    <w:rsid w:val="3EE13701"/>
    <w:rsid w:val="3F1A4BB3"/>
    <w:rsid w:val="3FC7585F"/>
    <w:rsid w:val="40192BA6"/>
    <w:rsid w:val="41F95007"/>
    <w:rsid w:val="42550A18"/>
    <w:rsid w:val="425600A9"/>
    <w:rsid w:val="42A8335B"/>
    <w:rsid w:val="42F473A1"/>
    <w:rsid w:val="4304728B"/>
    <w:rsid w:val="43111FC4"/>
    <w:rsid w:val="441E62C0"/>
    <w:rsid w:val="44274ACD"/>
    <w:rsid w:val="45811C7C"/>
    <w:rsid w:val="46896D87"/>
    <w:rsid w:val="468B3EFB"/>
    <w:rsid w:val="46F9547C"/>
    <w:rsid w:val="470A6193"/>
    <w:rsid w:val="47DC4F5C"/>
    <w:rsid w:val="48B40671"/>
    <w:rsid w:val="499B5738"/>
    <w:rsid w:val="499F244D"/>
    <w:rsid w:val="4A8F58C2"/>
    <w:rsid w:val="4AA74693"/>
    <w:rsid w:val="4AF96BC7"/>
    <w:rsid w:val="4BFB4050"/>
    <w:rsid w:val="4CEF36E2"/>
    <w:rsid w:val="4D3B1120"/>
    <w:rsid w:val="4DAF4CC1"/>
    <w:rsid w:val="4EF72C1C"/>
    <w:rsid w:val="4F372FFB"/>
    <w:rsid w:val="4FA76FA4"/>
    <w:rsid w:val="5090237C"/>
    <w:rsid w:val="51392900"/>
    <w:rsid w:val="513F391C"/>
    <w:rsid w:val="51564E44"/>
    <w:rsid w:val="521458B8"/>
    <w:rsid w:val="52C10D75"/>
    <w:rsid w:val="550C4BD7"/>
    <w:rsid w:val="55572986"/>
    <w:rsid w:val="55CF743F"/>
    <w:rsid w:val="56DE0453"/>
    <w:rsid w:val="56F87EDC"/>
    <w:rsid w:val="57CB08A4"/>
    <w:rsid w:val="584A4969"/>
    <w:rsid w:val="5A957D93"/>
    <w:rsid w:val="5AEB039D"/>
    <w:rsid w:val="5B3760D9"/>
    <w:rsid w:val="5B6756B9"/>
    <w:rsid w:val="5B7C67DA"/>
    <w:rsid w:val="5D864D60"/>
    <w:rsid w:val="5EF92B39"/>
    <w:rsid w:val="5F80710D"/>
    <w:rsid w:val="606007BB"/>
    <w:rsid w:val="60AC7F66"/>
    <w:rsid w:val="60B769D4"/>
    <w:rsid w:val="618835DC"/>
    <w:rsid w:val="61BF10D9"/>
    <w:rsid w:val="629F7BDB"/>
    <w:rsid w:val="640C7C21"/>
    <w:rsid w:val="64E45EF7"/>
    <w:rsid w:val="66A57729"/>
    <w:rsid w:val="677435B2"/>
    <w:rsid w:val="67EF75F1"/>
    <w:rsid w:val="68C229FB"/>
    <w:rsid w:val="69124F16"/>
    <w:rsid w:val="691C70D6"/>
    <w:rsid w:val="69874F6E"/>
    <w:rsid w:val="69C64B0E"/>
    <w:rsid w:val="69CD5C14"/>
    <w:rsid w:val="69CF0D33"/>
    <w:rsid w:val="6A972321"/>
    <w:rsid w:val="6AB24495"/>
    <w:rsid w:val="6B9946B3"/>
    <w:rsid w:val="6CA331F4"/>
    <w:rsid w:val="6D1837C6"/>
    <w:rsid w:val="6D9003EF"/>
    <w:rsid w:val="6DE76850"/>
    <w:rsid w:val="6E0C1CB8"/>
    <w:rsid w:val="6E9A1018"/>
    <w:rsid w:val="6F8D6A6A"/>
    <w:rsid w:val="6FB20BD4"/>
    <w:rsid w:val="6FBA59BE"/>
    <w:rsid w:val="70296B3E"/>
    <w:rsid w:val="70611204"/>
    <w:rsid w:val="7234593E"/>
    <w:rsid w:val="72EF4CB6"/>
    <w:rsid w:val="72F779CE"/>
    <w:rsid w:val="73425962"/>
    <w:rsid w:val="73B2672A"/>
    <w:rsid w:val="73F25E01"/>
    <w:rsid w:val="74FA2C30"/>
    <w:rsid w:val="76BC49EB"/>
    <w:rsid w:val="77000DA2"/>
    <w:rsid w:val="7765592F"/>
    <w:rsid w:val="78054ED4"/>
    <w:rsid w:val="781E69D1"/>
    <w:rsid w:val="78340059"/>
    <w:rsid w:val="79A17CD4"/>
    <w:rsid w:val="7A0F0927"/>
    <w:rsid w:val="7ACB4317"/>
    <w:rsid w:val="7ADD0453"/>
    <w:rsid w:val="7AF46346"/>
    <w:rsid w:val="7B0F5EBF"/>
    <w:rsid w:val="7B130FB9"/>
    <w:rsid w:val="7B8218A2"/>
    <w:rsid w:val="7BAB53BF"/>
    <w:rsid w:val="7BDE0625"/>
    <w:rsid w:val="7BF64EDE"/>
    <w:rsid w:val="7C400C1E"/>
    <w:rsid w:val="7DD11708"/>
    <w:rsid w:val="7DD83ECB"/>
    <w:rsid w:val="7E835FD4"/>
    <w:rsid w:val="7EBB16E1"/>
    <w:rsid w:val="7EBC46EA"/>
    <w:rsid w:val="7EC167BD"/>
    <w:rsid w:val="7FF82C2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2"/>
    <w:qFormat/>
    <w:uiPriority w:val="9"/>
    <w:pPr>
      <w:keepNext/>
      <w:keepLines/>
      <w:spacing w:before="260" w:after="260" w:line="416" w:lineRule="auto"/>
      <w:outlineLvl w:val="1"/>
    </w:pPr>
    <w:rPr>
      <w:rFonts w:ascii="Cambria" w:hAnsi="Cambria"/>
      <w:b/>
      <w:bCs/>
      <w:sz w:val="32"/>
      <w:szCs w:val="32"/>
    </w:rPr>
  </w:style>
  <w:style w:type="paragraph" w:styleId="5">
    <w:name w:val="heading 5"/>
    <w:basedOn w:val="1"/>
    <w:next w:val="6"/>
    <w:link w:val="33"/>
    <w:qFormat/>
    <w:uiPriority w:val="9"/>
    <w:pPr>
      <w:keepNext/>
      <w:keepLines/>
      <w:spacing w:before="280" w:after="290" w:line="376" w:lineRule="auto"/>
      <w:outlineLvl w:val="4"/>
    </w:pPr>
    <w:rPr>
      <w:b/>
      <w:bCs/>
      <w:sz w:val="28"/>
      <w:szCs w:val="28"/>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2">
    <w:name w:val="Body Text"/>
    <w:basedOn w:val="1"/>
    <w:link w:val="30"/>
    <w:unhideWhenUsed/>
    <w:qFormat/>
    <w:uiPriority w:val="0"/>
    <w:pPr>
      <w:spacing w:after="120"/>
    </w:pPr>
  </w:style>
  <w:style w:type="paragraph" w:styleId="6">
    <w:name w:val="Normal Indent"/>
    <w:basedOn w:val="1"/>
    <w:qFormat/>
    <w:uiPriority w:val="0"/>
    <w:pPr>
      <w:ind w:firstLine="420"/>
    </w:pPr>
    <w:rPr>
      <w:szCs w:val="20"/>
    </w:rPr>
  </w:style>
  <w:style w:type="paragraph" w:styleId="7">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8">
    <w:name w:val="annotation text"/>
    <w:basedOn w:val="1"/>
    <w:link w:val="34"/>
    <w:qFormat/>
    <w:uiPriority w:val="0"/>
    <w:pPr>
      <w:jc w:val="left"/>
    </w:pPr>
  </w:style>
  <w:style w:type="paragraph" w:styleId="9">
    <w:name w:val="index 6"/>
    <w:basedOn w:val="1"/>
    <w:next w:val="1"/>
    <w:qFormat/>
    <w:uiPriority w:val="0"/>
    <w:pPr>
      <w:ind w:left="1000" w:leftChars="1000"/>
    </w:pPr>
  </w:style>
  <w:style w:type="paragraph" w:styleId="10">
    <w:name w:val="Body Text 3"/>
    <w:basedOn w:val="1"/>
    <w:link w:val="35"/>
    <w:unhideWhenUsed/>
    <w:qFormat/>
    <w:uiPriority w:val="99"/>
    <w:pPr>
      <w:spacing w:after="120"/>
    </w:pPr>
    <w:rPr>
      <w:sz w:val="16"/>
      <w:szCs w:val="16"/>
    </w:rPr>
  </w:style>
  <w:style w:type="paragraph" w:styleId="11">
    <w:name w:val="Body Text Indent"/>
    <w:basedOn w:val="1"/>
    <w:link w:val="36"/>
    <w:qFormat/>
    <w:uiPriority w:val="0"/>
    <w:pPr>
      <w:ind w:firstLine="830" w:firstLineChars="352"/>
    </w:pPr>
    <w:rPr>
      <w:rFonts w:ascii="仿宋_GB2312" w:eastAsia="仿宋_GB2312"/>
      <w:kern w:val="0"/>
      <w:sz w:val="32"/>
      <w:szCs w:val="20"/>
    </w:rPr>
  </w:style>
  <w:style w:type="paragraph" w:styleId="12">
    <w:name w:val="List 2"/>
    <w:basedOn w:val="1"/>
    <w:unhideWhenUsed/>
    <w:qFormat/>
    <w:uiPriority w:val="99"/>
    <w:pPr>
      <w:ind w:left="100" w:leftChars="200" w:hanging="200" w:hangingChars="200"/>
      <w:contextualSpacing/>
    </w:pPr>
  </w:style>
  <w:style w:type="paragraph" w:styleId="13">
    <w:name w:val="Plain Text"/>
    <w:basedOn w:val="1"/>
    <w:link w:val="37"/>
    <w:qFormat/>
    <w:uiPriority w:val="0"/>
    <w:rPr>
      <w:rFonts w:ascii="宋体" w:hAnsi="Courier New"/>
      <w:kern w:val="0"/>
      <w:sz w:val="20"/>
      <w:szCs w:val="21"/>
    </w:rPr>
  </w:style>
  <w:style w:type="paragraph" w:styleId="14">
    <w:name w:val="Date"/>
    <w:basedOn w:val="1"/>
    <w:next w:val="1"/>
    <w:link w:val="38"/>
    <w:unhideWhenUsed/>
    <w:qFormat/>
    <w:uiPriority w:val="99"/>
    <w:pPr>
      <w:ind w:left="100" w:leftChars="2500"/>
    </w:pPr>
  </w:style>
  <w:style w:type="paragraph" w:styleId="15">
    <w:name w:val="Balloon Text"/>
    <w:basedOn w:val="1"/>
    <w:semiHidden/>
    <w:qFormat/>
    <w:uiPriority w:val="0"/>
    <w:rPr>
      <w:sz w:val="18"/>
      <w:szCs w:val="18"/>
    </w:rPr>
  </w:style>
  <w:style w:type="paragraph" w:styleId="16">
    <w:name w:val="footer"/>
    <w:basedOn w:val="1"/>
    <w:link w:val="39"/>
    <w:unhideWhenUsed/>
    <w:qFormat/>
    <w:uiPriority w:val="99"/>
    <w:pPr>
      <w:tabs>
        <w:tab w:val="center" w:pos="4153"/>
        <w:tab w:val="right" w:pos="8306"/>
      </w:tabs>
      <w:snapToGrid w:val="0"/>
      <w:jc w:val="left"/>
    </w:pPr>
    <w:rPr>
      <w:kern w:val="0"/>
      <w:sz w:val="18"/>
      <w:szCs w:val="18"/>
    </w:rPr>
  </w:style>
  <w:style w:type="paragraph" w:styleId="17">
    <w:name w:val="header"/>
    <w:basedOn w:val="1"/>
    <w:link w:val="4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unhideWhenUsed/>
    <w:qFormat/>
    <w:uiPriority w:val="39"/>
  </w:style>
  <w:style w:type="paragraph" w:styleId="19">
    <w:name w:val="toc 4"/>
    <w:basedOn w:val="1"/>
    <w:next w:val="1"/>
    <w:qFormat/>
    <w:uiPriority w:val="0"/>
    <w:pPr>
      <w:wordWrap w:val="0"/>
      <w:ind w:left="850"/>
      <w:jc w:val="both"/>
    </w:pPr>
    <w:rPr>
      <w:sz w:val="21"/>
      <w:lang w:val="en-US" w:eastAsia="zh-CN" w:bidi="ar-SA"/>
    </w:rPr>
  </w:style>
  <w:style w:type="paragraph" w:styleId="20">
    <w:name w:val="toc 2"/>
    <w:basedOn w:val="1"/>
    <w:next w:val="1"/>
    <w:unhideWhenUsed/>
    <w:qFormat/>
    <w:uiPriority w:val="39"/>
    <w:pPr>
      <w:tabs>
        <w:tab w:val="right" w:leader="dot" w:pos="8296"/>
      </w:tabs>
      <w:ind w:left="420" w:leftChars="200"/>
    </w:pPr>
  </w:style>
  <w:style w:type="paragraph" w:styleId="21">
    <w:name w:val="Normal (Web)"/>
    <w:basedOn w:val="1"/>
    <w:unhideWhenUsed/>
    <w:qFormat/>
    <w:uiPriority w:val="99"/>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2">
    <w:name w:val="annotation subject"/>
    <w:basedOn w:val="8"/>
    <w:next w:val="8"/>
    <w:link w:val="41"/>
    <w:qFormat/>
    <w:uiPriority w:val="99"/>
    <w:rPr>
      <w:b/>
      <w:bCs/>
    </w:rPr>
  </w:style>
  <w:style w:type="paragraph" w:styleId="23">
    <w:name w:val="Body Text First Indent 2"/>
    <w:basedOn w:val="1"/>
    <w:unhideWhenUsed/>
    <w:qFormat/>
    <w:uiPriority w:val="99"/>
    <w:pPr>
      <w:ind w:firstLine="420" w:firstLineChars="200"/>
    </w:pPr>
  </w:style>
  <w:style w:type="table" w:styleId="25">
    <w:name w:val="Table Grid"/>
    <w:basedOn w:val="2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7">
    <w:name w:val="page number"/>
    <w:qFormat/>
    <w:uiPriority w:val="0"/>
  </w:style>
  <w:style w:type="character" w:styleId="28">
    <w:name w:val="Hyperlink"/>
    <w:unhideWhenUsed/>
    <w:qFormat/>
    <w:uiPriority w:val="99"/>
    <w:rPr>
      <w:color w:val="0000FF"/>
      <w:u w:val="single"/>
    </w:rPr>
  </w:style>
  <w:style w:type="character" w:styleId="29">
    <w:name w:val="annotation reference"/>
    <w:qFormat/>
    <w:uiPriority w:val="0"/>
    <w:rPr>
      <w:sz w:val="21"/>
      <w:szCs w:val="21"/>
    </w:rPr>
  </w:style>
  <w:style w:type="character" w:customStyle="1" w:styleId="30">
    <w:name w:val="正文文本字符"/>
    <w:link w:val="2"/>
    <w:qFormat/>
    <w:uiPriority w:val="0"/>
    <w:rPr>
      <w:rFonts w:ascii="Times New Roman" w:hAnsi="Times New Roman"/>
      <w:kern w:val="2"/>
      <w:sz w:val="21"/>
      <w:szCs w:val="24"/>
    </w:rPr>
  </w:style>
  <w:style w:type="character" w:customStyle="1" w:styleId="31">
    <w:name w:val="标题 1字符"/>
    <w:link w:val="3"/>
    <w:qFormat/>
    <w:uiPriority w:val="0"/>
    <w:rPr>
      <w:b/>
      <w:bCs/>
      <w:kern w:val="44"/>
      <w:sz w:val="44"/>
      <w:szCs w:val="44"/>
    </w:rPr>
  </w:style>
  <w:style w:type="character" w:customStyle="1" w:styleId="32">
    <w:name w:val="标题 2字符"/>
    <w:link w:val="4"/>
    <w:qFormat/>
    <w:uiPriority w:val="9"/>
    <w:rPr>
      <w:rFonts w:ascii="Cambria" w:hAnsi="Cambria" w:eastAsia="宋体" w:cs="Times New Roman"/>
      <w:b/>
      <w:bCs/>
      <w:kern w:val="2"/>
      <w:sz w:val="32"/>
      <w:szCs w:val="32"/>
    </w:rPr>
  </w:style>
  <w:style w:type="character" w:customStyle="1" w:styleId="33">
    <w:name w:val="标题 5字符"/>
    <w:link w:val="5"/>
    <w:semiHidden/>
    <w:qFormat/>
    <w:uiPriority w:val="9"/>
    <w:rPr>
      <w:rFonts w:ascii="Times New Roman" w:hAnsi="Times New Roman"/>
      <w:b/>
      <w:bCs/>
      <w:kern w:val="2"/>
      <w:sz w:val="28"/>
      <w:szCs w:val="28"/>
    </w:rPr>
  </w:style>
  <w:style w:type="character" w:customStyle="1" w:styleId="34">
    <w:name w:val="批注文字字符"/>
    <w:link w:val="8"/>
    <w:qFormat/>
    <w:uiPriority w:val="0"/>
    <w:rPr>
      <w:rFonts w:ascii="Times New Roman" w:hAnsi="Times New Roman"/>
      <w:kern w:val="2"/>
      <w:sz w:val="21"/>
      <w:szCs w:val="24"/>
    </w:rPr>
  </w:style>
  <w:style w:type="character" w:customStyle="1" w:styleId="35">
    <w:name w:val="正文文本 3字符"/>
    <w:link w:val="10"/>
    <w:semiHidden/>
    <w:qFormat/>
    <w:uiPriority w:val="99"/>
    <w:rPr>
      <w:rFonts w:ascii="Times New Roman" w:hAnsi="Times New Roman"/>
      <w:kern w:val="2"/>
      <w:sz w:val="16"/>
      <w:szCs w:val="16"/>
    </w:rPr>
  </w:style>
  <w:style w:type="character" w:customStyle="1" w:styleId="36">
    <w:name w:val="正文文本缩进字符"/>
    <w:link w:val="11"/>
    <w:qFormat/>
    <w:uiPriority w:val="0"/>
    <w:rPr>
      <w:rFonts w:ascii="仿宋_GB2312" w:hAnsi="Times New Roman" w:eastAsia="仿宋_GB2312" w:cs="Times New Roman"/>
      <w:sz w:val="32"/>
      <w:szCs w:val="20"/>
    </w:rPr>
  </w:style>
  <w:style w:type="character" w:customStyle="1" w:styleId="37">
    <w:name w:val="纯文本字符"/>
    <w:link w:val="13"/>
    <w:qFormat/>
    <w:uiPriority w:val="0"/>
    <w:rPr>
      <w:rFonts w:ascii="宋体" w:hAnsi="Courier New" w:eastAsia="宋体" w:cs="Courier New"/>
      <w:szCs w:val="21"/>
    </w:rPr>
  </w:style>
  <w:style w:type="character" w:customStyle="1" w:styleId="38">
    <w:name w:val="日期字符"/>
    <w:link w:val="14"/>
    <w:semiHidden/>
    <w:qFormat/>
    <w:uiPriority w:val="99"/>
    <w:rPr>
      <w:rFonts w:ascii="Times New Roman" w:hAnsi="Times New Roman"/>
      <w:kern w:val="2"/>
      <w:sz w:val="21"/>
      <w:szCs w:val="24"/>
    </w:rPr>
  </w:style>
  <w:style w:type="character" w:customStyle="1" w:styleId="39">
    <w:name w:val="页脚字符"/>
    <w:link w:val="16"/>
    <w:qFormat/>
    <w:uiPriority w:val="99"/>
    <w:rPr>
      <w:sz w:val="18"/>
      <w:szCs w:val="18"/>
    </w:rPr>
  </w:style>
  <w:style w:type="character" w:customStyle="1" w:styleId="40">
    <w:name w:val="页眉字符"/>
    <w:link w:val="17"/>
    <w:qFormat/>
    <w:uiPriority w:val="99"/>
    <w:rPr>
      <w:sz w:val="18"/>
      <w:szCs w:val="18"/>
    </w:rPr>
  </w:style>
  <w:style w:type="character" w:customStyle="1" w:styleId="41">
    <w:name w:val="批注主题字符"/>
    <w:link w:val="22"/>
    <w:qFormat/>
    <w:uiPriority w:val="99"/>
    <w:rPr>
      <w:rFonts w:ascii="Times New Roman" w:hAnsi="Times New Roman"/>
      <w:b/>
      <w:bCs/>
      <w:kern w:val="2"/>
      <w:sz w:val="21"/>
      <w:szCs w:val="24"/>
    </w:rPr>
  </w:style>
  <w:style w:type="character" w:customStyle="1" w:styleId="42">
    <w:name w:val="正文文本缩进 字符1"/>
    <w:qFormat/>
    <w:uiPriority w:val="0"/>
    <w:rPr>
      <w:rFonts w:ascii="仿宋_GB2312" w:hAnsi="Times New Roman" w:eastAsia="仿宋_GB2312" w:cs="Times New Roman"/>
      <w:sz w:val="32"/>
      <w:szCs w:val="20"/>
    </w:rPr>
  </w:style>
  <w:style w:type="character" w:customStyle="1" w:styleId="43">
    <w:name w:val="apple-style-span"/>
    <w:qFormat/>
    <w:uiPriority w:val="0"/>
  </w:style>
  <w:style w:type="character" w:customStyle="1" w:styleId="44">
    <w:name w:val="标题 1 字符"/>
    <w:qFormat/>
    <w:uiPriority w:val="9"/>
    <w:rPr>
      <w:b/>
      <w:bCs/>
      <w:kern w:val="44"/>
      <w:sz w:val="44"/>
      <w:szCs w:val="44"/>
    </w:rPr>
  </w:style>
  <w:style w:type="character" w:customStyle="1" w:styleId="45">
    <w:name w:val="textcontents"/>
    <w:qFormat/>
    <w:uiPriority w:val="0"/>
  </w:style>
  <w:style w:type="character" w:customStyle="1" w:styleId="46">
    <w:name w:val="纯文本 字符1"/>
    <w:qFormat/>
    <w:uiPriority w:val="0"/>
    <w:rPr>
      <w:rFonts w:ascii="宋体" w:hAnsi="Courier New"/>
    </w:rPr>
  </w:style>
  <w:style w:type="character" w:customStyle="1" w:styleId="47">
    <w:name w:val="批注文字 字符1"/>
    <w:qFormat/>
    <w:uiPriority w:val="0"/>
    <w:rPr>
      <w:kern w:val="2"/>
      <w:sz w:val="21"/>
      <w:szCs w:val="24"/>
    </w:rPr>
  </w:style>
  <w:style w:type="character" w:customStyle="1" w:styleId="48">
    <w:name w:val="纯文本 字符2"/>
    <w:qFormat/>
    <w:uiPriority w:val="0"/>
    <w:rPr>
      <w:rFonts w:ascii="宋体" w:hAnsi="Courier New" w:eastAsia="宋体" w:cs="Courier New"/>
      <w:szCs w:val="21"/>
    </w:rPr>
  </w:style>
  <w:style w:type="character" w:customStyle="1" w:styleId="49">
    <w:name w:val="页脚 Char"/>
    <w:qFormat/>
    <w:uiPriority w:val="99"/>
    <w:rPr>
      <w:lang w:eastAsia="zh-CN"/>
    </w:rPr>
  </w:style>
  <w:style w:type="paragraph" w:customStyle="1" w:styleId="50">
    <w:name w:val="默认段落字体 Para Char Char Char Char Char Char Char Char Char1 Char Char Char Char"/>
    <w:basedOn w:val="1"/>
    <w:qFormat/>
    <w:uiPriority w:val="0"/>
    <w:rPr>
      <w:rFonts w:ascii="Tahoma" w:hAnsi="Tahoma"/>
      <w:sz w:val="24"/>
      <w:szCs w:val="20"/>
    </w:rPr>
  </w:style>
  <w:style w:type="paragraph" w:customStyle="1" w:styleId="51">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52">
    <w:name w:val="彩色列表1"/>
    <w:basedOn w:val="1"/>
    <w:qFormat/>
    <w:uiPriority w:val="34"/>
    <w:pPr>
      <w:ind w:firstLine="420" w:firstLineChars="200"/>
    </w:pPr>
  </w:style>
  <w:style w:type="paragraph" w:customStyle="1" w:styleId="53">
    <w:name w:val="Table Paragraph"/>
    <w:basedOn w:val="1"/>
    <w:qFormat/>
    <w:uiPriority w:val="1"/>
    <w:pPr>
      <w:jc w:val="left"/>
    </w:pPr>
    <w:rPr>
      <w:rFonts w:ascii="Calibri" w:hAnsi="Calibri" w:eastAsia="宋体" w:cs="Times New Roman"/>
      <w:kern w:val="0"/>
      <w:sz w:val="22"/>
      <w:szCs w:val="22"/>
      <w:lang w:eastAsia="en-US"/>
    </w:rPr>
  </w:style>
  <w:style w:type="character" w:customStyle="1" w:styleId="54">
    <w:name w:val="批注文字 Char1"/>
    <w:qFormat/>
    <w:uiPriority w:val="0"/>
    <w:rPr>
      <w:rFonts w:ascii="Times New Roman" w:hAnsi="Times New Roman"/>
      <w:kern w:val="2"/>
      <w:sz w:val="21"/>
      <w:szCs w:val="24"/>
    </w:rPr>
  </w:style>
  <w:style w:type="character" w:customStyle="1" w:styleId="55">
    <w:name w:val="批注文字 字符2"/>
    <w:qFormat/>
    <w:uiPriority w:val="0"/>
    <w:rPr>
      <w:rFonts w:ascii="Times New Roman" w:hAnsi="Times New Roman"/>
      <w:kern w:val="2"/>
      <w:sz w:val="21"/>
      <w:szCs w:val="24"/>
    </w:rPr>
  </w:style>
  <w:style w:type="character" w:customStyle="1" w:styleId="56">
    <w:name w:val="正文文本 (26) + 间距 0 pt"/>
    <w:qFormat/>
    <w:uiPriority w:val="0"/>
    <w:rPr>
      <w:rFonts w:hint="eastAsia" w:ascii="宋体" w:hAnsi="宋体" w:eastAsia="宋体" w:cs="宋体"/>
      <w:color w:val="000000"/>
      <w:spacing w:val="0"/>
      <w:w w:val="100"/>
      <w:position w:val="0"/>
      <w:sz w:val="22"/>
      <w:szCs w:val="22"/>
      <w:u w:val="none"/>
      <w:lang w:val="zh-CN" w:eastAsia="zh-CN" w:bidi="zh-CN"/>
    </w:rPr>
  </w:style>
  <w:style w:type="character" w:customStyle="1" w:styleId="57">
    <w:name w:val="纯文本 Char1"/>
    <w:qFormat/>
    <w:uiPriority w:val="0"/>
    <w:rPr>
      <w:rFonts w:ascii="宋体" w:hAnsi="Courier New" w:eastAsia="宋体" w:cs="Courier New"/>
      <w:szCs w:val="21"/>
    </w:rPr>
  </w:style>
  <w:style w:type="paragraph" w:customStyle="1" w:styleId="58">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9">
    <w:name w:val="表格文字"/>
    <w:basedOn w:val="1"/>
    <w:qFormat/>
    <w:uiPriority w:val="0"/>
    <w:pPr>
      <w:adjustRightInd w:val="0"/>
      <w:spacing w:line="420" w:lineRule="atLeast"/>
      <w:jc w:val="left"/>
      <w:textAlignment w:val="baseline"/>
    </w:pPr>
    <w:rPr>
      <w:kern w:val="0"/>
      <w:szCs w:val="20"/>
    </w:rPr>
  </w:style>
  <w:style w:type="paragraph" w:customStyle="1" w:styleId="60">
    <w:name w:val="正文格式"/>
    <w:basedOn w:val="1"/>
    <w:qFormat/>
    <w:uiPriority w:val="0"/>
    <w:pPr>
      <w:widowControl/>
      <w:adjustRightInd w:val="0"/>
      <w:snapToGrid w:val="0"/>
      <w:spacing w:line="400" w:lineRule="atLeast"/>
      <w:ind w:firstLine="482"/>
      <w:textAlignment w:val="baseline"/>
    </w:pPr>
    <w:rPr>
      <w:kern w:val="0"/>
      <w:sz w:val="24"/>
    </w:rPr>
  </w:style>
  <w:style w:type="paragraph" w:customStyle="1" w:styleId="61">
    <w:name w:val="正文2"/>
    <w:basedOn w:val="1"/>
    <w:next w:val="1"/>
    <w:qFormat/>
    <w:uiPriority w:val="0"/>
    <w:pPr>
      <w:adjustRightInd w:val="0"/>
      <w:spacing w:before="156" w:line="360" w:lineRule="auto"/>
      <w:ind w:firstLine="510" w:firstLineChars="200"/>
    </w:pPr>
    <w:rPr>
      <w:kern w:val="0"/>
      <w:sz w:val="24"/>
      <w:szCs w:val="20"/>
    </w:rPr>
  </w:style>
  <w:style w:type="paragraph" w:customStyle="1" w:styleId="62">
    <w:name w:val="Table Text"/>
    <w:basedOn w:val="1"/>
    <w:semiHidden/>
    <w:qFormat/>
    <w:uiPriority w:val="0"/>
    <w:rPr>
      <w:rFonts w:ascii="宋体" w:hAnsi="宋体" w:eastAsia="宋体" w:cs="宋体"/>
      <w:sz w:val="21"/>
      <w:szCs w:val="21"/>
      <w:lang w:val="en-US" w:eastAsia="en-US" w:bidi="ar-SA"/>
    </w:rPr>
  </w:style>
  <w:style w:type="paragraph" w:customStyle="1" w:styleId="63">
    <w:name w:val="样式5"/>
    <w:basedOn w:val="1"/>
    <w:qFormat/>
    <w:uiPriority w:val="0"/>
    <w:pPr>
      <w:adjustRightInd w:val="0"/>
      <w:spacing w:line="440" w:lineRule="exact"/>
      <w:ind w:left="2" w:firstLine="480" w:firstLineChars="200"/>
    </w:pPr>
    <w:rPr>
      <w:rFonts w:ascii="仿宋_GB2312" w:hAnsi="仿宋" w:eastAsia="仿宋_GB2312"/>
      <w:sz w:val="24"/>
    </w:rPr>
  </w:style>
  <w:style w:type="table" w:customStyle="1" w:styleId="64">
    <w:name w:val="Table Normal"/>
    <w:unhideWhenUsed/>
    <w:qFormat/>
    <w:uiPriority w:val="0"/>
    <w:tblPr>
      <w:tblCellMar>
        <w:top w:w="0" w:type="dxa"/>
        <w:left w:w="0" w:type="dxa"/>
        <w:bottom w:w="0" w:type="dxa"/>
        <w:right w:w="0" w:type="dxa"/>
      </w:tblCellMar>
    </w:tblPr>
  </w:style>
  <w:style w:type="character" w:customStyle="1" w:styleId="65">
    <w:name w:val="font11"/>
    <w:basedOn w:val="26"/>
    <w:qFormat/>
    <w:uiPriority w:val="0"/>
    <w:rPr>
      <w:rFonts w:hint="eastAsia" w:ascii="宋体" w:hAnsi="宋体" w:eastAsia="宋体" w:cs="宋体"/>
      <w:color w:val="000000"/>
      <w:sz w:val="22"/>
      <w:szCs w:val="22"/>
      <w:u w:val="none"/>
    </w:rPr>
  </w:style>
  <w:style w:type="character" w:customStyle="1" w:styleId="66">
    <w:name w:val="font31"/>
    <w:basedOn w:val="26"/>
    <w:qFormat/>
    <w:uiPriority w:val="0"/>
    <w:rPr>
      <w:rFonts w:hint="eastAsia" w:ascii="宋体" w:hAnsi="宋体" w:eastAsia="宋体" w:cs="宋体"/>
      <w:color w:val="000000"/>
      <w:sz w:val="22"/>
      <w:szCs w:val="22"/>
      <w:u w:val="none"/>
    </w:rPr>
  </w:style>
  <w:style w:type="character" w:customStyle="1" w:styleId="67">
    <w:name w:val="font21"/>
    <w:basedOn w:val="26"/>
    <w:qFormat/>
    <w:uiPriority w:val="0"/>
    <w:rPr>
      <w:rFonts w:hint="eastAsia" w:ascii="宋体" w:hAnsi="宋体" w:eastAsia="宋体" w:cs="宋体"/>
      <w:color w:val="FF0000"/>
      <w:sz w:val="22"/>
      <w:szCs w:val="22"/>
      <w:u w:val="none"/>
    </w:rPr>
  </w:style>
  <w:style w:type="character" w:customStyle="1" w:styleId="68">
    <w:name w:val="font61"/>
    <w:basedOn w:val="2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广西云龙招标有限公司</Company>
  <Pages>87</Pages>
  <Words>15335</Words>
  <Characters>16700</Characters>
  <Lines>391</Lines>
  <Paragraphs>110</Paragraphs>
  <TotalTime>3</TotalTime>
  <ScaleCrop>false</ScaleCrop>
  <LinksUpToDate>false</LinksUpToDate>
  <CharactersWithSpaces>16911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2024-09-15T04:06:00Z</dcterms:created>
  <dc:creator>唐冰</dc:creator>
  <cp:lastModifiedBy>梁梁</cp:lastModifiedBy>
  <cp:lastPrinted>2025-08-20T09:49:00Z</cp:lastPrinted>
  <dcterms:modified xsi:type="dcterms:W3CDTF">2025-09-10T09:54:52Z</dcterms:modified>
  <dc:title>竞争性谈判文件规范</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3C0C346F0E734D55AE5AE15F6D7AE0FD_13</vt:lpwstr>
  </property>
  <property fmtid="{D5CDD505-2E9C-101B-9397-08002B2CF9AE}" pid="4" name="KSOTemplateDocerSaveRecord">
    <vt:lpwstr>eyJoZGlkIjoiOGQzZGZmODc3MzRiODA3MGQ0NWMyNzcxNWI2YjdhMzkiLCJ1c2VySWQiOiIzODI1OTczMzAifQ==</vt:lpwstr>
  </property>
</Properties>
</file>