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insoku w:val="0"/>
        <w:overflowPunct w:val="0"/>
        <w:rPr>
          <w:rFonts w:ascii="Arial" w:hAnsi="Arial" w:cs="Arial"/>
          <w:color w:val="auto"/>
          <w:highlight w:val="none"/>
        </w:rPr>
      </w:pPr>
      <w:bookmarkStart w:id="0" w:name="_Toc217446030"/>
      <w:bookmarkStart w:id="1" w:name="_Toc183682338"/>
      <w:bookmarkStart w:id="132" w:name="_GoBack"/>
    </w:p>
    <w:p>
      <w:pPr>
        <w:rPr>
          <w:color w:val="auto"/>
          <w:highlight w:val="none"/>
        </w:rPr>
      </w:pPr>
    </w:p>
    <w:p>
      <w:pPr>
        <w:tabs>
          <w:tab w:val="left" w:pos="1710"/>
        </w:tabs>
        <w:rPr>
          <w:rFonts w:ascii="Arial" w:hAnsi="Arial" w:cs="Arial"/>
          <w:color w:val="auto"/>
          <w:highlight w:val="none"/>
        </w:rPr>
      </w:pPr>
    </w:p>
    <w:p>
      <w:pPr>
        <w:tabs>
          <w:tab w:val="left" w:pos="1710"/>
        </w:tabs>
        <w:rPr>
          <w:rFonts w:ascii="Arial" w:hAnsi="Arial" w:cs="Arial"/>
          <w:color w:val="auto"/>
          <w:highlight w:val="none"/>
        </w:rPr>
      </w:pPr>
    </w:p>
    <w:p>
      <w:pPr>
        <w:tabs>
          <w:tab w:val="left" w:pos="1710"/>
        </w:tabs>
        <w:rPr>
          <w:rFonts w:ascii="Arial" w:hAnsi="Arial" w:cs="Arial"/>
          <w:color w:val="auto"/>
          <w:highlight w:val="none"/>
        </w:rPr>
      </w:pPr>
    </w:p>
    <w:p>
      <w:pPr>
        <w:tabs>
          <w:tab w:val="left" w:pos="1710"/>
        </w:tabs>
        <w:rPr>
          <w:rFonts w:ascii="Arial" w:hAnsi="Arial" w:cs="Arial"/>
          <w:color w:val="auto"/>
          <w:highlight w:val="none"/>
        </w:rPr>
      </w:pPr>
    </w:p>
    <w:p>
      <w:pPr>
        <w:tabs>
          <w:tab w:val="left" w:pos="1710"/>
        </w:tabs>
        <w:rPr>
          <w:rFonts w:ascii="Arial" w:hAnsi="Arial" w:cs="Arial"/>
          <w:color w:val="auto"/>
          <w:highlight w:val="none"/>
        </w:rPr>
      </w:pP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4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537" w:type="dxa"/>
            <w:gridSpan w:val="2"/>
            <w:tcBorders>
              <w:top w:val="nil"/>
              <w:left w:val="nil"/>
              <w:right w:val="nil"/>
            </w:tcBorders>
          </w:tcPr>
          <w:p>
            <w:pPr>
              <w:snapToGrid w:val="0"/>
              <w:spacing w:line="240" w:lineRule="atLeast"/>
              <w:jc w:val="center"/>
              <w:rPr>
                <w:rFonts w:ascii="Arial" w:hAnsi="Arial" w:cs="Arial"/>
                <w:b/>
                <w:color w:val="auto"/>
                <w:sz w:val="60"/>
                <w:szCs w:val="60"/>
                <w:highlight w:val="none"/>
              </w:rPr>
            </w:pPr>
            <w:r>
              <w:rPr>
                <w:rFonts w:ascii="Arial" w:hAnsi="Arial" w:cs="Arial"/>
                <w:b/>
                <w:color w:val="auto"/>
                <w:sz w:val="60"/>
                <w:szCs w:val="60"/>
                <w:highlight w:val="none"/>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exact"/>
          <w:jc w:val="center"/>
        </w:trPr>
        <w:tc>
          <w:tcPr>
            <w:tcW w:w="1769" w:type="dxa"/>
            <w:vAlign w:val="center"/>
          </w:tcPr>
          <w:p>
            <w:pPr>
              <w:rPr>
                <w:rFonts w:ascii="Arial" w:hAnsi="Arial" w:cs="Arial"/>
                <w:b/>
                <w:color w:val="auto"/>
                <w:sz w:val="32"/>
                <w:szCs w:val="32"/>
                <w:highlight w:val="none"/>
              </w:rPr>
            </w:pPr>
            <w:r>
              <w:rPr>
                <w:rFonts w:ascii="Arial" w:hAnsi="Arial" w:cs="Arial"/>
                <w:b/>
                <w:color w:val="auto"/>
                <w:sz w:val="32"/>
                <w:szCs w:val="32"/>
                <w:highlight w:val="none"/>
              </w:rPr>
              <w:t>项目名称：</w:t>
            </w:r>
          </w:p>
        </w:tc>
        <w:tc>
          <w:tcPr>
            <w:tcW w:w="4768" w:type="dxa"/>
            <w:vAlign w:val="center"/>
          </w:tcPr>
          <w:p>
            <w:pPr>
              <w:rPr>
                <w:rFonts w:ascii="Arial" w:hAnsi="Arial" w:cs="Arial"/>
                <w:b/>
                <w:color w:val="auto"/>
                <w:sz w:val="32"/>
                <w:szCs w:val="32"/>
                <w:highlight w:val="none"/>
              </w:rPr>
            </w:pPr>
            <w:r>
              <w:rPr>
                <w:rFonts w:hint="eastAsia" w:ascii="Arial" w:hAnsi="Arial" w:cs="Arial"/>
                <w:b/>
                <w:color w:val="auto"/>
                <w:sz w:val="32"/>
                <w:szCs w:val="32"/>
                <w:highlight w:val="none"/>
              </w:rPr>
              <w:t>桂林医学院附属医院整体搬迁项目空气源热水设备采购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9" w:type="dxa"/>
            <w:vAlign w:val="center"/>
          </w:tcPr>
          <w:p>
            <w:pPr>
              <w:rPr>
                <w:rFonts w:ascii="Arial" w:hAnsi="Arial" w:cs="Arial"/>
                <w:b/>
                <w:color w:val="auto"/>
                <w:sz w:val="32"/>
                <w:szCs w:val="32"/>
                <w:highlight w:val="none"/>
              </w:rPr>
            </w:pPr>
            <w:r>
              <w:rPr>
                <w:rFonts w:ascii="Arial" w:hAnsi="Arial" w:cs="Arial"/>
                <w:b/>
                <w:color w:val="auto"/>
                <w:sz w:val="32"/>
                <w:szCs w:val="32"/>
                <w:highlight w:val="none"/>
              </w:rPr>
              <w:t>项目编号：</w:t>
            </w:r>
          </w:p>
        </w:tc>
        <w:tc>
          <w:tcPr>
            <w:tcW w:w="4768" w:type="dxa"/>
            <w:vAlign w:val="center"/>
          </w:tcPr>
          <w:p>
            <w:pPr>
              <w:rPr>
                <w:rFonts w:hint="eastAsia" w:ascii="Arial" w:hAnsi="Arial" w:eastAsia="宋体" w:cs="Arial"/>
                <w:b/>
                <w:color w:val="auto"/>
                <w:sz w:val="32"/>
                <w:szCs w:val="32"/>
                <w:highlight w:val="none"/>
                <w:lang w:eastAsia="zh-CN"/>
              </w:rPr>
            </w:pPr>
            <w:r>
              <w:rPr>
                <w:rFonts w:hint="eastAsia" w:ascii="Arial" w:hAnsi="Arial" w:cs="Arial"/>
                <w:b/>
                <w:color w:val="auto"/>
                <w:sz w:val="32"/>
                <w:szCs w:val="32"/>
                <w:highlight w:val="none"/>
                <w:lang w:eastAsia="zh-CN"/>
              </w:rPr>
              <w:t>GXZC2024-G1-003102-JDZB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9" w:type="dxa"/>
            <w:vAlign w:val="center"/>
          </w:tcPr>
          <w:p>
            <w:pPr>
              <w:rPr>
                <w:rFonts w:ascii="Arial" w:hAnsi="Arial" w:cs="Arial"/>
                <w:b/>
                <w:color w:val="auto"/>
                <w:sz w:val="32"/>
                <w:szCs w:val="32"/>
                <w:highlight w:val="none"/>
              </w:rPr>
            </w:pPr>
            <w:r>
              <w:rPr>
                <w:rFonts w:ascii="Arial" w:hAnsi="Arial" w:cs="Arial"/>
                <w:b/>
                <w:color w:val="auto"/>
                <w:sz w:val="32"/>
                <w:szCs w:val="32"/>
                <w:highlight w:val="none"/>
              </w:rPr>
              <w:t>联系电话：</w:t>
            </w:r>
          </w:p>
        </w:tc>
        <w:tc>
          <w:tcPr>
            <w:tcW w:w="4768" w:type="dxa"/>
            <w:vAlign w:val="center"/>
          </w:tcPr>
          <w:p>
            <w:pPr>
              <w:rPr>
                <w:rFonts w:ascii="Arial" w:hAnsi="Arial" w:cs="Arial"/>
                <w:b/>
                <w:color w:val="auto"/>
                <w:sz w:val="32"/>
                <w:szCs w:val="32"/>
                <w:highlight w:val="none"/>
              </w:rPr>
            </w:pPr>
            <w:r>
              <w:rPr>
                <w:rFonts w:hint="eastAsia" w:ascii="Arial" w:hAnsi="Arial" w:cs="Arial"/>
                <w:b/>
                <w:color w:val="auto"/>
                <w:sz w:val="32"/>
                <w:szCs w:val="32"/>
                <w:highlight w:val="none"/>
              </w:rPr>
              <w:t>0773-3696789转2</w:t>
            </w:r>
          </w:p>
        </w:tc>
      </w:tr>
    </w:tbl>
    <w:p>
      <w:pPr>
        <w:tabs>
          <w:tab w:val="left" w:pos="1710"/>
        </w:tabs>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widowControl/>
        <w:jc w:val="left"/>
        <w:rPr>
          <w:rFonts w:ascii="Arial" w:hAnsi="Arial" w:cs="Arial"/>
          <w:color w:val="auto"/>
          <w:kern w:val="0"/>
          <w:sz w:val="24"/>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p>
      <w:pPr>
        <w:rPr>
          <w:rFonts w:ascii="Arial" w:hAnsi="Arial" w:cs="Arial"/>
          <w:color w:val="auto"/>
          <w:highlight w:val="none"/>
        </w:rPr>
      </w:pPr>
    </w:p>
    <w:tbl>
      <w:tblPr>
        <w:tblStyle w:val="53"/>
        <w:tblW w:w="0" w:type="auto"/>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rFonts w:ascii="Arial" w:hAnsi="Arial" w:cs="Arial"/>
                <w:b/>
                <w:color w:val="auto"/>
                <w:sz w:val="32"/>
                <w:szCs w:val="32"/>
                <w:highlight w:val="none"/>
              </w:rPr>
            </w:pPr>
            <w:r>
              <w:rPr>
                <w:rFonts w:ascii="Arial" w:hAnsi="Arial" w:cs="Arial"/>
                <w:b/>
                <w:color w:val="auto"/>
                <w:sz w:val="32"/>
                <w:szCs w:val="32"/>
                <w:highlight w:val="none"/>
              </w:rPr>
              <w:t xml:space="preserve">  采购人：</w:t>
            </w:r>
          </w:p>
        </w:tc>
        <w:tc>
          <w:tcPr>
            <w:tcW w:w="5577" w:type="dxa"/>
            <w:gridSpan w:val="2"/>
            <w:vAlign w:val="center"/>
          </w:tcPr>
          <w:p>
            <w:pPr>
              <w:autoSpaceDE w:val="0"/>
              <w:autoSpaceDN w:val="0"/>
              <w:adjustRightInd w:val="0"/>
              <w:jc w:val="left"/>
              <w:rPr>
                <w:rFonts w:ascii="Arial" w:hAnsi="Arial" w:cs="Arial"/>
                <w:b/>
                <w:color w:val="auto"/>
                <w:sz w:val="32"/>
                <w:szCs w:val="32"/>
                <w:highlight w:val="none"/>
              </w:rPr>
            </w:pPr>
            <w:r>
              <w:rPr>
                <w:rFonts w:ascii="Arial" w:hAnsi="Arial" w:cs="Arial"/>
                <w:b/>
                <w:color w:val="auto"/>
                <w:sz w:val="32"/>
                <w:szCs w:val="32"/>
                <w:highlight w:val="none"/>
              </w:rPr>
              <w:t>桂林医学院附属医院</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rFonts w:ascii="Arial" w:hAnsi="Arial" w:cs="Arial"/>
                <w:b/>
                <w:color w:val="auto"/>
                <w:sz w:val="32"/>
                <w:szCs w:val="32"/>
                <w:highlight w:val="none"/>
              </w:rPr>
            </w:pPr>
            <w:r>
              <w:rPr>
                <w:rFonts w:ascii="Arial" w:hAnsi="Arial" w:cs="Arial"/>
                <w:b/>
                <w:color w:val="auto"/>
                <w:sz w:val="32"/>
                <w:szCs w:val="32"/>
                <w:highlight w:val="none"/>
              </w:rPr>
              <w:t>采购代理机构：</w:t>
            </w:r>
          </w:p>
        </w:tc>
        <w:tc>
          <w:tcPr>
            <w:tcW w:w="5571" w:type="dxa"/>
          </w:tcPr>
          <w:p>
            <w:pPr>
              <w:autoSpaceDE w:val="0"/>
              <w:autoSpaceDN w:val="0"/>
              <w:adjustRightInd w:val="0"/>
              <w:rPr>
                <w:rFonts w:ascii="Arial" w:hAnsi="Arial" w:cs="Arial"/>
                <w:b/>
                <w:color w:val="auto"/>
                <w:sz w:val="32"/>
                <w:szCs w:val="32"/>
                <w:highlight w:val="none"/>
                <w:u w:val="single"/>
              </w:rPr>
            </w:pPr>
            <w:r>
              <w:rPr>
                <w:rFonts w:ascii="Arial" w:hAnsi="Arial" w:cs="Arial"/>
                <w:b/>
                <w:color w:val="auto"/>
                <w:sz w:val="32"/>
                <w:szCs w:val="32"/>
                <w:highlight w:val="none"/>
              </w:rPr>
              <w:t>广西机电设备招标有限公司</w:t>
            </w:r>
          </w:p>
        </w:tc>
      </w:tr>
    </w:tbl>
    <w:p>
      <w:pPr>
        <w:rPr>
          <w:rFonts w:ascii="Arial" w:hAnsi="Arial" w:cs="Arial"/>
          <w:color w:val="auto"/>
          <w:highlight w:val="none"/>
        </w:rPr>
      </w:pPr>
    </w:p>
    <w:p>
      <w:pPr>
        <w:ind w:firstLine="321" w:firstLineChars="100"/>
        <w:jc w:val="center"/>
        <w:rPr>
          <w:rFonts w:ascii="Arial" w:hAnsi="Arial" w:cs="Arial"/>
          <w:b/>
          <w:color w:val="auto"/>
          <w:sz w:val="32"/>
          <w:szCs w:val="32"/>
          <w:highlight w:val="none"/>
        </w:rPr>
        <w:sectPr>
          <w:headerReference r:id="rId4" w:type="first"/>
          <w:footerReference r:id="rId6" w:type="first"/>
          <w:headerReference r:id="rId3" w:type="even"/>
          <w:footerReference r:id="rId5" w:type="even"/>
          <w:type w:val="nextColumn"/>
          <w:pgSz w:w="11906" w:h="16838"/>
          <w:pgMar w:top="1418" w:right="1418" w:bottom="1246" w:left="1418" w:header="851" w:footer="992" w:gutter="0"/>
          <w:pgNumType w:start="0"/>
          <w:cols w:space="720" w:num="1"/>
          <w:titlePg/>
          <w:docGrid w:linePitch="312" w:charSpace="0"/>
        </w:sectPr>
      </w:pPr>
      <w:r>
        <w:rPr>
          <w:rFonts w:ascii="Arial" w:hAnsi="Arial" w:cs="Arial"/>
          <w:b/>
          <w:color w:val="auto"/>
          <w:sz w:val="32"/>
          <w:szCs w:val="32"/>
          <w:highlight w:val="none"/>
        </w:rPr>
        <w:t>202</w:t>
      </w:r>
      <w:r>
        <w:rPr>
          <w:rFonts w:hint="eastAsia" w:ascii="Arial" w:hAnsi="Arial" w:cs="Arial"/>
          <w:b/>
          <w:color w:val="auto"/>
          <w:sz w:val="32"/>
          <w:szCs w:val="32"/>
          <w:highlight w:val="none"/>
        </w:rPr>
        <w:t>4</w:t>
      </w:r>
      <w:r>
        <w:rPr>
          <w:rFonts w:ascii="Arial" w:hAnsi="Arial" w:cs="Arial"/>
          <w:b/>
          <w:color w:val="auto"/>
          <w:sz w:val="32"/>
          <w:szCs w:val="32"/>
          <w:highlight w:val="none"/>
        </w:rPr>
        <w:t>年</w:t>
      </w:r>
      <w:r>
        <w:rPr>
          <w:rFonts w:hint="eastAsia" w:ascii="Arial" w:hAnsi="Arial" w:cs="Arial"/>
          <w:b/>
          <w:color w:val="auto"/>
          <w:sz w:val="32"/>
          <w:szCs w:val="32"/>
          <w:highlight w:val="none"/>
          <w:lang w:val="en-US" w:eastAsia="zh-CN"/>
        </w:rPr>
        <w:t>4</w:t>
      </w:r>
      <w:r>
        <w:rPr>
          <w:rFonts w:ascii="Arial" w:hAnsi="Arial" w:cs="Arial"/>
          <w:b/>
          <w:color w:val="auto"/>
          <w:sz w:val="32"/>
          <w:szCs w:val="32"/>
          <w:highlight w:val="none"/>
        </w:rPr>
        <w:t>月</w:t>
      </w:r>
    </w:p>
    <w:p>
      <w:pPr>
        <w:spacing w:line="360" w:lineRule="auto"/>
        <w:rPr>
          <w:rFonts w:ascii="Arial" w:hAnsi="Arial" w:cs="Arial"/>
          <w:b/>
          <w:color w:val="auto"/>
          <w:sz w:val="24"/>
          <w:highlight w:val="none"/>
        </w:rPr>
      </w:pPr>
    </w:p>
    <w:p>
      <w:pPr>
        <w:pStyle w:val="28"/>
        <w:snapToGrid w:val="0"/>
        <w:spacing w:before="120" w:after="120" w:line="320" w:lineRule="exact"/>
        <w:jc w:val="center"/>
        <w:outlineLvl w:val="0"/>
        <w:rPr>
          <w:rFonts w:ascii="Arial" w:hAnsi="Arial" w:cs="Arial"/>
          <w:color w:val="auto"/>
          <w:sz w:val="32"/>
          <w:szCs w:val="32"/>
          <w:highlight w:val="none"/>
        </w:rPr>
      </w:pPr>
      <w:bookmarkStart w:id="2" w:name="_Toc5130"/>
      <w:bookmarkStart w:id="3" w:name="_Toc6931"/>
      <w:r>
        <w:rPr>
          <w:rFonts w:ascii="Arial" w:hAnsi="Arial" w:cs="Arial"/>
          <w:color w:val="auto"/>
          <w:sz w:val="32"/>
          <w:szCs w:val="32"/>
          <w:highlight w:val="none"/>
        </w:rPr>
        <w:t>目录</w:t>
      </w:r>
      <w:bookmarkEnd w:id="2"/>
      <w:bookmarkEnd w:id="3"/>
    </w:p>
    <w:p>
      <w:pPr>
        <w:pStyle w:val="35"/>
        <w:tabs>
          <w:tab w:val="right" w:leader="dot" w:pos="9354"/>
          <w:tab w:val="clear" w:pos="8398"/>
        </w:tabs>
        <w:ind w:firstLine="241"/>
        <w:rPr>
          <w:rFonts w:ascii="Arial" w:hAnsi="Arial" w:cs="Arial"/>
          <w:color w:val="auto"/>
          <w:highlight w:val="none"/>
        </w:rPr>
      </w:pPr>
      <w:r>
        <w:rPr>
          <w:rFonts w:ascii="Arial" w:hAnsi="Arial" w:cs="Arial"/>
          <w:color w:val="auto"/>
          <w:highlight w:val="none"/>
        </w:rPr>
        <w:fldChar w:fldCharType="begin"/>
      </w:r>
      <w:r>
        <w:rPr>
          <w:rStyle w:val="61"/>
          <w:rFonts w:ascii="Arial" w:hAnsi="Arial" w:cs="Arial"/>
          <w:color w:val="auto"/>
          <w:highlight w:val="none"/>
        </w:rPr>
        <w:instrText xml:space="preserve"> TOC \o "1-1" \h \z \u </w:instrText>
      </w:r>
      <w:r>
        <w:rPr>
          <w:rFonts w:ascii="Arial" w:hAnsi="Arial" w:cs="Arial"/>
          <w:color w:val="auto"/>
          <w:highlight w:val="none"/>
        </w:rPr>
        <w:fldChar w:fldCharType="separate"/>
      </w:r>
      <w:r>
        <w:rPr>
          <w:color w:val="auto"/>
          <w:highlight w:val="none"/>
        </w:rPr>
        <w:fldChar w:fldCharType="begin"/>
      </w:r>
      <w:r>
        <w:rPr>
          <w:color w:val="auto"/>
          <w:highlight w:val="none"/>
        </w:rPr>
        <w:instrText xml:space="preserve"> HYPERLINK \l "_Toc7051" </w:instrText>
      </w:r>
      <w:r>
        <w:rPr>
          <w:color w:val="auto"/>
          <w:highlight w:val="none"/>
        </w:rPr>
        <w:fldChar w:fldCharType="separate"/>
      </w:r>
      <w:r>
        <w:rPr>
          <w:rFonts w:ascii="Arial" w:hAnsi="Arial" w:cs="Arial"/>
          <w:color w:val="auto"/>
          <w:szCs w:val="32"/>
          <w:highlight w:val="none"/>
        </w:rPr>
        <w:t>第一章  招标公告</w:t>
      </w:r>
      <w:r>
        <w:rPr>
          <w:rFonts w:ascii="Arial" w:hAnsi="Arial" w:cs="Arial"/>
          <w:color w:val="auto"/>
          <w:highlight w:val="none"/>
        </w:rPr>
        <w:tab/>
      </w:r>
      <w:r>
        <w:rPr>
          <w:rFonts w:ascii="Arial" w:hAnsi="Arial" w:cs="Arial"/>
          <w:color w:val="auto"/>
          <w:highlight w:val="none"/>
        </w:rPr>
        <w:fldChar w:fldCharType="begin"/>
      </w:r>
      <w:r>
        <w:rPr>
          <w:rFonts w:ascii="Arial" w:hAnsi="Arial" w:cs="Arial"/>
          <w:color w:val="auto"/>
          <w:highlight w:val="none"/>
        </w:rPr>
        <w:instrText xml:space="preserve"> PAGEREF _Toc7051 </w:instrText>
      </w:r>
      <w:r>
        <w:rPr>
          <w:rFonts w:ascii="Arial" w:hAnsi="Arial" w:cs="Arial"/>
          <w:color w:val="auto"/>
          <w:highlight w:val="none"/>
        </w:rPr>
        <w:fldChar w:fldCharType="separate"/>
      </w:r>
      <w:r>
        <w:rPr>
          <w:rFonts w:ascii="Arial" w:hAnsi="Arial" w:cs="Arial"/>
          <w:color w:val="auto"/>
          <w:highlight w:val="none"/>
        </w:rPr>
        <w:t>1</w:t>
      </w:r>
      <w:r>
        <w:rPr>
          <w:rFonts w:ascii="Arial" w:hAnsi="Arial" w:cs="Arial"/>
          <w:color w:val="auto"/>
          <w:highlight w:val="none"/>
        </w:rPr>
        <w:fldChar w:fldCharType="end"/>
      </w:r>
      <w:r>
        <w:rPr>
          <w:rFonts w:ascii="Arial" w:hAnsi="Arial" w:cs="Arial"/>
          <w:color w:val="auto"/>
          <w:highlight w:val="none"/>
        </w:rPr>
        <w:fldChar w:fldCharType="end"/>
      </w:r>
    </w:p>
    <w:p>
      <w:pPr>
        <w:pStyle w:val="35"/>
        <w:tabs>
          <w:tab w:val="right" w:leader="dot" w:pos="9354"/>
          <w:tab w:val="clear" w:pos="8398"/>
        </w:tabs>
        <w:ind w:firstLine="241"/>
        <w:rPr>
          <w:rFonts w:ascii="Arial" w:hAnsi="Arial" w:cs="Arial"/>
          <w:color w:val="auto"/>
          <w:highlight w:val="none"/>
        </w:rPr>
      </w:pPr>
      <w:r>
        <w:rPr>
          <w:color w:val="auto"/>
          <w:highlight w:val="none"/>
        </w:rPr>
        <w:fldChar w:fldCharType="begin"/>
      </w:r>
      <w:r>
        <w:rPr>
          <w:color w:val="auto"/>
          <w:highlight w:val="none"/>
        </w:rPr>
        <w:instrText xml:space="preserve"> HYPERLINK \l "_Toc30557" </w:instrText>
      </w:r>
      <w:r>
        <w:rPr>
          <w:color w:val="auto"/>
          <w:highlight w:val="none"/>
        </w:rPr>
        <w:fldChar w:fldCharType="separate"/>
      </w:r>
      <w:r>
        <w:rPr>
          <w:rFonts w:ascii="Arial" w:hAnsi="Arial" w:cs="Arial"/>
          <w:color w:val="auto"/>
          <w:szCs w:val="32"/>
          <w:highlight w:val="none"/>
        </w:rPr>
        <w:t>第二章  项目采购需求</w:t>
      </w:r>
      <w:r>
        <w:rPr>
          <w:rFonts w:ascii="Arial" w:hAnsi="Arial" w:cs="Arial"/>
          <w:color w:val="auto"/>
          <w:highlight w:val="none"/>
        </w:rPr>
        <w:tab/>
      </w:r>
      <w:bookmarkStart w:id="4" w:name="_Hlt36561128"/>
      <w:bookmarkStart w:id="5" w:name="_Hlt36561127"/>
      <w:r>
        <w:rPr>
          <w:rFonts w:ascii="Arial" w:hAnsi="Arial" w:cs="Arial"/>
          <w:color w:val="auto"/>
          <w:highlight w:val="none"/>
        </w:rPr>
        <w:fldChar w:fldCharType="begin"/>
      </w:r>
      <w:r>
        <w:rPr>
          <w:rFonts w:ascii="Arial" w:hAnsi="Arial" w:cs="Arial"/>
          <w:color w:val="auto"/>
          <w:highlight w:val="none"/>
        </w:rPr>
        <w:instrText xml:space="preserve"> PAGEREF _Toc30557 </w:instrText>
      </w:r>
      <w:r>
        <w:rPr>
          <w:rFonts w:ascii="Arial" w:hAnsi="Arial" w:cs="Arial"/>
          <w:color w:val="auto"/>
          <w:highlight w:val="none"/>
        </w:rPr>
        <w:fldChar w:fldCharType="separate"/>
      </w:r>
      <w:r>
        <w:rPr>
          <w:rFonts w:ascii="Arial" w:hAnsi="Arial" w:cs="Arial"/>
          <w:color w:val="auto"/>
          <w:highlight w:val="none"/>
        </w:rPr>
        <w:t>4</w:t>
      </w:r>
      <w:r>
        <w:rPr>
          <w:rFonts w:ascii="Arial" w:hAnsi="Arial" w:cs="Arial"/>
          <w:color w:val="auto"/>
          <w:highlight w:val="none"/>
        </w:rPr>
        <w:fldChar w:fldCharType="end"/>
      </w:r>
      <w:bookmarkEnd w:id="4"/>
      <w:bookmarkEnd w:id="5"/>
      <w:r>
        <w:rPr>
          <w:rFonts w:ascii="Arial" w:hAnsi="Arial" w:cs="Arial"/>
          <w:color w:val="auto"/>
          <w:highlight w:val="none"/>
        </w:rPr>
        <w:fldChar w:fldCharType="end"/>
      </w:r>
    </w:p>
    <w:p>
      <w:pPr>
        <w:pStyle w:val="35"/>
        <w:tabs>
          <w:tab w:val="right" w:leader="dot" w:pos="9354"/>
          <w:tab w:val="clear" w:pos="8398"/>
        </w:tabs>
        <w:ind w:firstLine="241"/>
        <w:rPr>
          <w:rFonts w:ascii="Arial" w:hAnsi="Arial" w:cs="Arial"/>
          <w:color w:val="auto"/>
          <w:highlight w:val="none"/>
        </w:rPr>
      </w:pPr>
      <w:r>
        <w:rPr>
          <w:color w:val="auto"/>
          <w:highlight w:val="none"/>
        </w:rPr>
        <w:fldChar w:fldCharType="begin"/>
      </w:r>
      <w:r>
        <w:rPr>
          <w:color w:val="auto"/>
          <w:highlight w:val="none"/>
        </w:rPr>
        <w:instrText xml:space="preserve"> HYPERLINK \l "_Toc28503" </w:instrText>
      </w:r>
      <w:r>
        <w:rPr>
          <w:color w:val="auto"/>
          <w:highlight w:val="none"/>
        </w:rPr>
        <w:fldChar w:fldCharType="separate"/>
      </w:r>
      <w:r>
        <w:rPr>
          <w:rFonts w:ascii="Arial" w:hAnsi="Arial" w:cs="Arial"/>
          <w:color w:val="auto"/>
          <w:szCs w:val="32"/>
          <w:highlight w:val="none"/>
        </w:rPr>
        <w:t>第三章  供应商须知</w:t>
      </w:r>
      <w:r>
        <w:rPr>
          <w:rFonts w:ascii="Arial" w:hAnsi="Arial" w:cs="Arial"/>
          <w:color w:val="auto"/>
          <w:highlight w:val="none"/>
        </w:rPr>
        <w:tab/>
      </w:r>
      <w:bookmarkStart w:id="6" w:name="_Hlt36561130"/>
      <w:r>
        <w:rPr>
          <w:rFonts w:ascii="Arial" w:hAnsi="Arial" w:cs="Arial"/>
          <w:color w:val="auto"/>
          <w:highlight w:val="none"/>
        </w:rPr>
        <w:fldChar w:fldCharType="begin"/>
      </w:r>
      <w:r>
        <w:rPr>
          <w:rFonts w:ascii="Arial" w:hAnsi="Arial" w:cs="Arial"/>
          <w:color w:val="auto"/>
          <w:highlight w:val="none"/>
        </w:rPr>
        <w:instrText xml:space="preserve"> PAGEREF _Toc28503 </w:instrText>
      </w:r>
      <w:r>
        <w:rPr>
          <w:rFonts w:ascii="Arial" w:hAnsi="Arial" w:cs="Arial"/>
          <w:color w:val="auto"/>
          <w:highlight w:val="none"/>
        </w:rPr>
        <w:fldChar w:fldCharType="separate"/>
      </w:r>
      <w:r>
        <w:rPr>
          <w:rFonts w:ascii="Arial" w:hAnsi="Arial" w:cs="Arial"/>
          <w:color w:val="auto"/>
          <w:highlight w:val="none"/>
        </w:rPr>
        <w:t>10</w:t>
      </w:r>
      <w:r>
        <w:rPr>
          <w:rFonts w:ascii="Arial" w:hAnsi="Arial" w:cs="Arial"/>
          <w:color w:val="auto"/>
          <w:highlight w:val="none"/>
        </w:rPr>
        <w:fldChar w:fldCharType="end"/>
      </w:r>
      <w:bookmarkEnd w:id="6"/>
      <w:r>
        <w:rPr>
          <w:rFonts w:ascii="Arial" w:hAnsi="Arial" w:cs="Arial"/>
          <w:color w:val="auto"/>
          <w:highlight w:val="none"/>
        </w:rPr>
        <w:fldChar w:fldCharType="end"/>
      </w:r>
    </w:p>
    <w:p>
      <w:pPr>
        <w:pStyle w:val="35"/>
        <w:tabs>
          <w:tab w:val="right" w:leader="dot" w:pos="9354"/>
          <w:tab w:val="clear" w:pos="8398"/>
        </w:tabs>
        <w:ind w:firstLine="241"/>
        <w:rPr>
          <w:rFonts w:ascii="Arial" w:hAnsi="Arial" w:cs="Arial"/>
          <w:color w:val="auto"/>
          <w:highlight w:val="none"/>
        </w:rPr>
      </w:pPr>
      <w:r>
        <w:rPr>
          <w:color w:val="auto"/>
          <w:highlight w:val="none"/>
        </w:rPr>
        <w:fldChar w:fldCharType="begin"/>
      </w:r>
      <w:r>
        <w:rPr>
          <w:color w:val="auto"/>
          <w:highlight w:val="none"/>
        </w:rPr>
        <w:instrText xml:space="preserve"> HYPERLINK \l "_Toc32204" </w:instrText>
      </w:r>
      <w:r>
        <w:rPr>
          <w:color w:val="auto"/>
          <w:highlight w:val="none"/>
        </w:rPr>
        <w:fldChar w:fldCharType="separate"/>
      </w:r>
      <w:r>
        <w:rPr>
          <w:rFonts w:ascii="Arial" w:hAnsi="Arial" w:cs="Arial"/>
          <w:color w:val="auto"/>
          <w:szCs w:val="32"/>
          <w:highlight w:val="none"/>
        </w:rPr>
        <w:t>第四章  评标方法及评标标准</w:t>
      </w:r>
      <w:r>
        <w:rPr>
          <w:rFonts w:ascii="Arial" w:hAnsi="Arial" w:cs="Arial"/>
          <w:color w:val="auto"/>
          <w:highlight w:val="none"/>
        </w:rPr>
        <w:tab/>
      </w:r>
      <w:bookmarkStart w:id="7" w:name="_Hlt36561136"/>
      <w:r>
        <w:rPr>
          <w:rFonts w:ascii="Arial" w:hAnsi="Arial" w:cs="Arial"/>
          <w:color w:val="auto"/>
          <w:highlight w:val="none"/>
        </w:rPr>
        <w:fldChar w:fldCharType="begin"/>
      </w:r>
      <w:r>
        <w:rPr>
          <w:rFonts w:ascii="Arial" w:hAnsi="Arial" w:cs="Arial"/>
          <w:color w:val="auto"/>
          <w:highlight w:val="none"/>
        </w:rPr>
        <w:instrText xml:space="preserve"> PAGEREF _Toc32204 </w:instrText>
      </w:r>
      <w:r>
        <w:rPr>
          <w:rFonts w:ascii="Arial" w:hAnsi="Arial" w:cs="Arial"/>
          <w:color w:val="auto"/>
          <w:highlight w:val="none"/>
        </w:rPr>
        <w:fldChar w:fldCharType="separate"/>
      </w:r>
      <w:r>
        <w:rPr>
          <w:rFonts w:ascii="Arial" w:hAnsi="Arial" w:cs="Arial"/>
          <w:color w:val="auto"/>
          <w:highlight w:val="none"/>
        </w:rPr>
        <w:t>25</w:t>
      </w:r>
      <w:r>
        <w:rPr>
          <w:rFonts w:ascii="Arial" w:hAnsi="Arial" w:cs="Arial"/>
          <w:color w:val="auto"/>
          <w:highlight w:val="none"/>
        </w:rPr>
        <w:fldChar w:fldCharType="end"/>
      </w:r>
      <w:bookmarkEnd w:id="7"/>
      <w:r>
        <w:rPr>
          <w:rFonts w:ascii="Arial" w:hAnsi="Arial" w:cs="Arial"/>
          <w:color w:val="auto"/>
          <w:highlight w:val="none"/>
        </w:rPr>
        <w:fldChar w:fldCharType="end"/>
      </w:r>
    </w:p>
    <w:p>
      <w:pPr>
        <w:pStyle w:val="35"/>
        <w:tabs>
          <w:tab w:val="right" w:leader="dot" w:pos="9354"/>
          <w:tab w:val="clear" w:pos="8398"/>
        </w:tabs>
        <w:ind w:firstLine="241"/>
        <w:rPr>
          <w:rFonts w:ascii="Arial" w:hAnsi="Arial" w:cs="Arial"/>
          <w:color w:val="auto"/>
          <w:highlight w:val="none"/>
        </w:rPr>
      </w:pPr>
      <w:r>
        <w:rPr>
          <w:color w:val="auto"/>
          <w:highlight w:val="none"/>
        </w:rPr>
        <w:fldChar w:fldCharType="begin"/>
      </w:r>
      <w:r>
        <w:rPr>
          <w:color w:val="auto"/>
          <w:highlight w:val="none"/>
        </w:rPr>
        <w:instrText xml:space="preserve"> HYPERLINK \l "_Toc25902" </w:instrText>
      </w:r>
      <w:r>
        <w:rPr>
          <w:color w:val="auto"/>
          <w:highlight w:val="none"/>
        </w:rPr>
        <w:fldChar w:fldCharType="separate"/>
      </w:r>
      <w:r>
        <w:rPr>
          <w:rFonts w:ascii="Arial" w:hAnsi="Arial" w:cs="Arial"/>
          <w:color w:val="auto"/>
          <w:szCs w:val="32"/>
          <w:highlight w:val="none"/>
        </w:rPr>
        <w:t>第五章  合同主要条款格式</w:t>
      </w:r>
      <w:r>
        <w:rPr>
          <w:rFonts w:ascii="Arial" w:hAnsi="Arial" w:cs="Arial"/>
          <w:color w:val="auto"/>
          <w:highlight w:val="none"/>
        </w:rPr>
        <w:tab/>
      </w:r>
      <w:bookmarkStart w:id="8" w:name="_Hlt34060445"/>
      <w:r>
        <w:rPr>
          <w:rFonts w:ascii="Arial" w:hAnsi="Arial" w:cs="Arial"/>
          <w:color w:val="auto"/>
          <w:highlight w:val="none"/>
        </w:rPr>
        <w:fldChar w:fldCharType="begin"/>
      </w:r>
      <w:r>
        <w:rPr>
          <w:rFonts w:ascii="Arial" w:hAnsi="Arial" w:cs="Arial"/>
          <w:color w:val="auto"/>
          <w:highlight w:val="none"/>
        </w:rPr>
        <w:instrText xml:space="preserve"> PAGEREF _Toc25902 </w:instrText>
      </w:r>
      <w:r>
        <w:rPr>
          <w:rFonts w:ascii="Arial" w:hAnsi="Arial" w:cs="Arial"/>
          <w:color w:val="auto"/>
          <w:highlight w:val="none"/>
        </w:rPr>
        <w:fldChar w:fldCharType="separate"/>
      </w:r>
      <w:r>
        <w:rPr>
          <w:rFonts w:ascii="Arial" w:hAnsi="Arial" w:cs="Arial"/>
          <w:color w:val="auto"/>
          <w:highlight w:val="none"/>
        </w:rPr>
        <w:t>37</w:t>
      </w:r>
      <w:r>
        <w:rPr>
          <w:rFonts w:ascii="Arial" w:hAnsi="Arial" w:cs="Arial"/>
          <w:color w:val="auto"/>
          <w:highlight w:val="none"/>
        </w:rPr>
        <w:fldChar w:fldCharType="end"/>
      </w:r>
      <w:bookmarkEnd w:id="8"/>
      <w:r>
        <w:rPr>
          <w:rFonts w:ascii="Arial" w:hAnsi="Arial" w:cs="Arial"/>
          <w:color w:val="auto"/>
          <w:highlight w:val="none"/>
        </w:rPr>
        <w:fldChar w:fldCharType="end"/>
      </w:r>
    </w:p>
    <w:p>
      <w:pPr>
        <w:pStyle w:val="35"/>
        <w:tabs>
          <w:tab w:val="right" w:leader="dot" w:pos="9354"/>
          <w:tab w:val="clear" w:pos="8398"/>
        </w:tabs>
        <w:ind w:firstLine="241"/>
        <w:rPr>
          <w:rFonts w:ascii="Arial" w:hAnsi="Arial" w:cs="Arial"/>
          <w:color w:val="auto"/>
          <w:highlight w:val="none"/>
        </w:rPr>
      </w:pPr>
      <w:r>
        <w:rPr>
          <w:color w:val="auto"/>
          <w:highlight w:val="none"/>
        </w:rPr>
        <w:fldChar w:fldCharType="begin"/>
      </w:r>
      <w:r>
        <w:rPr>
          <w:color w:val="auto"/>
          <w:highlight w:val="none"/>
        </w:rPr>
        <w:instrText xml:space="preserve"> HYPERLINK \l "_Toc21747" </w:instrText>
      </w:r>
      <w:r>
        <w:rPr>
          <w:color w:val="auto"/>
          <w:highlight w:val="none"/>
        </w:rPr>
        <w:fldChar w:fldCharType="separate"/>
      </w:r>
      <w:r>
        <w:rPr>
          <w:rFonts w:ascii="Arial" w:hAnsi="Arial" w:cs="Arial"/>
          <w:color w:val="auto"/>
          <w:szCs w:val="32"/>
          <w:highlight w:val="none"/>
        </w:rPr>
        <w:t>第六章  投标文件格式</w:t>
      </w:r>
      <w:bookmarkStart w:id="9" w:name="_Hlt34060451"/>
      <w:r>
        <w:rPr>
          <w:rFonts w:ascii="Arial" w:hAnsi="Arial" w:cs="Arial"/>
          <w:color w:val="auto"/>
          <w:highlight w:val="none"/>
        </w:rPr>
        <w:tab/>
      </w:r>
      <w:bookmarkEnd w:id="9"/>
      <w:bookmarkStart w:id="10" w:name="_Hlt36561143"/>
      <w:r>
        <w:rPr>
          <w:rFonts w:ascii="Arial" w:hAnsi="Arial" w:cs="Arial"/>
          <w:color w:val="auto"/>
          <w:highlight w:val="none"/>
        </w:rPr>
        <w:fldChar w:fldCharType="begin"/>
      </w:r>
      <w:r>
        <w:rPr>
          <w:rFonts w:ascii="Arial" w:hAnsi="Arial" w:cs="Arial"/>
          <w:color w:val="auto"/>
          <w:highlight w:val="none"/>
        </w:rPr>
        <w:instrText xml:space="preserve"> PAGEREF _Toc21747 </w:instrText>
      </w:r>
      <w:r>
        <w:rPr>
          <w:rFonts w:ascii="Arial" w:hAnsi="Arial" w:cs="Arial"/>
          <w:color w:val="auto"/>
          <w:highlight w:val="none"/>
        </w:rPr>
        <w:fldChar w:fldCharType="separate"/>
      </w:r>
      <w:r>
        <w:rPr>
          <w:rFonts w:ascii="Arial" w:hAnsi="Arial" w:cs="Arial"/>
          <w:color w:val="auto"/>
          <w:highlight w:val="none"/>
        </w:rPr>
        <w:t>42</w:t>
      </w:r>
      <w:r>
        <w:rPr>
          <w:rFonts w:ascii="Arial" w:hAnsi="Arial" w:cs="Arial"/>
          <w:color w:val="auto"/>
          <w:highlight w:val="none"/>
        </w:rPr>
        <w:fldChar w:fldCharType="end"/>
      </w:r>
      <w:bookmarkEnd w:id="10"/>
      <w:r>
        <w:rPr>
          <w:rFonts w:ascii="Arial" w:hAnsi="Arial" w:cs="Arial"/>
          <w:color w:val="auto"/>
          <w:highlight w:val="none"/>
        </w:rPr>
        <w:fldChar w:fldCharType="end"/>
      </w:r>
    </w:p>
    <w:p>
      <w:pPr>
        <w:pStyle w:val="35"/>
        <w:ind w:firstLine="241"/>
        <w:rPr>
          <w:rFonts w:ascii="Arial" w:hAnsi="Arial" w:cs="Arial"/>
          <w:color w:val="auto"/>
          <w:highlight w:val="none"/>
        </w:rPr>
      </w:pPr>
      <w:r>
        <w:rPr>
          <w:rFonts w:ascii="Arial" w:hAnsi="Arial" w:cs="Arial"/>
          <w:color w:val="auto"/>
          <w:highlight w:val="none"/>
        </w:rPr>
        <w:fldChar w:fldCharType="end"/>
      </w:r>
    </w:p>
    <w:p>
      <w:pPr>
        <w:spacing w:before="120" w:beforeLines="50" w:line="480" w:lineRule="exact"/>
        <w:rPr>
          <w:rFonts w:ascii="Arial" w:hAnsi="Arial" w:cs="Arial"/>
          <w:color w:val="auto"/>
          <w:sz w:val="28"/>
          <w:szCs w:val="28"/>
          <w:highlight w:val="none"/>
        </w:rPr>
      </w:pPr>
    </w:p>
    <w:p>
      <w:pPr>
        <w:spacing w:before="120" w:beforeLines="50" w:line="480" w:lineRule="exact"/>
        <w:rPr>
          <w:rFonts w:ascii="Arial" w:hAnsi="Arial" w:cs="Arial"/>
          <w:color w:val="auto"/>
          <w:sz w:val="30"/>
          <w:highlight w:val="none"/>
        </w:rPr>
        <w:sectPr>
          <w:headerReference r:id="rId7" w:type="first"/>
          <w:footerReference r:id="rId8" w:type="first"/>
          <w:pgSz w:w="11906" w:h="16838"/>
          <w:pgMar w:top="1418" w:right="1134" w:bottom="1247" w:left="1418" w:header="851" w:footer="992" w:gutter="0"/>
          <w:pgNumType w:start="0"/>
          <w:cols w:space="720" w:num="1"/>
          <w:titlePg/>
          <w:docGrid w:linePitch="312" w:charSpace="0"/>
        </w:sectPr>
      </w:pPr>
    </w:p>
    <w:p>
      <w:pPr>
        <w:pStyle w:val="28"/>
        <w:snapToGrid w:val="0"/>
        <w:spacing w:before="120" w:after="120" w:line="320" w:lineRule="exact"/>
        <w:jc w:val="center"/>
        <w:outlineLvl w:val="0"/>
        <w:rPr>
          <w:rFonts w:ascii="Arial" w:hAnsi="Arial" w:cs="Arial"/>
          <w:color w:val="auto"/>
          <w:sz w:val="32"/>
          <w:szCs w:val="32"/>
          <w:highlight w:val="none"/>
        </w:rPr>
      </w:pPr>
      <w:bookmarkStart w:id="11" w:name="_Toc254970489"/>
      <w:bookmarkStart w:id="12" w:name="_Toc254970630"/>
      <w:r>
        <w:rPr>
          <w:rFonts w:ascii="Arial" w:hAnsi="Arial" w:cs="Arial"/>
          <w:color w:val="auto"/>
          <w:sz w:val="32"/>
          <w:szCs w:val="32"/>
          <w:highlight w:val="none"/>
        </w:rPr>
        <w:tab/>
      </w:r>
      <w:bookmarkStart w:id="13" w:name="_Toc7051"/>
      <w:r>
        <w:rPr>
          <w:rFonts w:ascii="Arial" w:hAnsi="Arial" w:cs="Arial"/>
          <w:color w:val="auto"/>
          <w:sz w:val="32"/>
          <w:szCs w:val="32"/>
          <w:highlight w:val="none"/>
        </w:rPr>
        <w:t>第一章  招标公告</w:t>
      </w:r>
      <w:bookmarkEnd w:id="13"/>
    </w:p>
    <w:p>
      <w:pPr>
        <w:spacing w:line="400" w:lineRule="exact"/>
        <w:jc w:val="center"/>
        <w:rPr>
          <w:rFonts w:ascii="Arial" w:hAnsi="Arial" w:cs="Arial"/>
          <w:color w:val="auto"/>
          <w:kern w:val="0"/>
          <w:sz w:val="24"/>
          <w:highlight w:val="none"/>
        </w:rPr>
      </w:pPr>
      <w:r>
        <w:rPr>
          <w:rFonts w:ascii="Arial" w:hAnsi="Arial" w:cs="Arial"/>
          <w:color w:val="auto"/>
          <w:kern w:val="0"/>
          <w:sz w:val="24"/>
          <w:highlight w:val="none"/>
        </w:rPr>
        <w:t>广西机电设备招标有限公司关于</w:t>
      </w:r>
      <w:r>
        <w:rPr>
          <w:rFonts w:hint="eastAsia" w:ascii="Arial" w:hAnsi="Arial" w:cs="Arial"/>
          <w:color w:val="auto"/>
          <w:kern w:val="0"/>
          <w:sz w:val="24"/>
          <w:highlight w:val="none"/>
        </w:rPr>
        <w:t>桂林医学院附属医院整体搬迁项目空气源热水设备采购</w:t>
      </w:r>
    </w:p>
    <w:p>
      <w:pPr>
        <w:spacing w:line="400" w:lineRule="exact"/>
        <w:jc w:val="center"/>
        <w:rPr>
          <w:rFonts w:ascii="Arial" w:hAnsi="Arial" w:cs="Arial"/>
          <w:color w:val="auto"/>
          <w:kern w:val="0"/>
          <w:szCs w:val="21"/>
          <w:highlight w:val="none"/>
        </w:rPr>
      </w:pPr>
      <w:r>
        <w:rPr>
          <w:rFonts w:ascii="Arial" w:hAnsi="Arial" w:cs="Arial"/>
          <w:color w:val="auto"/>
          <w:sz w:val="24"/>
          <w:highlight w:val="none"/>
        </w:rPr>
        <w:t>(</w:t>
      </w:r>
      <w:r>
        <w:rPr>
          <w:rFonts w:hint="eastAsia" w:ascii="Arial" w:hAnsi="Arial" w:cs="Arial"/>
          <w:color w:val="auto"/>
          <w:sz w:val="24"/>
          <w:highlight w:val="none"/>
          <w:lang w:eastAsia="zh-CN"/>
        </w:rPr>
        <w:t>GXZC2024-G1-003102-JDZB</w:t>
      </w:r>
      <w:r>
        <w:rPr>
          <w:rFonts w:ascii="Arial" w:hAnsi="Arial" w:cs="Arial"/>
          <w:color w:val="auto"/>
          <w:sz w:val="24"/>
          <w:highlight w:val="none"/>
        </w:rPr>
        <w:t>)</w:t>
      </w:r>
      <w:r>
        <w:rPr>
          <w:rFonts w:ascii="Arial" w:hAnsi="Arial" w:cs="Arial"/>
          <w:color w:val="auto"/>
          <w:kern w:val="0"/>
          <w:sz w:val="24"/>
          <w:highlight w:val="none"/>
        </w:rPr>
        <w:t>公开招标公告</w:t>
      </w:r>
    </w:p>
    <w:tbl>
      <w:tblPr>
        <w:tblStyle w:val="53"/>
        <w:tblpPr w:leftFromText="180" w:rightFromText="180" w:vertAnchor="text" w:horzAnchor="margin" w:tblpXSpec="center" w:tblpY="1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335" w:type="dxa"/>
          </w:tcPr>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项目概况</w:t>
            </w:r>
          </w:p>
          <w:p>
            <w:pPr>
              <w:spacing w:line="312" w:lineRule="auto"/>
              <w:ind w:firstLine="420" w:firstLineChars="200"/>
              <w:jc w:val="left"/>
              <w:rPr>
                <w:rFonts w:ascii="Arial" w:hAnsi="Arial" w:cs="Arial"/>
                <w:b/>
                <w:bCs/>
                <w:color w:val="auto"/>
                <w:kern w:val="0"/>
                <w:szCs w:val="21"/>
                <w:highlight w:val="none"/>
              </w:rPr>
            </w:pPr>
            <w:r>
              <w:rPr>
                <w:rFonts w:hint="eastAsia" w:ascii="Arial" w:hAnsi="Arial" w:cs="Arial"/>
                <w:color w:val="auto"/>
                <w:szCs w:val="21"/>
                <w:highlight w:val="none"/>
              </w:rPr>
              <w:t>桂林医学院附属医院整体搬迁项目空气源热水设备采购</w:t>
            </w:r>
            <w:r>
              <w:rPr>
                <w:rFonts w:ascii="Arial" w:hAnsi="Arial" w:cs="Arial"/>
                <w:color w:val="auto"/>
                <w:szCs w:val="21"/>
                <w:highlight w:val="none"/>
              </w:rPr>
              <w:t>招标项目的潜在供应商应登录</w:t>
            </w:r>
            <w:r>
              <w:rPr>
                <w:rFonts w:hint="eastAsia" w:ascii="Arial" w:hAnsi="Arial" w:cs="Arial"/>
                <w:color w:val="auto"/>
                <w:szCs w:val="21"/>
                <w:highlight w:val="none"/>
              </w:rPr>
              <w:t>广西政府采购云平台</w:t>
            </w:r>
            <w:r>
              <w:rPr>
                <w:rFonts w:ascii="Arial" w:hAnsi="Arial" w:cs="Arial"/>
                <w:color w:val="auto"/>
                <w:szCs w:val="21"/>
                <w:highlight w:val="none"/>
              </w:rPr>
              <w:t>（</w:t>
            </w:r>
            <w:r>
              <w:rPr>
                <w:rFonts w:hint="eastAsia" w:ascii="Arial" w:hAnsi="Arial" w:cs="Arial"/>
                <w:color w:val="auto"/>
                <w:szCs w:val="21"/>
                <w:highlight w:val="none"/>
              </w:rPr>
              <w:t>https://www.gcy.zfcg.gxzf.gov.cn/</w:t>
            </w:r>
            <w:r>
              <w:rPr>
                <w:rFonts w:ascii="Arial" w:hAnsi="Arial" w:cs="Arial"/>
                <w:color w:val="auto"/>
                <w:szCs w:val="21"/>
                <w:highlight w:val="none"/>
              </w:rPr>
              <w:t>）在线申请获取招标文件，并于</w:t>
            </w:r>
            <w:r>
              <w:rPr>
                <w:rFonts w:hint="eastAsia" w:ascii="Arial" w:hAnsi="Arial" w:cs="Arial"/>
                <w:color w:val="auto"/>
                <w:szCs w:val="21"/>
                <w:highlight w:val="none"/>
              </w:rPr>
              <w:t>2024年</w:t>
            </w:r>
            <w:r>
              <w:rPr>
                <w:rFonts w:hint="eastAsia" w:ascii="Arial" w:hAnsi="Arial" w:cs="Arial"/>
                <w:color w:val="auto"/>
                <w:szCs w:val="21"/>
                <w:highlight w:val="none"/>
                <w:lang w:val="en-US" w:eastAsia="zh-CN"/>
              </w:rPr>
              <w:t>5</w:t>
            </w:r>
            <w:r>
              <w:rPr>
                <w:rFonts w:hint="eastAsia" w:ascii="Arial" w:hAnsi="Arial" w:cs="Arial"/>
                <w:color w:val="auto"/>
                <w:szCs w:val="21"/>
                <w:highlight w:val="none"/>
              </w:rPr>
              <w:t>月</w:t>
            </w:r>
            <w:r>
              <w:rPr>
                <w:rFonts w:hint="eastAsia" w:ascii="Arial" w:hAnsi="Arial" w:cs="Arial"/>
                <w:color w:val="auto"/>
                <w:szCs w:val="21"/>
                <w:highlight w:val="none"/>
                <w:lang w:val="en-US" w:eastAsia="zh-CN"/>
              </w:rPr>
              <w:t>6</w:t>
            </w:r>
            <w:r>
              <w:rPr>
                <w:rFonts w:hint="eastAsia" w:ascii="Arial" w:hAnsi="Arial" w:cs="Arial"/>
                <w:color w:val="auto"/>
                <w:szCs w:val="21"/>
                <w:highlight w:val="none"/>
              </w:rPr>
              <w:t>日</w:t>
            </w:r>
            <w:r>
              <w:rPr>
                <w:rFonts w:ascii="Arial" w:hAnsi="Arial" w:cs="Arial"/>
                <w:color w:val="auto"/>
                <w:szCs w:val="21"/>
                <w:highlight w:val="none"/>
              </w:rPr>
              <w:t>9点30分（北京时间）前递交投标文件。</w:t>
            </w:r>
          </w:p>
        </w:tc>
      </w:tr>
    </w:tbl>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一、项目基本情况</w:t>
      </w:r>
    </w:p>
    <w:p>
      <w:pPr>
        <w:spacing w:line="312" w:lineRule="auto"/>
        <w:ind w:firstLine="420" w:firstLineChars="200"/>
        <w:jc w:val="left"/>
        <w:rPr>
          <w:rFonts w:hint="eastAsia" w:ascii="Arial" w:hAnsi="Arial" w:eastAsia="宋体" w:cs="Arial"/>
          <w:color w:val="auto"/>
          <w:kern w:val="0"/>
          <w:szCs w:val="21"/>
          <w:highlight w:val="none"/>
          <w:lang w:eastAsia="zh-CN"/>
        </w:rPr>
      </w:pPr>
      <w:r>
        <w:rPr>
          <w:rFonts w:ascii="Arial" w:hAnsi="Arial" w:cs="Arial"/>
          <w:color w:val="auto"/>
          <w:kern w:val="0"/>
          <w:szCs w:val="21"/>
          <w:highlight w:val="none"/>
        </w:rPr>
        <w:t>项目编号：</w:t>
      </w:r>
      <w:r>
        <w:rPr>
          <w:rFonts w:hint="eastAsia" w:ascii="Arial" w:hAnsi="Arial" w:cs="Arial"/>
          <w:color w:val="auto"/>
          <w:szCs w:val="21"/>
          <w:highlight w:val="none"/>
          <w:lang w:eastAsia="zh-CN"/>
        </w:rPr>
        <w:t>GXZC2024-G1-003102-JDZB</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项目名称：</w:t>
      </w:r>
      <w:r>
        <w:rPr>
          <w:rFonts w:hint="eastAsia" w:ascii="Arial" w:hAnsi="Arial" w:cs="Arial"/>
          <w:color w:val="auto"/>
          <w:kern w:val="0"/>
          <w:szCs w:val="21"/>
          <w:highlight w:val="none"/>
        </w:rPr>
        <w:t>桂林医学院附属医院整体搬迁项目空气源热水设备采购</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预算总金额（元）：</w:t>
      </w:r>
      <w:r>
        <w:rPr>
          <w:rFonts w:hint="eastAsia" w:ascii="Arial" w:hAnsi="Arial" w:cs="Arial"/>
          <w:color w:val="auto"/>
          <w:kern w:val="0"/>
          <w:szCs w:val="21"/>
          <w:highlight w:val="none"/>
        </w:rPr>
        <w:t>3000000</w:t>
      </w:r>
    </w:p>
    <w:p>
      <w:pPr>
        <w:tabs>
          <w:tab w:val="left" w:pos="3150"/>
        </w:tabs>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采购需求：</w:t>
      </w:r>
    </w:p>
    <w:p>
      <w:pPr>
        <w:tabs>
          <w:tab w:val="left" w:pos="3150"/>
        </w:tabs>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标项</w:t>
      </w:r>
      <w:r>
        <w:rPr>
          <w:rFonts w:hint="eastAsia" w:ascii="Arial" w:hAnsi="Arial" w:cs="Arial"/>
          <w:color w:val="auto"/>
          <w:kern w:val="0"/>
          <w:szCs w:val="21"/>
          <w:highlight w:val="none"/>
        </w:rPr>
        <w:t>名称：桂林医学院附属医院整体搬迁项目空气源热水设备采购</w:t>
      </w:r>
    </w:p>
    <w:p>
      <w:pPr>
        <w:tabs>
          <w:tab w:val="left" w:pos="3150"/>
        </w:tabs>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数量：</w:t>
      </w:r>
      <w:r>
        <w:rPr>
          <w:rFonts w:hint="eastAsia" w:ascii="Arial" w:hAnsi="Arial" w:cs="Arial"/>
          <w:color w:val="auto"/>
          <w:kern w:val="0"/>
          <w:szCs w:val="21"/>
          <w:highlight w:val="none"/>
        </w:rPr>
        <w:t>1</w:t>
      </w:r>
    </w:p>
    <w:p>
      <w:pPr>
        <w:tabs>
          <w:tab w:val="left" w:pos="3150"/>
        </w:tabs>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预算金额（元）：</w:t>
      </w:r>
      <w:r>
        <w:rPr>
          <w:rFonts w:hint="eastAsia" w:ascii="Arial" w:hAnsi="Arial" w:cs="Arial"/>
          <w:color w:val="auto"/>
          <w:kern w:val="0"/>
          <w:szCs w:val="21"/>
          <w:highlight w:val="none"/>
        </w:rPr>
        <w:t>3000000</w:t>
      </w:r>
    </w:p>
    <w:p>
      <w:pPr>
        <w:tabs>
          <w:tab w:val="left" w:pos="3150"/>
        </w:tabs>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简要规格描述或项目基本概况介绍、用途：</w:t>
      </w:r>
      <w:r>
        <w:rPr>
          <w:rFonts w:hint="eastAsia" w:ascii="Arial" w:hAnsi="Arial" w:cs="Arial"/>
          <w:color w:val="auto"/>
          <w:kern w:val="0"/>
          <w:szCs w:val="21"/>
          <w:highlight w:val="none"/>
        </w:rPr>
        <w:t>空气源热水设备14套（每套包含：空气源热泵热水机3台、热水远程监控系统1套、承压加热水箱3台、承压储热水箱20台、电动三通阀3只、热水循环泵2台、热泵机组循环泵6台、隔膜式膨胀罐1台、水箱基础1项、热水机组基础1项、真空破坏器1台、设备电源控制柜1项、电源线信号线1项、辅材1项、设备材料运输搬运和就位安装1项）</w:t>
      </w:r>
      <w:r>
        <w:rPr>
          <w:rFonts w:ascii="Arial" w:hAnsi="Arial" w:cs="Arial"/>
          <w:color w:val="auto"/>
          <w:kern w:val="0"/>
          <w:szCs w:val="21"/>
          <w:highlight w:val="none"/>
        </w:rPr>
        <w:t>。如需</w:t>
      </w:r>
      <w:r>
        <w:rPr>
          <w:rFonts w:ascii="Arial" w:hAnsi="Arial" w:cs="Arial"/>
          <w:color w:val="auto"/>
          <w:szCs w:val="21"/>
          <w:highlight w:val="none"/>
        </w:rPr>
        <w:t>进一步</w:t>
      </w:r>
      <w:r>
        <w:rPr>
          <w:rFonts w:ascii="Arial" w:hAnsi="Arial" w:cs="Arial"/>
          <w:color w:val="auto"/>
          <w:kern w:val="0"/>
          <w:szCs w:val="21"/>
          <w:highlight w:val="none"/>
        </w:rPr>
        <w:t>了解详细内容，详见招标文件。</w:t>
      </w:r>
    </w:p>
    <w:p>
      <w:pPr>
        <w:spacing w:line="312" w:lineRule="auto"/>
        <w:ind w:firstLine="420" w:firstLineChars="200"/>
        <w:jc w:val="left"/>
        <w:rPr>
          <w:rFonts w:ascii="Arial" w:hAnsi="Arial" w:cs="Arial"/>
          <w:color w:val="auto"/>
          <w:kern w:val="0"/>
          <w:szCs w:val="21"/>
          <w:highlight w:val="none"/>
        </w:rPr>
      </w:pPr>
      <w:r>
        <w:rPr>
          <w:rFonts w:hint="eastAsia" w:ascii="Arial" w:hAnsi="Arial" w:cs="Arial"/>
          <w:color w:val="auto"/>
          <w:kern w:val="0"/>
          <w:szCs w:val="21"/>
          <w:highlight w:val="none"/>
        </w:rPr>
        <w:t>最高限价（元）2</w:t>
      </w:r>
      <w:r>
        <w:rPr>
          <w:rFonts w:ascii="Arial" w:hAnsi="Arial" w:cs="Arial"/>
          <w:color w:val="auto"/>
          <w:kern w:val="0"/>
          <w:szCs w:val="21"/>
          <w:highlight w:val="none"/>
        </w:rPr>
        <w:t>530000</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合同履行期限：</w:t>
      </w:r>
      <w:r>
        <w:rPr>
          <w:rFonts w:hint="eastAsia" w:ascii="Arial" w:hAnsi="Arial" w:cs="Arial"/>
          <w:color w:val="auto"/>
          <w:kern w:val="0"/>
          <w:szCs w:val="21"/>
          <w:highlight w:val="none"/>
        </w:rPr>
        <w:t>自签订合同之日起</w:t>
      </w:r>
      <w:r>
        <w:rPr>
          <w:rFonts w:ascii="Arial" w:hAnsi="Arial" w:cs="Arial"/>
          <w:color w:val="auto"/>
          <w:kern w:val="0"/>
          <w:szCs w:val="21"/>
          <w:highlight w:val="none"/>
        </w:rPr>
        <w:t>4</w:t>
      </w:r>
      <w:r>
        <w:rPr>
          <w:rFonts w:hint="eastAsia" w:ascii="Arial" w:hAnsi="Arial" w:cs="Arial"/>
          <w:color w:val="auto"/>
          <w:kern w:val="0"/>
          <w:szCs w:val="21"/>
          <w:highlight w:val="none"/>
        </w:rPr>
        <w:t>0天内交货并安装完毕交付使用。</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本标项（否）接受联合体投标</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备注：</w:t>
      </w:r>
    </w:p>
    <w:p>
      <w:pPr>
        <w:tabs>
          <w:tab w:val="left" w:pos="3150"/>
        </w:tabs>
        <w:spacing w:line="312" w:lineRule="auto"/>
        <w:ind w:firstLine="420" w:firstLineChars="200"/>
        <w:jc w:val="left"/>
        <w:rPr>
          <w:rFonts w:ascii="Arial" w:hAnsi="Arial" w:cs="Arial"/>
          <w:color w:val="auto"/>
          <w:kern w:val="0"/>
          <w:szCs w:val="21"/>
          <w:highlight w:val="none"/>
        </w:rPr>
      </w:pP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二、申请人的资格要求</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 xml:space="preserve">1.满足《中华人民共和国政府采购法》第二十二条规定； </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2.落实政府采购政策需满足的资格要求：</w:t>
      </w:r>
      <w:r>
        <w:rPr>
          <w:rFonts w:hint="eastAsia" w:ascii="Arial" w:hAnsi="Arial" w:cs="Arial"/>
          <w:color w:val="auto"/>
          <w:kern w:val="0"/>
          <w:szCs w:val="21"/>
          <w:highlight w:val="none"/>
        </w:rPr>
        <w:t>本项目非专门面向中小微企业采购</w:t>
      </w:r>
      <w:r>
        <w:rPr>
          <w:rFonts w:ascii="Arial" w:hAnsi="Arial" w:cs="Arial"/>
          <w:color w:val="auto"/>
          <w:kern w:val="0"/>
          <w:szCs w:val="21"/>
          <w:highlight w:val="none"/>
        </w:rPr>
        <w:t>。</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3.本项目的特定资格要求：</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（1）资质要求：</w:t>
      </w:r>
      <w:r>
        <w:rPr>
          <w:rFonts w:hint="eastAsia" w:ascii="Arial" w:hAnsi="Arial" w:cs="Arial"/>
          <w:color w:val="auto"/>
          <w:kern w:val="0"/>
          <w:szCs w:val="21"/>
          <w:highlight w:val="none"/>
        </w:rPr>
        <w:t>无</w:t>
      </w:r>
      <w:r>
        <w:rPr>
          <w:rFonts w:ascii="Arial" w:hAnsi="Arial" w:cs="Arial"/>
          <w:color w:val="auto"/>
          <w:kern w:val="0"/>
          <w:szCs w:val="21"/>
          <w:highlight w:val="none"/>
        </w:rPr>
        <w:t>。</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（2）业绩要求：无。</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（3）其他要求：无。</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4）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（5）未被列入失信被执行人、重大税收违法失信主体、政府采购严重违法失信行为记录名单。</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（6）本项目不允许分包。</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（7）本项目不接受联合体投标。</w:t>
      </w:r>
    </w:p>
    <w:p>
      <w:pPr>
        <w:adjustRightInd w:val="0"/>
        <w:snapToGrid w:val="0"/>
        <w:spacing w:line="360"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（8）按照招标公告规定获得招标文件。</w:t>
      </w: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三、获取招标文件</w:t>
      </w:r>
    </w:p>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时间：202</w:t>
      </w:r>
      <w:r>
        <w:rPr>
          <w:rFonts w:hint="eastAsia" w:ascii="Arial" w:hAnsi="Arial" w:cs="Arial"/>
          <w:color w:val="auto"/>
          <w:szCs w:val="21"/>
          <w:highlight w:val="none"/>
        </w:rPr>
        <w:t>4</w:t>
      </w:r>
      <w:r>
        <w:rPr>
          <w:rFonts w:ascii="Arial" w:hAnsi="Arial" w:cs="Arial"/>
          <w:color w:val="auto"/>
          <w:szCs w:val="21"/>
          <w:highlight w:val="none"/>
        </w:rPr>
        <w:t>年</w:t>
      </w:r>
      <w:r>
        <w:rPr>
          <w:rFonts w:hint="eastAsia" w:ascii="Arial" w:hAnsi="Arial" w:cs="Arial"/>
          <w:color w:val="auto"/>
          <w:szCs w:val="21"/>
          <w:highlight w:val="none"/>
          <w:lang w:val="en-US" w:eastAsia="zh-CN"/>
        </w:rPr>
        <w:t>4</w:t>
      </w:r>
      <w:r>
        <w:rPr>
          <w:rFonts w:ascii="Arial" w:hAnsi="Arial" w:cs="Arial"/>
          <w:color w:val="auto"/>
          <w:szCs w:val="21"/>
          <w:highlight w:val="none"/>
        </w:rPr>
        <w:t>月</w:t>
      </w:r>
      <w:r>
        <w:rPr>
          <w:rFonts w:hint="eastAsia" w:ascii="Arial" w:hAnsi="Arial" w:cs="Arial"/>
          <w:color w:val="auto"/>
          <w:szCs w:val="21"/>
          <w:highlight w:val="none"/>
          <w:lang w:val="en-US" w:eastAsia="zh-CN"/>
        </w:rPr>
        <w:t>15</w:t>
      </w:r>
      <w:r>
        <w:rPr>
          <w:rFonts w:ascii="Arial" w:hAnsi="Arial" w:cs="Arial"/>
          <w:color w:val="auto"/>
          <w:szCs w:val="21"/>
          <w:highlight w:val="none"/>
        </w:rPr>
        <w:t>日至202</w:t>
      </w:r>
      <w:r>
        <w:rPr>
          <w:rFonts w:hint="eastAsia" w:ascii="Arial" w:hAnsi="Arial" w:cs="Arial"/>
          <w:color w:val="auto"/>
          <w:szCs w:val="21"/>
          <w:highlight w:val="none"/>
        </w:rPr>
        <w:t>4</w:t>
      </w:r>
      <w:r>
        <w:rPr>
          <w:rFonts w:ascii="Arial" w:hAnsi="Arial" w:cs="Arial"/>
          <w:color w:val="auto"/>
          <w:szCs w:val="21"/>
          <w:highlight w:val="none"/>
        </w:rPr>
        <w:t>年</w:t>
      </w:r>
      <w:r>
        <w:rPr>
          <w:rFonts w:hint="eastAsia" w:ascii="Arial" w:hAnsi="Arial" w:cs="Arial"/>
          <w:color w:val="auto"/>
          <w:szCs w:val="21"/>
          <w:highlight w:val="none"/>
          <w:lang w:val="en-US" w:eastAsia="zh-CN"/>
        </w:rPr>
        <w:t>5</w:t>
      </w:r>
      <w:r>
        <w:rPr>
          <w:rFonts w:hint="eastAsia" w:ascii="Arial" w:hAnsi="Arial" w:cs="Arial"/>
          <w:color w:val="auto"/>
          <w:szCs w:val="21"/>
          <w:highlight w:val="none"/>
        </w:rPr>
        <w:t>月</w:t>
      </w:r>
      <w:r>
        <w:rPr>
          <w:rFonts w:hint="eastAsia" w:ascii="Arial" w:hAnsi="Arial" w:cs="Arial"/>
          <w:color w:val="auto"/>
          <w:szCs w:val="21"/>
          <w:highlight w:val="none"/>
          <w:lang w:val="en-US" w:eastAsia="zh-CN"/>
        </w:rPr>
        <w:t>6</w:t>
      </w:r>
      <w:r>
        <w:rPr>
          <w:rFonts w:hint="eastAsia" w:ascii="Arial" w:hAnsi="Arial" w:cs="Arial"/>
          <w:color w:val="auto"/>
          <w:szCs w:val="21"/>
          <w:highlight w:val="none"/>
        </w:rPr>
        <w:t>日</w:t>
      </w:r>
      <w:r>
        <w:rPr>
          <w:rFonts w:ascii="Arial" w:hAnsi="Arial" w:cs="Arial"/>
          <w:color w:val="auto"/>
          <w:szCs w:val="21"/>
          <w:highlight w:val="none"/>
        </w:rPr>
        <w:t xml:space="preserve"> ，每天上午00:00至12:00，下午12:00至23:59（北京时间，法定节假日除外）</w:t>
      </w:r>
    </w:p>
    <w:p>
      <w:pPr>
        <w:spacing w:line="312"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地点（网址）：广西政府采购云平台 （https://www.gcy.zfcg.gxzf.gov.cn/） </w:t>
      </w:r>
    </w:p>
    <w:p>
      <w:pPr>
        <w:spacing w:line="312"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方式：供应商登录广西政府采购云平台https://www.gcy.zfcg.gxzf.gov.cn/在线申请获取采购文件（进入“项目采购”应用，在获取采购文件菜单中选择项目，申请获取采购文件）</w:t>
      </w:r>
    </w:p>
    <w:p>
      <w:pPr>
        <w:spacing w:line="312" w:lineRule="auto"/>
        <w:ind w:firstLine="420" w:firstLineChars="200"/>
        <w:jc w:val="left"/>
        <w:rPr>
          <w:rFonts w:ascii="Arial" w:hAnsi="Arial" w:cs="Arial"/>
          <w:color w:val="auto"/>
          <w:szCs w:val="21"/>
          <w:highlight w:val="none"/>
        </w:rPr>
      </w:pPr>
      <w:r>
        <w:rPr>
          <w:rFonts w:hint="eastAsia" w:ascii="Arial" w:hAnsi="Arial" w:cs="Arial"/>
          <w:color w:val="auto"/>
          <w:szCs w:val="21"/>
          <w:highlight w:val="none"/>
        </w:rPr>
        <w:t xml:space="preserve">售价（元）：0 </w:t>
      </w:r>
      <w:r>
        <w:rPr>
          <w:rFonts w:ascii="Arial" w:hAnsi="Arial" w:cs="Arial"/>
          <w:color w:val="auto"/>
          <w:szCs w:val="21"/>
          <w:highlight w:val="none"/>
        </w:rPr>
        <w:t xml:space="preserve"> </w:t>
      </w: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四、提交投标文件截止时间、开标时间和地点</w:t>
      </w:r>
    </w:p>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提交投标文件截止时间：</w:t>
      </w:r>
      <w:r>
        <w:rPr>
          <w:rFonts w:hint="eastAsia" w:ascii="Arial" w:hAnsi="Arial" w:cs="Arial"/>
          <w:color w:val="auto"/>
          <w:szCs w:val="21"/>
          <w:highlight w:val="none"/>
        </w:rPr>
        <w:t>2024年</w:t>
      </w:r>
      <w:r>
        <w:rPr>
          <w:rFonts w:hint="eastAsia" w:ascii="Arial" w:hAnsi="Arial" w:cs="Arial"/>
          <w:color w:val="auto"/>
          <w:szCs w:val="21"/>
          <w:highlight w:val="none"/>
          <w:lang w:val="en-US" w:eastAsia="zh-CN"/>
        </w:rPr>
        <w:t>5</w:t>
      </w:r>
      <w:r>
        <w:rPr>
          <w:rFonts w:hint="eastAsia" w:ascii="Arial" w:hAnsi="Arial" w:cs="Arial"/>
          <w:color w:val="auto"/>
          <w:szCs w:val="21"/>
          <w:highlight w:val="none"/>
        </w:rPr>
        <w:t>月</w:t>
      </w:r>
      <w:r>
        <w:rPr>
          <w:rFonts w:hint="eastAsia" w:ascii="Arial" w:hAnsi="Arial" w:cs="Arial"/>
          <w:color w:val="auto"/>
          <w:szCs w:val="21"/>
          <w:highlight w:val="none"/>
          <w:lang w:val="en-US" w:eastAsia="zh-CN"/>
        </w:rPr>
        <w:t>6</w:t>
      </w:r>
      <w:r>
        <w:rPr>
          <w:rFonts w:hint="eastAsia" w:ascii="Arial" w:hAnsi="Arial" w:cs="Arial"/>
          <w:color w:val="auto"/>
          <w:szCs w:val="21"/>
          <w:highlight w:val="none"/>
        </w:rPr>
        <w:t>日</w:t>
      </w:r>
      <w:r>
        <w:rPr>
          <w:rFonts w:ascii="Arial" w:hAnsi="Arial" w:cs="Arial"/>
          <w:color w:val="auto"/>
          <w:szCs w:val="21"/>
          <w:highlight w:val="none"/>
        </w:rPr>
        <w:t>09:30（北京时间）</w:t>
      </w:r>
    </w:p>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地点（网址）：通过</w:t>
      </w:r>
      <w:r>
        <w:rPr>
          <w:rFonts w:hint="eastAsia" w:ascii="Arial" w:hAnsi="Arial" w:cs="Arial"/>
          <w:color w:val="auto"/>
          <w:szCs w:val="21"/>
          <w:highlight w:val="none"/>
        </w:rPr>
        <w:t>广西政府采购云平台</w:t>
      </w:r>
      <w:r>
        <w:rPr>
          <w:rFonts w:ascii="Arial" w:hAnsi="Arial" w:cs="Arial"/>
          <w:color w:val="auto"/>
          <w:szCs w:val="21"/>
          <w:highlight w:val="none"/>
        </w:rPr>
        <w:t>实行在线投标。</w:t>
      </w:r>
    </w:p>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开标时间：</w:t>
      </w:r>
      <w:r>
        <w:rPr>
          <w:rFonts w:hint="eastAsia" w:ascii="Arial" w:hAnsi="Arial" w:cs="Arial"/>
          <w:color w:val="auto"/>
          <w:szCs w:val="21"/>
          <w:highlight w:val="none"/>
        </w:rPr>
        <w:t>2024年</w:t>
      </w:r>
      <w:r>
        <w:rPr>
          <w:rFonts w:hint="eastAsia" w:ascii="Arial" w:hAnsi="Arial" w:cs="Arial"/>
          <w:color w:val="auto"/>
          <w:szCs w:val="21"/>
          <w:highlight w:val="none"/>
          <w:lang w:val="en-US" w:eastAsia="zh-CN"/>
        </w:rPr>
        <w:t>5</w:t>
      </w:r>
      <w:r>
        <w:rPr>
          <w:rFonts w:hint="eastAsia" w:ascii="Arial" w:hAnsi="Arial" w:cs="Arial"/>
          <w:color w:val="auto"/>
          <w:szCs w:val="21"/>
          <w:highlight w:val="none"/>
        </w:rPr>
        <w:t>月</w:t>
      </w:r>
      <w:r>
        <w:rPr>
          <w:rFonts w:hint="eastAsia" w:ascii="Arial" w:hAnsi="Arial" w:cs="Arial"/>
          <w:color w:val="auto"/>
          <w:szCs w:val="21"/>
          <w:highlight w:val="none"/>
          <w:lang w:val="en-US" w:eastAsia="zh-CN"/>
        </w:rPr>
        <w:t>6</w:t>
      </w:r>
      <w:r>
        <w:rPr>
          <w:rFonts w:hint="eastAsia" w:ascii="Arial" w:hAnsi="Arial" w:cs="Arial"/>
          <w:color w:val="auto"/>
          <w:szCs w:val="21"/>
          <w:highlight w:val="none"/>
        </w:rPr>
        <w:t>日</w:t>
      </w:r>
      <w:r>
        <w:rPr>
          <w:rFonts w:ascii="Arial" w:hAnsi="Arial" w:cs="Arial"/>
          <w:color w:val="auto"/>
          <w:szCs w:val="21"/>
          <w:highlight w:val="none"/>
        </w:rPr>
        <w:t xml:space="preserve">09:30 </w:t>
      </w:r>
    </w:p>
    <w:p>
      <w:pPr>
        <w:spacing w:line="312" w:lineRule="auto"/>
        <w:ind w:firstLine="420" w:firstLineChars="200"/>
        <w:jc w:val="left"/>
        <w:rPr>
          <w:rFonts w:ascii="Arial" w:hAnsi="Arial" w:cs="Arial"/>
          <w:color w:val="auto"/>
          <w:szCs w:val="21"/>
          <w:highlight w:val="none"/>
        </w:rPr>
      </w:pPr>
      <w:r>
        <w:rPr>
          <w:rFonts w:ascii="Arial" w:hAnsi="Arial" w:cs="Arial"/>
          <w:color w:val="auto"/>
          <w:szCs w:val="21"/>
          <w:highlight w:val="none"/>
        </w:rPr>
        <w:t>开标地点：通过</w:t>
      </w:r>
      <w:r>
        <w:rPr>
          <w:rFonts w:hint="eastAsia" w:ascii="Arial" w:hAnsi="Arial" w:cs="Arial"/>
          <w:color w:val="auto"/>
          <w:szCs w:val="21"/>
          <w:highlight w:val="none"/>
        </w:rPr>
        <w:t>广西政府采购云平台</w:t>
      </w:r>
      <w:r>
        <w:rPr>
          <w:rFonts w:ascii="Arial" w:hAnsi="Arial" w:cs="Arial"/>
          <w:color w:val="auto"/>
          <w:szCs w:val="21"/>
          <w:highlight w:val="none"/>
        </w:rPr>
        <w:t>实行在线解密开启。</w:t>
      </w: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五、公告期限</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自本公告发布之日起5个工作日。</w:t>
      </w: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六、其他补充事宜</w:t>
      </w:r>
    </w:p>
    <w:p>
      <w:pPr>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1.公告发布媒体：</w:t>
      </w:r>
      <w:r>
        <w:rPr>
          <w:rFonts w:hint="eastAsia" w:ascii="Arial" w:hAnsi="Arial" w:cs="Arial"/>
          <w:color w:val="auto"/>
          <w:szCs w:val="21"/>
          <w:highlight w:val="none"/>
        </w:rPr>
        <w:t>广西政府采购网</w:t>
      </w:r>
      <w:r>
        <w:rPr>
          <w:rFonts w:ascii="Arial" w:hAnsi="Arial" w:cs="Arial"/>
          <w:color w:val="auto"/>
          <w:szCs w:val="21"/>
          <w:highlight w:val="none"/>
        </w:rPr>
        <w:t xml:space="preserve">、中国政府采购网 </w:t>
      </w:r>
    </w:p>
    <w:p>
      <w:pPr>
        <w:snapToGrid w:val="0"/>
        <w:spacing w:line="300" w:lineRule="auto"/>
        <w:ind w:firstLine="420" w:firstLineChars="200"/>
        <w:jc w:val="left"/>
        <w:rPr>
          <w:rFonts w:ascii="Arial" w:hAnsi="Arial" w:cs="Arial"/>
          <w:color w:val="auto"/>
          <w:szCs w:val="21"/>
          <w:highlight w:val="none"/>
        </w:rPr>
      </w:pPr>
      <w:r>
        <w:rPr>
          <w:rFonts w:ascii="Arial" w:hAnsi="Arial" w:cs="Arial"/>
          <w:color w:val="auto"/>
          <w:szCs w:val="21"/>
          <w:highlight w:val="none"/>
        </w:rPr>
        <w:t>2.需落实的政府采购政策：本项目适用政府采购促进中小企业、监狱企业发展、促进残疾人就业、</w:t>
      </w:r>
      <w:r>
        <w:rPr>
          <w:rFonts w:hint="eastAsia"/>
          <w:color w:val="auto"/>
          <w:highlight w:val="none"/>
        </w:rPr>
        <w:t>节能环保、</w:t>
      </w:r>
      <w:r>
        <w:rPr>
          <w:rFonts w:ascii="Arial" w:hAnsi="Arial" w:cs="Arial"/>
          <w:color w:val="auto"/>
          <w:szCs w:val="21"/>
          <w:highlight w:val="none"/>
        </w:rPr>
        <w:t>信息安全产品等有关政策，具体详见招标文件。</w:t>
      </w:r>
    </w:p>
    <w:p>
      <w:pPr>
        <w:snapToGrid w:val="0"/>
        <w:spacing w:line="300" w:lineRule="auto"/>
        <w:ind w:firstLine="420" w:firstLineChars="200"/>
        <w:jc w:val="left"/>
        <w:rPr>
          <w:rFonts w:ascii="Arial" w:hAnsi="Arial" w:cs="Arial"/>
          <w:color w:val="auto"/>
          <w:szCs w:val="21"/>
          <w:highlight w:val="none"/>
        </w:rPr>
      </w:pPr>
      <w:bookmarkStart w:id="14" w:name="_Hlk88997182"/>
      <w:r>
        <w:rPr>
          <w:rFonts w:ascii="Arial" w:hAnsi="Arial" w:cs="Arial"/>
          <w:color w:val="auto"/>
          <w:szCs w:val="21"/>
          <w:highlight w:val="none"/>
        </w:rPr>
        <w:t>3.投标文件解密时间：截标时间后30分钟内（</w:t>
      </w:r>
      <w:r>
        <w:rPr>
          <w:rFonts w:hint="eastAsia" w:ascii="Arial" w:hAnsi="Arial" w:cs="Arial"/>
          <w:color w:val="auto"/>
          <w:szCs w:val="21"/>
          <w:highlight w:val="none"/>
        </w:rPr>
        <w:t>2024年</w:t>
      </w:r>
      <w:r>
        <w:rPr>
          <w:rFonts w:hint="eastAsia" w:ascii="Arial" w:hAnsi="Arial" w:cs="Arial"/>
          <w:color w:val="auto"/>
          <w:szCs w:val="21"/>
          <w:highlight w:val="none"/>
          <w:lang w:val="en-US" w:eastAsia="zh-CN"/>
        </w:rPr>
        <w:t>5</w:t>
      </w:r>
      <w:r>
        <w:rPr>
          <w:rFonts w:hint="eastAsia" w:ascii="Arial" w:hAnsi="Arial" w:cs="Arial"/>
          <w:color w:val="auto"/>
          <w:szCs w:val="21"/>
          <w:highlight w:val="none"/>
        </w:rPr>
        <w:t>月</w:t>
      </w:r>
      <w:r>
        <w:rPr>
          <w:rFonts w:hint="eastAsia" w:ascii="Arial" w:hAnsi="Arial" w:cs="Arial"/>
          <w:color w:val="auto"/>
          <w:szCs w:val="21"/>
          <w:highlight w:val="none"/>
          <w:lang w:val="en-US" w:eastAsia="zh-CN"/>
        </w:rPr>
        <w:t>6</w:t>
      </w:r>
      <w:r>
        <w:rPr>
          <w:rFonts w:hint="eastAsia" w:ascii="Arial" w:hAnsi="Arial" w:cs="Arial"/>
          <w:color w:val="auto"/>
          <w:szCs w:val="21"/>
          <w:highlight w:val="none"/>
        </w:rPr>
        <w:t>日</w:t>
      </w:r>
      <w:r>
        <w:rPr>
          <w:rFonts w:ascii="Arial" w:hAnsi="Arial" w:cs="Arial"/>
          <w:color w:val="auto"/>
          <w:szCs w:val="21"/>
          <w:highlight w:val="none"/>
        </w:rPr>
        <w:t>上午9时30分至10时00分）供应商可以登录</w:t>
      </w:r>
      <w:r>
        <w:rPr>
          <w:rFonts w:hint="eastAsia" w:ascii="Arial" w:hAnsi="Arial" w:cs="Arial"/>
          <w:color w:val="auto"/>
          <w:szCs w:val="21"/>
          <w:highlight w:val="none"/>
        </w:rPr>
        <w:t>广西政府采购云平台</w:t>
      </w:r>
      <w:r>
        <w:rPr>
          <w:rFonts w:ascii="Arial" w:hAnsi="Arial" w:cs="Arial"/>
          <w:color w:val="auto"/>
          <w:szCs w:val="21"/>
          <w:highlight w:val="none"/>
        </w:rPr>
        <w:t>，用“项目采购-开标评标”功能进行解密投标文件。</w:t>
      </w:r>
      <w:r>
        <w:rPr>
          <w:rFonts w:hint="eastAsia" w:ascii="Arial" w:hAnsi="Arial" w:cs="Arial"/>
          <w:color w:val="auto"/>
          <w:szCs w:val="21"/>
          <w:highlight w:val="none"/>
        </w:rPr>
        <w:t>若供应商在规定时间内无法解密或解密失败，可以以电子备份投标文件作为依据【在接到无法解密或解密失败的通知后，供应商可根据自身实际情况按通知时要求的时间到桂林市公共资源交易中心</w:t>
      </w:r>
      <w:r>
        <w:rPr>
          <w:rFonts w:hint="eastAsia" w:ascii="Arial" w:hAnsi="Arial" w:cs="Arial"/>
          <w:color w:val="auto"/>
          <w:szCs w:val="21"/>
          <w:highlight w:val="none"/>
          <w:lang w:val="en-US" w:eastAsia="zh-CN"/>
        </w:rPr>
        <w:t>7</w:t>
      </w:r>
      <w:r>
        <w:rPr>
          <w:rFonts w:hint="eastAsia" w:ascii="Arial" w:hAnsi="Arial" w:cs="Arial"/>
          <w:color w:val="auto"/>
          <w:szCs w:val="21"/>
          <w:highlight w:val="none"/>
        </w:rPr>
        <w:t>号开标室</w:t>
      </w:r>
      <w:r>
        <w:rPr>
          <w:rFonts w:hint="eastAsia" w:ascii="Arial" w:hAnsi="Arial" w:cs="Arial"/>
          <w:color w:val="auto"/>
          <w:szCs w:val="21"/>
          <w:highlight w:val="none"/>
        </w:rPr>
        <w:t>现场提交或以电子邮件的形式（以通知时所告知的电子邮箱地址为准）提交电子备份投标文件】，若供应商在规定时间内无法解密或解密失败且未提供电子备份投标文件的（包含提供的电子备份文件无效或无法解密的情况），视为投标无效。</w:t>
      </w:r>
    </w:p>
    <w:bookmarkEnd w:id="14"/>
    <w:p>
      <w:pPr>
        <w:snapToGrid w:val="0"/>
        <w:spacing w:line="300" w:lineRule="auto"/>
        <w:ind w:firstLine="420" w:firstLineChars="200"/>
        <w:rPr>
          <w:rFonts w:ascii="Arial" w:hAnsi="Arial" w:cs="Arial"/>
          <w:color w:val="auto"/>
          <w:szCs w:val="21"/>
          <w:highlight w:val="none"/>
        </w:rPr>
      </w:pPr>
      <w:r>
        <w:rPr>
          <w:rFonts w:hint="eastAsia" w:ascii="Arial" w:hAnsi="Arial" w:cs="Arial"/>
          <w:color w:val="auto"/>
          <w:szCs w:val="21"/>
          <w:highlight w:val="none"/>
        </w:rPr>
        <w:t>4</w:t>
      </w:r>
      <w:r>
        <w:rPr>
          <w:rFonts w:ascii="Arial" w:hAnsi="Arial" w:cs="Arial"/>
          <w:color w:val="auto"/>
          <w:szCs w:val="21"/>
          <w:highlight w:val="none"/>
        </w:rPr>
        <w:t>.“政采云”平台电子投标相关事宜：</w:t>
      </w:r>
    </w:p>
    <w:p>
      <w:pPr>
        <w:snapToGrid w:val="0"/>
        <w:spacing w:line="300" w:lineRule="auto"/>
        <w:ind w:firstLine="420" w:firstLineChars="200"/>
        <w:rPr>
          <w:rFonts w:ascii="Arial" w:hAnsi="Arial" w:cs="Arial"/>
          <w:color w:val="auto"/>
          <w:szCs w:val="21"/>
          <w:highlight w:val="none"/>
        </w:rPr>
      </w:pPr>
      <w:r>
        <w:rPr>
          <w:rFonts w:ascii="Arial" w:hAnsi="Arial" w:cs="Arial"/>
          <w:color w:val="auto"/>
          <w:kern w:val="0"/>
          <w:szCs w:val="21"/>
          <w:highlight w:val="none"/>
        </w:rPr>
        <w:t>（1）</w:t>
      </w:r>
      <w:r>
        <w:rPr>
          <w:rFonts w:ascii="Arial" w:hAnsi="Arial" w:cs="Arial"/>
          <w:color w:val="auto"/>
          <w:szCs w:val="21"/>
          <w:highlight w:val="none"/>
        </w:rPr>
        <w:t>未进行网上注册并办理数字证书（CA认证）的供应商将无法参与本项目政府采购活动，潜在供应商应当在响应截止时间前，完成</w:t>
      </w:r>
      <w:r>
        <w:rPr>
          <w:rFonts w:hint="eastAsia" w:ascii="Arial" w:hAnsi="Arial" w:cs="Arial"/>
          <w:color w:val="auto"/>
          <w:szCs w:val="21"/>
          <w:highlight w:val="none"/>
        </w:rPr>
        <w:t>广西政府采购云平台</w:t>
      </w:r>
      <w:r>
        <w:rPr>
          <w:rFonts w:ascii="Arial" w:hAnsi="Arial" w:cs="Arial"/>
          <w:color w:val="auto"/>
          <w:szCs w:val="21"/>
          <w:highlight w:val="none"/>
        </w:rPr>
        <w:t>上的CA数字证书办理及投标文件的提交。完成CA数字证书办理预计7日左右，建议各供应商抓紧时间办理。</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szCs w:val="21"/>
          <w:highlight w:val="none"/>
        </w:rPr>
        <w:t>（2）为确保网上操作合法、有效和安全，请供应商确保在电子投标过程中能够对相关数据电文进行加密和使用电子签章，妥善保管CA数字证书并使用有效的CA数字证书参与整个招标活动。</w:t>
      </w:r>
    </w:p>
    <w:p>
      <w:pPr>
        <w:snapToGrid w:val="0"/>
        <w:spacing w:line="300" w:lineRule="auto"/>
        <w:ind w:firstLine="420" w:firstLineChars="200"/>
        <w:rPr>
          <w:rFonts w:ascii="Arial" w:hAnsi="Arial" w:cs="Arial"/>
          <w:color w:val="auto"/>
          <w:kern w:val="0"/>
          <w:szCs w:val="21"/>
          <w:highlight w:val="none"/>
        </w:rPr>
      </w:pPr>
      <w:r>
        <w:rPr>
          <w:rFonts w:ascii="Arial" w:hAnsi="Arial" w:cs="Arial"/>
          <w:color w:val="auto"/>
          <w:kern w:val="0"/>
          <w:szCs w:val="21"/>
          <w:highlight w:val="none"/>
        </w:rPr>
        <w:t>（3）若对项目采购电子交易系统操作有疑问，可登录“政采云”平台（</w:t>
      </w:r>
      <w:r>
        <w:rPr>
          <w:rFonts w:hint="eastAsia" w:ascii="Arial" w:hAnsi="Arial" w:cs="Arial"/>
          <w:color w:val="auto"/>
          <w:kern w:val="0"/>
          <w:szCs w:val="21"/>
          <w:highlight w:val="none"/>
        </w:rPr>
        <w:t>https://www.gcy.zfcg.gxzf.gov.cn/</w:t>
      </w:r>
      <w:r>
        <w:rPr>
          <w:rFonts w:ascii="Arial" w:hAnsi="Arial" w:cs="Arial"/>
          <w:color w:val="auto"/>
          <w:kern w:val="0"/>
          <w:szCs w:val="21"/>
          <w:highlight w:val="none"/>
        </w:rPr>
        <w:t>），点击右侧咨询小采获取采小蜜智能服务管家帮助或点击右侧帮助文档查看供应商指南或拨打政采云服务热线95763获取热线服务帮助。</w:t>
      </w:r>
    </w:p>
    <w:p>
      <w:pPr>
        <w:spacing w:line="312" w:lineRule="auto"/>
        <w:ind w:firstLine="442" w:firstLineChars="200"/>
        <w:jc w:val="left"/>
        <w:rPr>
          <w:rFonts w:ascii="Arial" w:hAnsi="Arial" w:cs="Arial"/>
          <w:b/>
          <w:bCs/>
          <w:color w:val="auto"/>
          <w:kern w:val="0"/>
          <w:sz w:val="22"/>
          <w:szCs w:val="22"/>
          <w:highlight w:val="none"/>
        </w:rPr>
      </w:pPr>
      <w:r>
        <w:rPr>
          <w:rFonts w:ascii="Arial" w:hAnsi="Arial" w:cs="Arial"/>
          <w:b/>
          <w:bCs/>
          <w:color w:val="auto"/>
          <w:kern w:val="0"/>
          <w:sz w:val="22"/>
          <w:szCs w:val="22"/>
          <w:highlight w:val="none"/>
        </w:rPr>
        <w:t>七、对本次招标提出询问，请按以下方式联系</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1、采购人信息</w:t>
      </w:r>
    </w:p>
    <w:p>
      <w:pPr>
        <w:spacing w:line="312" w:lineRule="auto"/>
        <w:ind w:firstLine="420" w:firstLineChars="200"/>
        <w:jc w:val="left"/>
        <w:rPr>
          <w:rFonts w:ascii="Arial" w:hAnsi="Arial" w:cs="Arial"/>
          <w:color w:val="auto"/>
          <w:kern w:val="0"/>
          <w:szCs w:val="21"/>
          <w:highlight w:val="none"/>
          <w:u w:val="single"/>
        </w:rPr>
      </w:pPr>
      <w:r>
        <w:rPr>
          <w:rFonts w:ascii="Arial" w:hAnsi="Arial" w:cs="Arial"/>
          <w:color w:val="auto"/>
          <w:kern w:val="0"/>
          <w:szCs w:val="21"/>
          <w:highlight w:val="none"/>
        </w:rPr>
        <w:t>名称：</w:t>
      </w:r>
      <w:r>
        <w:rPr>
          <w:rFonts w:ascii="Arial" w:hAnsi="Arial" w:cs="Arial"/>
          <w:color w:val="auto"/>
          <w:kern w:val="0"/>
          <w:szCs w:val="21"/>
          <w:highlight w:val="none"/>
          <w:u w:val="single"/>
        </w:rPr>
        <w:t>桂林医学院附属医院</w:t>
      </w:r>
    </w:p>
    <w:p>
      <w:pPr>
        <w:widowControl/>
        <w:spacing w:line="288" w:lineRule="auto"/>
        <w:ind w:left="420" w:leftChars="200"/>
        <w:jc w:val="left"/>
        <w:rPr>
          <w:rFonts w:ascii="Arial" w:hAnsi="Arial" w:cs="Arial"/>
          <w:color w:val="auto"/>
          <w:kern w:val="0"/>
          <w:szCs w:val="21"/>
          <w:highlight w:val="none"/>
        </w:rPr>
      </w:pPr>
      <w:r>
        <w:rPr>
          <w:rFonts w:ascii="Arial" w:hAnsi="Arial" w:cs="Arial"/>
          <w:color w:val="auto"/>
          <w:kern w:val="0"/>
          <w:szCs w:val="21"/>
          <w:highlight w:val="none"/>
        </w:rPr>
        <w:t>地址：</w:t>
      </w:r>
      <w:r>
        <w:rPr>
          <w:rFonts w:ascii="Arial" w:hAnsi="Arial" w:cs="Arial"/>
          <w:color w:val="auto"/>
          <w:kern w:val="0"/>
          <w:szCs w:val="21"/>
          <w:highlight w:val="none"/>
          <w:u w:val="single"/>
        </w:rPr>
        <w:t>桂林市秀峰区乐群路15号</w:t>
      </w:r>
    </w:p>
    <w:p>
      <w:pPr>
        <w:widowControl/>
        <w:spacing w:line="288" w:lineRule="auto"/>
        <w:ind w:left="420" w:leftChars="200"/>
        <w:jc w:val="left"/>
        <w:rPr>
          <w:rFonts w:ascii="Arial" w:hAnsi="Arial" w:cs="Arial"/>
          <w:color w:val="auto"/>
          <w:kern w:val="0"/>
          <w:szCs w:val="21"/>
          <w:highlight w:val="none"/>
        </w:rPr>
      </w:pPr>
      <w:r>
        <w:rPr>
          <w:rFonts w:ascii="Arial" w:hAnsi="Arial" w:cs="Arial"/>
          <w:color w:val="auto"/>
          <w:kern w:val="0"/>
          <w:szCs w:val="21"/>
          <w:highlight w:val="none"/>
        </w:rPr>
        <w:t>项目联系人：</w:t>
      </w:r>
      <w:r>
        <w:rPr>
          <w:rFonts w:ascii="Arial" w:hAnsi="Arial" w:cs="Arial"/>
          <w:color w:val="auto"/>
          <w:kern w:val="0"/>
          <w:szCs w:val="21"/>
          <w:highlight w:val="none"/>
          <w:u w:val="single"/>
        </w:rPr>
        <w:t>蒋</w:t>
      </w:r>
      <w:r>
        <w:rPr>
          <w:rFonts w:hint="eastAsia" w:ascii="Arial" w:hAnsi="Arial" w:cs="Arial"/>
          <w:color w:val="auto"/>
          <w:kern w:val="0"/>
          <w:szCs w:val="21"/>
          <w:highlight w:val="none"/>
          <w:u w:val="single"/>
        </w:rPr>
        <w:t>老师</w:t>
      </w:r>
    </w:p>
    <w:p>
      <w:pPr>
        <w:widowControl/>
        <w:spacing w:line="288" w:lineRule="auto"/>
        <w:ind w:left="420" w:leftChars="200"/>
        <w:jc w:val="left"/>
        <w:rPr>
          <w:rFonts w:ascii="Arial" w:hAnsi="Arial" w:cs="Arial"/>
          <w:color w:val="auto"/>
          <w:kern w:val="0"/>
          <w:szCs w:val="21"/>
          <w:highlight w:val="none"/>
          <w:u w:val="single"/>
        </w:rPr>
      </w:pPr>
      <w:r>
        <w:rPr>
          <w:rFonts w:ascii="Arial" w:hAnsi="Arial" w:cs="Arial"/>
          <w:color w:val="auto"/>
          <w:kern w:val="0"/>
          <w:szCs w:val="21"/>
          <w:highlight w:val="none"/>
        </w:rPr>
        <w:t>项目联系方式：</w:t>
      </w:r>
      <w:r>
        <w:rPr>
          <w:rFonts w:ascii="Arial" w:hAnsi="Arial" w:cs="Arial"/>
          <w:color w:val="auto"/>
          <w:kern w:val="0"/>
          <w:szCs w:val="21"/>
          <w:highlight w:val="none"/>
          <w:u w:val="single"/>
        </w:rPr>
        <w:t>0773-2802050</w:t>
      </w:r>
    </w:p>
    <w:p>
      <w:pPr>
        <w:widowControl/>
        <w:spacing w:line="288" w:lineRule="auto"/>
        <w:ind w:left="420" w:leftChars="200"/>
        <w:jc w:val="left"/>
        <w:rPr>
          <w:rFonts w:ascii="Arial" w:hAnsi="Arial" w:cs="Arial"/>
          <w:color w:val="auto"/>
          <w:kern w:val="0"/>
          <w:szCs w:val="21"/>
          <w:highlight w:val="none"/>
        </w:rPr>
      </w:pPr>
      <w:r>
        <w:rPr>
          <w:rFonts w:hint="eastAsia" w:ascii="Arial" w:hAnsi="Arial" w:cs="Arial"/>
          <w:color w:val="auto"/>
          <w:kern w:val="0"/>
          <w:szCs w:val="21"/>
          <w:highlight w:val="none"/>
        </w:rPr>
        <w:t>邮箱</w:t>
      </w:r>
      <w:r>
        <w:rPr>
          <w:rFonts w:ascii="Arial" w:hAnsi="Arial" w:cs="Arial"/>
          <w:color w:val="auto"/>
          <w:kern w:val="0"/>
          <w:szCs w:val="21"/>
          <w:highlight w:val="none"/>
        </w:rPr>
        <w:t>：</w:t>
      </w:r>
      <w:r>
        <w:rPr>
          <w:rFonts w:hint="eastAsia" w:ascii="Arial" w:hAnsi="Arial" w:cs="Arial"/>
          <w:color w:val="auto"/>
          <w:kern w:val="0"/>
          <w:szCs w:val="21"/>
          <w:highlight w:val="none"/>
        </w:rPr>
        <w:t>gyzbcg@163.com</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2、采购代理机构信息</w:t>
      </w:r>
    </w:p>
    <w:p>
      <w:pPr>
        <w:spacing w:line="312" w:lineRule="auto"/>
        <w:ind w:firstLine="420" w:firstLineChars="200"/>
        <w:jc w:val="left"/>
        <w:rPr>
          <w:rFonts w:ascii="Arial" w:hAnsi="Arial" w:cs="Arial"/>
          <w:color w:val="auto"/>
          <w:kern w:val="0"/>
          <w:szCs w:val="21"/>
          <w:highlight w:val="none"/>
          <w:u w:val="single"/>
        </w:rPr>
      </w:pPr>
      <w:r>
        <w:rPr>
          <w:rFonts w:ascii="Arial" w:hAnsi="Arial" w:cs="Arial"/>
          <w:color w:val="auto"/>
          <w:kern w:val="0"/>
          <w:szCs w:val="21"/>
          <w:highlight w:val="none"/>
        </w:rPr>
        <w:t>名称：</w:t>
      </w:r>
      <w:r>
        <w:rPr>
          <w:rFonts w:ascii="Arial" w:hAnsi="Arial" w:cs="Arial"/>
          <w:color w:val="auto"/>
          <w:kern w:val="0"/>
          <w:szCs w:val="21"/>
          <w:highlight w:val="none"/>
          <w:u w:val="single"/>
        </w:rPr>
        <w:t>广西机电设备招标有限公司</w:t>
      </w:r>
    </w:p>
    <w:p>
      <w:pPr>
        <w:spacing w:line="312" w:lineRule="auto"/>
        <w:ind w:firstLine="420" w:firstLineChars="200"/>
        <w:jc w:val="left"/>
        <w:rPr>
          <w:rFonts w:ascii="Arial" w:hAnsi="Arial" w:cs="Arial"/>
          <w:color w:val="auto"/>
          <w:kern w:val="0"/>
          <w:szCs w:val="21"/>
          <w:highlight w:val="none"/>
          <w:u w:val="single"/>
        </w:rPr>
      </w:pPr>
      <w:r>
        <w:rPr>
          <w:rFonts w:ascii="Arial" w:hAnsi="Arial" w:cs="Arial"/>
          <w:color w:val="auto"/>
          <w:kern w:val="0"/>
          <w:szCs w:val="21"/>
          <w:highlight w:val="none"/>
        </w:rPr>
        <w:t>地址：</w:t>
      </w:r>
      <w:r>
        <w:rPr>
          <w:rFonts w:ascii="Arial" w:hAnsi="Arial" w:cs="Arial"/>
          <w:color w:val="auto"/>
          <w:kern w:val="0"/>
          <w:szCs w:val="21"/>
          <w:highlight w:val="none"/>
          <w:u w:val="single"/>
        </w:rPr>
        <w:t>桂林市骖鸾路31号湘商大厦6楼603（桂林分公司）</w:t>
      </w:r>
    </w:p>
    <w:p>
      <w:pPr>
        <w:spacing w:line="312" w:lineRule="auto"/>
        <w:ind w:firstLine="420" w:firstLineChars="200"/>
        <w:jc w:val="left"/>
        <w:rPr>
          <w:rFonts w:ascii="Arial" w:hAnsi="Arial" w:cs="Arial"/>
          <w:color w:val="auto"/>
          <w:kern w:val="0"/>
          <w:szCs w:val="21"/>
          <w:highlight w:val="none"/>
          <w:u w:val="single"/>
        </w:rPr>
      </w:pPr>
      <w:r>
        <w:rPr>
          <w:rFonts w:ascii="Arial" w:hAnsi="Arial" w:cs="Arial"/>
          <w:color w:val="auto"/>
          <w:kern w:val="0"/>
          <w:szCs w:val="21"/>
          <w:highlight w:val="none"/>
        </w:rPr>
        <w:t>项目联系人：</w:t>
      </w:r>
      <w:r>
        <w:rPr>
          <w:rFonts w:ascii="Arial" w:hAnsi="Arial" w:cs="Arial"/>
          <w:color w:val="auto"/>
          <w:kern w:val="0"/>
          <w:szCs w:val="21"/>
          <w:highlight w:val="none"/>
          <w:u w:val="single"/>
        </w:rPr>
        <w:t>曾昭卉</w:t>
      </w:r>
    </w:p>
    <w:p>
      <w:pPr>
        <w:spacing w:line="312" w:lineRule="auto"/>
        <w:ind w:firstLine="420" w:firstLineChars="200"/>
        <w:jc w:val="left"/>
        <w:rPr>
          <w:rFonts w:ascii="Arial" w:hAnsi="Arial" w:cs="Arial"/>
          <w:color w:val="auto"/>
          <w:kern w:val="0"/>
          <w:szCs w:val="21"/>
          <w:highlight w:val="none"/>
        </w:rPr>
      </w:pPr>
      <w:r>
        <w:rPr>
          <w:rFonts w:ascii="Arial" w:hAnsi="Arial" w:cs="Arial"/>
          <w:color w:val="auto"/>
          <w:kern w:val="0"/>
          <w:szCs w:val="21"/>
          <w:highlight w:val="none"/>
        </w:rPr>
        <w:t>联系方式：</w:t>
      </w:r>
      <w:r>
        <w:rPr>
          <w:rFonts w:ascii="Arial" w:hAnsi="Arial" w:cs="Arial"/>
          <w:color w:val="auto"/>
          <w:kern w:val="0"/>
          <w:szCs w:val="21"/>
          <w:highlight w:val="none"/>
          <w:u w:val="single"/>
        </w:rPr>
        <w:t xml:space="preserve"> </w:t>
      </w:r>
      <w:r>
        <w:rPr>
          <w:rFonts w:hint="eastAsia" w:ascii="Arial" w:hAnsi="Arial" w:cs="Arial"/>
          <w:color w:val="auto"/>
          <w:kern w:val="0"/>
          <w:szCs w:val="21"/>
          <w:highlight w:val="none"/>
          <w:u w:val="single"/>
        </w:rPr>
        <w:t>0773-3696789转2</w:t>
      </w:r>
      <w:r>
        <w:rPr>
          <w:rFonts w:ascii="Arial" w:hAnsi="Arial" w:cs="Arial"/>
          <w:color w:val="auto"/>
          <w:kern w:val="0"/>
          <w:szCs w:val="21"/>
          <w:highlight w:val="none"/>
          <w:u w:val="single"/>
        </w:rPr>
        <w:t xml:space="preserve"> </w:t>
      </w:r>
      <w:r>
        <w:rPr>
          <w:rFonts w:ascii="Arial" w:hAnsi="Arial" w:cs="Arial"/>
          <w:color w:val="auto"/>
          <w:kern w:val="0"/>
          <w:szCs w:val="21"/>
          <w:highlight w:val="none"/>
        </w:rPr>
        <w:t xml:space="preserve"> </w:t>
      </w:r>
    </w:p>
    <w:p>
      <w:pPr>
        <w:spacing w:line="312" w:lineRule="auto"/>
        <w:ind w:firstLine="360" w:firstLineChars="200"/>
        <w:jc w:val="right"/>
        <w:rPr>
          <w:rFonts w:ascii="Arial" w:hAnsi="Arial" w:cs="Arial"/>
          <w:color w:val="auto"/>
          <w:kern w:val="0"/>
          <w:sz w:val="18"/>
          <w:szCs w:val="18"/>
          <w:highlight w:val="none"/>
        </w:rPr>
      </w:pPr>
    </w:p>
    <w:p>
      <w:pPr>
        <w:spacing w:line="288" w:lineRule="auto"/>
        <w:ind w:firstLine="420" w:firstLineChars="200"/>
        <w:jc w:val="right"/>
        <w:rPr>
          <w:rFonts w:ascii="Arial" w:hAnsi="Arial" w:cs="Arial"/>
          <w:color w:val="auto"/>
          <w:szCs w:val="21"/>
          <w:highlight w:val="none"/>
        </w:rPr>
      </w:pPr>
      <w:bookmarkStart w:id="15" w:name="_Hlk86933897"/>
      <w:bookmarkStart w:id="16" w:name="_Hlk74218063"/>
      <w:r>
        <w:rPr>
          <w:rFonts w:ascii="Arial" w:hAnsi="Arial" w:cs="Arial"/>
          <w:color w:val="auto"/>
          <w:szCs w:val="21"/>
          <w:highlight w:val="none"/>
        </w:rPr>
        <w:t>广西机电设备招标有限公司</w:t>
      </w:r>
    </w:p>
    <w:bookmarkEnd w:id="15"/>
    <w:bookmarkEnd w:id="16"/>
    <w:p>
      <w:pPr>
        <w:jc w:val="right"/>
        <w:rPr>
          <w:color w:val="auto"/>
          <w:highlight w:val="none"/>
        </w:rPr>
        <w:sectPr>
          <w:headerReference r:id="rId10" w:type="first"/>
          <w:footerReference r:id="rId12" w:type="first"/>
          <w:headerReference r:id="rId9" w:type="default"/>
          <w:footerReference r:id="rId11" w:type="default"/>
          <w:pgSz w:w="11906" w:h="16838"/>
          <w:pgMar w:top="993" w:right="1133" w:bottom="1246" w:left="1418" w:header="851" w:footer="992" w:gutter="0"/>
          <w:pgNumType w:start="1"/>
          <w:cols w:space="720" w:num="1"/>
          <w:titlePg/>
          <w:docGrid w:linePitch="312" w:charSpace="0"/>
        </w:sectPr>
      </w:pPr>
      <w:r>
        <w:rPr>
          <w:rFonts w:hint="eastAsia"/>
          <w:color w:val="auto"/>
          <w:highlight w:val="none"/>
        </w:rPr>
        <w:t>2024年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p>
    <w:p>
      <w:pPr>
        <w:pStyle w:val="28"/>
        <w:snapToGrid w:val="0"/>
        <w:spacing w:before="120" w:after="120" w:line="320" w:lineRule="exact"/>
        <w:jc w:val="center"/>
        <w:outlineLvl w:val="0"/>
        <w:rPr>
          <w:rFonts w:ascii="Arial" w:hAnsi="Arial" w:cs="Arial"/>
          <w:color w:val="auto"/>
          <w:sz w:val="32"/>
          <w:szCs w:val="32"/>
          <w:highlight w:val="none"/>
        </w:rPr>
      </w:pPr>
      <w:r>
        <w:rPr>
          <w:rFonts w:ascii="Arial" w:hAnsi="Arial" w:cs="Arial"/>
          <w:color w:val="auto"/>
          <w:highlight w:val="none"/>
        </w:rPr>
        <w:br w:type="page"/>
      </w:r>
      <w:bookmarkEnd w:id="11"/>
      <w:bookmarkEnd w:id="12"/>
      <w:bookmarkStart w:id="17" w:name="_Toc30557"/>
      <w:r>
        <w:rPr>
          <w:rFonts w:ascii="Arial" w:hAnsi="Arial" w:cs="Arial"/>
          <w:color w:val="auto"/>
          <w:sz w:val="32"/>
          <w:szCs w:val="32"/>
          <w:highlight w:val="none"/>
        </w:rPr>
        <w:t>第二章  项目采购需求</w:t>
      </w:r>
      <w:bookmarkEnd w:id="17"/>
    </w:p>
    <w:p>
      <w:pPr>
        <w:spacing w:line="360" w:lineRule="auto"/>
        <w:rPr>
          <w:rFonts w:ascii="Arial" w:hAnsi="Arial" w:cs="Arial"/>
          <w:b/>
          <w:color w:val="auto"/>
          <w:kern w:val="0"/>
          <w:sz w:val="28"/>
          <w:szCs w:val="28"/>
          <w:highlight w:val="none"/>
        </w:rPr>
      </w:pPr>
      <w:bookmarkStart w:id="18" w:name="_Toc254970490"/>
      <w:bookmarkStart w:id="19" w:name="_Toc254970631"/>
      <w:r>
        <w:rPr>
          <w:rFonts w:ascii="Arial" w:hAnsi="Arial" w:cs="Arial"/>
          <w:b/>
          <w:color w:val="auto"/>
          <w:kern w:val="0"/>
          <w:sz w:val="28"/>
          <w:szCs w:val="28"/>
          <w:highlight w:val="none"/>
        </w:rPr>
        <w:t>一、总体要求</w:t>
      </w:r>
    </w:p>
    <w:p>
      <w:pPr>
        <w:spacing w:line="360" w:lineRule="auto"/>
        <w:rPr>
          <w:rFonts w:ascii="Arial" w:hAnsi="Arial" w:cs="Arial"/>
          <w:color w:val="auto"/>
          <w:szCs w:val="21"/>
          <w:highlight w:val="none"/>
        </w:rPr>
      </w:pPr>
      <w:r>
        <w:rPr>
          <w:rFonts w:ascii="Arial" w:hAnsi="Arial" w:cs="Arial"/>
          <w:color w:val="auto"/>
          <w:szCs w:val="21"/>
          <w:highlight w:val="none"/>
        </w:rPr>
        <w:t>1.需实现的功能、目标及应用场景</w:t>
      </w:r>
    </w:p>
    <w:p>
      <w:pPr>
        <w:spacing w:line="360" w:lineRule="auto"/>
        <w:rPr>
          <w:rFonts w:ascii="Arial" w:hAnsi="Arial" w:cs="Arial"/>
          <w:color w:val="auto"/>
          <w:szCs w:val="21"/>
          <w:highlight w:val="none"/>
        </w:rPr>
      </w:pPr>
      <w:r>
        <w:rPr>
          <w:rFonts w:ascii="Arial" w:hAnsi="Arial" w:cs="Arial"/>
          <w:color w:val="auto"/>
          <w:szCs w:val="21"/>
          <w:highlight w:val="none"/>
        </w:rPr>
        <w:t>满足采购文件要求，验收达到合格标准。</w:t>
      </w:r>
    </w:p>
    <w:p>
      <w:pPr>
        <w:spacing w:line="360" w:lineRule="auto"/>
        <w:rPr>
          <w:rFonts w:ascii="Arial" w:hAnsi="Arial" w:cs="Arial"/>
          <w:color w:val="auto"/>
          <w:szCs w:val="21"/>
          <w:highlight w:val="none"/>
        </w:rPr>
      </w:pPr>
      <w:r>
        <w:rPr>
          <w:rFonts w:ascii="Arial" w:hAnsi="Arial" w:cs="Arial"/>
          <w:color w:val="auto"/>
          <w:szCs w:val="21"/>
          <w:highlight w:val="none"/>
        </w:rPr>
        <w:t>2.政府采购政策的应用</w:t>
      </w:r>
    </w:p>
    <w:p>
      <w:pPr>
        <w:spacing w:line="360" w:lineRule="auto"/>
        <w:rPr>
          <w:rFonts w:ascii="Arial" w:hAnsi="Arial" w:cs="Arial"/>
          <w:color w:val="auto"/>
          <w:szCs w:val="21"/>
          <w:highlight w:val="none"/>
        </w:rPr>
      </w:pPr>
      <w:r>
        <w:rPr>
          <w:rFonts w:ascii="Arial" w:hAnsi="Arial" w:cs="Arial"/>
          <w:color w:val="auto"/>
          <w:szCs w:val="21"/>
          <w:highlight w:val="none"/>
        </w:rPr>
        <w:t>详见采购文件“评标方法及评标标准/政府采购政策应用说明”。</w:t>
      </w:r>
    </w:p>
    <w:p>
      <w:pPr>
        <w:spacing w:line="360" w:lineRule="auto"/>
        <w:rPr>
          <w:rFonts w:ascii="Arial" w:hAnsi="Arial" w:cs="Arial"/>
          <w:color w:val="auto"/>
          <w:szCs w:val="21"/>
          <w:highlight w:val="none"/>
        </w:rPr>
      </w:pPr>
      <w:r>
        <w:rPr>
          <w:rFonts w:ascii="Arial" w:hAnsi="Arial" w:cs="Arial"/>
          <w:color w:val="auto"/>
          <w:szCs w:val="21"/>
          <w:highlight w:val="none"/>
        </w:rPr>
        <w:t>3.是否接受进口产品：</w:t>
      </w:r>
    </w:p>
    <w:p>
      <w:pPr>
        <w:spacing w:line="360" w:lineRule="auto"/>
        <w:rPr>
          <w:rFonts w:ascii="Arial" w:hAnsi="Arial" w:cs="Arial"/>
          <w:b/>
          <w:bCs/>
          <w:color w:val="auto"/>
          <w:sz w:val="32"/>
          <w:szCs w:val="32"/>
          <w:highlight w:val="none"/>
        </w:rPr>
      </w:pPr>
      <w:r>
        <w:rPr>
          <w:rFonts w:hint="eastAsia" w:ascii="Arial" w:hAnsi="Arial" w:cs="Arial"/>
          <w:b/>
          <w:bCs/>
          <w:color w:val="auto"/>
          <w:sz w:val="28"/>
          <w:szCs w:val="28"/>
          <w:highlight w:val="none"/>
        </w:rPr>
        <w:t>本项目不接受进口产品</w:t>
      </w:r>
      <w:r>
        <w:rPr>
          <w:rFonts w:ascii="Arial" w:hAnsi="Arial" w:cs="Arial"/>
          <w:b/>
          <w:bCs/>
          <w:color w:val="auto"/>
          <w:sz w:val="28"/>
          <w:szCs w:val="28"/>
          <w:highlight w:val="none"/>
        </w:rPr>
        <w:t>。</w:t>
      </w:r>
    </w:p>
    <w:p>
      <w:pPr>
        <w:spacing w:line="360" w:lineRule="auto"/>
        <w:rPr>
          <w:rFonts w:ascii="Arial" w:hAnsi="Arial" w:cs="Arial"/>
          <w:color w:val="auto"/>
          <w:szCs w:val="21"/>
          <w:highlight w:val="none"/>
        </w:rPr>
      </w:pPr>
      <w:r>
        <w:rPr>
          <w:rFonts w:ascii="Arial" w:hAnsi="Arial" w:cs="Arial"/>
          <w:color w:val="auto"/>
          <w:szCs w:val="21"/>
          <w:highlight w:val="none"/>
        </w:rPr>
        <w:t>4.需执行的国家相关标准、行业标准、地方标准或者其他标准、规范</w:t>
      </w:r>
    </w:p>
    <w:p>
      <w:pPr>
        <w:spacing w:line="360" w:lineRule="auto"/>
        <w:rPr>
          <w:rFonts w:ascii="Arial" w:hAnsi="Arial" w:cs="Arial"/>
          <w:color w:val="auto"/>
          <w:szCs w:val="21"/>
          <w:highlight w:val="none"/>
          <w:u w:val="single"/>
        </w:rPr>
      </w:pPr>
      <w:r>
        <w:rPr>
          <w:rFonts w:ascii="Arial" w:hAnsi="Arial" w:cs="Arial"/>
          <w:color w:val="auto"/>
          <w:szCs w:val="21"/>
          <w:highlight w:val="none"/>
        </w:rPr>
        <w:t>（1）本项目应执行的国家相关标准、行业标准、地方标准或者其他标准、规范为：</w:t>
      </w:r>
      <w:r>
        <w:rPr>
          <w:rFonts w:ascii="Arial" w:hAnsi="Arial" w:cs="Arial"/>
          <w:color w:val="auto"/>
          <w:szCs w:val="21"/>
          <w:highlight w:val="none"/>
          <w:u w:val="single"/>
        </w:rPr>
        <w:t xml:space="preserve">     /          </w:t>
      </w:r>
    </w:p>
    <w:p>
      <w:pPr>
        <w:spacing w:line="360" w:lineRule="auto"/>
        <w:rPr>
          <w:rFonts w:ascii="Arial" w:hAnsi="Arial" w:cs="Arial"/>
          <w:color w:val="auto"/>
          <w:szCs w:val="21"/>
          <w:highlight w:val="none"/>
        </w:rPr>
      </w:pPr>
      <w:r>
        <w:rPr>
          <w:rFonts w:ascii="Arial" w:hAnsi="Arial" w:cs="Arial"/>
          <w:color w:val="auto"/>
          <w:szCs w:val="21"/>
          <w:highlight w:val="none"/>
        </w:rPr>
        <w:t>（2）如技术要求/服务要求与上述标准、规范不一致的，高于标准、规范的按技术要求执行，低于标准、规范的按标准、规范执行。</w:t>
      </w:r>
    </w:p>
    <w:p>
      <w:pPr>
        <w:spacing w:line="360" w:lineRule="auto"/>
        <w:rPr>
          <w:rFonts w:ascii="Arial" w:hAnsi="Arial" w:cs="Arial"/>
          <w:b/>
          <w:bCs/>
          <w:color w:val="auto"/>
          <w:szCs w:val="21"/>
          <w:highlight w:val="none"/>
        </w:rPr>
      </w:pPr>
      <w:r>
        <w:rPr>
          <w:rFonts w:ascii="Arial" w:hAnsi="Arial" w:cs="Arial"/>
          <w:b/>
          <w:bCs/>
          <w:color w:val="auto"/>
          <w:szCs w:val="21"/>
          <w:highlight w:val="none"/>
        </w:rPr>
        <w:t>5.标注“▲”的条款或要求系指实质性条款或实质性要求，必须满足，如存在负偏离将导致投标被否决。</w:t>
      </w:r>
    </w:p>
    <w:p>
      <w:pPr>
        <w:spacing w:line="360" w:lineRule="auto"/>
        <w:rPr>
          <w:rFonts w:ascii="Arial" w:hAnsi="Arial" w:cs="Arial"/>
          <w:color w:val="auto"/>
          <w:szCs w:val="21"/>
          <w:highlight w:val="none"/>
        </w:rPr>
      </w:pPr>
      <w:r>
        <w:rPr>
          <w:rFonts w:ascii="Arial" w:hAnsi="Arial" w:cs="Arial"/>
          <w:color w:val="auto"/>
          <w:szCs w:val="21"/>
          <w:highlight w:val="none"/>
        </w:rPr>
        <w:t>6.采购需求要求未尽事宜由采购人与中标供应商在采购合同中约定。</w:t>
      </w:r>
    </w:p>
    <w:p>
      <w:pPr>
        <w:spacing w:line="360" w:lineRule="auto"/>
        <w:jc w:val="left"/>
        <w:rPr>
          <w:rFonts w:ascii="Arial" w:hAnsi="Arial" w:cs="Arial"/>
          <w:b/>
          <w:color w:val="auto"/>
          <w:kern w:val="0"/>
          <w:sz w:val="28"/>
          <w:szCs w:val="28"/>
          <w:highlight w:val="none"/>
        </w:rPr>
      </w:pPr>
      <w:r>
        <w:rPr>
          <w:rFonts w:ascii="Arial" w:hAnsi="Arial" w:cs="Arial"/>
          <w:b/>
          <w:color w:val="auto"/>
          <w:kern w:val="0"/>
          <w:sz w:val="28"/>
          <w:szCs w:val="28"/>
          <w:highlight w:val="none"/>
        </w:rPr>
        <w:t>二、技术要求</w:t>
      </w:r>
    </w:p>
    <w:p>
      <w:pPr>
        <w:spacing w:line="360" w:lineRule="auto"/>
        <w:rPr>
          <w:rFonts w:ascii="Arial" w:hAnsi="Arial" w:cs="Arial"/>
          <w:color w:val="auto"/>
          <w:szCs w:val="21"/>
          <w:highlight w:val="none"/>
        </w:rPr>
      </w:pPr>
      <w:r>
        <w:rPr>
          <w:rFonts w:ascii="Arial" w:hAnsi="Arial" w:cs="Arial"/>
          <w:color w:val="auto"/>
          <w:szCs w:val="21"/>
          <w:highlight w:val="none"/>
        </w:rPr>
        <w:t>1.一般说明</w:t>
      </w:r>
    </w:p>
    <w:p>
      <w:pPr>
        <w:spacing w:line="360" w:lineRule="auto"/>
        <w:rPr>
          <w:rFonts w:ascii="Arial" w:hAnsi="Arial" w:cs="Arial"/>
          <w:color w:val="auto"/>
          <w:szCs w:val="21"/>
          <w:highlight w:val="none"/>
        </w:rPr>
      </w:pPr>
      <w:r>
        <w:rPr>
          <w:rFonts w:ascii="Arial" w:hAnsi="Arial" w:cs="Arial"/>
          <w:color w:val="auto"/>
          <w:szCs w:val="21"/>
          <w:highlight w:val="none"/>
        </w:rPr>
        <w:t>（1）本表中如提及品牌型号，仅起参考作用。供应商可选用其他品牌型号替代，但这些替代的品牌型号要实质上参照或相当于或优于参考品牌型号及其技术参数性能（配置）要求。</w:t>
      </w:r>
    </w:p>
    <w:p>
      <w:pPr>
        <w:spacing w:line="360" w:lineRule="auto"/>
        <w:rPr>
          <w:rFonts w:ascii="Arial" w:hAnsi="Arial" w:cs="Arial"/>
          <w:color w:val="auto"/>
          <w:szCs w:val="21"/>
          <w:highlight w:val="none"/>
        </w:rPr>
      </w:pPr>
      <w:r>
        <w:rPr>
          <w:rFonts w:ascii="Arial" w:hAnsi="Arial" w:cs="Arial"/>
          <w:color w:val="auto"/>
          <w:szCs w:val="21"/>
          <w:highlight w:val="none"/>
        </w:rPr>
        <w:t>（2）如要求提供检测报告的，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p>
      <w:pPr>
        <w:spacing w:line="360" w:lineRule="auto"/>
        <w:rPr>
          <w:rFonts w:ascii="Arial" w:hAnsi="Arial" w:cs="Arial"/>
          <w:b/>
          <w:bCs/>
          <w:color w:val="auto"/>
          <w:szCs w:val="21"/>
          <w:highlight w:val="none"/>
        </w:rPr>
      </w:pPr>
      <w:r>
        <w:rPr>
          <w:rFonts w:ascii="Arial" w:hAnsi="Arial" w:cs="Arial"/>
          <w:color w:val="auto"/>
          <w:szCs w:val="21"/>
          <w:highlight w:val="none"/>
        </w:rPr>
        <w:t>2.核心产品</w:t>
      </w:r>
    </w:p>
    <w:p>
      <w:pPr>
        <w:spacing w:line="360" w:lineRule="auto"/>
        <w:rPr>
          <w:rFonts w:ascii="Arial" w:hAnsi="Arial" w:cs="Arial"/>
          <w:b/>
          <w:bCs/>
          <w:color w:val="auto"/>
          <w:szCs w:val="21"/>
          <w:highlight w:val="none"/>
        </w:rPr>
      </w:pPr>
      <w:r>
        <w:rPr>
          <w:rFonts w:ascii="Arial" w:hAnsi="Arial" w:cs="Arial"/>
          <w:b/>
          <w:bCs/>
          <w:color w:val="auto"/>
          <w:szCs w:val="21"/>
          <w:highlight w:val="none"/>
        </w:rPr>
        <w:t>本</w:t>
      </w:r>
      <w:r>
        <w:rPr>
          <w:rFonts w:hint="eastAsia" w:ascii="Arial" w:hAnsi="Arial" w:cs="Arial"/>
          <w:b/>
          <w:bCs/>
          <w:color w:val="auto"/>
          <w:szCs w:val="21"/>
          <w:highlight w:val="none"/>
        </w:rPr>
        <w:t>项目</w:t>
      </w:r>
      <w:r>
        <w:rPr>
          <w:rFonts w:ascii="Arial" w:hAnsi="Arial" w:cs="Arial"/>
          <w:b/>
          <w:bCs/>
          <w:color w:val="auto"/>
          <w:szCs w:val="21"/>
          <w:highlight w:val="none"/>
        </w:rPr>
        <w:t>为货物采购项目，核心产品为：</w:t>
      </w:r>
      <w:r>
        <w:rPr>
          <w:rFonts w:hint="eastAsia" w:ascii="Arial" w:hAnsi="Arial" w:cs="Arial"/>
          <w:b/>
          <w:bCs/>
          <w:color w:val="auto"/>
          <w:szCs w:val="21"/>
          <w:highlight w:val="none"/>
        </w:rPr>
        <w:t>序号1 空气源热泵热水机</w:t>
      </w:r>
    </w:p>
    <w:p>
      <w:pPr>
        <w:spacing w:line="360" w:lineRule="auto"/>
        <w:rPr>
          <w:rFonts w:ascii="Arial" w:hAnsi="Arial" w:cs="Arial"/>
          <w:b/>
          <w:bCs/>
          <w:color w:val="auto"/>
          <w:szCs w:val="21"/>
          <w:highlight w:val="none"/>
        </w:rPr>
      </w:pPr>
      <w:r>
        <w:rPr>
          <w:rFonts w:ascii="Arial" w:hAnsi="Arial" w:cs="Arial"/>
          <w:b/>
          <w:bCs/>
          <w:color w:val="auto"/>
          <w:szCs w:val="21"/>
          <w:highlight w:val="none"/>
        </w:rPr>
        <w:t>3.</w:t>
      </w:r>
      <w:r>
        <w:rPr>
          <w:rFonts w:hint="eastAsia" w:ascii="Arial" w:hAnsi="Arial" w:cs="Arial"/>
          <w:b/>
          <w:bCs/>
          <w:color w:val="auto"/>
          <w:szCs w:val="21"/>
          <w:highlight w:val="none"/>
        </w:rPr>
        <w:t>本项目采购：空气源热水设备14套，详见下文“单套设备参数表”</w:t>
      </w:r>
    </w:p>
    <w:p>
      <w:pPr>
        <w:spacing w:line="360" w:lineRule="auto"/>
        <w:jc w:val="center"/>
        <w:rPr>
          <w:rFonts w:ascii="Arial" w:hAnsi="Arial" w:cs="Arial"/>
          <w:b/>
          <w:bCs/>
          <w:color w:val="auto"/>
          <w:szCs w:val="21"/>
          <w:highlight w:val="none"/>
        </w:rPr>
      </w:pPr>
      <w:r>
        <w:rPr>
          <w:rFonts w:hint="eastAsia" w:ascii="Arial" w:hAnsi="Arial" w:cs="Arial"/>
          <w:b/>
          <w:bCs/>
          <w:color w:val="auto"/>
          <w:szCs w:val="21"/>
          <w:highlight w:val="none"/>
        </w:rPr>
        <w:t>单套设备参数表</w:t>
      </w:r>
    </w:p>
    <w:tbl>
      <w:tblPr>
        <w:tblStyle w:val="53"/>
        <w:tblW w:w="97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46"/>
        <w:gridCol w:w="725"/>
        <w:gridCol w:w="804"/>
        <w:gridCol w:w="5683"/>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序号</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货物名称</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数量及单位</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所属行业</w:t>
            </w:r>
          </w:p>
        </w:tc>
        <w:tc>
          <w:tcPr>
            <w:tcW w:w="5683"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技术指标要求</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需要提供的技术支持资料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空气源热泵热水机</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3台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1.普通型工况 (使用侧：进水温度15±0.2℃，出水温度55±0.2℃；热源侧：干球温度20±0.2℃，湿球温度15±0.2℃)数据范围：</w:t>
            </w:r>
          </w:p>
          <w:p>
            <w:pPr>
              <w:tabs>
                <w:tab w:val="left" w:pos="180"/>
                <w:tab w:val="left" w:pos="1620"/>
              </w:tabs>
              <w:adjustRightInd w:val="0"/>
              <w:snapToGrid w:val="0"/>
              <w:spacing w:line="276" w:lineRule="auto"/>
              <w:rPr>
                <w:rFonts w:ascii="Arial" w:hAnsi="Arial" w:cs="Arial"/>
                <w:b/>
                <w:color w:val="auto"/>
                <w:szCs w:val="21"/>
                <w:highlight w:val="none"/>
              </w:rPr>
            </w:pPr>
            <w:r>
              <w:rPr>
                <w:rFonts w:ascii="Arial" w:hAnsi="Arial" w:cs="Arial"/>
                <w:b/>
                <w:color w:val="auto"/>
                <w:szCs w:val="21"/>
                <w:highlight w:val="none"/>
              </w:rPr>
              <w:t xml:space="preserve">▲（1）制热量: </w:t>
            </w:r>
            <w:r>
              <w:rPr>
                <w:rFonts w:hint="eastAsia" w:ascii="Arial" w:hAnsi="Arial" w:cs="Arial"/>
                <w:b/>
                <w:color w:val="auto"/>
                <w:szCs w:val="21"/>
                <w:highlight w:val="none"/>
              </w:rPr>
              <w:t>≥42.5KW</w:t>
            </w:r>
            <w:r>
              <w:rPr>
                <w:rFonts w:ascii="Arial" w:hAnsi="Arial" w:cs="Arial"/>
                <w:b/>
                <w:color w:val="auto"/>
                <w:szCs w:val="21"/>
                <w:highlight w:val="none"/>
              </w:rPr>
              <w:t>；</w:t>
            </w:r>
          </w:p>
          <w:p>
            <w:pPr>
              <w:tabs>
                <w:tab w:val="left" w:pos="180"/>
                <w:tab w:val="left" w:pos="1620"/>
              </w:tabs>
              <w:adjustRightInd w:val="0"/>
              <w:snapToGrid w:val="0"/>
              <w:spacing w:line="276" w:lineRule="auto"/>
              <w:rPr>
                <w:rFonts w:ascii="Arial" w:hAnsi="Arial" w:cs="Arial"/>
                <w:b/>
                <w:color w:val="auto"/>
                <w:szCs w:val="21"/>
                <w:highlight w:val="none"/>
              </w:rPr>
            </w:pPr>
            <w:r>
              <w:rPr>
                <w:rFonts w:ascii="Arial" w:hAnsi="Arial" w:cs="Arial"/>
                <w:b/>
                <w:color w:val="auto"/>
                <w:szCs w:val="21"/>
                <w:highlight w:val="none"/>
              </w:rPr>
              <w:t>（2）性能系数（COP）:</w:t>
            </w:r>
            <w:r>
              <w:rPr>
                <w:rFonts w:hint="eastAsia" w:ascii="Arial" w:hAnsi="Arial" w:cs="Arial"/>
                <w:b/>
                <w:color w:val="auto"/>
                <w:szCs w:val="21"/>
                <w:highlight w:val="none"/>
              </w:rPr>
              <w:t>≥4.60；</w:t>
            </w:r>
          </w:p>
          <w:p>
            <w:pPr>
              <w:tabs>
                <w:tab w:val="left" w:pos="180"/>
                <w:tab w:val="left" w:pos="1620"/>
              </w:tabs>
              <w:adjustRightInd w:val="0"/>
              <w:snapToGrid w:val="0"/>
              <w:spacing w:line="276" w:lineRule="auto"/>
              <w:rPr>
                <w:rFonts w:ascii="Arial" w:hAnsi="Arial" w:cs="Arial"/>
                <w:b/>
                <w:color w:val="auto"/>
                <w:szCs w:val="21"/>
                <w:highlight w:val="none"/>
              </w:rPr>
            </w:pPr>
            <w:r>
              <w:rPr>
                <w:rFonts w:ascii="Arial" w:hAnsi="Arial" w:cs="Arial"/>
                <w:b/>
                <w:color w:val="auto"/>
                <w:szCs w:val="21"/>
                <w:highlight w:val="none"/>
              </w:rPr>
              <w:t>▲（3）制热消耗功率:</w:t>
            </w:r>
            <w:r>
              <w:rPr>
                <w:rFonts w:hint="eastAsia" w:ascii="Arial" w:hAnsi="Arial" w:cs="Arial"/>
                <w:b/>
                <w:color w:val="auto"/>
                <w:szCs w:val="21"/>
                <w:highlight w:val="none"/>
              </w:rPr>
              <w:t>≤</w:t>
            </w:r>
            <w:r>
              <w:rPr>
                <w:rFonts w:ascii="Arial" w:hAnsi="Arial" w:cs="Arial"/>
                <w:b/>
                <w:color w:val="auto"/>
                <w:szCs w:val="21"/>
                <w:highlight w:val="none"/>
              </w:rPr>
              <w:t>9.</w:t>
            </w:r>
            <w:r>
              <w:rPr>
                <w:rFonts w:hint="eastAsia" w:ascii="Arial" w:hAnsi="Arial" w:cs="Arial"/>
                <w:b/>
                <w:color w:val="auto"/>
                <w:szCs w:val="21"/>
                <w:highlight w:val="none"/>
              </w:rPr>
              <w:t>2</w:t>
            </w:r>
            <w:r>
              <w:rPr>
                <w:rFonts w:ascii="Arial" w:hAnsi="Arial" w:cs="Arial"/>
                <w:b/>
                <w:color w:val="auto"/>
                <w:szCs w:val="21"/>
                <w:highlight w:val="none"/>
              </w:rPr>
              <w:t>KW；</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 xml:space="preserve"> 2.低温工况（使用侧：初始水温9±0.2℃，终止水温55±0.2℃；热源侧：干球温度7±0.2℃，湿球温度6±0.2℃）数据范围：</w:t>
            </w:r>
          </w:p>
          <w:p>
            <w:pPr>
              <w:tabs>
                <w:tab w:val="left" w:pos="180"/>
                <w:tab w:val="left" w:pos="1620"/>
              </w:tabs>
              <w:adjustRightInd w:val="0"/>
              <w:snapToGrid w:val="0"/>
              <w:spacing w:line="276" w:lineRule="auto"/>
              <w:rPr>
                <w:rFonts w:ascii="Arial" w:hAnsi="Arial" w:cs="Arial"/>
                <w:color w:val="auto"/>
                <w:szCs w:val="21"/>
                <w:highlight w:val="none"/>
              </w:rPr>
            </w:pPr>
            <w:r>
              <w:rPr>
                <w:rFonts w:hint="eastAsia" w:ascii="Arial" w:hAnsi="Arial" w:cs="Arial"/>
                <w:color w:val="auto"/>
                <w:szCs w:val="21"/>
                <w:highlight w:val="none"/>
              </w:rPr>
              <w:t>（1）制热量: ≥33.2KW；</w:t>
            </w:r>
          </w:p>
          <w:p>
            <w:pPr>
              <w:tabs>
                <w:tab w:val="left" w:pos="180"/>
                <w:tab w:val="left" w:pos="1620"/>
              </w:tabs>
              <w:adjustRightInd w:val="0"/>
              <w:snapToGrid w:val="0"/>
              <w:spacing w:line="276" w:lineRule="auto"/>
              <w:rPr>
                <w:rFonts w:ascii="Arial" w:hAnsi="Arial" w:cs="Arial"/>
                <w:color w:val="auto"/>
                <w:szCs w:val="21"/>
                <w:highlight w:val="none"/>
              </w:rPr>
            </w:pPr>
            <w:r>
              <w:rPr>
                <w:rFonts w:hint="eastAsia" w:ascii="Arial" w:hAnsi="Arial" w:cs="Arial"/>
                <w:color w:val="auto"/>
                <w:szCs w:val="21"/>
                <w:highlight w:val="none"/>
              </w:rPr>
              <w:t>（2）性能系数（COP）：≥3.95；</w:t>
            </w:r>
          </w:p>
          <w:p>
            <w:pPr>
              <w:tabs>
                <w:tab w:val="left" w:pos="180"/>
                <w:tab w:val="left" w:pos="1620"/>
              </w:tabs>
              <w:adjustRightInd w:val="0"/>
              <w:snapToGrid w:val="0"/>
              <w:spacing w:line="276" w:lineRule="auto"/>
              <w:rPr>
                <w:rFonts w:ascii="Arial" w:hAnsi="Arial" w:cs="Arial"/>
                <w:color w:val="auto"/>
                <w:szCs w:val="21"/>
                <w:highlight w:val="none"/>
              </w:rPr>
            </w:pPr>
            <w:r>
              <w:rPr>
                <w:rFonts w:hint="eastAsia" w:ascii="Arial" w:hAnsi="Arial" w:cs="Arial"/>
                <w:color w:val="auto"/>
                <w:szCs w:val="21"/>
                <w:highlight w:val="none"/>
              </w:rPr>
              <w:t>（3）制热消耗功率：≤8.41KW。</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3.噪音：</w:t>
            </w:r>
            <w:r>
              <w:rPr>
                <w:rFonts w:hint="eastAsia" w:ascii="Arial" w:hAnsi="Arial" w:cs="Arial"/>
                <w:color w:val="auto"/>
                <w:szCs w:val="21"/>
                <w:highlight w:val="none"/>
              </w:rPr>
              <w:t>≤</w:t>
            </w:r>
            <w:r>
              <w:rPr>
                <w:rFonts w:ascii="Arial" w:hAnsi="Arial" w:cs="Arial"/>
                <w:color w:val="auto"/>
                <w:szCs w:val="21"/>
                <w:highlight w:val="none"/>
              </w:rPr>
              <w:t>5</w:t>
            </w:r>
            <w:r>
              <w:rPr>
                <w:rFonts w:hint="eastAsia" w:ascii="Arial" w:hAnsi="Arial" w:cs="Arial"/>
                <w:color w:val="auto"/>
                <w:szCs w:val="21"/>
                <w:highlight w:val="none"/>
              </w:rPr>
              <w:t>6</w:t>
            </w:r>
            <w:r>
              <w:rPr>
                <w:rFonts w:ascii="Arial" w:hAnsi="Arial" w:cs="Arial"/>
                <w:color w:val="auto"/>
                <w:szCs w:val="21"/>
                <w:highlight w:val="none"/>
              </w:rPr>
              <w:t>dB（A）。</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4.制冷剂种类：R410A环保冷媒。</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5.产水量：</w:t>
            </w:r>
            <w:r>
              <w:rPr>
                <w:rFonts w:hint="eastAsia" w:ascii="Arial" w:hAnsi="Arial" w:cs="Arial"/>
                <w:color w:val="auto"/>
                <w:szCs w:val="21"/>
                <w:highlight w:val="none"/>
              </w:rPr>
              <w:t>≥900</w:t>
            </w:r>
            <w:r>
              <w:rPr>
                <w:rFonts w:ascii="Arial" w:hAnsi="Arial" w:cs="Arial"/>
                <w:color w:val="auto"/>
                <w:szCs w:val="21"/>
                <w:highlight w:val="none"/>
              </w:rPr>
              <w:t>/h。</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6.额定循环水流量：</w:t>
            </w:r>
            <w:r>
              <w:rPr>
                <w:rFonts w:hint="eastAsia" w:ascii="Arial" w:hAnsi="Arial" w:cs="Arial"/>
                <w:color w:val="auto"/>
                <w:szCs w:val="21"/>
                <w:highlight w:val="none"/>
              </w:rPr>
              <w:t>≥7.1</w:t>
            </w:r>
            <w:r>
              <w:rPr>
                <w:rFonts w:ascii="Arial" w:hAnsi="Arial" w:cs="Arial"/>
                <w:color w:val="auto"/>
                <w:szCs w:val="21"/>
                <w:highlight w:val="none"/>
              </w:rPr>
              <w:t>m³/h。</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7.额定出水温度：</w:t>
            </w:r>
            <w:r>
              <w:rPr>
                <w:rFonts w:hint="eastAsia" w:ascii="Arial" w:hAnsi="Arial" w:cs="Arial"/>
                <w:color w:val="auto"/>
                <w:szCs w:val="21"/>
                <w:highlight w:val="none"/>
              </w:rPr>
              <w:t>≥</w:t>
            </w:r>
            <w:r>
              <w:rPr>
                <w:rFonts w:ascii="Arial" w:hAnsi="Arial" w:cs="Arial"/>
                <w:color w:val="auto"/>
                <w:szCs w:val="21"/>
                <w:highlight w:val="none"/>
              </w:rPr>
              <w:t>55℃。</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8.最高出水温度：</w:t>
            </w:r>
            <w:r>
              <w:rPr>
                <w:rFonts w:hint="eastAsia" w:ascii="Arial" w:hAnsi="Arial" w:cs="Arial"/>
                <w:color w:val="auto"/>
                <w:szCs w:val="21"/>
                <w:highlight w:val="none"/>
              </w:rPr>
              <w:t>≥</w:t>
            </w:r>
            <w:r>
              <w:rPr>
                <w:rFonts w:ascii="Arial" w:hAnsi="Arial" w:cs="Arial"/>
                <w:color w:val="auto"/>
                <w:szCs w:val="21"/>
                <w:highlight w:val="none"/>
              </w:rPr>
              <w:t>60℃。</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9.额定工作电流：</w:t>
            </w:r>
            <w:r>
              <w:rPr>
                <w:rFonts w:hint="eastAsia" w:ascii="Arial" w:hAnsi="Arial" w:cs="Arial"/>
                <w:color w:val="auto"/>
                <w:szCs w:val="21"/>
                <w:highlight w:val="none"/>
              </w:rPr>
              <w:t>≤18.5A</w:t>
            </w:r>
            <w:r>
              <w:rPr>
                <w:rFonts w:ascii="Arial" w:hAnsi="Arial" w:cs="Arial"/>
                <w:color w:val="auto"/>
                <w:szCs w:val="21"/>
                <w:highlight w:val="none"/>
              </w:rPr>
              <w:t>。</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10.最大工作电流：</w:t>
            </w:r>
            <w:r>
              <w:rPr>
                <w:rFonts w:hint="eastAsia" w:ascii="Arial" w:hAnsi="Arial" w:cs="Arial"/>
                <w:color w:val="auto"/>
                <w:szCs w:val="21"/>
                <w:highlight w:val="none"/>
              </w:rPr>
              <w:t>≤24.5A</w:t>
            </w:r>
            <w:r>
              <w:rPr>
                <w:rFonts w:ascii="Arial" w:hAnsi="Arial" w:cs="Arial"/>
                <w:color w:val="auto"/>
                <w:szCs w:val="21"/>
                <w:highlight w:val="none"/>
              </w:rPr>
              <w:t>。</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11.电源规格：380V 3N～50Hz。</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b/>
                <w:color w:val="auto"/>
                <w:szCs w:val="21"/>
                <w:highlight w:val="none"/>
              </w:rPr>
              <w:t>▲</w:t>
            </w:r>
            <w:r>
              <w:rPr>
                <w:rFonts w:ascii="Arial" w:hAnsi="Arial" w:cs="Arial"/>
                <w:color w:val="auto"/>
                <w:szCs w:val="21"/>
                <w:highlight w:val="none"/>
              </w:rPr>
              <w:t>12. 能效等级：1级。</w:t>
            </w:r>
          </w:p>
          <w:p>
            <w:pPr>
              <w:tabs>
                <w:tab w:val="left" w:pos="180"/>
                <w:tab w:val="left" w:pos="1620"/>
              </w:tabs>
              <w:adjustRightInd w:val="0"/>
              <w:snapToGrid w:val="0"/>
              <w:spacing w:line="276" w:lineRule="auto"/>
              <w:rPr>
                <w:rFonts w:ascii="Arial" w:hAnsi="Arial" w:cs="Arial"/>
                <w:color w:val="auto"/>
                <w:szCs w:val="21"/>
                <w:highlight w:val="none"/>
              </w:rPr>
            </w:pPr>
            <w:r>
              <w:rPr>
                <w:rFonts w:hint="eastAsia" w:ascii="Arial" w:hAnsi="Arial" w:cs="Arial"/>
                <w:color w:val="auto"/>
                <w:szCs w:val="21"/>
                <w:highlight w:val="none"/>
              </w:rPr>
              <w:t>13.适应环境温度：-15℃～43℃。</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4</w:t>
            </w:r>
            <w:r>
              <w:rPr>
                <w:rFonts w:ascii="Arial" w:hAnsi="Arial" w:cs="Arial"/>
                <w:color w:val="auto"/>
                <w:szCs w:val="21"/>
                <w:highlight w:val="none"/>
              </w:rPr>
              <w:t>.</w:t>
            </w:r>
            <w:r>
              <w:rPr>
                <w:rFonts w:hint="eastAsia" w:ascii="Arial" w:hAnsi="Arial" w:cs="Arial"/>
                <w:color w:val="auto"/>
                <w:szCs w:val="21"/>
                <w:highlight w:val="none"/>
              </w:rPr>
              <w:t>防水等级：≥IPX5</w:t>
            </w:r>
            <w:r>
              <w:rPr>
                <w:rFonts w:ascii="Arial" w:hAnsi="Arial" w:cs="Arial"/>
                <w:color w:val="auto"/>
                <w:szCs w:val="21"/>
                <w:highlight w:val="none"/>
              </w:rPr>
              <w:t>。</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5</w:t>
            </w:r>
            <w:r>
              <w:rPr>
                <w:rFonts w:ascii="Arial" w:hAnsi="Arial" w:cs="Arial"/>
                <w:color w:val="auto"/>
                <w:szCs w:val="21"/>
                <w:highlight w:val="none"/>
              </w:rPr>
              <w:t>.机组为顶吹风，蒸发器结构形式：平板式；</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6</w:t>
            </w:r>
            <w:r>
              <w:rPr>
                <w:rFonts w:ascii="Arial" w:hAnsi="Arial" w:cs="Arial"/>
                <w:color w:val="auto"/>
                <w:szCs w:val="21"/>
                <w:highlight w:val="none"/>
              </w:rPr>
              <w:t>.采用全封闭涡旋式压缩机，机组水换热器采用高效同轴套管式换热器，除霜方式为智能除霜。</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7</w:t>
            </w:r>
            <w:r>
              <w:rPr>
                <w:rFonts w:ascii="Arial" w:hAnsi="Arial" w:cs="Arial"/>
                <w:color w:val="auto"/>
                <w:szCs w:val="21"/>
                <w:highlight w:val="none"/>
              </w:rPr>
              <w:t>.机组控制器为智能控制仪，可对蓄热循环泵、压缩机、风机、化霜器、辅助电热器、补水泵、回水阀的控制，同时对键盘、显示器进行管理并对输入信号进行采样，查询各设备的工作状态、以及故障分析和报警。可显示环境温度，进水温度，水箱温度,具有电源逆、缺相、漏电保护；缺水保护；压缩机高、低压力保护；压缩机排气过热保护；机组具有故障自检功能，并设有显示故障代码报警，机组的参数及工作状态，一旦发生故障，就自动显示报警参数、状态，以方便用户维护。</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8</w:t>
            </w:r>
            <w:r>
              <w:rPr>
                <w:rFonts w:ascii="Arial" w:hAnsi="Arial" w:cs="Arial"/>
                <w:color w:val="auto"/>
                <w:szCs w:val="21"/>
                <w:highlight w:val="none"/>
              </w:rPr>
              <w:t>.机组自配的控制系统配有标准的通讯接口，配置有4G和 RJ45网络端口，具有远程监控功能；可实现设备远程故障报警，授权后可实现远程对设备参数信息查看及修改。</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9</w:t>
            </w:r>
            <w:r>
              <w:rPr>
                <w:rFonts w:ascii="Arial" w:hAnsi="Arial" w:cs="Arial"/>
                <w:color w:val="auto"/>
                <w:szCs w:val="21"/>
                <w:highlight w:val="none"/>
              </w:rPr>
              <w:t>.空气源热泵控制系统支持手机等设备智能控制。</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2</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热水远程监控系统</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1套</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1.支持 Android和 IS0系统</w:t>
            </w:r>
            <w:r>
              <w:rPr>
                <w:rFonts w:hint="eastAsia" w:ascii="Arial" w:hAnsi="Arial" w:cs="Arial"/>
                <w:color w:val="auto"/>
                <w:szCs w:val="21"/>
                <w:highlight w:val="none"/>
              </w:rPr>
              <w:t>；</w:t>
            </w:r>
            <w:r>
              <w:rPr>
                <w:rFonts w:ascii="Arial" w:hAnsi="Arial" w:cs="Arial"/>
                <w:color w:val="auto"/>
                <w:szCs w:val="21"/>
                <w:highlight w:val="none"/>
              </w:rPr>
              <w:t>支持HTML5的任意浏览器、360浏览器，配置有4G和 RJ45网络端口</w:t>
            </w:r>
            <w:r>
              <w:rPr>
                <w:rFonts w:hint="eastAsia" w:ascii="Arial" w:hAnsi="Arial" w:cs="Arial"/>
                <w:color w:val="auto"/>
                <w:szCs w:val="21"/>
                <w:highlight w:val="none"/>
              </w:rPr>
              <w:t>；</w:t>
            </w:r>
            <w:r>
              <w:rPr>
                <w:rFonts w:ascii="Arial" w:hAnsi="Arial" w:cs="Arial"/>
                <w:color w:val="auto"/>
                <w:szCs w:val="21"/>
                <w:highlight w:val="none"/>
              </w:rPr>
              <w:t>可通过互联网实现设备远程通信与操控。</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2.可通过智能APP或云平台随时随地查看信息及操控设备，可对设备系统数据进行云储存,便于数据分析。</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3.通过手机或电脑监控：热泵机组的水箱温度、进出水温度、系统排气温度等运行参数；热泵机组压缩机、风机、循环水泵等部件运行状态；热泵机组过流保护、高低压保护、电源相序保护、系统排气温度过高保护、水流保护等保护报警；热水箱实时水位、水箱热水温度、回水温度</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4.通过手机或电脑控制：热泵机组启停或开关，水箱温度任意设定调节；可通过温度时间水位同时控制水箱进水启停或开关；</w:t>
            </w:r>
            <w:r>
              <w:rPr>
                <w:color w:val="auto"/>
                <w:highlight w:val="none"/>
              </w:rPr>
              <w:t xml:space="preserve"> </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3</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承压加热水箱</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3台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1.水箱有效容量≥455L；</w:t>
            </w:r>
          </w:p>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2</w:t>
            </w:r>
            <w:r>
              <w:rPr>
                <w:rFonts w:ascii="Arial" w:hAnsi="Arial" w:cs="Arial"/>
                <w:color w:val="auto"/>
                <w:kern w:val="0"/>
                <w:szCs w:val="21"/>
                <w:highlight w:val="none"/>
              </w:rPr>
              <w:t>.</w:t>
            </w:r>
            <w:r>
              <w:rPr>
                <w:rFonts w:hint="eastAsia" w:ascii="Arial" w:hAnsi="Arial" w:cs="Arial"/>
                <w:color w:val="auto"/>
                <w:kern w:val="0"/>
                <w:szCs w:val="21"/>
                <w:highlight w:val="none"/>
              </w:rPr>
              <w:t>水箱具有优质的防锈、抗腐蚀性；</w:t>
            </w:r>
          </w:p>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3.水箱内胆采用优质搪瓷内胆或不锈钢304；</w:t>
            </w:r>
          </w:p>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4.水箱耐压：≥1.1Mpa；</w:t>
            </w:r>
          </w:p>
          <w:p>
            <w:pPr>
              <w:adjustRightInd w:val="0"/>
              <w:snapToGrid w:val="0"/>
              <w:spacing w:line="276" w:lineRule="auto"/>
              <w:textAlignment w:val="center"/>
              <w:rPr>
                <w:rFonts w:ascii="Arial" w:hAnsi="Arial" w:cs="Arial"/>
                <w:color w:val="auto"/>
                <w:szCs w:val="21"/>
                <w:highlight w:val="none"/>
              </w:rPr>
            </w:pPr>
            <w:r>
              <w:rPr>
                <w:rFonts w:hint="eastAsia" w:ascii="Arial" w:hAnsi="Arial" w:cs="Arial"/>
                <w:color w:val="auto"/>
                <w:kern w:val="0"/>
                <w:szCs w:val="21"/>
                <w:highlight w:val="none"/>
              </w:rPr>
              <w:t>5.水箱额定电功率：≥15kw</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4</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承压储热水箱</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20台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textAlignment w:val="center"/>
              <w:rPr>
                <w:rFonts w:ascii="Arial" w:hAnsi="Arial" w:cs="Arial"/>
                <w:color w:val="auto"/>
                <w:kern w:val="0"/>
                <w:szCs w:val="21"/>
                <w:highlight w:val="none"/>
              </w:rPr>
            </w:pPr>
            <w:r>
              <w:rPr>
                <w:rFonts w:hint="eastAsia" w:ascii="宋体" w:hAnsi="宋体" w:cs="宋体"/>
                <w:bCs/>
                <w:color w:val="auto"/>
                <w:sz w:val="24"/>
                <w:highlight w:val="none"/>
              </w:rPr>
              <w:t>1</w:t>
            </w:r>
            <w:r>
              <w:rPr>
                <w:rFonts w:hint="eastAsia" w:ascii="Arial" w:hAnsi="Arial" w:cs="Arial"/>
                <w:color w:val="auto"/>
                <w:kern w:val="0"/>
                <w:szCs w:val="21"/>
                <w:highlight w:val="none"/>
              </w:rPr>
              <w:t>.水箱有效容量≥455L；</w:t>
            </w:r>
          </w:p>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2</w:t>
            </w:r>
            <w:r>
              <w:rPr>
                <w:rFonts w:ascii="Arial" w:hAnsi="Arial" w:cs="Arial"/>
                <w:color w:val="auto"/>
                <w:kern w:val="0"/>
                <w:szCs w:val="21"/>
                <w:highlight w:val="none"/>
              </w:rPr>
              <w:t>.</w:t>
            </w:r>
            <w:r>
              <w:rPr>
                <w:rFonts w:hint="eastAsia" w:ascii="Arial" w:hAnsi="Arial" w:cs="Arial"/>
                <w:color w:val="auto"/>
                <w:kern w:val="0"/>
                <w:szCs w:val="21"/>
                <w:highlight w:val="none"/>
              </w:rPr>
              <w:t>水箱具有优质的防锈、抗腐蚀性；</w:t>
            </w:r>
          </w:p>
          <w:p>
            <w:pPr>
              <w:adjustRightInd w:val="0"/>
              <w:snapToGrid w:val="0"/>
              <w:spacing w:line="276" w:lineRule="auto"/>
              <w:textAlignment w:val="center"/>
              <w:rPr>
                <w:rFonts w:ascii="Arial" w:hAnsi="Arial" w:cs="Arial"/>
                <w:color w:val="auto"/>
                <w:kern w:val="0"/>
                <w:szCs w:val="21"/>
                <w:highlight w:val="none"/>
              </w:rPr>
            </w:pPr>
            <w:r>
              <w:rPr>
                <w:rFonts w:hint="eastAsia" w:ascii="Arial" w:hAnsi="Arial" w:cs="Arial"/>
                <w:color w:val="auto"/>
                <w:kern w:val="0"/>
                <w:szCs w:val="21"/>
                <w:highlight w:val="none"/>
              </w:rPr>
              <w:t>3.水箱内胆采用优质搪瓷内胆或不锈钢3</w:t>
            </w:r>
            <w:r>
              <w:rPr>
                <w:rFonts w:ascii="Arial" w:hAnsi="Arial" w:cs="Arial"/>
                <w:color w:val="auto"/>
                <w:kern w:val="0"/>
                <w:szCs w:val="21"/>
                <w:highlight w:val="none"/>
              </w:rPr>
              <w:t>04</w:t>
            </w:r>
            <w:r>
              <w:rPr>
                <w:rFonts w:hint="eastAsia" w:ascii="Arial" w:hAnsi="Arial" w:cs="Arial"/>
                <w:color w:val="auto"/>
                <w:kern w:val="0"/>
                <w:szCs w:val="21"/>
                <w:highlight w:val="none"/>
              </w:rPr>
              <w:t>；</w:t>
            </w:r>
          </w:p>
          <w:p>
            <w:pPr>
              <w:adjustRightInd w:val="0"/>
              <w:snapToGrid w:val="0"/>
              <w:spacing w:line="276" w:lineRule="auto"/>
              <w:textAlignment w:val="center"/>
              <w:rPr>
                <w:rFonts w:hint="eastAsia"/>
                <w:color w:val="auto"/>
                <w:highlight w:val="none"/>
              </w:rPr>
            </w:pPr>
            <w:r>
              <w:rPr>
                <w:rFonts w:hint="eastAsia" w:ascii="Arial" w:hAnsi="Arial" w:cs="Arial"/>
                <w:color w:val="auto"/>
                <w:kern w:val="0"/>
                <w:szCs w:val="21"/>
                <w:highlight w:val="none"/>
              </w:rPr>
              <w:t>4.水箱耐压：≥1.1Mpa；</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5</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电动三通阀</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3只</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textAlignment w:val="center"/>
              <w:rPr>
                <w:rFonts w:ascii="Arial" w:hAnsi="Arial" w:cs="Arial"/>
                <w:color w:val="auto"/>
                <w:szCs w:val="21"/>
                <w:highlight w:val="none"/>
              </w:rPr>
            </w:pPr>
            <w:r>
              <w:rPr>
                <w:rFonts w:ascii="Arial" w:hAnsi="Arial" w:cs="Arial"/>
                <w:color w:val="auto"/>
                <w:szCs w:val="21"/>
                <w:highlight w:val="none"/>
              </w:rPr>
              <w:t>DN40,AC220,功率:10W</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6</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热水循环泵</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2台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电压：220V/50Hz，流量</w:t>
            </w:r>
            <w:r>
              <w:rPr>
                <w:rFonts w:hint="eastAsia" w:ascii="Arial" w:hAnsi="Arial" w:cs="Arial"/>
                <w:color w:val="auto"/>
                <w:szCs w:val="21"/>
                <w:highlight w:val="none"/>
              </w:rPr>
              <w:t>≥</w:t>
            </w:r>
            <w:r>
              <w:rPr>
                <w:rFonts w:ascii="Arial" w:hAnsi="Arial" w:cs="Arial"/>
                <w:color w:val="auto"/>
                <w:szCs w:val="21"/>
                <w:highlight w:val="none"/>
              </w:rPr>
              <w:t>4.0t/h</w:t>
            </w:r>
            <w:r>
              <w:rPr>
                <w:rFonts w:hint="eastAsia" w:ascii="Arial" w:hAnsi="Arial" w:cs="Arial"/>
                <w:color w:val="auto"/>
                <w:szCs w:val="21"/>
                <w:highlight w:val="none"/>
              </w:rPr>
              <w:t xml:space="preserve"> ；</w:t>
            </w:r>
            <w:r>
              <w:rPr>
                <w:rFonts w:ascii="Arial" w:hAnsi="Arial" w:cs="Arial"/>
                <w:color w:val="auto"/>
                <w:szCs w:val="21"/>
                <w:highlight w:val="none"/>
              </w:rPr>
              <w:t>扬程</w:t>
            </w:r>
            <w:r>
              <w:rPr>
                <w:rFonts w:hint="eastAsia" w:ascii="Arial" w:hAnsi="Arial" w:cs="Arial"/>
                <w:color w:val="auto"/>
                <w:szCs w:val="21"/>
                <w:highlight w:val="none"/>
              </w:rPr>
              <w:t>≥</w:t>
            </w:r>
            <w:r>
              <w:rPr>
                <w:rFonts w:ascii="Arial" w:hAnsi="Arial" w:cs="Arial"/>
                <w:color w:val="auto"/>
                <w:szCs w:val="21"/>
                <w:highlight w:val="none"/>
              </w:rPr>
              <w:t>15m,功率</w:t>
            </w:r>
            <w:r>
              <w:rPr>
                <w:rFonts w:hint="eastAsia" w:ascii="Arial" w:hAnsi="Arial" w:cs="Arial"/>
                <w:color w:val="auto"/>
                <w:szCs w:val="21"/>
                <w:highlight w:val="none"/>
              </w:rPr>
              <w:t>≥</w:t>
            </w:r>
            <w:r>
              <w:rPr>
                <w:rFonts w:ascii="Arial" w:hAnsi="Arial" w:cs="Arial"/>
                <w:color w:val="auto"/>
                <w:szCs w:val="21"/>
                <w:highlight w:val="none"/>
              </w:rPr>
              <w:t xml:space="preserve">720W  </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7</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热泵机组</w:t>
            </w:r>
          </w:p>
          <w:p>
            <w:pPr>
              <w:spacing w:line="288" w:lineRule="auto"/>
              <w:jc w:val="center"/>
              <w:rPr>
                <w:rFonts w:ascii="Arial" w:hAnsi="Arial" w:cs="Arial"/>
                <w:color w:val="auto"/>
                <w:szCs w:val="21"/>
                <w:highlight w:val="none"/>
              </w:rPr>
            </w:pPr>
            <w:r>
              <w:rPr>
                <w:rFonts w:ascii="Arial" w:hAnsi="Arial" w:cs="Arial"/>
                <w:color w:val="auto"/>
                <w:szCs w:val="21"/>
                <w:highlight w:val="none"/>
              </w:rPr>
              <w:t>循环泵</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6台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电压：380V/50Hz, 流量</w:t>
            </w:r>
            <w:r>
              <w:rPr>
                <w:rFonts w:hint="eastAsia" w:ascii="Arial" w:hAnsi="Arial" w:cs="Arial"/>
                <w:color w:val="auto"/>
                <w:szCs w:val="21"/>
                <w:highlight w:val="none"/>
              </w:rPr>
              <w:t>≥</w:t>
            </w:r>
            <w:r>
              <w:rPr>
                <w:rFonts w:ascii="Arial" w:hAnsi="Arial" w:cs="Arial"/>
                <w:color w:val="auto"/>
                <w:szCs w:val="21"/>
                <w:highlight w:val="none"/>
              </w:rPr>
              <w:t>8.0t/h</w:t>
            </w:r>
            <w:r>
              <w:rPr>
                <w:rFonts w:hint="eastAsia" w:ascii="Arial" w:hAnsi="Arial" w:cs="Arial"/>
                <w:color w:val="auto"/>
                <w:szCs w:val="21"/>
                <w:highlight w:val="none"/>
              </w:rPr>
              <w:t xml:space="preserve"> ；</w:t>
            </w:r>
            <w:r>
              <w:rPr>
                <w:rFonts w:ascii="Arial" w:hAnsi="Arial" w:cs="Arial"/>
                <w:color w:val="auto"/>
                <w:szCs w:val="21"/>
                <w:highlight w:val="none"/>
              </w:rPr>
              <w:t>扬程</w:t>
            </w:r>
            <w:r>
              <w:rPr>
                <w:rFonts w:hint="eastAsia" w:ascii="Arial" w:hAnsi="Arial" w:cs="Arial"/>
                <w:color w:val="auto"/>
                <w:szCs w:val="21"/>
                <w:highlight w:val="none"/>
              </w:rPr>
              <w:t>≥</w:t>
            </w:r>
            <w:r>
              <w:rPr>
                <w:rFonts w:ascii="Arial" w:hAnsi="Arial" w:cs="Arial"/>
                <w:color w:val="auto"/>
                <w:szCs w:val="21"/>
                <w:highlight w:val="none"/>
              </w:rPr>
              <w:t>26m，功率</w:t>
            </w:r>
            <w:r>
              <w:rPr>
                <w:rFonts w:hint="eastAsia" w:ascii="Arial" w:hAnsi="Arial" w:cs="Arial"/>
                <w:color w:val="auto"/>
                <w:szCs w:val="21"/>
                <w:highlight w:val="none"/>
              </w:rPr>
              <w:t>≥</w:t>
            </w:r>
            <w:r>
              <w:rPr>
                <w:rFonts w:ascii="Arial" w:hAnsi="Arial" w:cs="Arial"/>
                <w:color w:val="auto"/>
                <w:szCs w:val="21"/>
                <w:highlight w:val="none"/>
              </w:rPr>
              <w:t xml:space="preserve">550W  </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8</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隔膜式膨胀罐</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有效容积</w:t>
            </w:r>
            <w:r>
              <w:rPr>
                <w:rFonts w:hint="eastAsia" w:ascii="Arial" w:hAnsi="Arial" w:cs="Arial"/>
                <w:color w:val="auto"/>
                <w:szCs w:val="21"/>
                <w:highlight w:val="none"/>
              </w:rPr>
              <w:t>≥</w:t>
            </w:r>
            <w:r>
              <w:rPr>
                <w:rFonts w:ascii="Arial" w:hAnsi="Arial" w:cs="Arial"/>
                <w:color w:val="auto"/>
                <w:szCs w:val="21"/>
                <w:highlight w:val="none"/>
              </w:rPr>
              <w:t>200L,上限压力</w:t>
            </w:r>
            <w:r>
              <w:rPr>
                <w:rFonts w:hint="eastAsia" w:ascii="Arial" w:hAnsi="Arial" w:cs="Arial"/>
                <w:color w:val="auto"/>
                <w:szCs w:val="21"/>
                <w:highlight w:val="none"/>
              </w:rPr>
              <w:t>≤</w:t>
            </w:r>
            <w:r>
              <w:rPr>
                <w:rFonts w:ascii="Arial" w:hAnsi="Arial" w:cs="Arial"/>
                <w:color w:val="auto"/>
                <w:szCs w:val="21"/>
                <w:highlight w:val="none"/>
              </w:rPr>
              <w:t>16公斤</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9</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水箱基础</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textAlignment w:val="center"/>
              <w:rPr>
                <w:rFonts w:ascii="Arial" w:hAnsi="Arial" w:cs="Arial"/>
                <w:color w:val="auto"/>
                <w:szCs w:val="21"/>
                <w:highlight w:val="none"/>
              </w:rPr>
            </w:pPr>
            <w:r>
              <w:rPr>
                <w:rFonts w:ascii="Arial" w:hAnsi="Arial" w:cs="Arial"/>
                <w:color w:val="auto"/>
                <w:szCs w:val="21"/>
                <w:highlight w:val="none"/>
              </w:rPr>
              <w:t>C20混凝土基础，高度</w:t>
            </w:r>
            <w:r>
              <w:rPr>
                <w:rFonts w:hint="eastAsia" w:ascii="Arial" w:hAnsi="Arial" w:cs="Arial"/>
                <w:color w:val="auto"/>
                <w:szCs w:val="21"/>
                <w:highlight w:val="none"/>
              </w:rPr>
              <w:t>≥</w:t>
            </w:r>
            <w:r>
              <w:rPr>
                <w:rFonts w:ascii="Arial" w:hAnsi="Arial" w:cs="Arial"/>
                <w:color w:val="auto"/>
                <w:szCs w:val="21"/>
                <w:highlight w:val="none"/>
              </w:rPr>
              <w:t>200 mm</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10</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热水机组基础</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槽钢现场制作，防锈处理</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hint="eastAsia" w:ascii="Arial" w:hAnsi="Arial" w:cs="Arial"/>
                <w:color w:val="auto"/>
                <w:szCs w:val="21"/>
                <w:highlight w:val="none"/>
              </w:rPr>
              <w:t>11</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真空破坏器</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1台</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DN40，材质：不锈钢</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2</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设备电源控制柜</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 xml:space="preserve">1.电控柜规格（长×宽×高）（约）：1200 mm×800 mm×400mm </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2.输入电源：AC380V～3N/50Hz。</w:t>
            </w:r>
          </w:p>
          <w:p>
            <w:pPr>
              <w:tabs>
                <w:tab w:val="left" w:pos="180"/>
                <w:tab w:val="left" w:pos="1620"/>
              </w:tabs>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3.配电总容量：</w:t>
            </w:r>
            <w:r>
              <w:rPr>
                <w:rFonts w:hint="eastAsia" w:ascii="Arial" w:hAnsi="Arial" w:cs="Arial"/>
                <w:color w:val="auto"/>
                <w:szCs w:val="21"/>
                <w:highlight w:val="none"/>
              </w:rPr>
              <w:t>≥</w:t>
            </w:r>
            <w:r>
              <w:rPr>
                <w:rFonts w:ascii="Arial" w:hAnsi="Arial" w:cs="Arial"/>
                <w:color w:val="auto"/>
                <w:szCs w:val="21"/>
                <w:highlight w:val="none"/>
              </w:rPr>
              <w:t>90kW</w:t>
            </w:r>
          </w:p>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4.配置铜接线端排、互感器、电表、总隔离开关、总空气开关、漏电空开、交流接触器、热继电器、中继电器、应急维修电源插座等电气元器件</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3</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电源线信号线</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工业</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1平方-16平方国标铜芯线</w:t>
            </w:r>
          </w:p>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包含完成本项目的安装、调试等所需的所有电源线信号线</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4</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辅材</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hint="eastAsia" w:ascii="Arial" w:hAnsi="Arial" w:cs="Arial"/>
                <w:color w:val="auto"/>
                <w:szCs w:val="21"/>
                <w:highlight w:val="none"/>
              </w:rPr>
              <w:t>/</w:t>
            </w:r>
          </w:p>
        </w:tc>
        <w:tc>
          <w:tcPr>
            <w:tcW w:w="5683" w:type="dxa"/>
            <w:tcBorders>
              <w:left w:val="single" w:color="auto" w:sz="4" w:space="0"/>
              <w:right w:val="single" w:color="auto" w:sz="4" w:space="0"/>
            </w:tcBorders>
            <w:vAlign w:val="center"/>
          </w:tcPr>
          <w:p>
            <w:pPr>
              <w:adjustRightInd w:val="0"/>
              <w:snapToGrid w:val="0"/>
              <w:spacing w:line="276" w:lineRule="auto"/>
              <w:rPr>
                <w:rFonts w:ascii="Arial" w:hAnsi="Arial" w:cs="Arial"/>
                <w:color w:val="auto"/>
                <w:szCs w:val="21"/>
                <w:highlight w:val="none"/>
              </w:rPr>
            </w:pPr>
            <w:r>
              <w:rPr>
                <w:rFonts w:ascii="Arial" w:hAnsi="Arial" w:cs="Arial"/>
                <w:color w:val="auto"/>
                <w:szCs w:val="21"/>
                <w:highlight w:val="none"/>
              </w:rPr>
              <w:t>包含完成本项目的安装、调试等所需的油漆、焊条、生胶带、螺杆、不锈钢桥架，PVC线管、管件、管卡、水泵罩等辅材。</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5</w:t>
            </w:r>
          </w:p>
        </w:tc>
        <w:tc>
          <w:tcPr>
            <w:tcW w:w="1146"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设备材料运输搬运和就位安装</w:t>
            </w:r>
          </w:p>
        </w:tc>
        <w:tc>
          <w:tcPr>
            <w:tcW w:w="725" w:type="dxa"/>
            <w:vAlign w:val="center"/>
          </w:tcPr>
          <w:p>
            <w:pPr>
              <w:spacing w:line="288" w:lineRule="auto"/>
              <w:jc w:val="center"/>
              <w:rPr>
                <w:rFonts w:ascii="Arial" w:hAnsi="Arial" w:cs="Arial"/>
                <w:color w:val="auto"/>
                <w:szCs w:val="21"/>
                <w:highlight w:val="none"/>
              </w:rPr>
            </w:pPr>
            <w:r>
              <w:rPr>
                <w:rFonts w:ascii="Arial" w:hAnsi="Arial" w:cs="Arial"/>
                <w:color w:val="auto"/>
                <w:szCs w:val="21"/>
                <w:highlight w:val="none"/>
              </w:rPr>
              <w:t>1项</w:t>
            </w:r>
          </w:p>
        </w:tc>
        <w:tc>
          <w:tcPr>
            <w:tcW w:w="804" w:type="dxa"/>
            <w:tcBorders>
              <w:right w:val="single" w:color="auto" w:sz="4" w:space="0"/>
            </w:tcBorders>
            <w:vAlign w:val="center"/>
          </w:tcPr>
          <w:p>
            <w:pPr>
              <w:spacing w:line="288" w:lineRule="auto"/>
              <w:jc w:val="center"/>
              <w:rPr>
                <w:rFonts w:ascii="Arial" w:hAnsi="Arial" w:cs="Arial"/>
                <w:color w:val="auto"/>
                <w:szCs w:val="21"/>
                <w:highlight w:val="none"/>
              </w:rPr>
            </w:pPr>
            <w:r>
              <w:rPr>
                <w:rFonts w:hint="eastAsia" w:ascii="Arial" w:hAnsi="Arial" w:cs="Arial"/>
                <w:color w:val="auto"/>
                <w:szCs w:val="21"/>
                <w:highlight w:val="none"/>
              </w:rPr>
              <w:t>/</w:t>
            </w:r>
          </w:p>
        </w:tc>
        <w:tc>
          <w:tcPr>
            <w:tcW w:w="5683" w:type="dxa"/>
            <w:tcBorders>
              <w:left w:val="single" w:color="auto" w:sz="4" w:space="0"/>
              <w:right w:val="single" w:color="auto" w:sz="4" w:space="0"/>
            </w:tcBorders>
            <w:vAlign w:val="center"/>
          </w:tcPr>
          <w:p>
            <w:pPr>
              <w:pStyle w:val="19"/>
              <w:rPr>
                <w:rFonts w:ascii="Arial" w:hAnsi="Arial" w:cs="Arial"/>
                <w:color w:val="auto"/>
                <w:szCs w:val="21"/>
                <w:highlight w:val="none"/>
              </w:rPr>
            </w:pPr>
            <w:r>
              <w:rPr>
                <w:rFonts w:hint="eastAsia"/>
                <w:color w:val="auto"/>
                <w:highlight w:val="none"/>
              </w:rPr>
              <w:t>包含</w:t>
            </w:r>
            <w:r>
              <w:rPr>
                <w:rFonts w:ascii="Arial" w:hAnsi="Arial" w:cs="Arial"/>
                <w:color w:val="auto"/>
                <w:szCs w:val="21"/>
                <w:highlight w:val="none"/>
              </w:rPr>
              <w:t>设备材料运输搬运和就位安装</w:t>
            </w:r>
          </w:p>
        </w:tc>
        <w:tc>
          <w:tcPr>
            <w:tcW w:w="835" w:type="dxa"/>
            <w:tcBorders>
              <w:left w:val="single" w:color="auto" w:sz="4" w:space="0"/>
              <w:right w:val="single" w:color="auto" w:sz="4" w:space="0"/>
            </w:tcBorders>
            <w:vAlign w:val="center"/>
          </w:tcPr>
          <w:p>
            <w:pPr>
              <w:spacing w:line="288" w:lineRule="auto"/>
              <w:jc w:val="center"/>
              <w:rPr>
                <w:rFonts w:ascii="Arial" w:hAnsi="Arial" w:cs="Arial"/>
                <w:color w:val="auto"/>
                <w:szCs w:val="21"/>
                <w:highlight w:val="none"/>
              </w:rPr>
            </w:pPr>
          </w:p>
        </w:tc>
      </w:tr>
    </w:tbl>
    <w:p>
      <w:pPr>
        <w:spacing w:line="360" w:lineRule="auto"/>
        <w:rPr>
          <w:rFonts w:ascii="Arial" w:hAnsi="Arial" w:eastAsia="黑体" w:cs="Arial"/>
          <w:b/>
          <w:color w:val="auto"/>
          <w:kern w:val="0"/>
          <w:sz w:val="28"/>
          <w:szCs w:val="28"/>
          <w:highlight w:val="none"/>
        </w:rPr>
      </w:pPr>
      <w:r>
        <w:rPr>
          <w:rFonts w:ascii="Arial" w:hAnsi="Arial" w:eastAsia="黑体" w:cs="Arial"/>
          <w:b/>
          <w:color w:val="auto"/>
          <w:kern w:val="0"/>
          <w:sz w:val="28"/>
          <w:szCs w:val="28"/>
          <w:highlight w:val="none"/>
        </w:rPr>
        <w:t>三、商务要求</w:t>
      </w:r>
    </w:p>
    <w:p>
      <w:pPr>
        <w:spacing w:line="360" w:lineRule="auto"/>
        <w:rPr>
          <w:rFonts w:ascii="Arial" w:hAnsi="Arial" w:cs="Arial"/>
          <w:color w:val="auto"/>
          <w:szCs w:val="21"/>
          <w:highlight w:val="none"/>
        </w:rPr>
      </w:pPr>
      <w:r>
        <w:rPr>
          <w:rFonts w:ascii="Arial" w:hAnsi="Arial" w:cs="Arial"/>
          <w:color w:val="auto"/>
          <w:szCs w:val="21"/>
          <w:highlight w:val="none"/>
        </w:rPr>
        <w:t>1．报价要求</w:t>
      </w:r>
    </w:p>
    <w:p>
      <w:pPr>
        <w:spacing w:line="360" w:lineRule="auto"/>
        <w:rPr>
          <w:rFonts w:ascii="Arial" w:hAnsi="Arial" w:cs="Arial"/>
          <w:color w:val="auto"/>
          <w:szCs w:val="21"/>
          <w:highlight w:val="none"/>
        </w:rPr>
      </w:pPr>
      <w:r>
        <w:rPr>
          <w:rFonts w:ascii="Arial" w:hAnsi="Arial" w:cs="Arial"/>
          <w:color w:val="auto"/>
          <w:szCs w:val="21"/>
          <w:highlight w:val="none"/>
        </w:rPr>
        <w:t>本次报价须为人民币报价，</w:t>
      </w:r>
      <w:r>
        <w:rPr>
          <w:rFonts w:hint="eastAsia" w:ascii="Arial" w:hAnsi="Arial" w:cs="Arial"/>
          <w:color w:val="auto"/>
          <w:szCs w:val="21"/>
          <w:highlight w:val="none"/>
        </w:rPr>
        <w:t>包含本次采购货物、货物随配标准附件、机组安装的辅助设备和材料、专用工具、包装、运输、运抵指定交货地点、装卸、现场安装调试检验、技术/培训及技术资料的各种费用和售后服务、税金及其他所有成本费用的总和</w:t>
      </w:r>
      <w:r>
        <w:rPr>
          <w:rFonts w:ascii="Arial" w:hAnsi="Arial" w:cs="Arial"/>
          <w:color w:val="auto"/>
          <w:szCs w:val="21"/>
          <w:highlight w:val="none"/>
        </w:rPr>
        <w:t>。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r>
        <w:rPr>
          <w:rFonts w:hint="eastAsia" w:ascii="Arial" w:hAnsi="Arial" w:cs="Arial"/>
          <w:color w:val="auto"/>
          <w:szCs w:val="21"/>
          <w:highlight w:val="none"/>
        </w:rPr>
        <w:t>（本项目为交钥匙工程）</w:t>
      </w:r>
    </w:p>
    <w:p>
      <w:pPr>
        <w:spacing w:line="360" w:lineRule="auto"/>
        <w:rPr>
          <w:rFonts w:ascii="Arial" w:hAnsi="Arial" w:cs="Arial"/>
          <w:color w:val="auto"/>
          <w:szCs w:val="21"/>
          <w:highlight w:val="none"/>
        </w:rPr>
      </w:pPr>
      <w:r>
        <w:rPr>
          <w:rFonts w:ascii="Arial" w:hAnsi="Arial" w:cs="Arial"/>
          <w:color w:val="auto"/>
          <w:szCs w:val="21"/>
          <w:highlight w:val="none"/>
        </w:rPr>
        <w:t>2.合同签订日期</w:t>
      </w:r>
    </w:p>
    <w:p>
      <w:pPr>
        <w:spacing w:line="360" w:lineRule="auto"/>
        <w:rPr>
          <w:rFonts w:ascii="Arial" w:hAnsi="Arial" w:cs="Arial"/>
          <w:color w:val="auto"/>
          <w:szCs w:val="21"/>
          <w:highlight w:val="none"/>
        </w:rPr>
      </w:pPr>
      <w:r>
        <w:rPr>
          <w:rFonts w:ascii="Arial" w:hAnsi="Arial" w:cs="Arial"/>
          <w:color w:val="auto"/>
          <w:szCs w:val="21"/>
          <w:highlight w:val="none"/>
        </w:rPr>
        <w:t>中标通知书发出后25日内。</w:t>
      </w:r>
    </w:p>
    <w:p>
      <w:pPr>
        <w:spacing w:line="360" w:lineRule="auto"/>
        <w:rPr>
          <w:rFonts w:ascii="Arial" w:hAnsi="Arial" w:cs="Arial"/>
          <w:color w:val="auto"/>
          <w:szCs w:val="21"/>
          <w:highlight w:val="none"/>
        </w:rPr>
      </w:pPr>
      <w:r>
        <w:rPr>
          <w:rFonts w:ascii="Arial" w:hAnsi="Arial" w:cs="Arial"/>
          <w:color w:val="auto"/>
          <w:szCs w:val="21"/>
          <w:highlight w:val="none"/>
        </w:rPr>
        <w:t>3.交货（实施）时间</w:t>
      </w:r>
    </w:p>
    <w:p>
      <w:pPr>
        <w:spacing w:line="360" w:lineRule="auto"/>
        <w:rPr>
          <w:rFonts w:ascii="Arial" w:hAnsi="Arial" w:cs="Arial"/>
          <w:color w:val="auto"/>
          <w:szCs w:val="21"/>
          <w:highlight w:val="none"/>
        </w:rPr>
      </w:pPr>
      <w:r>
        <w:rPr>
          <w:rFonts w:hint="eastAsia" w:ascii="Arial" w:hAnsi="Arial" w:cs="Arial"/>
          <w:color w:val="auto"/>
          <w:szCs w:val="21"/>
          <w:highlight w:val="none"/>
        </w:rPr>
        <w:t>自签订合同之日起</w:t>
      </w:r>
      <w:r>
        <w:rPr>
          <w:rFonts w:ascii="Arial" w:hAnsi="Arial" w:cs="Arial"/>
          <w:color w:val="auto"/>
          <w:szCs w:val="21"/>
          <w:highlight w:val="none"/>
        </w:rPr>
        <w:t>40</w:t>
      </w:r>
      <w:r>
        <w:rPr>
          <w:rFonts w:hint="eastAsia" w:ascii="Arial" w:hAnsi="Arial" w:cs="Arial"/>
          <w:color w:val="auto"/>
          <w:szCs w:val="21"/>
          <w:highlight w:val="none"/>
        </w:rPr>
        <w:t>天内交货并安装完毕交付使用。</w:t>
      </w:r>
    </w:p>
    <w:p>
      <w:pPr>
        <w:spacing w:line="360" w:lineRule="auto"/>
        <w:rPr>
          <w:rFonts w:ascii="Arial" w:hAnsi="Arial" w:cs="Arial"/>
          <w:color w:val="auto"/>
          <w:szCs w:val="21"/>
          <w:highlight w:val="none"/>
        </w:rPr>
      </w:pPr>
      <w:r>
        <w:rPr>
          <w:rFonts w:ascii="Arial" w:hAnsi="Arial" w:cs="Arial"/>
          <w:color w:val="auto"/>
          <w:szCs w:val="21"/>
          <w:highlight w:val="none"/>
        </w:rPr>
        <w:t>4.交货地点或服务地点</w:t>
      </w:r>
    </w:p>
    <w:p>
      <w:pPr>
        <w:spacing w:line="360" w:lineRule="auto"/>
        <w:rPr>
          <w:rFonts w:ascii="Arial" w:hAnsi="Arial" w:cs="Arial"/>
          <w:color w:val="auto"/>
          <w:szCs w:val="21"/>
          <w:highlight w:val="none"/>
        </w:rPr>
      </w:pPr>
      <w:r>
        <w:rPr>
          <w:rFonts w:ascii="Arial" w:hAnsi="Arial" w:cs="Arial"/>
          <w:color w:val="auto"/>
          <w:szCs w:val="21"/>
          <w:highlight w:val="none"/>
        </w:rPr>
        <w:t>桂林市内采购人指定地点</w:t>
      </w:r>
    </w:p>
    <w:p>
      <w:pPr>
        <w:spacing w:line="360" w:lineRule="auto"/>
        <w:rPr>
          <w:rFonts w:ascii="Arial" w:hAnsi="Arial" w:cs="Arial"/>
          <w:color w:val="auto"/>
          <w:szCs w:val="21"/>
          <w:highlight w:val="none"/>
        </w:rPr>
      </w:pPr>
      <w:r>
        <w:rPr>
          <w:rFonts w:ascii="Arial" w:hAnsi="Arial" w:cs="Arial"/>
          <w:color w:val="auto"/>
          <w:szCs w:val="21"/>
          <w:highlight w:val="none"/>
        </w:rPr>
        <w:t>5.验收标准</w:t>
      </w:r>
      <w:r>
        <w:rPr>
          <w:rFonts w:hint="eastAsia" w:ascii="Arial" w:hAnsi="Arial" w:cs="Arial"/>
          <w:color w:val="auto"/>
          <w:szCs w:val="21"/>
          <w:highlight w:val="none"/>
        </w:rPr>
        <w:t>。</w:t>
      </w:r>
    </w:p>
    <w:p>
      <w:pPr>
        <w:spacing w:line="360" w:lineRule="auto"/>
        <w:rPr>
          <w:rFonts w:ascii="Arial" w:hAnsi="Arial" w:cs="Arial"/>
          <w:color w:val="auto"/>
          <w:szCs w:val="21"/>
          <w:highlight w:val="none"/>
        </w:rPr>
      </w:pPr>
      <w:bookmarkStart w:id="20" w:name="_Hlk77607553"/>
      <w:r>
        <w:rPr>
          <w:rFonts w:ascii="Arial" w:hAnsi="Arial" w:cs="Arial"/>
          <w:color w:val="auto"/>
          <w:szCs w:val="21"/>
          <w:highlight w:val="none"/>
        </w:rPr>
        <w:t>详见招标文件合同主要条款格式部分</w:t>
      </w:r>
      <w:r>
        <w:rPr>
          <w:rFonts w:ascii="Arial" w:hAnsi="Arial" w:cs="Arial"/>
          <w:b/>
          <w:bCs/>
          <w:color w:val="auto"/>
          <w:szCs w:val="21"/>
          <w:highlight w:val="none"/>
        </w:rPr>
        <w:t>（为方便验收，投标人投标文件中需附：本设备（系统）配置清单）</w:t>
      </w:r>
    </w:p>
    <w:bookmarkEnd w:id="20"/>
    <w:p>
      <w:pPr>
        <w:spacing w:line="360" w:lineRule="auto"/>
        <w:rPr>
          <w:rFonts w:ascii="Arial" w:hAnsi="Arial" w:cs="Arial"/>
          <w:color w:val="auto"/>
          <w:szCs w:val="21"/>
          <w:highlight w:val="none"/>
        </w:rPr>
      </w:pPr>
      <w:r>
        <w:rPr>
          <w:rFonts w:ascii="Arial" w:hAnsi="Arial" w:cs="Arial"/>
          <w:color w:val="auto"/>
          <w:szCs w:val="21"/>
          <w:highlight w:val="none"/>
        </w:rPr>
        <w:t>6.服务标准、期限、效率</w:t>
      </w:r>
    </w:p>
    <w:p>
      <w:pPr>
        <w:spacing w:line="360" w:lineRule="auto"/>
        <w:rPr>
          <w:rFonts w:ascii="Arial" w:hAnsi="Arial" w:cs="Arial"/>
          <w:color w:val="auto"/>
          <w:szCs w:val="21"/>
          <w:highlight w:val="none"/>
        </w:rPr>
      </w:pPr>
      <w:r>
        <w:rPr>
          <w:rFonts w:ascii="Arial" w:hAnsi="Arial" w:cs="Arial"/>
          <w:color w:val="auto"/>
          <w:szCs w:val="21"/>
          <w:highlight w:val="none"/>
        </w:rPr>
        <w:t>6.1中标供应商在质量保证期内应当为采购人提供以下技术支持和服务：</w:t>
      </w:r>
    </w:p>
    <w:p>
      <w:pPr>
        <w:spacing w:line="360" w:lineRule="auto"/>
        <w:rPr>
          <w:rFonts w:ascii="Arial" w:hAnsi="Arial" w:cs="Arial"/>
          <w:color w:val="auto"/>
          <w:szCs w:val="21"/>
          <w:highlight w:val="none"/>
        </w:rPr>
      </w:pPr>
      <w:r>
        <w:rPr>
          <w:rFonts w:ascii="Arial" w:hAnsi="Arial" w:cs="Arial"/>
          <w:color w:val="auto"/>
          <w:szCs w:val="21"/>
          <w:highlight w:val="none"/>
        </w:rPr>
        <w:t>6.1.1电话咨询</w:t>
      </w:r>
    </w:p>
    <w:p>
      <w:pPr>
        <w:spacing w:line="360" w:lineRule="auto"/>
        <w:rPr>
          <w:rFonts w:ascii="Arial" w:hAnsi="Arial" w:cs="Arial"/>
          <w:color w:val="auto"/>
          <w:szCs w:val="21"/>
          <w:highlight w:val="none"/>
        </w:rPr>
      </w:pPr>
      <w:r>
        <w:rPr>
          <w:rFonts w:ascii="Arial" w:hAnsi="Arial" w:cs="Arial"/>
          <w:color w:val="auto"/>
          <w:szCs w:val="21"/>
          <w:highlight w:val="none"/>
        </w:rPr>
        <w:t>中标供应商应当为采购人提供技术援助电话，解答采购人在使用中遇到的问题，及时为采购人提出解决问题的建议。</w:t>
      </w:r>
    </w:p>
    <w:p>
      <w:pPr>
        <w:spacing w:line="360" w:lineRule="auto"/>
        <w:rPr>
          <w:rFonts w:ascii="Arial" w:hAnsi="Arial" w:cs="Arial"/>
          <w:color w:val="auto"/>
          <w:szCs w:val="21"/>
          <w:highlight w:val="none"/>
        </w:rPr>
      </w:pPr>
      <w:r>
        <w:rPr>
          <w:rFonts w:ascii="Arial" w:hAnsi="Arial" w:cs="Arial"/>
          <w:color w:val="auto"/>
          <w:szCs w:val="21"/>
          <w:highlight w:val="none"/>
        </w:rPr>
        <w:t>6.1.2现场响应</w:t>
      </w:r>
    </w:p>
    <w:p>
      <w:pPr>
        <w:spacing w:line="360" w:lineRule="auto"/>
        <w:rPr>
          <w:rFonts w:ascii="Arial" w:hAnsi="Arial" w:cs="Arial"/>
          <w:color w:val="auto"/>
          <w:szCs w:val="21"/>
          <w:highlight w:val="none"/>
        </w:rPr>
      </w:pPr>
      <w:r>
        <w:rPr>
          <w:rFonts w:ascii="Arial" w:hAnsi="Arial" w:cs="Arial"/>
          <w:color w:val="auto"/>
          <w:szCs w:val="21"/>
          <w:highlight w:val="none"/>
        </w:rPr>
        <w:t>采购人遇到使用或技术问题，电话咨询不能解决的，中标供应商应在</w:t>
      </w:r>
      <w:r>
        <w:rPr>
          <w:rFonts w:hint="eastAsia" w:ascii="Arial" w:hAnsi="Arial" w:cs="Arial"/>
          <w:color w:val="auto"/>
          <w:szCs w:val="21"/>
          <w:highlight w:val="none"/>
        </w:rPr>
        <w:t>2</w:t>
      </w:r>
      <w:r>
        <w:rPr>
          <w:rFonts w:ascii="Arial" w:hAnsi="Arial" w:cs="Arial"/>
          <w:color w:val="auto"/>
          <w:szCs w:val="21"/>
          <w:highlight w:val="none"/>
        </w:rPr>
        <w:t>小时内到达现场进行处理，到达现场后</w:t>
      </w:r>
      <w:r>
        <w:rPr>
          <w:rFonts w:hint="eastAsia" w:ascii="Arial" w:hAnsi="Arial" w:cs="Arial"/>
          <w:color w:val="auto"/>
          <w:szCs w:val="21"/>
          <w:highlight w:val="none"/>
        </w:rPr>
        <w:t>1</w:t>
      </w:r>
      <w:r>
        <w:rPr>
          <w:rFonts w:ascii="Arial" w:hAnsi="Arial" w:cs="Arial"/>
          <w:color w:val="auto"/>
          <w:szCs w:val="21"/>
          <w:highlight w:val="none"/>
        </w:rPr>
        <w:t>小时内排除故障，恢复正常使用。</w:t>
      </w:r>
      <w:r>
        <w:rPr>
          <w:rFonts w:hint="eastAsia" w:ascii="Arial" w:hAnsi="Arial" w:cs="Arial"/>
          <w:color w:val="auto"/>
          <w:szCs w:val="21"/>
          <w:highlight w:val="none"/>
        </w:rPr>
        <w:t>保修期外，如在使用过程中发生质量问题，</w:t>
      </w:r>
      <w:r>
        <w:rPr>
          <w:rFonts w:ascii="Arial" w:hAnsi="Arial" w:cs="Arial"/>
          <w:color w:val="auto"/>
          <w:szCs w:val="21"/>
          <w:highlight w:val="none"/>
        </w:rPr>
        <w:t>中标供应商应在</w:t>
      </w:r>
      <w:r>
        <w:rPr>
          <w:rFonts w:hint="eastAsia" w:ascii="Arial" w:hAnsi="Arial" w:cs="Arial"/>
          <w:color w:val="auto"/>
          <w:szCs w:val="21"/>
          <w:highlight w:val="none"/>
        </w:rPr>
        <w:t>接到甲方通知后在</w:t>
      </w:r>
      <w:r>
        <w:rPr>
          <w:rFonts w:ascii="Arial" w:hAnsi="Arial" w:cs="Arial"/>
          <w:color w:val="auto"/>
          <w:szCs w:val="21"/>
          <w:highlight w:val="none"/>
        </w:rPr>
        <w:t>2</w:t>
      </w:r>
      <w:r>
        <w:rPr>
          <w:rFonts w:hint="eastAsia" w:ascii="Arial" w:hAnsi="Arial" w:cs="Arial"/>
          <w:color w:val="auto"/>
          <w:szCs w:val="21"/>
          <w:highlight w:val="none"/>
        </w:rPr>
        <w:t>小时内到达甲方现场处理。</w:t>
      </w:r>
    </w:p>
    <w:p>
      <w:pPr>
        <w:spacing w:line="360" w:lineRule="auto"/>
        <w:rPr>
          <w:rFonts w:ascii="Arial" w:hAnsi="Arial" w:cs="Arial"/>
          <w:color w:val="auto"/>
          <w:szCs w:val="21"/>
          <w:highlight w:val="none"/>
        </w:rPr>
      </w:pPr>
      <w:r>
        <w:rPr>
          <w:rFonts w:ascii="Arial" w:hAnsi="Arial" w:cs="Arial"/>
          <w:color w:val="auto"/>
          <w:szCs w:val="21"/>
          <w:highlight w:val="none"/>
        </w:rPr>
        <w:t>6.1.3技术升级</w:t>
      </w:r>
    </w:p>
    <w:p>
      <w:pPr>
        <w:spacing w:line="360" w:lineRule="auto"/>
        <w:rPr>
          <w:rFonts w:ascii="Arial" w:hAnsi="Arial" w:cs="Arial"/>
          <w:color w:val="auto"/>
          <w:szCs w:val="21"/>
          <w:highlight w:val="none"/>
        </w:rPr>
      </w:pPr>
      <w:r>
        <w:rPr>
          <w:rFonts w:ascii="Arial" w:hAnsi="Arial" w:cs="Arial"/>
          <w:color w:val="auto"/>
          <w:szCs w:val="21"/>
          <w:highlight w:val="none"/>
        </w:rPr>
        <w:t>在质保期内，如果中标供应商的产品或服务升级，中标供应商应及时通知采购人，如采购人有相应要求，中标供应商应对采购人购买的产品或服务进行升级。</w:t>
      </w:r>
    </w:p>
    <w:p>
      <w:pPr>
        <w:spacing w:line="360" w:lineRule="auto"/>
        <w:rPr>
          <w:rFonts w:ascii="Arial" w:hAnsi="Arial" w:cs="Arial"/>
          <w:color w:val="auto"/>
          <w:szCs w:val="21"/>
          <w:highlight w:val="none"/>
        </w:rPr>
      </w:pPr>
      <w:r>
        <w:rPr>
          <w:rFonts w:ascii="Arial" w:hAnsi="Arial" w:cs="Arial"/>
          <w:color w:val="auto"/>
          <w:szCs w:val="21"/>
          <w:highlight w:val="none"/>
        </w:rPr>
        <w:t>6.1.4质量保证期内的费用</w:t>
      </w:r>
    </w:p>
    <w:p>
      <w:pPr>
        <w:spacing w:line="360" w:lineRule="auto"/>
        <w:rPr>
          <w:rFonts w:ascii="Arial" w:hAnsi="Arial" w:cs="Arial"/>
          <w:color w:val="auto"/>
          <w:szCs w:val="21"/>
          <w:highlight w:val="none"/>
        </w:rPr>
      </w:pPr>
      <w:r>
        <w:rPr>
          <w:rFonts w:ascii="Arial" w:hAnsi="Arial" w:cs="Arial"/>
          <w:color w:val="auto"/>
          <w:szCs w:val="21"/>
          <w:highlight w:val="none"/>
        </w:rPr>
        <w:t>质量保证期内供应商为采购人所提供的所有技术支持和服务费用以及上门维修、更换零部件费用均包含在投标报价中，采购人不再另行支付。</w:t>
      </w:r>
    </w:p>
    <w:p>
      <w:pPr>
        <w:spacing w:line="360" w:lineRule="auto"/>
        <w:rPr>
          <w:rFonts w:ascii="Arial" w:hAnsi="Arial" w:cs="Arial"/>
          <w:color w:val="auto"/>
          <w:szCs w:val="21"/>
          <w:highlight w:val="none"/>
        </w:rPr>
      </w:pPr>
      <w:r>
        <w:rPr>
          <w:rFonts w:ascii="Arial" w:hAnsi="Arial" w:cs="Arial"/>
          <w:color w:val="auto"/>
          <w:szCs w:val="21"/>
          <w:highlight w:val="none"/>
        </w:rPr>
        <w:t>6.2质保期过后的服务要求</w:t>
      </w:r>
    </w:p>
    <w:p>
      <w:pPr>
        <w:spacing w:line="360" w:lineRule="auto"/>
        <w:rPr>
          <w:rFonts w:ascii="Arial" w:hAnsi="Arial" w:cs="Arial"/>
          <w:color w:val="auto"/>
          <w:szCs w:val="21"/>
          <w:highlight w:val="none"/>
        </w:rPr>
      </w:pPr>
      <w:r>
        <w:rPr>
          <w:rFonts w:ascii="Arial" w:hAnsi="Arial" w:cs="Arial"/>
          <w:color w:val="auto"/>
          <w:szCs w:val="21"/>
          <w:highlight w:val="none"/>
        </w:rPr>
        <w:t>电话咨询：产品质量保证期过后，中标供应商应当为采购人提供技术援助电话，解答采购人在使用中遇到的问题，及时为采购人提出解决问题的建议，并不予收费。</w:t>
      </w:r>
    </w:p>
    <w:p>
      <w:pPr>
        <w:spacing w:line="360" w:lineRule="auto"/>
        <w:rPr>
          <w:rFonts w:ascii="Arial" w:hAnsi="Arial" w:cs="Arial"/>
          <w:color w:val="auto"/>
          <w:szCs w:val="21"/>
          <w:highlight w:val="none"/>
        </w:rPr>
      </w:pPr>
      <w:r>
        <w:rPr>
          <w:rFonts w:ascii="Arial" w:hAnsi="Arial" w:cs="Arial"/>
          <w:color w:val="auto"/>
          <w:szCs w:val="21"/>
          <w:highlight w:val="none"/>
        </w:rPr>
        <w:t>7.培训</w:t>
      </w:r>
    </w:p>
    <w:p>
      <w:pPr>
        <w:spacing w:line="360" w:lineRule="auto"/>
        <w:rPr>
          <w:rFonts w:ascii="Arial" w:hAnsi="Arial" w:cs="Arial"/>
          <w:color w:val="auto"/>
          <w:szCs w:val="21"/>
          <w:highlight w:val="none"/>
        </w:rPr>
      </w:pPr>
      <w:r>
        <w:rPr>
          <w:rFonts w:ascii="Arial" w:hAnsi="Arial" w:cs="Arial"/>
          <w:color w:val="auto"/>
          <w:szCs w:val="21"/>
          <w:highlight w:val="none"/>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pPr>
        <w:spacing w:line="360" w:lineRule="auto"/>
        <w:rPr>
          <w:rFonts w:ascii="Arial" w:hAnsi="Arial" w:cs="Arial"/>
          <w:color w:val="auto"/>
          <w:szCs w:val="21"/>
          <w:highlight w:val="none"/>
        </w:rPr>
      </w:pPr>
      <w:r>
        <w:rPr>
          <w:rFonts w:ascii="Arial" w:hAnsi="Arial" w:cs="Arial"/>
          <w:color w:val="auto"/>
          <w:szCs w:val="21"/>
          <w:highlight w:val="none"/>
        </w:rPr>
        <w:t>8.付款方式、时间及条件</w:t>
      </w:r>
    </w:p>
    <w:p>
      <w:pPr>
        <w:spacing w:line="360" w:lineRule="auto"/>
        <w:rPr>
          <w:rFonts w:ascii="Arial" w:hAnsi="Arial" w:cs="Arial"/>
          <w:b/>
          <w:bCs/>
          <w:color w:val="auto"/>
          <w:szCs w:val="21"/>
          <w:highlight w:val="none"/>
        </w:rPr>
      </w:pPr>
      <w:r>
        <w:rPr>
          <w:rFonts w:ascii="Arial" w:hAnsi="Arial" w:cs="Arial"/>
          <w:b/>
          <w:bCs/>
          <w:color w:val="auto"/>
          <w:szCs w:val="21"/>
          <w:highlight w:val="none"/>
        </w:rPr>
        <w:t>8.1、货物安装调试完成，验收合格后，中标供应商开具全额税务发票，采购人在验收合格并无故障运行，走院内付款流程，转账支付合同款的95%（无息），可采用汇票、云信、供应链、信用证等付款方式。合同款的5%在设备正常使用满</w:t>
      </w:r>
      <w:r>
        <w:rPr>
          <w:rFonts w:hint="eastAsia" w:ascii="Arial" w:hAnsi="Arial" w:cs="Arial"/>
          <w:b/>
          <w:bCs/>
          <w:color w:val="auto"/>
          <w:szCs w:val="21"/>
          <w:highlight w:val="none"/>
        </w:rPr>
        <w:t>两</w:t>
      </w:r>
      <w:r>
        <w:rPr>
          <w:rFonts w:ascii="Arial" w:hAnsi="Arial" w:cs="Arial"/>
          <w:b/>
          <w:bCs/>
          <w:color w:val="auto"/>
          <w:szCs w:val="21"/>
          <w:highlight w:val="none"/>
        </w:rPr>
        <w:t>年后三个月内转账支付（无息）。采购人付款前，中标供应商未按上述要求开具符合采购人要求的正规财务票据的，采购人有权暂缓或拒付款项且不构成违约。</w:t>
      </w:r>
    </w:p>
    <w:p>
      <w:pPr>
        <w:spacing w:line="360" w:lineRule="auto"/>
        <w:rPr>
          <w:rFonts w:ascii="Arial" w:hAnsi="Arial" w:cs="Arial"/>
          <w:b/>
          <w:bCs/>
          <w:color w:val="auto"/>
          <w:szCs w:val="21"/>
          <w:highlight w:val="none"/>
        </w:rPr>
      </w:pPr>
      <w:r>
        <w:rPr>
          <w:rFonts w:ascii="Arial" w:hAnsi="Arial" w:cs="Arial"/>
          <w:b/>
          <w:bCs/>
          <w:color w:val="auto"/>
          <w:szCs w:val="21"/>
          <w:highlight w:val="none"/>
        </w:rPr>
        <w:t>8.2、票据要求：中标供应商必须按照采购人要求提供真实、有效、合法的正式税务发票。一旦发现中标供应商提供虚假税务发票，除须向采购人补开合法的税务发票外，须赔偿采购人发票票面金额一倍的违约金，且采购人有权终止合同，供应商不得提出异议，因终止合同而产生的一切损失均由中标供应商承担。</w:t>
      </w:r>
    </w:p>
    <w:p>
      <w:pPr>
        <w:spacing w:line="360" w:lineRule="auto"/>
        <w:rPr>
          <w:rFonts w:ascii="Arial" w:hAnsi="Arial" w:cs="Arial"/>
          <w:color w:val="auto"/>
          <w:szCs w:val="21"/>
          <w:highlight w:val="none"/>
        </w:rPr>
      </w:pPr>
      <w:r>
        <w:rPr>
          <w:rFonts w:ascii="Arial" w:hAnsi="Arial" w:cs="Arial"/>
          <w:color w:val="auto"/>
          <w:szCs w:val="21"/>
          <w:highlight w:val="none"/>
        </w:rPr>
        <w:t>9.履约保证金</w:t>
      </w:r>
    </w:p>
    <w:p>
      <w:pPr>
        <w:spacing w:line="360" w:lineRule="auto"/>
        <w:rPr>
          <w:rFonts w:ascii="Arial" w:hAnsi="Arial" w:cs="Arial"/>
          <w:color w:val="auto"/>
          <w:szCs w:val="21"/>
          <w:highlight w:val="none"/>
        </w:rPr>
      </w:pPr>
      <w:r>
        <w:rPr>
          <w:rFonts w:ascii="Arial" w:hAnsi="Arial" w:cs="Arial"/>
          <w:color w:val="auto"/>
          <w:szCs w:val="21"/>
          <w:highlight w:val="none"/>
        </w:rPr>
        <w:t>无</w:t>
      </w:r>
    </w:p>
    <w:p>
      <w:pPr>
        <w:spacing w:line="360" w:lineRule="auto"/>
        <w:rPr>
          <w:rFonts w:ascii="Arial" w:hAnsi="Arial" w:cs="Arial"/>
          <w:color w:val="auto"/>
          <w:szCs w:val="21"/>
          <w:highlight w:val="none"/>
        </w:rPr>
      </w:pPr>
      <w:r>
        <w:rPr>
          <w:rFonts w:ascii="Arial" w:hAnsi="Arial" w:cs="Arial"/>
          <w:color w:val="auto"/>
          <w:szCs w:val="21"/>
          <w:highlight w:val="none"/>
        </w:rPr>
        <w:t>10.包装和运输要求</w:t>
      </w:r>
    </w:p>
    <w:p>
      <w:pPr>
        <w:spacing w:line="360" w:lineRule="auto"/>
        <w:rPr>
          <w:rFonts w:ascii="Arial" w:hAnsi="Arial" w:cs="Arial"/>
          <w:color w:val="auto"/>
          <w:szCs w:val="21"/>
          <w:highlight w:val="none"/>
        </w:rPr>
      </w:pPr>
      <w:r>
        <w:rPr>
          <w:rFonts w:ascii="Arial" w:hAnsi="Arial" w:cs="Arial"/>
          <w:color w:val="auto"/>
          <w:szCs w:val="21"/>
          <w:highlight w:val="none"/>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60" w:lineRule="auto"/>
        <w:rPr>
          <w:rFonts w:ascii="Arial" w:hAnsi="Arial" w:cs="Arial"/>
          <w:color w:val="auto"/>
          <w:szCs w:val="21"/>
          <w:highlight w:val="none"/>
        </w:rPr>
      </w:pPr>
      <w:r>
        <w:rPr>
          <w:rFonts w:ascii="Arial" w:hAnsi="Arial" w:cs="Arial"/>
          <w:color w:val="auto"/>
          <w:szCs w:val="21"/>
          <w:highlight w:val="none"/>
        </w:rPr>
        <w:t>运输要求详见招标文件合同主要条款格式部分</w:t>
      </w:r>
    </w:p>
    <w:p>
      <w:pPr>
        <w:spacing w:line="360" w:lineRule="auto"/>
        <w:rPr>
          <w:rFonts w:ascii="Arial" w:hAnsi="Arial" w:cs="Arial"/>
          <w:color w:val="auto"/>
          <w:szCs w:val="21"/>
          <w:highlight w:val="none"/>
        </w:rPr>
      </w:pPr>
      <w:r>
        <w:rPr>
          <w:rFonts w:ascii="Arial" w:hAnsi="Arial" w:cs="Arial"/>
          <w:color w:val="auto"/>
          <w:szCs w:val="21"/>
          <w:highlight w:val="none"/>
        </w:rPr>
        <w:t>11.售后服务</w:t>
      </w:r>
    </w:p>
    <w:p>
      <w:pPr>
        <w:spacing w:line="360" w:lineRule="auto"/>
        <w:rPr>
          <w:rFonts w:ascii="Arial" w:hAnsi="Arial" w:cs="Arial"/>
          <w:color w:val="auto"/>
          <w:szCs w:val="21"/>
          <w:highlight w:val="none"/>
        </w:rPr>
      </w:pPr>
      <w:r>
        <w:rPr>
          <w:rFonts w:ascii="Arial" w:hAnsi="Arial" w:cs="Arial"/>
          <w:color w:val="auto"/>
          <w:szCs w:val="21"/>
          <w:highlight w:val="none"/>
        </w:rPr>
        <w:t>11.1中标供应商应按照国家有关法律法规和“三包”规定以及采购文件、投标文件、合同及附件的规定，为采购人提供售后服务。中标供应商承诺质量保证期优于国家“三包”规定的，或优于采购文件规定的，按中标供应商实际承诺执行。</w:t>
      </w:r>
    </w:p>
    <w:p>
      <w:pPr>
        <w:spacing w:line="400" w:lineRule="exact"/>
        <w:ind w:left="-105" w:leftChars="-50"/>
        <w:rPr>
          <w:rFonts w:ascii="Arial" w:hAnsi="Arial" w:cs="Arial"/>
          <w:b/>
          <w:bCs/>
          <w:color w:val="auto"/>
          <w:szCs w:val="21"/>
          <w:highlight w:val="none"/>
        </w:rPr>
      </w:pPr>
      <w:r>
        <w:rPr>
          <w:rFonts w:ascii="Arial" w:hAnsi="Arial" w:cs="Arial"/>
          <w:b/>
          <w:bCs/>
          <w:color w:val="auto"/>
          <w:szCs w:val="21"/>
          <w:highlight w:val="none"/>
        </w:rPr>
        <w:t>11.2质量保证期：中标供应商应明确承诺采购文件采购需求部分如无特别要求，则质保期为自验收合格之日起</w:t>
      </w:r>
      <w:r>
        <w:rPr>
          <w:rFonts w:hint="eastAsia" w:ascii="Arial" w:hAnsi="Arial" w:cs="Arial"/>
          <w:b/>
          <w:bCs/>
          <w:color w:val="auto"/>
          <w:szCs w:val="21"/>
          <w:highlight w:val="none"/>
        </w:rPr>
        <w:t>2</w:t>
      </w:r>
      <w:r>
        <w:rPr>
          <w:rFonts w:ascii="Arial" w:hAnsi="Arial" w:cs="Arial"/>
          <w:b/>
          <w:bCs/>
          <w:color w:val="auto"/>
          <w:szCs w:val="21"/>
          <w:highlight w:val="none"/>
        </w:rPr>
        <w:t>年</w:t>
      </w:r>
      <w:r>
        <w:rPr>
          <w:rFonts w:hint="eastAsia" w:ascii="Arial" w:hAnsi="Arial" w:cs="Arial"/>
          <w:b/>
          <w:bCs/>
          <w:color w:val="auto"/>
          <w:szCs w:val="21"/>
          <w:highlight w:val="none"/>
        </w:rPr>
        <w:t>；</w:t>
      </w:r>
      <w:r>
        <w:rPr>
          <w:rFonts w:hint="eastAsia" w:ascii="宋体" w:hAnsi="宋体" w:cs="宋体"/>
          <w:color w:val="auto"/>
          <w:szCs w:val="21"/>
          <w:highlight w:val="none"/>
        </w:rPr>
        <w:t>质保期外，维修应同样提供不收取费用的咨询服务，需上门维修的不收取维修费，仅收取材料费</w:t>
      </w:r>
      <w:r>
        <w:rPr>
          <w:rFonts w:hint="eastAsia" w:ascii="Arial" w:hAnsi="Arial" w:cs="Arial"/>
          <w:b/>
          <w:bCs/>
          <w:color w:val="auto"/>
          <w:szCs w:val="21"/>
          <w:highlight w:val="none"/>
        </w:rPr>
        <w:t>。</w:t>
      </w:r>
      <w:r>
        <w:rPr>
          <w:rFonts w:ascii="Arial" w:hAnsi="Arial" w:cs="Arial"/>
          <w:b/>
          <w:bCs/>
          <w:color w:val="auto"/>
          <w:szCs w:val="21"/>
          <w:highlight w:val="none"/>
        </w:rPr>
        <w:t>采购文件采购需求部分有特别要求的则以技术参数要求表为准。</w:t>
      </w:r>
    </w:p>
    <w:p>
      <w:pPr>
        <w:spacing w:line="360" w:lineRule="auto"/>
        <w:rPr>
          <w:rFonts w:ascii="Arial" w:hAnsi="Arial" w:cs="Arial"/>
          <w:b/>
          <w:bCs/>
          <w:color w:val="auto"/>
          <w:szCs w:val="21"/>
          <w:highlight w:val="none"/>
        </w:rPr>
      </w:pPr>
      <w:r>
        <w:rPr>
          <w:rFonts w:ascii="Arial" w:hAnsi="Arial" w:cs="Arial"/>
          <w:color w:val="auto"/>
          <w:szCs w:val="21"/>
          <w:highlight w:val="none"/>
        </w:rPr>
        <w:t>11.3中标后产品或服务由制造商（指产品生产制造商或服务实际提供人）负责质保期内的售后服务的，供应商应当在投标文件中予以明确说明，制造商提供的售后服务也应达到采购文件要求的标准，相关的售后服务费用由供应商向制造商支付，供应商可视情况在投标报价中予以考虑，采购人不予另行支付。</w:t>
      </w:r>
    </w:p>
    <w:p>
      <w:pPr>
        <w:spacing w:line="360" w:lineRule="auto"/>
        <w:rPr>
          <w:rFonts w:ascii="Arial" w:hAnsi="Arial" w:cs="Arial"/>
          <w:color w:val="auto"/>
          <w:szCs w:val="21"/>
          <w:highlight w:val="none"/>
        </w:rPr>
      </w:pPr>
      <w:r>
        <w:rPr>
          <w:rFonts w:ascii="Arial" w:hAnsi="Arial" w:cs="Arial"/>
          <w:color w:val="auto"/>
          <w:szCs w:val="21"/>
          <w:highlight w:val="none"/>
        </w:rPr>
        <w:t>11.4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pPr>
        <w:spacing w:line="360" w:lineRule="auto"/>
        <w:rPr>
          <w:rFonts w:ascii="Arial" w:hAnsi="Arial" w:cs="Arial"/>
          <w:color w:val="auto"/>
          <w:szCs w:val="21"/>
          <w:highlight w:val="none"/>
        </w:rPr>
      </w:pPr>
      <w:r>
        <w:rPr>
          <w:rFonts w:ascii="Arial" w:hAnsi="Arial" w:cs="Arial"/>
          <w:color w:val="auto"/>
          <w:szCs w:val="21"/>
          <w:highlight w:val="none"/>
        </w:rPr>
        <w:t>12.保险</w:t>
      </w:r>
    </w:p>
    <w:p>
      <w:pPr>
        <w:spacing w:line="360" w:lineRule="auto"/>
        <w:rPr>
          <w:rFonts w:ascii="Arial" w:hAnsi="Arial" w:cs="Arial"/>
          <w:color w:val="auto"/>
          <w:szCs w:val="21"/>
          <w:highlight w:val="none"/>
        </w:rPr>
      </w:pPr>
      <w:r>
        <w:rPr>
          <w:rFonts w:ascii="Arial" w:hAnsi="Arial" w:cs="Arial"/>
          <w:color w:val="auto"/>
          <w:szCs w:val="21"/>
          <w:highlight w:val="none"/>
        </w:rPr>
        <w:t>供应商负责办理运输和保险，将货物运抵交货地点。与运输、保险相关的费用由供应商承担。</w:t>
      </w:r>
    </w:p>
    <w:p>
      <w:pPr>
        <w:spacing w:line="360" w:lineRule="auto"/>
        <w:rPr>
          <w:rFonts w:ascii="Arial" w:hAnsi="Arial" w:eastAsia="黑体" w:cs="Arial"/>
          <w:b/>
          <w:color w:val="auto"/>
          <w:kern w:val="0"/>
          <w:sz w:val="28"/>
          <w:szCs w:val="28"/>
          <w:highlight w:val="none"/>
        </w:rPr>
      </w:pPr>
      <w:r>
        <w:rPr>
          <w:rFonts w:ascii="Arial" w:hAnsi="Arial" w:eastAsia="黑体" w:cs="Arial"/>
          <w:b/>
          <w:color w:val="auto"/>
          <w:kern w:val="0"/>
          <w:sz w:val="28"/>
          <w:szCs w:val="28"/>
          <w:highlight w:val="none"/>
        </w:rPr>
        <w:t>四、其他要求</w:t>
      </w:r>
    </w:p>
    <w:p>
      <w:pPr>
        <w:spacing w:line="360" w:lineRule="auto"/>
        <w:rPr>
          <w:rFonts w:ascii="Arial" w:hAnsi="Arial" w:cs="Arial"/>
          <w:color w:val="auto"/>
          <w:szCs w:val="21"/>
          <w:highlight w:val="none"/>
        </w:rPr>
      </w:pPr>
      <w:r>
        <w:rPr>
          <w:rFonts w:ascii="Arial" w:hAnsi="Arial" w:cs="Arial"/>
          <w:color w:val="auto"/>
          <w:szCs w:val="21"/>
          <w:highlight w:val="none"/>
        </w:rPr>
        <w:t>1、其他未尽事宜由采购人和中标人在采购合同中详细约定。</w:t>
      </w:r>
    </w:p>
    <w:p>
      <w:pPr>
        <w:spacing w:line="360" w:lineRule="auto"/>
        <w:rPr>
          <w:rFonts w:ascii="Arial" w:hAnsi="Arial" w:cs="Arial"/>
          <w:color w:val="auto"/>
          <w:szCs w:val="21"/>
          <w:highlight w:val="none"/>
        </w:rPr>
      </w:pPr>
      <w:r>
        <w:rPr>
          <w:rFonts w:ascii="Arial" w:hAnsi="Arial" w:cs="Arial"/>
          <w:color w:val="auto"/>
          <w:szCs w:val="21"/>
          <w:highlight w:val="none"/>
        </w:rPr>
        <w:t>2、供应商于投标文件中对所投本项目产品的技术参数要求作出真实、有效的响应和承诺。所提供的产品必须为原装正品的、全新的、完好无破损、且为未开箱状态、符合有关质量标准的产品；设备到货安装前，采购人现场根据招标文件要求及投标文件承诺逐条对应进行核验，核验不合格的，采购人有权终止合同执行并全部退货，同时报相关监督管理部门处理，由此造成采购人经济损失的由中标人负责承担全部赔偿责任。</w:t>
      </w:r>
    </w:p>
    <w:p>
      <w:pPr>
        <w:spacing w:line="360" w:lineRule="auto"/>
        <w:ind w:firstLine="525" w:firstLineChars="250"/>
        <w:rPr>
          <w:rFonts w:ascii="Arial" w:hAnsi="Arial" w:cs="Arial"/>
          <w:color w:val="auto"/>
          <w:szCs w:val="21"/>
          <w:highlight w:val="none"/>
        </w:rPr>
      </w:pPr>
      <w:r>
        <w:rPr>
          <w:rFonts w:ascii="Arial" w:hAnsi="Arial" w:cs="Arial"/>
          <w:color w:val="auto"/>
          <w:szCs w:val="21"/>
          <w:highlight w:val="none"/>
        </w:rPr>
        <w:br w:type="page"/>
      </w:r>
    </w:p>
    <w:p>
      <w:pPr>
        <w:spacing w:line="360" w:lineRule="auto"/>
        <w:rPr>
          <w:rFonts w:ascii="Arial" w:hAnsi="Arial" w:cs="Arial"/>
          <w:color w:val="auto"/>
          <w:szCs w:val="21"/>
          <w:highlight w:val="none"/>
        </w:rPr>
      </w:pPr>
    </w:p>
    <w:bookmarkEnd w:id="18"/>
    <w:bookmarkEnd w:id="19"/>
    <w:p>
      <w:pPr>
        <w:pStyle w:val="28"/>
        <w:snapToGrid w:val="0"/>
        <w:spacing w:before="120" w:after="120" w:line="320" w:lineRule="exact"/>
        <w:jc w:val="center"/>
        <w:outlineLvl w:val="0"/>
        <w:rPr>
          <w:rFonts w:ascii="Arial" w:hAnsi="Arial" w:cs="Arial"/>
          <w:color w:val="auto"/>
          <w:sz w:val="32"/>
          <w:szCs w:val="32"/>
          <w:highlight w:val="none"/>
        </w:rPr>
      </w:pPr>
      <w:bookmarkStart w:id="21" w:name="_Toc28503"/>
      <w:r>
        <w:rPr>
          <w:rFonts w:ascii="Arial" w:hAnsi="Arial" w:cs="Arial"/>
          <w:color w:val="auto"/>
          <w:sz w:val="32"/>
          <w:szCs w:val="32"/>
          <w:highlight w:val="none"/>
        </w:rPr>
        <w:t>第三章  供应商须知</w:t>
      </w:r>
      <w:bookmarkEnd w:id="21"/>
      <w:bookmarkStart w:id="22" w:name="_Toc254970526"/>
      <w:bookmarkStart w:id="23" w:name="_Toc254970667"/>
    </w:p>
    <w:bookmarkEnd w:id="22"/>
    <w:bookmarkEnd w:id="23"/>
    <w:p>
      <w:pPr>
        <w:jc w:val="center"/>
        <w:rPr>
          <w:color w:val="auto"/>
          <w:sz w:val="28"/>
          <w:szCs w:val="36"/>
          <w:highlight w:val="none"/>
        </w:rPr>
      </w:pPr>
      <w:bookmarkStart w:id="24" w:name="_投标人须知前附表"/>
      <w:bookmarkEnd w:id="24"/>
      <w:bookmarkStart w:id="25" w:name="_Hlk19048934"/>
      <w:r>
        <w:rPr>
          <w:color w:val="auto"/>
          <w:sz w:val="28"/>
          <w:szCs w:val="36"/>
          <w:highlight w:val="none"/>
        </w:rPr>
        <w:t>供应商须知前附表</w:t>
      </w:r>
    </w:p>
    <w:tbl>
      <w:tblPr>
        <w:tblStyle w:val="53"/>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5"/>
        <w:gridCol w:w="1230"/>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55"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highlight w:val="none"/>
              </w:rPr>
            </w:pPr>
            <w:r>
              <w:rPr>
                <w:b/>
                <w:color w:val="auto"/>
                <w:szCs w:val="21"/>
                <w:highlight w:val="none"/>
              </w:rPr>
              <w:t>条款号</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highlight w:val="none"/>
              </w:rPr>
            </w:pPr>
            <w:r>
              <w:rPr>
                <w:b/>
                <w:color w:val="auto"/>
                <w:szCs w:val="21"/>
                <w:highlight w:val="none"/>
              </w:rPr>
              <w:t>要点</w:t>
            </w:r>
          </w:p>
        </w:tc>
        <w:tc>
          <w:tcPr>
            <w:tcW w:w="7229" w:type="dxa"/>
            <w:tcBorders>
              <w:top w:val="single" w:color="auto" w:sz="4" w:space="0"/>
              <w:left w:val="single" w:color="auto" w:sz="4" w:space="0"/>
              <w:bottom w:val="single" w:color="auto" w:sz="4" w:space="0"/>
              <w:right w:val="single" w:color="auto" w:sz="4" w:space="0"/>
            </w:tcBorders>
            <w:vAlign w:val="center"/>
          </w:tcPr>
          <w:p>
            <w:pPr>
              <w:jc w:val="center"/>
              <w:rPr>
                <w:b/>
                <w:color w:val="auto"/>
                <w:szCs w:val="21"/>
                <w:highlight w:val="none"/>
              </w:rPr>
            </w:pPr>
            <w:r>
              <w:rPr>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1.3.1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项目基本信息</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color w:val="auto"/>
                <w:highlight w:val="none"/>
              </w:rPr>
            </w:pPr>
            <w:r>
              <w:rPr>
                <w:rFonts w:ascii="Arial" w:hAnsi="Arial" w:cs="Arial"/>
                <w:color w:val="auto"/>
                <w:highlight w:val="none"/>
              </w:rPr>
              <w:t>项目名称：</w:t>
            </w:r>
            <w:r>
              <w:rPr>
                <w:rFonts w:hint="eastAsia" w:ascii="Arial" w:hAnsi="Arial" w:cs="Arial"/>
                <w:color w:val="auto"/>
                <w:highlight w:val="none"/>
              </w:rPr>
              <w:t>桂林医学院附属医院整体搬迁项目空气源热水设备采购</w:t>
            </w:r>
          </w:p>
          <w:p>
            <w:pPr>
              <w:spacing w:line="300" w:lineRule="exact"/>
              <w:jc w:val="left"/>
              <w:rPr>
                <w:rFonts w:hint="eastAsia" w:ascii="Arial" w:hAnsi="Arial" w:eastAsia="宋体" w:cs="Arial"/>
                <w:color w:val="auto"/>
                <w:highlight w:val="none"/>
                <w:lang w:eastAsia="zh-CN"/>
              </w:rPr>
            </w:pPr>
            <w:r>
              <w:rPr>
                <w:rFonts w:ascii="Arial" w:hAnsi="Arial" w:cs="Arial"/>
                <w:color w:val="auto"/>
                <w:highlight w:val="none"/>
              </w:rPr>
              <w:t>项目编号：</w:t>
            </w:r>
            <w:r>
              <w:rPr>
                <w:rFonts w:hint="eastAsia" w:ascii="Arial" w:hAnsi="Arial" w:cs="Arial"/>
                <w:color w:val="auto"/>
                <w:highlight w:val="none"/>
                <w:lang w:eastAsia="zh-CN"/>
              </w:rPr>
              <w:t>GXZC2024-G1-003102-JDZB</w:t>
            </w:r>
          </w:p>
          <w:p>
            <w:pPr>
              <w:spacing w:line="300" w:lineRule="exact"/>
              <w:jc w:val="left"/>
              <w:rPr>
                <w:color w:val="auto"/>
                <w:szCs w:val="21"/>
                <w:highlight w:val="none"/>
                <w:u w:val="single"/>
              </w:rPr>
            </w:pPr>
            <w:r>
              <w:rPr>
                <w:rFonts w:ascii="Arial" w:hAnsi="Arial" w:cs="Arial"/>
                <w:color w:val="auto"/>
                <w:highlight w:val="none"/>
              </w:rPr>
              <w:t>采购计划文号：</w:t>
            </w:r>
            <w:r>
              <w:rPr>
                <w:rFonts w:hint="eastAsia" w:ascii="Arial" w:hAnsi="Arial" w:cs="Arial"/>
                <w:color w:val="auto"/>
                <w:highlight w:val="none"/>
              </w:rPr>
              <w:t xml:space="preserve">广西政采[2024]5202号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1.3.2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lang w:val="zh-CN"/>
              </w:rPr>
            </w:pPr>
            <w:r>
              <w:rPr>
                <w:rFonts w:hint="eastAsia"/>
                <w:color w:val="auto"/>
                <w:szCs w:val="21"/>
                <w:highlight w:val="none"/>
                <w:lang w:val="zh-CN"/>
              </w:rPr>
              <w:t>采购方式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1</w:t>
            </w:r>
            <w:r>
              <w:rPr>
                <w:b/>
                <w:color w:val="auto"/>
                <w:szCs w:val="21"/>
                <w:highlight w:val="none"/>
              </w:rPr>
              <w:t>.4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lang w:val="zh-CN"/>
              </w:rPr>
            </w:pPr>
            <w:r>
              <w:rPr>
                <w:rFonts w:hint="eastAsia"/>
                <w:color w:val="auto"/>
                <w:szCs w:val="21"/>
                <w:highlight w:val="none"/>
                <w:lang w:val="zh-CN"/>
              </w:rPr>
              <w:t>促进中小企业发展措施</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ascii="Arial" w:hAnsi="Arial" w:cs="Arial"/>
                <w:color w:val="auto"/>
                <w:kern w:val="0"/>
                <w:szCs w:val="21"/>
                <w:highlight w:val="none"/>
              </w:rPr>
              <w:t>本项目非专门面向中小微企业采购</w:t>
            </w:r>
            <w:r>
              <w:rPr>
                <w:rFonts w:hint="eastAsia" w:ascii="Arial" w:hAnsi="Arial" w:cs="Arial"/>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1.5.1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lang w:val="zh-CN"/>
              </w:rPr>
              <w:t>供应商资格条件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详</w:t>
            </w:r>
            <w:r>
              <w:rPr>
                <w:color w:val="auto"/>
                <w:szCs w:val="21"/>
                <w:highlight w:val="none"/>
              </w:rPr>
              <w:t>见招标公告</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755" w:type="dxa"/>
            <w:tcBorders>
              <w:top w:val="single" w:color="auto" w:sz="4" w:space="0"/>
              <w:left w:val="single" w:color="auto" w:sz="4" w:space="0"/>
              <w:right w:val="single" w:color="auto" w:sz="4" w:space="0"/>
            </w:tcBorders>
            <w:vAlign w:val="center"/>
          </w:tcPr>
          <w:p>
            <w:pPr>
              <w:spacing w:line="300" w:lineRule="exact"/>
              <w:jc w:val="center"/>
              <w:rPr>
                <w:b/>
                <w:color w:val="auto"/>
                <w:szCs w:val="21"/>
                <w:highlight w:val="none"/>
              </w:rPr>
            </w:pPr>
            <w:bookmarkStart w:id="26" w:name="_Hlk85555568"/>
            <w:r>
              <w:rPr>
                <w:b/>
                <w:color w:val="auto"/>
                <w:szCs w:val="21"/>
                <w:highlight w:val="none"/>
              </w:rPr>
              <w:t>1.5.3</w:t>
            </w:r>
          </w:p>
        </w:tc>
        <w:tc>
          <w:tcPr>
            <w:tcW w:w="1230" w:type="dxa"/>
            <w:tcBorders>
              <w:top w:val="single" w:color="auto" w:sz="4" w:space="0"/>
              <w:left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联合体</w:t>
            </w:r>
          </w:p>
        </w:tc>
        <w:tc>
          <w:tcPr>
            <w:tcW w:w="7229" w:type="dxa"/>
            <w:tcBorders>
              <w:top w:val="single" w:color="auto" w:sz="4" w:space="0"/>
              <w:left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是否接受联合体详见招标公告</w:t>
            </w:r>
          </w:p>
        </w:tc>
      </w:tr>
      <w:bookmarkEnd w:id="2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1.6</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踏勘</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ascii="Arial" w:hAnsi="Arial" w:cs="Arial"/>
                <w:color w:val="auto"/>
                <w:highlight w:val="none"/>
              </w:rPr>
              <w:t>不组织。</w:t>
            </w: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1.7.2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分包</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是否接受分包详见招标公告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招标文件澄清、修改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color w:val="auto"/>
                <w:szCs w:val="21"/>
                <w:highlight w:val="none"/>
              </w:rPr>
              <w:t>在招标公告发布媒介发布</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2.3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确认收到澄清、修改发布的方式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color w:val="auto"/>
                <w:szCs w:val="21"/>
                <w:highlight w:val="none"/>
              </w:rPr>
              <w:t>澄清、修改文件</w:t>
            </w:r>
            <w:r>
              <w:rPr>
                <w:rFonts w:hint="eastAsia"/>
                <w:color w:val="auto"/>
                <w:szCs w:val="21"/>
                <w:highlight w:val="none"/>
              </w:rPr>
              <w:t>自招标</w:t>
            </w:r>
            <w:r>
              <w:rPr>
                <w:color w:val="auto"/>
                <w:szCs w:val="21"/>
                <w:highlight w:val="none"/>
              </w:rPr>
              <w:t>公告发布媒</w:t>
            </w:r>
            <w:r>
              <w:rPr>
                <w:rFonts w:hint="eastAsia"/>
                <w:color w:val="auto"/>
                <w:szCs w:val="21"/>
                <w:highlight w:val="none"/>
              </w:rPr>
              <w:t>体</w:t>
            </w:r>
            <w:r>
              <w:rPr>
                <w:color w:val="auto"/>
                <w:szCs w:val="21"/>
                <w:highlight w:val="none"/>
              </w:rPr>
              <w:t>发布之日起，视为供应商已收到该澄清、修改。供应商未及时关注</w:t>
            </w:r>
            <w:r>
              <w:rPr>
                <w:rFonts w:hint="eastAsia"/>
                <w:color w:val="auto"/>
                <w:szCs w:val="21"/>
                <w:highlight w:val="none"/>
              </w:rPr>
              <w:t>招标</w:t>
            </w:r>
            <w:r>
              <w:rPr>
                <w:color w:val="auto"/>
                <w:szCs w:val="21"/>
                <w:highlight w:val="none"/>
              </w:rPr>
              <w:t>公告发布媒</w:t>
            </w:r>
            <w:r>
              <w:rPr>
                <w:rFonts w:hint="eastAsia"/>
                <w:color w:val="auto"/>
                <w:szCs w:val="21"/>
                <w:highlight w:val="none"/>
              </w:rPr>
              <w:t>体</w:t>
            </w:r>
            <w:r>
              <w:rPr>
                <w:color w:val="auto"/>
                <w:szCs w:val="21"/>
                <w:highlight w:val="none"/>
              </w:rPr>
              <w:t>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3.4.1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投标有效期</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color w:val="auto"/>
                <w:szCs w:val="21"/>
                <w:highlight w:val="none"/>
              </w:rPr>
              <w:t>投标截止之日起90天。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3.5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投标保证金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Arial" w:hAnsi="Arial" w:cs="Arial"/>
                <w:color w:val="auto"/>
                <w:szCs w:val="21"/>
                <w:highlight w:val="none"/>
              </w:rPr>
            </w:pPr>
            <w:r>
              <w:rPr>
                <w:rFonts w:ascii="Arial" w:hAnsi="Arial" w:cs="Arial"/>
                <w:color w:val="auto"/>
                <w:highlight w:val="none"/>
              </w:rPr>
              <w:t>本项目无需缴纳投标保证金。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55" w:type="dxa"/>
            <w:tcBorders>
              <w:left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3</w:t>
            </w:r>
            <w:r>
              <w:rPr>
                <w:b/>
                <w:color w:val="auto"/>
                <w:szCs w:val="21"/>
                <w:highlight w:val="none"/>
              </w:rPr>
              <w:t>.6</w:t>
            </w:r>
          </w:p>
        </w:tc>
        <w:tc>
          <w:tcPr>
            <w:tcW w:w="1230" w:type="dxa"/>
            <w:tcBorders>
              <w:top w:val="single" w:color="auto" w:sz="4" w:space="0"/>
              <w:left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投标文件的编制</w:t>
            </w:r>
          </w:p>
        </w:tc>
        <w:tc>
          <w:tcPr>
            <w:tcW w:w="7229" w:type="dxa"/>
            <w:tcBorders>
              <w:top w:val="single" w:color="auto" w:sz="4" w:space="0"/>
              <w:left w:val="single" w:color="auto" w:sz="4" w:space="0"/>
              <w:right w:val="single" w:color="auto" w:sz="4" w:space="0"/>
            </w:tcBorders>
            <w:vAlign w:val="center"/>
          </w:tcPr>
          <w:p>
            <w:pPr>
              <w:spacing w:line="300" w:lineRule="exact"/>
              <w:jc w:val="left"/>
              <w:rPr>
                <w:color w:val="auto"/>
                <w:szCs w:val="21"/>
                <w:highlight w:val="none"/>
              </w:rPr>
            </w:pPr>
            <w:r>
              <w:rPr>
                <w:rFonts w:hint="eastAsia" w:hAnsi="宋体"/>
                <w:color w:val="auto"/>
                <w:szCs w:val="21"/>
                <w:highlight w:val="none"/>
              </w:rPr>
              <w:t>投标文件应按第六章投标文件格式分别编制并使用下载的</w:t>
            </w:r>
            <w:r>
              <w:rPr>
                <w:rFonts w:hint="eastAsia"/>
                <w:color w:val="auto"/>
                <w:szCs w:val="21"/>
                <w:highlight w:val="none"/>
              </w:rPr>
              <w:t>广西政府采购云平台新版客户端</w:t>
            </w:r>
            <w:r>
              <w:rPr>
                <w:rFonts w:hint="eastAsia" w:hAnsi="宋体"/>
                <w:color w:val="auto"/>
                <w:szCs w:val="21"/>
                <w:highlight w:val="none"/>
              </w:rPr>
              <w:t>制作并上传。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3.7</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1"/>
                <w:highlight w:val="none"/>
              </w:rPr>
              <w:t>投标文件递交</w:t>
            </w:r>
            <w:r>
              <w:rPr>
                <w:rFonts w:hint="eastAsia"/>
                <w:color w:val="auto"/>
                <w:szCs w:val="21"/>
                <w:highlight w:val="none"/>
              </w:rPr>
              <w:t>截止时间及开标时间</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kern w:val="0"/>
                <w:szCs w:val="21"/>
                <w:highlight w:val="none"/>
              </w:rPr>
              <w:t>见招标公告要求</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4</w:t>
            </w:r>
            <w:r>
              <w:rPr>
                <w:b/>
                <w:color w:val="auto"/>
                <w:szCs w:val="21"/>
                <w:highlight w:val="none"/>
              </w:rPr>
              <w:t>.2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0"/>
                <w:highlight w:val="none"/>
              </w:rPr>
            </w:pPr>
            <w:r>
              <w:rPr>
                <w:rFonts w:hint="eastAsia"/>
                <w:color w:val="auto"/>
                <w:szCs w:val="21"/>
                <w:highlight w:val="none"/>
              </w:rPr>
              <w:t>备份投标文件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olor w:val="auto"/>
                <w:szCs w:val="21"/>
                <w:highlight w:val="none"/>
              </w:rPr>
            </w:pPr>
            <w:r>
              <w:rPr>
                <w:rFonts w:hint="eastAsia" w:ascii="宋体" w:hAnsi="宋体"/>
                <w:color w:val="auto"/>
                <w:szCs w:val="21"/>
                <w:highlight w:val="none"/>
              </w:rPr>
              <w:t>本项目</w:t>
            </w:r>
            <w:r>
              <w:rPr>
                <w:color w:val="auto"/>
                <w:sz w:val="22"/>
                <w:szCs w:val="22"/>
                <w:highlight w:val="none"/>
              </w:rPr>
              <w:sym w:font="Wingdings 2" w:char="F052"/>
            </w:r>
            <w:r>
              <w:rPr>
                <w:rFonts w:hint="eastAsia"/>
                <w:color w:val="auto"/>
                <w:szCs w:val="21"/>
                <w:highlight w:val="none"/>
              </w:rPr>
              <w:t>接受   □不接受</w:t>
            </w:r>
            <w:r>
              <w:rPr>
                <w:rFonts w:hint="eastAsia" w:ascii="宋体" w:hAnsi="宋体"/>
                <w:color w:val="auto"/>
                <w:szCs w:val="21"/>
                <w:highlight w:val="none"/>
              </w:rPr>
              <w:t>备份投标文件</w:t>
            </w:r>
          </w:p>
          <w:p>
            <w:pPr>
              <w:spacing w:line="276" w:lineRule="auto"/>
              <w:rPr>
                <w:color w:val="auto"/>
                <w:sz w:val="22"/>
                <w:szCs w:val="22"/>
                <w:highlight w:val="none"/>
              </w:rPr>
            </w:pPr>
            <w:r>
              <w:rPr>
                <w:rFonts w:hint="eastAsia" w:ascii="宋体" w:hAnsi="宋体"/>
                <w:color w:val="auto"/>
                <w:szCs w:val="21"/>
                <w:highlight w:val="none"/>
              </w:rPr>
              <w:t>以</w:t>
            </w:r>
            <w:r>
              <w:rPr>
                <w:rFonts w:ascii="Arial" w:hAnsi="Arial" w:cs="Arial"/>
                <w:color w:val="auto"/>
                <w:kern w:val="0"/>
                <w:szCs w:val="21"/>
                <w:highlight w:val="none"/>
              </w:rPr>
              <w:t>广西政府采购云平台</w:t>
            </w:r>
            <w:r>
              <w:rPr>
                <w:rFonts w:hint="eastAsia" w:ascii="宋体" w:hAnsi="宋体"/>
                <w:color w:val="auto"/>
                <w:szCs w:val="21"/>
                <w:highlight w:val="none"/>
              </w:rPr>
              <w:t>自动生成的备份文件为依据，当项目允许接受备份响应文件时，供应商才可以按规定上传备份投标文件。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4</w:t>
            </w:r>
            <w:r>
              <w:rPr>
                <w:b/>
                <w:color w:val="auto"/>
                <w:szCs w:val="21"/>
                <w:highlight w:val="none"/>
              </w:rPr>
              <w:t>.3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0"/>
                <w:highlight w:val="none"/>
              </w:rPr>
              <w:t>演示</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Cs w:val="21"/>
                <w:highlight w:val="none"/>
              </w:rPr>
            </w:pPr>
            <w:r>
              <w:rPr>
                <w:rFonts w:hint="eastAsia"/>
                <w:color w:val="auto"/>
                <w:szCs w:val="21"/>
                <w:highlight w:val="none"/>
              </w:rPr>
              <w:t>本项目无演示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4</w:t>
            </w:r>
            <w:r>
              <w:rPr>
                <w:b/>
                <w:color w:val="auto"/>
                <w:szCs w:val="21"/>
                <w:highlight w:val="none"/>
              </w:rPr>
              <w:t>.4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0"/>
                <w:highlight w:val="none"/>
              </w:rPr>
              <w:t>样品</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Cs w:val="21"/>
                <w:highlight w:val="none"/>
              </w:rPr>
            </w:pPr>
            <w:r>
              <w:rPr>
                <w:rFonts w:hint="eastAsia"/>
                <w:color w:val="auto"/>
                <w:szCs w:val="21"/>
                <w:highlight w:val="none"/>
              </w:rPr>
              <w:t>本项目无需提供样品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rFonts w:hint="eastAsia"/>
                <w:b/>
                <w:color w:val="auto"/>
                <w:szCs w:val="21"/>
                <w:highlight w:val="none"/>
              </w:rPr>
              <w:t>6.</w:t>
            </w:r>
            <w:r>
              <w:rPr>
                <w:b/>
                <w:color w:val="auto"/>
                <w:szCs w:val="21"/>
                <w:highlight w:val="none"/>
              </w:rPr>
              <w:t>3</w:t>
            </w:r>
            <w:r>
              <w:rPr>
                <w:rFonts w:hint="eastAsia"/>
                <w:b/>
                <w:color w:val="auto"/>
                <w:szCs w:val="21"/>
                <w:highlight w:val="none"/>
              </w:rPr>
              <w:t>.</w:t>
            </w:r>
            <w:r>
              <w:rPr>
                <w:b/>
                <w:color w:val="auto"/>
                <w:szCs w:val="21"/>
                <w:highlight w:val="none"/>
              </w:rPr>
              <w:t>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相同品牌推荐方式</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Cs w:val="21"/>
                <w:highlight w:val="none"/>
              </w:rPr>
            </w:pPr>
            <w:r>
              <w:rPr>
                <w:rFonts w:hint="eastAsia"/>
                <w:color w:val="auto"/>
                <w:szCs w:val="21"/>
                <w:highlight w:val="none"/>
              </w:rPr>
              <w:t>采购人委托评审委员会确定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6.5</w:t>
            </w:r>
            <w:r>
              <w:rPr>
                <w:rFonts w:hint="eastAsia"/>
                <w:b/>
                <w:color w:val="auto"/>
                <w:szCs w:val="21"/>
                <w:highlight w:val="none"/>
              </w:rPr>
              <w:t>.1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结果</w:t>
            </w:r>
            <w:r>
              <w:rPr>
                <w:color w:val="auto"/>
                <w:szCs w:val="21"/>
                <w:highlight w:val="none"/>
              </w:rPr>
              <w:t>公告</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color w:val="auto"/>
                <w:szCs w:val="21"/>
                <w:highlight w:val="none"/>
              </w:rPr>
              <w:t>采购代理机构在采购人依法确认中标人后2个工作日内在招标公告发布的媒体上发布</w:t>
            </w:r>
            <w:r>
              <w:rPr>
                <w:rFonts w:hint="eastAsia"/>
                <w:color w:val="auto"/>
                <w:szCs w:val="21"/>
                <w:highlight w:val="none"/>
              </w:rPr>
              <w:t>结果</w:t>
            </w:r>
            <w:r>
              <w:rPr>
                <w:color w:val="auto"/>
                <w:szCs w:val="21"/>
                <w:highlight w:val="none"/>
              </w:rPr>
              <w:t>公告</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6.5.2</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中标通知书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中标人到代理机构领取中标通知书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6.5.3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招标结果通知书</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采购代理机构通过</w:t>
            </w:r>
            <w:r>
              <w:rPr>
                <w:rFonts w:ascii="Arial" w:hAnsi="Arial" w:cs="Arial"/>
                <w:color w:val="auto"/>
                <w:kern w:val="0"/>
                <w:szCs w:val="21"/>
                <w:highlight w:val="none"/>
              </w:rPr>
              <w:t>广西政府采购云平台</w:t>
            </w:r>
            <w:r>
              <w:rPr>
                <w:rFonts w:hint="eastAsia"/>
                <w:color w:val="auto"/>
                <w:szCs w:val="21"/>
                <w:highlight w:val="none"/>
              </w:rPr>
              <w:t>发出招标结果</w:t>
            </w:r>
            <w:r>
              <w:rPr>
                <w:color w:val="auto"/>
                <w:szCs w:val="21"/>
                <w:highlight w:val="none"/>
              </w:rPr>
              <w:t>通知书</w:t>
            </w:r>
          </w:p>
          <w:p>
            <w:pPr>
              <w:spacing w:line="300" w:lineRule="exact"/>
              <w:jc w:val="left"/>
              <w:rPr>
                <w:color w:val="auto"/>
                <w:szCs w:val="21"/>
                <w:highlight w:val="none"/>
              </w:rPr>
            </w:pPr>
            <w:r>
              <w:rPr>
                <w:rFonts w:hint="eastAsia"/>
                <w:color w:val="auto"/>
                <w:szCs w:val="21"/>
                <w:highlight w:val="none"/>
              </w:rPr>
              <w:t>招标结果通知书在广西政府采购云平台推送之日起，视为中标人已收到，中标人自行承担未及时查收的后果。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8.1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质疑</w:t>
            </w:r>
          </w:p>
        </w:tc>
        <w:tc>
          <w:tcPr>
            <w:tcW w:w="722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（1）供应商</w:t>
            </w:r>
            <w:r>
              <w:rPr>
                <w:color w:val="auto"/>
                <w:szCs w:val="21"/>
                <w:highlight w:val="none"/>
              </w:rPr>
              <w:t>认为</w:t>
            </w:r>
            <w:r>
              <w:rPr>
                <w:rFonts w:hint="eastAsia"/>
                <w:color w:val="auto"/>
                <w:szCs w:val="21"/>
                <w:highlight w:val="none"/>
              </w:rPr>
              <w:t>招标文件</w:t>
            </w:r>
            <w:r>
              <w:rPr>
                <w:color w:val="auto"/>
                <w:szCs w:val="21"/>
                <w:highlight w:val="none"/>
              </w:rPr>
              <w:t>、</w:t>
            </w:r>
            <w:r>
              <w:rPr>
                <w:rFonts w:hint="eastAsia"/>
                <w:color w:val="auto"/>
                <w:szCs w:val="21"/>
                <w:highlight w:val="none"/>
              </w:rPr>
              <w:t>采购</w:t>
            </w:r>
            <w:r>
              <w:rPr>
                <w:color w:val="auto"/>
                <w:szCs w:val="21"/>
                <w:highlight w:val="none"/>
              </w:rPr>
              <w:t>过程、中标</w:t>
            </w:r>
            <w:r>
              <w:rPr>
                <w:rFonts w:hint="eastAsia"/>
                <w:color w:val="auto"/>
                <w:szCs w:val="21"/>
                <w:highlight w:val="none"/>
              </w:rPr>
              <w:t>或者成交</w:t>
            </w:r>
            <w:r>
              <w:rPr>
                <w:color w:val="auto"/>
                <w:szCs w:val="21"/>
                <w:highlight w:val="none"/>
              </w:rPr>
              <w:t>结果使自己的权益受到损害的，可以在知道或者应知其权益受到损害之日起7个工作日内，</w:t>
            </w:r>
            <w:r>
              <w:rPr>
                <w:rFonts w:hint="eastAsia"/>
                <w:color w:val="auto"/>
                <w:szCs w:val="21"/>
                <w:highlight w:val="none"/>
              </w:rPr>
              <w:t>通过以下方式</w:t>
            </w:r>
            <w:r>
              <w:rPr>
                <w:color w:val="auto"/>
                <w:szCs w:val="21"/>
                <w:highlight w:val="none"/>
              </w:rPr>
              <w:t>向采购人、采购代理机构提出质疑。提出质疑的</w:t>
            </w:r>
            <w:r>
              <w:rPr>
                <w:rFonts w:hint="eastAsia"/>
                <w:color w:val="auto"/>
                <w:szCs w:val="21"/>
                <w:highlight w:val="none"/>
              </w:rPr>
              <w:t>供应商</w:t>
            </w:r>
            <w:r>
              <w:rPr>
                <w:color w:val="auto"/>
                <w:szCs w:val="21"/>
                <w:highlight w:val="none"/>
              </w:rPr>
              <w:t>必须是参与本项目采购活动的供应商</w:t>
            </w:r>
            <w:r>
              <w:rPr>
                <w:rFonts w:hint="eastAsia"/>
                <w:color w:val="auto"/>
                <w:szCs w:val="21"/>
                <w:highlight w:val="none"/>
              </w:rPr>
              <w:t>，并须在</w:t>
            </w:r>
            <w:r>
              <w:rPr>
                <w:color w:val="auto"/>
                <w:szCs w:val="21"/>
                <w:highlight w:val="none"/>
              </w:rPr>
              <w:t>法定质疑期内一次性提出针对同一采购程序环节的质疑。质疑函应使用财政部发布的</w:t>
            </w:r>
            <w:r>
              <w:rPr>
                <w:rFonts w:hint="eastAsia"/>
                <w:color w:val="auto"/>
                <w:szCs w:val="21"/>
                <w:highlight w:val="none"/>
              </w:rPr>
              <w:t>政府采购供应商质疑函范本，并应按照“质疑函制作说明”进行制作。</w:t>
            </w:r>
          </w:p>
          <w:p>
            <w:pPr>
              <w:spacing w:line="300" w:lineRule="exact"/>
              <w:jc w:val="left"/>
              <w:rPr>
                <w:color w:val="auto"/>
                <w:szCs w:val="21"/>
                <w:highlight w:val="none"/>
              </w:rPr>
            </w:pPr>
            <w:r>
              <w:rPr>
                <w:rFonts w:hint="eastAsia"/>
                <w:color w:val="auto"/>
                <w:szCs w:val="21"/>
                <w:highlight w:val="none"/>
              </w:rPr>
              <w:t>（2）</w:t>
            </w:r>
            <w:r>
              <w:rPr>
                <w:color w:val="auto"/>
                <w:szCs w:val="21"/>
                <w:highlight w:val="none"/>
              </w:rPr>
              <w:t>本项目不接受传真、移动通信</w:t>
            </w:r>
            <w:r>
              <w:rPr>
                <w:rFonts w:hint="eastAsia"/>
                <w:color w:val="auto"/>
                <w:szCs w:val="21"/>
                <w:highlight w:val="none"/>
              </w:rPr>
              <w:t>、广西政府采购云平台</w:t>
            </w:r>
            <w:r>
              <w:rPr>
                <w:color w:val="auto"/>
                <w:szCs w:val="21"/>
                <w:highlight w:val="none"/>
              </w:rPr>
              <w:t>等</w:t>
            </w:r>
            <w:r>
              <w:rPr>
                <w:rFonts w:hint="eastAsia"/>
                <w:color w:val="auto"/>
                <w:szCs w:val="21"/>
                <w:highlight w:val="none"/>
              </w:rPr>
              <w:t>方式</w:t>
            </w:r>
            <w:r>
              <w:rPr>
                <w:color w:val="auto"/>
                <w:szCs w:val="21"/>
                <w:highlight w:val="none"/>
              </w:rPr>
              <w:t>送达的质疑材料</w:t>
            </w:r>
            <w:r>
              <w:rPr>
                <w:rFonts w:hint="eastAsia"/>
                <w:color w:val="auto"/>
                <w:szCs w:val="21"/>
                <w:highlight w:val="none"/>
              </w:rPr>
              <w:t>，供应商可通过现场或邮寄方式递交书面质疑材料。供应商应于质疑有效期内将质疑函原件递交或邮寄至招标公告中采购代理机构信息中的联系人。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8"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9.1</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color w:val="auto"/>
                <w:szCs w:val="20"/>
                <w:highlight w:val="none"/>
              </w:rPr>
              <w:t>代理服务费</w:t>
            </w:r>
          </w:p>
        </w:tc>
        <w:tc>
          <w:tcPr>
            <w:tcW w:w="7229"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auto"/>
                <w:highlight w:val="none"/>
              </w:rPr>
            </w:pPr>
            <w:r>
              <w:rPr>
                <w:rFonts w:ascii="Arial" w:hAnsi="Arial" w:cs="Arial"/>
                <w:color w:val="auto"/>
                <w:highlight w:val="none"/>
              </w:rPr>
              <w:t>（1）代理服务费</w:t>
            </w:r>
          </w:p>
          <w:p>
            <w:pPr>
              <w:spacing w:line="300" w:lineRule="exact"/>
              <w:jc w:val="left"/>
              <w:rPr>
                <w:rFonts w:ascii="Arial" w:hAnsi="Arial" w:cs="Arial"/>
                <w:color w:val="auto"/>
                <w:highlight w:val="none"/>
              </w:rPr>
            </w:pPr>
            <w:r>
              <w:rPr>
                <w:rFonts w:ascii="Arial" w:hAnsi="Arial" w:cs="Arial"/>
                <w:color w:val="auto"/>
                <w:highlight w:val="none"/>
              </w:rPr>
              <w:sym w:font="Wingdings 2" w:char="0052"/>
            </w:r>
            <w:r>
              <w:rPr>
                <w:rFonts w:ascii="Arial" w:hAnsi="Arial" w:cs="Arial"/>
                <w:color w:val="auto"/>
                <w:highlight w:val="none"/>
              </w:rPr>
              <w:t>采购代理机构向中标供应商收取代理服务费。本项目代理服务费按照《招标代理服务费管理暂行办法》 (计价格﹝2002﹞1980号)、《国家发展改革委关于降低部分建设项目收费标准规范收费行为等有关问题的通知》(发改价格﹝2011﹞534号)规定的70%采用差额定率累进法计算。具体费率如下：</w:t>
            </w:r>
          </w:p>
          <w:p>
            <w:pPr>
              <w:spacing w:line="288" w:lineRule="auto"/>
              <w:jc w:val="left"/>
              <w:rPr>
                <w:rFonts w:ascii="Arial" w:hAnsi="Arial" w:cs="Arial"/>
                <w:color w:val="auto"/>
                <w:highlight w:val="none"/>
              </w:rPr>
            </w:pPr>
            <w:r>
              <w:rPr>
                <w:rFonts w:ascii="Arial" w:hAnsi="Arial" w:cs="Arial"/>
                <w:color w:val="auto"/>
                <w:highlight w:val="none"/>
              </w:rPr>
              <w:t>①</w:t>
            </w:r>
            <w:r>
              <w:rPr>
                <w:rFonts w:hint="eastAsia" w:ascii="Arial" w:hAnsi="Arial" w:cs="Arial"/>
                <w:color w:val="auto"/>
                <w:highlight w:val="none"/>
              </w:rPr>
              <w:t>中标</w:t>
            </w:r>
            <w:r>
              <w:rPr>
                <w:rFonts w:ascii="Arial" w:hAnsi="Arial" w:cs="Arial"/>
                <w:color w:val="auto"/>
                <w:highlight w:val="none"/>
              </w:rPr>
              <w:t>金额在100万元以下的：</w:t>
            </w:r>
          </w:p>
          <w:p>
            <w:pPr>
              <w:spacing w:line="288" w:lineRule="auto"/>
              <w:jc w:val="left"/>
              <w:rPr>
                <w:rFonts w:ascii="Arial" w:hAnsi="Arial" w:cs="Arial"/>
                <w:color w:val="auto"/>
                <w:highlight w:val="none"/>
              </w:rPr>
            </w:pPr>
            <w:r>
              <w:rPr>
                <w:rFonts w:ascii="Arial" w:hAnsi="Arial" w:cs="Arial"/>
                <w:color w:val="auto"/>
                <w:highlight w:val="none"/>
              </w:rPr>
              <w:t>货物1.5％；服务招标1.5％；工程招标1.0％；</w:t>
            </w:r>
          </w:p>
          <w:p>
            <w:pPr>
              <w:spacing w:line="288" w:lineRule="auto"/>
              <w:jc w:val="left"/>
              <w:rPr>
                <w:rFonts w:ascii="Arial" w:hAnsi="Arial" w:cs="Arial"/>
                <w:color w:val="auto"/>
                <w:highlight w:val="none"/>
              </w:rPr>
            </w:pPr>
            <w:r>
              <w:rPr>
                <w:rFonts w:ascii="Arial" w:hAnsi="Arial" w:cs="Arial"/>
                <w:color w:val="auto"/>
                <w:highlight w:val="none"/>
              </w:rPr>
              <w:t>②</w:t>
            </w:r>
            <w:r>
              <w:rPr>
                <w:rFonts w:hint="eastAsia" w:ascii="Arial" w:hAnsi="Arial" w:cs="Arial"/>
                <w:color w:val="auto"/>
                <w:highlight w:val="none"/>
              </w:rPr>
              <w:t>中标</w:t>
            </w:r>
            <w:r>
              <w:rPr>
                <w:rFonts w:ascii="Arial" w:hAnsi="Arial" w:cs="Arial"/>
                <w:color w:val="auto"/>
                <w:highlight w:val="none"/>
              </w:rPr>
              <w:t>金额在100-500万元之间：</w:t>
            </w:r>
          </w:p>
          <w:p>
            <w:pPr>
              <w:spacing w:line="288" w:lineRule="auto"/>
              <w:jc w:val="left"/>
              <w:rPr>
                <w:rFonts w:ascii="Arial" w:hAnsi="Arial" w:cs="Arial"/>
                <w:color w:val="auto"/>
                <w:highlight w:val="none"/>
              </w:rPr>
            </w:pPr>
            <w:r>
              <w:rPr>
                <w:rFonts w:ascii="Arial" w:hAnsi="Arial" w:cs="Arial"/>
                <w:color w:val="auto"/>
                <w:highlight w:val="none"/>
              </w:rPr>
              <w:t>货物1.1％；服务招标0.8％；工程招标0.7％；</w:t>
            </w:r>
          </w:p>
          <w:p>
            <w:pPr>
              <w:spacing w:line="288" w:lineRule="auto"/>
              <w:jc w:val="left"/>
              <w:rPr>
                <w:rFonts w:ascii="Arial" w:hAnsi="Arial" w:cs="Arial"/>
                <w:color w:val="auto"/>
                <w:highlight w:val="none"/>
              </w:rPr>
            </w:pPr>
            <w:r>
              <w:rPr>
                <w:rFonts w:ascii="Arial" w:hAnsi="Arial" w:cs="Arial"/>
                <w:color w:val="auto"/>
                <w:highlight w:val="none"/>
              </w:rPr>
              <w:t>③</w:t>
            </w:r>
            <w:r>
              <w:rPr>
                <w:rFonts w:hint="eastAsia" w:ascii="Arial" w:hAnsi="Arial" w:cs="Arial"/>
                <w:color w:val="auto"/>
                <w:highlight w:val="none"/>
              </w:rPr>
              <w:t>中标</w:t>
            </w:r>
            <w:r>
              <w:rPr>
                <w:rFonts w:ascii="Arial" w:hAnsi="Arial" w:cs="Arial"/>
                <w:color w:val="auto"/>
                <w:highlight w:val="none"/>
              </w:rPr>
              <w:t>金额在500-1000万元之间：</w:t>
            </w:r>
          </w:p>
          <w:p>
            <w:pPr>
              <w:spacing w:line="288" w:lineRule="auto"/>
              <w:jc w:val="left"/>
              <w:rPr>
                <w:rFonts w:ascii="Arial" w:hAnsi="Arial" w:cs="Arial"/>
                <w:color w:val="auto"/>
                <w:highlight w:val="none"/>
              </w:rPr>
            </w:pPr>
            <w:r>
              <w:rPr>
                <w:rFonts w:ascii="Arial" w:hAnsi="Arial" w:cs="Arial"/>
                <w:color w:val="auto"/>
                <w:highlight w:val="none"/>
              </w:rPr>
              <w:t>货物0.8％；服务招标0.45％；工程招标0.55％；</w:t>
            </w:r>
          </w:p>
          <w:p>
            <w:pPr>
              <w:spacing w:line="288" w:lineRule="auto"/>
              <w:jc w:val="left"/>
              <w:rPr>
                <w:rFonts w:ascii="Arial" w:hAnsi="Arial" w:cs="Arial"/>
                <w:color w:val="auto"/>
                <w:highlight w:val="none"/>
              </w:rPr>
            </w:pPr>
            <w:r>
              <w:rPr>
                <w:rFonts w:ascii="Arial" w:hAnsi="Arial" w:cs="Arial"/>
                <w:color w:val="auto"/>
                <w:highlight w:val="none"/>
              </w:rPr>
              <w:t>④</w:t>
            </w:r>
            <w:r>
              <w:rPr>
                <w:rFonts w:hint="eastAsia" w:ascii="Arial" w:hAnsi="Arial" w:cs="Arial"/>
                <w:color w:val="auto"/>
                <w:highlight w:val="none"/>
              </w:rPr>
              <w:t>中标</w:t>
            </w:r>
            <w:r>
              <w:rPr>
                <w:rFonts w:ascii="Arial" w:hAnsi="Arial" w:cs="Arial"/>
                <w:color w:val="auto"/>
                <w:highlight w:val="none"/>
              </w:rPr>
              <w:t>金额在1000-5000万元之间：</w:t>
            </w:r>
          </w:p>
          <w:p>
            <w:pPr>
              <w:spacing w:line="288" w:lineRule="auto"/>
              <w:jc w:val="left"/>
              <w:rPr>
                <w:rFonts w:ascii="Arial" w:hAnsi="Arial" w:cs="Arial"/>
                <w:color w:val="auto"/>
                <w:highlight w:val="none"/>
              </w:rPr>
            </w:pPr>
            <w:r>
              <w:rPr>
                <w:rFonts w:ascii="Arial" w:hAnsi="Arial" w:cs="Arial"/>
                <w:color w:val="auto"/>
                <w:highlight w:val="none"/>
              </w:rPr>
              <w:t>货物0.5％；服务招标0.25％；工程招标0.35％；</w:t>
            </w:r>
          </w:p>
          <w:p>
            <w:pPr>
              <w:spacing w:line="288" w:lineRule="auto"/>
              <w:jc w:val="left"/>
              <w:rPr>
                <w:rFonts w:ascii="Arial" w:hAnsi="Arial" w:cs="Arial"/>
                <w:color w:val="auto"/>
                <w:highlight w:val="none"/>
              </w:rPr>
            </w:pPr>
            <w:r>
              <w:rPr>
                <w:rFonts w:ascii="Arial" w:hAnsi="Arial" w:cs="Arial"/>
                <w:color w:val="auto"/>
                <w:highlight w:val="none"/>
              </w:rPr>
              <w:t>……</w:t>
            </w:r>
          </w:p>
          <w:p>
            <w:pPr>
              <w:spacing w:line="288" w:lineRule="auto"/>
              <w:jc w:val="left"/>
              <w:rPr>
                <w:rFonts w:ascii="Arial" w:hAnsi="Arial" w:cs="Arial"/>
                <w:color w:val="auto"/>
                <w:highlight w:val="none"/>
              </w:rPr>
            </w:pPr>
            <w:r>
              <w:rPr>
                <w:rFonts w:ascii="Arial" w:hAnsi="Arial" w:cs="Arial"/>
                <w:color w:val="auto"/>
                <w:highlight w:val="none"/>
              </w:rPr>
              <w:t>差额定率累进法计算过程示例：</w:t>
            </w:r>
          </w:p>
          <w:p>
            <w:pPr>
              <w:spacing w:line="288" w:lineRule="auto"/>
              <w:jc w:val="left"/>
              <w:rPr>
                <w:rFonts w:ascii="Arial" w:hAnsi="Arial" w:cs="Arial"/>
                <w:color w:val="auto"/>
                <w:highlight w:val="none"/>
              </w:rPr>
            </w:pPr>
            <w:r>
              <w:rPr>
                <w:rFonts w:ascii="Arial" w:hAnsi="Arial" w:cs="Arial"/>
                <w:color w:val="auto"/>
                <w:highlight w:val="none"/>
              </w:rPr>
              <w:t>例如：某货物招标代理业务</w:t>
            </w:r>
            <w:r>
              <w:rPr>
                <w:rFonts w:hint="eastAsia" w:ascii="Arial" w:hAnsi="Arial" w:cs="Arial"/>
                <w:color w:val="auto"/>
                <w:highlight w:val="none"/>
              </w:rPr>
              <w:t>中标</w:t>
            </w:r>
            <w:r>
              <w:rPr>
                <w:rFonts w:ascii="Arial" w:hAnsi="Arial" w:cs="Arial"/>
                <w:color w:val="auto"/>
                <w:highlight w:val="none"/>
              </w:rPr>
              <w:t>金额为300万元，招标代理服务费金额按如下计算：</w:t>
            </w:r>
          </w:p>
          <w:p>
            <w:pPr>
              <w:spacing w:line="288" w:lineRule="auto"/>
              <w:jc w:val="left"/>
              <w:rPr>
                <w:rFonts w:ascii="Arial" w:hAnsi="Arial" w:cs="Arial"/>
                <w:color w:val="auto"/>
                <w:highlight w:val="none"/>
              </w:rPr>
            </w:pPr>
            <w:r>
              <w:rPr>
                <w:rFonts w:ascii="Arial" w:hAnsi="Arial" w:cs="Arial"/>
                <w:color w:val="auto"/>
                <w:highlight w:val="none"/>
              </w:rPr>
              <w:t>100万元×1.5%＝1.5万元</w:t>
            </w:r>
          </w:p>
          <w:p>
            <w:pPr>
              <w:spacing w:line="288" w:lineRule="auto"/>
              <w:jc w:val="left"/>
              <w:rPr>
                <w:rFonts w:ascii="Arial" w:hAnsi="Arial" w:cs="Arial"/>
                <w:color w:val="auto"/>
                <w:highlight w:val="none"/>
              </w:rPr>
            </w:pPr>
            <w:r>
              <w:rPr>
                <w:rFonts w:ascii="Arial" w:hAnsi="Arial" w:cs="Arial"/>
                <w:color w:val="auto"/>
                <w:highlight w:val="none"/>
              </w:rPr>
              <w:t>（300－100）万元×1.1%＝2.2万元</w:t>
            </w:r>
          </w:p>
          <w:p>
            <w:pPr>
              <w:spacing w:line="288" w:lineRule="auto"/>
              <w:jc w:val="left"/>
              <w:rPr>
                <w:rFonts w:ascii="Arial" w:hAnsi="Arial" w:cs="Arial"/>
                <w:color w:val="auto"/>
                <w:highlight w:val="none"/>
              </w:rPr>
            </w:pPr>
            <w:r>
              <w:rPr>
                <w:rFonts w:ascii="Arial" w:hAnsi="Arial" w:cs="Arial"/>
                <w:color w:val="auto"/>
                <w:highlight w:val="none"/>
              </w:rPr>
              <w:t>合计收费＝（1.5＋2.2）*70%=2.59万元</w:t>
            </w:r>
          </w:p>
          <w:p>
            <w:pPr>
              <w:spacing w:line="288" w:lineRule="auto"/>
              <w:jc w:val="left"/>
              <w:rPr>
                <w:rFonts w:ascii="Arial" w:hAnsi="Arial" w:cs="Arial"/>
                <w:color w:val="auto"/>
                <w:highlight w:val="none"/>
              </w:rPr>
            </w:pPr>
            <w:r>
              <w:rPr>
                <w:rFonts w:ascii="Arial" w:hAnsi="Arial" w:cs="Arial"/>
                <w:color w:val="auto"/>
                <w:highlight w:val="none"/>
              </w:rPr>
              <w:sym w:font="Wingdings 2" w:char="F0A3"/>
            </w:r>
            <w:r>
              <w:rPr>
                <w:rFonts w:ascii="Arial" w:hAnsi="Arial" w:cs="Arial"/>
                <w:color w:val="auto"/>
                <w:highlight w:val="none"/>
              </w:rPr>
              <w:t>采购代理机构向中标供应商收取代理服务费，具体金额为             。</w:t>
            </w:r>
          </w:p>
          <w:p>
            <w:pPr>
              <w:spacing w:line="288" w:lineRule="auto"/>
              <w:jc w:val="left"/>
              <w:rPr>
                <w:rFonts w:ascii="Arial" w:hAnsi="Arial" w:cs="Arial"/>
                <w:color w:val="auto"/>
                <w:highlight w:val="none"/>
              </w:rPr>
            </w:pPr>
            <w:r>
              <w:rPr>
                <w:rFonts w:ascii="Arial" w:hAnsi="Arial" w:cs="Arial"/>
                <w:color w:val="auto"/>
                <w:highlight w:val="none"/>
              </w:rPr>
              <w:t>（2）中标供应商在中标通知书发出前以银行转账或现金形式支付代理服务费。</w:t>
            </w:r>
          </w:p>
          <w:p>
            <w:pPr>
              <w:spacing w:line="288" w:lineRule="auto"/>
              <w:rPr>
                <w:rFonts w:ascii="Arial" w:hAnsi="Arial" w:cs="Arial"/>
                <w:b/>
                <w:color w:val="auto"/>
                <w:highlight w:val="none"/>
              </w:rPr>
            </w:pPr>
            <w:r>
              <w:rPr>
                <w:rFonts w:ascii="Arial" w:hAnsi="Arial" w:cs="Arial"/>
                <w:b/>
                <w:color w:val="auto"/>
                <w:highlight w:val="none"/>
              </w:rPr>
              <w:t>交纳招标代理服务费的银行账户：</w:t>
            </w:r>
          </w:p>
          <w:p>
            <w:pPr>
              <w:spacing w:line="288" w:lineRule="auto"/>
              <w:rPr>
                <w:rFonts w:ascii="Arial" w:hAnsi="Arial" w:cs="Arial"/>
                <w:b/>
                <w:color w:val="auto"/>
                <w:szCs w:val="21"/>
                <w:highlight w:val="none"/>
              </w:rPr>
            </w:pPr>
            <w:r>
              <w:rPr>
                <w:rFonts w:ascii="Arial" w:hAnsi="Arial" w:cs="Arial"/>
                <w:b/>
                <w:color w:val="auto"/>
                <w:szCs w:val="21"/>
                <w:highlight w:val="none"/>
              </w:rPr>
              <w:t>公司名称：广西机电设备招标有限公司</w:t>
            </w:r>
          </w:p>
          <w:p>
            <w:pPr>
              <w:spacing w:line="288" w:lineRule="auto"/>
              <w:rPr>
                <w:rFonts w:ascii="Arial" w:hAnsi="Arial" w:cs="Arial"/>
                <w:b/>
                <w:color w:val="auto"/>
                <w:szCs w:val="21"/>
                <w:highlight w:val="none"/>
              </w:rPr>
            </w:pPr>
            <w:r>
              <w:rPr>
                <w:rFonts w:ascii="Arial" w:hAnsi="Arial" w:cs="Arial"/>
                <w:b/>
                <w:color w:val="auto"/>
                <w:szCs w:val="21"/>
                <w:highlight w:val="none"/>
              </w:rPr>
              <w:t>开户银行：广西北部湾银行金湖支行</w:t>
            </w:r>
          </w:p>
          <w:p>
            <w:pPr>
              <w:spacing w:line="300" w:lineRule="exact"/>
              <w:jc w:val="left"/>
              <w:rPr>
                <w:color w:val="auto"/>
                <w:kern w:val="0"/>
                <w:szCs w:val="21"/>
                <w:highlight w:val="none"/>
              </w:rPr>
            </w:pPr>
            <w:r>
              <w:rPr>
                <w:rFonts w:ascii="Arial" w:hAnsi="Arial" w:cs="Arial"/>
                <w:b/>
                <w:color w:val="auto"/>
                <w:szCs w:val="21"/>
                <w:highlight w:val="none"/>
              </w:rPr>
              <w:t>银行账号：1705012090027723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9.3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0"/>
                <w:highlight w:val="none"/>
              </w:rPr>
            </w:pPr>
            <w:r>
              <w:rPr>
                <w:rFonts w:hint="eastAsia"/>
                <w:color w:val="auto"/>
                <w:szCs w:val="20"/>
                <w:highlight w:val="none"/>
              </w:rPr>
              <w:t>附件</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Cs w:val="21"/>
                <w:highlight w:val="none"/>
                <w:u w:val="single"/>
              </w:rPr>
            </w:pP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9.3</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0"/>
                <w:highlight w:val="none"/>
              </w:rPr>
            </w:pPr>
            <w:r>
              <w:rPr>
                <w:rFonts w:hint="eastAsia"/>
                <w:color w:val="auto"/>
                <w:szCs w:val="20"/>
                <w:highlight w:val="none"/>
              </w:rPr>
              <w:t>图纸</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Cs w:val="21"/>
                <w:highlight w:val="none"/>
                <w:u w:val="single"/>
              </w:rPr>
            </w:pP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color w:val="auto"/>
                <w:szCs w:val="21"/>
                <w:highlight w:val="none"/>
              </w:rPr>
            </w:pPr>
            <w:r>
              <w:rPr>
                <w:b/>
                <w:color w:val="auto"/>
                <w:szCs w:val="21"/>
                <w:highlight w:val="none"/>
              </w:rPr>
              <w:t>9.4</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0"/>
                <w:highlight w:val="none"/>
              </w:rPr>
            </w:pPr>
            <w:r>
              <w:rPr>
                <w:rFonts w:hint="eastAsia"/>
                <w:color w:val="auto"/>
                <w:szCs w:val="20"/>
                <w:highlight w:val="none"/>
              </w:rPr>
              <w:t>其他事项</w:t>
            </w:r>
          </w:p>
        </w:tc>
        <w:tc>
          <w:tcPr>
            <w:tcW w:w="7229" w:type="dxa"/>
            <w:tcBorders>
              <w:top w:val="single" w:color="auto" w:sz="4" w:space="0"/>
              <w:left w:val="single" w:color="auto" w:sz="4" w:space="0"/>
              <w:bottom w:val="single" w:color="auto" w:sz="4" w:space="0"/>
              <w:right w:val="single" w:color="auto" w:sz="4" w:space="0"/>
            </w:tcBorders>
            <w:vAlign w:val="center"/>
          </w:tcPr>
          <w:p>
            <w:pPr>
              <w:spacing w:line="276" w:lineRule="auto"/>
              <w:rPr>
                <w:color w:val="auto"/>
                <w:sz w:val="24"/>
                <w:highlight w:val="none"/>
              </w:rPr>
            </w:pPr>
            <w:r>
              <w:rPr>
                <w:rFonts w:hint="eastAsia"/>
                <w:color w:val="auto"/>
                <w:szCs w:val="21"/>
                <w:highlight w:val="none"/>
              </w:rPr>
              <w:t>本文件中内容如有前后不一致，以在招标文件先出现的为准。</w:t>
            </w:r>
          </w:p>
        </w:tc>
      </w:tr>
    </w:tbl>
    <w:p>
      <w:pPr>
        <w:spacing w:before="120" w:line="320" w:lineRule="atLeast"/>
        <w:outlineLvl w:val="1"/>
        <w:rPr>
          <w:bCs/>
          <w:color w:val="auto"/>
          <w:kern w:val="0"/>
          <w:sz w:val="28"/>
          <w:szCs w:val="28"/>
          <w:highlight w:val="none"/>
        </w:rPr>
        <w:sectPr>
          <w:type w:val="continuous"/>
          <w:pgSz w:w="11906" w:h="16838"/>
          <w:pgMar w:top="993" w:right="1133" w:bottom="1246" w:left="1418" w:header="851" w:footer="992" w:gutter="0"/>
          <w:cols w:space="720" w:num="1"/>
          <w:titlePg/>
          <w:docGrid w:linePitch="312" w:charSpace="0"/>
        </w:sectPr>
      </w:pPr>
    </w:p>
    <w:p>
      <w:pPr>
        <w:spacing w:before="120" w:line="320" w:lineRule="atLeast"/>
        <w:outlineLvl w:val="1"/>
        <w:rPr>
          <w:b/>
          <w:bCs/>
          <w:color w:val="auto"/>
          <w:kern w:val="0"/>
          <w:szCs w:val="21"/>
          <w:highlight w:val="none"/>
        </w:rPr>
      </w:pPr>
      <w:r>
        <w:rPr>
          <w:b/>
          <w:bCs/>
          <w:color w:val="auto"/>
          <w:kern w:val="0"/>
          <w:szCs w:val="21"/>
          <w:highlight w:val="none"/>
        </w:rPr>
        <w:t>1．总则</w:t>
      </w:r>
    </w:p>
    <w:p>
      <w:pPr>
        <w:spacing w:before="120" w:line="320" w:lineRule="atLeast"/>
        <w:ind w:firstLine="422" w:firstLineChars="200"/>
        <w:outlineLvl w:val="2"/>
        <w:rPr>
          <w:b/>
          <w:bCs/>
          <w:color w:val="auto"/>
          <w:kern w:val="0"/>
          <w:szCs w:val="21"/>
          <w:highlight w:val="none"/>
        </w:rPr>
      </w:pPr>
      <w:bookmarkStart w:id="27" w:name="_Toc254970668"/>
      <w:bookmarkStart w:id="28" w:name="_Toc254970527"/>
      <w:r>
        <w:rPr>
          <w:b/>
          <w:bCs/>
          <w:color w:val="auto"/>
          <w:kern w:val="0"/>
          <w:szCs w:val="21"/>
          <w:highlight w:val="none"/>
        </w:rPr>
        <w:t>1.1适用范围</w:t>
      </w:r>
      <w:bookmarkEnd w:id="27"/>
      <w:bookmarkEnd w:id="28"/>
    </w:p>
    <w:p>
      <w:pPr>
        <w:spacing w:before="120" w:line="320" w:lineRule="atLeast"/>
        <w:ind w:firstLine="420" w:firstLineChars="200"/>
        <w:rPr>
          <w:color w:val="auto"/>
          <w:szCs w:val="21"/>
          <w:highlight w:val="none"/>
        </w:rPr>
      </w:pPr>
      <w:r>
        <w:rPr>
          <w:color w:val="auto"/>
          <w:szCs w:val="21"/>
          <w:highlight w:val="none"/>
        </w:rPr>
        <w:t>本招标文件适用于供应商须知前附表所述项目的</w:t>
      </w:r>
      <w:r>
        <w:rPr>
          <w:rFonts w:hint="eastAsia"/>
          <w:color w:val="auto"/>
          <w:szCs w:val="21"/>
          <w:highlight w:val="none"/>
        </w:rPr>
        <w:t>政府采购活动。</w:t>
      </w:r>
    </w:p>
    <w:p>
      <w:pPr>
        <w:spacing w:before="120" w:line="320" w:lineRule="atLeast"/>
        <w:ind w:firstLine="422" w:firstLineChars="200"/>
        <w:outlineLvl w:val="2"/>
        <w:rPr>
          <w:b/>
          <w:bCs/>
          <w:color w:val="auto"/>
          <w:kern w:val="0"/>
          <w:szCs w:val="21"/>
          <w:highlight w:val="none"/>
        </w:rPr>
      </w:pPr>
      <w:bookmarkStart w:id="29" w:name="_Toc254970528"/>
      <w:bookmarkStart w:id="30" w:name="_Toc254970669"/>
      <w:r>
        <w:rPr>
          <w:b/>
          <w:bCs/>
          <w:color w:val="auto"/>
          <w:kern w:val="0"/>
          <w:szCs w:val="21"/>
          <w:highlight w:val="none"/>
        </w:rPr>
        <w:t>1.2定义</w:t>
      </w:r>
      <w:bookmarkEnd w:id="29"/>
      <w:bookmarkEnd w:id="30"/>
    </w:p>
    <w:p>
      <w:pPr>
        <w:spacing w:before="120" w:line="320" w:lineRule="atLeast"/>
        <w:ind w:firstLine="420" w:firstLineChars="200"/>
        <w:rPr>
          <w:color w:val="auto"/>
          <w:szCs w:val="21"/>
          <w:highlight w:val="none"/>
        </w:rPr>
      </w:pPr>
      <w:r>
        <w:rPr>
          <w:color w:val="auto"/>
          <w:szCs w:val="21"/>
          <w:highlight w:val="none"/>
        </w:rPr>
        <w:t>1.2.1“采购人”系指依法进行政府采购的国家机关、事业单位、团体组织。</w:t>
      </w:r>
    </w:p>
    <w:p>
      <w:pPr>
        <w:spacing w:before="120" w:line="320" w:lineRule="atLeast"/>
        <w:ind w:firstLine="420" w:firstLineChars="200"/>
        <w:rPr>
          <w:color w:val="auto"/>
          <w:szCs w:val="21"/>
          <w:highlight w:val="none"/>
        </w:rPr>
      </w:pPr>
      <w:r>
        <w:rPr>
          <w:color w:val="auto"/>
          <w:szCs w:val="21"/>
          <w:highlight w:val="none"/>
        </w:rPr>
        <w:t>1.2.2“供应商”系</w:t>
      </w:r>
      <w:r>
        <w:rPr>
          <w:color w:val="auto"/>
          <w:highlight w:val="none"/>
        </w:rPr>
        <w:t>指响应招标、参加投标竞争的法人、其他组织或者自然人</w:t>
      </w:r>
      <w:r>
        <w:rPr>
          <w:color w:val="auto"/>
          <w:szCs w:val="21"/>
          <w:highlight w:val="none"/>
        </w:rPr>
        <w:t>。</w:t>
      </w:r>
    </w:p>
    <w:p>
      <w:pPr>
        <w:spacing w:before="120" w:line="360" w:lineRule="auto"/>
        <w:ind w:firstLine="420" w:firstLineChars="200"/>
        <w:rPr>
          <w:color w:val="auto"/>
          <w:highlight w:val="none"/>
        </w:rPr>
      </w:pPr>
      <w:r>
        <w:rPr>
          <w:rFonts w:hint="eastAsia"/>
          <w:color w:val="auto"/>
          <w:highlight w:val="none"/>
        </w:rPr>
        <w:t>1.2.3</w:t>
      </w:r>
      <w:r>
        <w:rPr>
          <w:color w:val="auto"/>
          <w:highlight w:val="none"/>
        </w:rPr>
        <w:t>本</w:t>
      </w:r>
      <w:r>
        <w:rPr>
          <w:rFonts w:hint="eastAsia"/>
          <w:color w:val="auto"/>
          <w:highlight w:val="none"/>
        </w:rPr>
        <w:t>文件</w:t>
      </w:r>
      <w:r>
        <w:rPr>
          <w:color w:val="auto"/>
          <w:highlight w:val="none"/>
        </w:rPr>
        <w:t>中的</w:t>
      </w:r>
      <w:r>
        <w:rPr>
          <w:rFonts w:hint="eastAsia"/>
          <w:color w:val="auto"/>
          <w:highlight w:val="none"/>
        </w:rPr>
        <w:t>“法定代表人”若无特别说明，当</w:t>
      </w:r>
      <w:r>
        <w:rPr>
          <w:color w:val="auto"/>
          <w:highlight w:val="none"/>
        </w:rPr>
        <w:t>供应商是</w:t>
      </w:r>
      <w:r>
        <w:rPr>
          <w:rFonts w:hint="eastAsia"/>
          <w:color w:val="auto"/>
          <w:highlight w:val="none"/>
        </w:rPr>
        <w:t>企业的，是指企业法人营业执照上的法定代表人；当</w:t>
      </w:r>
      <w:r>
        <w:rPr>
          <w:color w:val="auto"/>
          <w:highlight w:val="none"/>
        </w:rPr>
        <w:t>供应商是</w:t>
      </w:r>
      <w:r>
        <w:rPr>
          <w:rFonts w:hint="eastAsia"/>
          <w:color w:val="auto"/>
          <w:highlight w:val="none"/>
        </w:rPr>
        <w:t>事业单位的，是指事业单位法人证书上的法定代表人；当</w:t>
      </w:r>
      <w:r>
        <w:rPr>
          <w:color w:val="auto"/>
          <w:highlight w:val="none"/>
        </w:rPr>
        <w:t>供应商是</w:t>
      </w:r>
      <w:r>
        <w:rPr>
          <w:rFonts w:hint="eastAsia"/>
          <w:color w:val="auto"/>
          <w:highlight w:val="none"/>
        </w:rPr>
        <w:t>社会团体、民办非企业的，是指法人登记证书中的法定代表人；当</w:t>
      </w:r>
      <w:r>
        <w:rPr>
          <w:color w:val="auto"/>
          <w:highlight w:val="none"/>
        </w:rPr>
        <w:t>供应商是</w:t>
      </w:r>
      <w:r>
        <w:rPr>
          <w:rFonts w:hint="eastAsia"/>
          <w:color w:val="auto"/>
          <w:highlight w:val="none"/>
        </w:rPr>
        <w:t>个体工商户的，是指个体工商户营业执照上的经营者；</w:t>
      </w:r>
      <w:r>
        <w:rPr>
          <w:color w:val="auto"/>
          <w:highlight w:val="none"/>
        </w:rPr>
        <w:t>当供应商是自然人</w:t>
      </w:r>
      <w:r>
        <w:rPr>
          <w:rFonts w:hint="eastAsia"/>
          <w:color w:val="auto"/>
          <w:highlight w:val="none"/>
        </w:rPr>
        <w:t>的，是指参与本项目响应的自然人本人。</w:t>
      </w:r>
    </w:p>
    <w:p>
      <w:pPr>
        <w:spacing w:before="120" w:line="360" w:lineRule="auto"/>
        <w:ind w:firstLine="420" w:firstLineChars="200"/>
        <w:rPr>
          <w:color w:val="auto"/>
          <w:highlight w:val="none"/>
        </w:rPr>
      </w:pPr>
      <w:r>
        <w:rPr>
          <w:rFonts w:hint="eastAsia"/>
          <w:color w:val="auto"/>
          <w:highlight w:val="none"/>
        </w:rPr>
        <w:t>1.2.4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电子签名的一种表现形式，利用图像处理技术将电子签名操作转化为与纸质文件盖章操作相同的可视效果，同时利用电子签名技术保障电子信息的真实性和完整性以及签名人的不可否认性。</w:t>
      </w:r>
    </w:p>
    <w:p>
      <w:pPr>
        <w:widowControl/>
        <w:spacing w:line="360" w:lineRule="auto"/>
        <w:ind w:firstLine="420" w:firstLineChars="200"/>
        <w:jc w:val="left"/>
        <w:rPr>
          <w:color w:val="auto"/>
          <w:szCs w:val="21"/>
          <w:highlight w:val="none"/>
        </w:rPr>
      </w:pPr>
      <w:r>
        <w:rPr>
          <w:color w:val="auto"/>
          <w:szCs w:val="21"/>
          <w:highlight w:val="none"/>
        </w:rPr>
        <w:t>1.2.</w:t>
      </w:r>
      <w:r>
        <w:rPr>
          <w:rFonts w:hint="eastAsia"/>
          <w:color w:val="auto"/>
          <w:szCs w:val="21"/>
          <w:highlight w:val="none"/>
        </w:rPr>
        <w:t>5</w:t>
      </w:r>
      <w:r>
        <w:rPr>
          <w:color w:val="auto"/>
          <w:szCs w:val="21"/>
          <w:highlight w:val="none"/>
        </w:rPr>
        <w:t>“书面形式”如无特殊规定，</w:t>
      </w:r>
      <w:r>
        <w:rPr>
          <w:rFonts w:hint="eastAsia"/>
          <w:color w:val="auto"/>
          <w:szCs w:val="21"/>
          <w:highlight w:val="none"/>
        </w:rPr>
        <w:t>书面形式是合同书、信件、电报、电传等可以有形地表现所载内容的形式。以电子数据交换、电子邮件等方式能够有形地表现所载内容，并可以随时调取查用的数据电文，视为书面形式。</w:t>
      </w:r>
      <w:r>
        <w:rPr>
          <w:color w:val="auto"/>
          <w:szCs w:val="21"/>
          <w:highlight w:val="none"/>
        </w:rPr>
        <w:t xml:space="preserve">招标文件如有特殊规定，以招标文件规定为准。 </w:t>
      </w:r>
    </w:p>
    <w:p>
      <w:pPr>
        <w:spacing w:before="120" w:line="320" w:lineRule="atLeast"/>
        <w:ind w:firstLine="420" w:firstLineChars="200"/>
        <w:rPr>
          <w:color w:val="auto"/>
          <w:szCs w:val="21"/>
          <w:highlight w:val="none"/>
        </w:rPr>
      </w:pPr>
      <w:r>
        <w:rPr>
          <w:color w:val="auto"/>
          <w:szCs w:val="21"/>
          <w:highlight w:val="none"/>
        </w:rPr>
        <w:t>1.2.</w:t>
      </w:r>
      <w:r>
        <w:rPr>
          <w:rFonts w:hint="eastAsia"/>
          <w:color w:val="auto"/>
          <w:szCs w:val="21"/>
          <w:highlight w:val="none"/>
        </w:rPr>
        <w:t>6本项目的技术商务要求重要性分为“▲”（如有）、“#”（如有）和一般无标识指标。▲代表实质性要求指标，</w:t>
      </w:r>
      <w:r>
        <w:rPr>
          <w:rFonts w:hint="eastAsia"/>
          <w:b/>
          <w:bCs/>
          <w:color w:val="auto"/>
          <w:szCs w:val="21"/>
          <w:highlight w:val="none"/>
        </w:rPr>
        <w:t>不满足该指标项将导致投标被否决</w:t>
      </w:r>
      <w:r>
        <w:rPr>
          <w:rFonts w:hint="eastAsia"/>
          <w:color w:val="auto"/>
          <w:szCs w:val="21"/>
          <w:highlight w:val="none"/>
        </w:rPr>
        <w:t>，#代表重要指标，无标识则表示一般指标项。</w:t>
      </w:r>
    </w:p>
    <w:p>
      <w:pPr>
        <w:spacing w:before="120" w:line="320" w:lineRule="atLeast"/>
        <w:ind w:firstLine="420" w:firstLineChars="200"/>
        <w:rPr>
          <w:color w:val="auto"/>
          <w:szCs w:val="21"/>
          <w:highlight w:val="none"/>
        </w:rPr>
      </w:pPr>
      <w:r>
        <w:rPr>
          <w:color w:val="auto"/>
          <w:szCs w:val="21"/>
          <w:highlight w:val="none"/>
        </w:rPr>
        <w:t>1.2.</w:t>
      </w:r>
      <w:r>
        <w:rPr>
          <w:rFonts w:hint="eastAsia"/>
          <w:color w:val="auto"/>
          <w:szCs w:val="21"/>
          <w:highlight w:val="none"/>
        </w:rPr>
        <w:t>7 本</w:t>
      </w:r>
      <w:r>
        <w:rPr>
          <w:color w:val="auto"/>
          <w:szCs w:val="21"/>
          <w:highlight w:val="none"/>
        </w:rPr>
        <w:t>招标文件</w:t>
      </w:r>
      <w:r>
        <w:rPr>
          <w:rFonts w:hint="eastAsia"/>
          <w:color w:val="auto"/>
          <w:szCs w:val="21"/>
          <w:highlight w:val="none"/>
        </w:rPr>
        <w:t>出现多种选项的条款，以“</w:t>
      </w:r>
      <w:r>
        <w:rPr>
          <w:color w:val="auto"/>
          <w:highlight w:val="none"/>
        </w:rPr>
        <w:sym w:font="Wingdings 2" w:char="F052"/>
      </w:r>
      <w:r>
        <w:rPr>
          <w:rFonts w:hint="eastAsia"/>
          <w:color w:val="auto"/>
          <w:szCs w:val="21"/>
          <w:highlight w:val="none"/>
        </w:rPr>
        <w:t>”表示本条款所选择的方式。</w:t>
      </w:r>
    </w:p>
    <w:p>
      <w:pPr>
        <w:spacing w:before="120" w:line="320" w:lineRule="atLeast"/>
        <w:ind w:firstLine="420" w:firstLineChars="200"/>
        <w:rPr>
          <w:color w:val="auto"/>
          <w:szCs w:val="21"/>
          <w:highlight w:val="none"/>
        </w:rPr>
      </w:pPr>
      <w:r>
        <w:rPr>
          <w:rFonts w:hint="eastAsia"/>
          <w:color w:val="auto"/>
          <w:szCs w:val="21"/>
          <w:highlight w:val="none"/>
        </w:rPr>
        <w:t>1.</w:t>
      </w:r>
      <w:r>
        <w:rPr>
          <w:color w:val="auto"/>
          <w:szCs w:val="21"/>
          <w:highlight w:val="none"/>
        </w:rPr>
        <w:t>2</w:t>
      </w:r>
      <w:r>
        <w:rPr>
          <w:rFonts w:hint="eastAsia"/>
          <w:color w:val="auto"/>
          <w:szCs w:val="21"/>
          <w:highlight w:val="none"/>
        </w:rPr>
        <w:t>.</w:t>
      </w:r>
      <w:r>
        <w:rPr>
          <w:color w:val="auto"/>
          <w:szCs w:val="21"/>
          <w:highlight w:val="none"/>
        </w:rPr>
        <w:t>8 “</w:t>
      </w:r>
      <w:r>
        <w:rPr>
          <w:rFonts w:hint="eastAsia"/>
          <w:color w:val="auto"/>
          <w:szCs w:val="21"/>
          <w:highlight w:val="none"/>
        </w:rPr>
        <w:t>电子交易平台</w:t>
      </w:r>
      <w:r>
        <w:rPr>
          <w:color w:val="auto"/>
          <w:szCs w:val="21"/>
          <w:highlight w:val="none"/>
        </w:rPr>
        <w:t>”</w:t>
      </w:r>
      <w:r>
        <w:rPr>
          <w:rFonts w:hint="eastAsia"/>
          <w:color w:val="auto"/>
          <w:szCs w:val="21"/>
          <w:highlight w:val="none"/>
        </w:rPr>
        <w:t>是指以数据电文形式在线完成采购活动的信息平台，本招标文件中也称</w:t>
      </w:r>
      <w:r>
        <w:rPr>
          <w:color w:val="auto"/>
          <w:szCs w:val="21"/>
          <w:highlight w:val="none"/>
        </w:rPr>
        <w:t>“</w:t>
      </w:r>
      <w:r>
        <w:rPr>
          <w:rFonts w:hint="eastAsia"/>
          <w:color w:val="auto"/>
          <w:szCs w:val="21"/>
          <w:highlight w:val="none"/>
        </w:rPr>
        <w:t>广西政府采购云平台</w:t>
      </w:r>
      <w:r>
        <w:rPr>
          <w:color w:val="auto"/>
          <w:szCs w:val="21"/>
          <w:highlight w:val="none"/>
        </w:rPr>
        <w:t>”</w:t>
      </w:r>
      <w:r>
        <w:rPr>
          <w:rFonts w:hint="eastAsia"/>
          <w:color w:val="auto"/>
          <w:szCs w:val="21"/>
          <w:highlight w:val="none"/>
        </w:rPr>
        <w:t>。</w:t>
      </w:r>
    </w:p>
    <w:p>
      <w:pPr>
        <w:spacing w:before="120" w:line="320" w:lineRule="atLeast"/>
        <w:ind w:firstLine="422" w:firstLineChars="200"/>
        <w:outlineLvl w:val="2"/>
        <w:rPr>
          <w:b/>
          <w:bCs/>
          <w:color w:val="auto"/>
          <w:kern w:val="0"/>
          <w:szCs w:val="21"/>
          <w:highlight w:val="none"/>
        </w:rPr>
      </w:pPr>
      <w:r>
        <w:rPr>
          <w:rFonts w:hint="eastAsia"/>
          <w:b/>
          <w:bCs/>
          <w:color w:val="auto"/>
          <w:kern w:val="0"/>
          <w:szCs w:val="21"/>
          <w:highlight w:val="none"/>
        </w:rPr>
        <w:t>1</w:t>
      </w:r>
      <w:r>
        <w:rPr>
          <w:b/>
          <w:bCs/>
          <w:color w:val="auto"/>
          <w:kern w:val="0"/>
          <w:szCs w:val="21"/>
          <w:highlight w:val="none"/>
        </w:rPr>
        <w:t>.3</w:t>
      </w:r>
      <w:r>
        <w:rPr>
          <w:rFonts w:hint="eastAsia"/>
          <w:b/>
          <w:bCs/>
          <w:color w:val="auto"/>
          <w:kern w:val="0"/>
          <w:szCs w:val="21"/>
          <w:highlight w:val="none"/>
        </w:rPr>
        <w:t>项目信息</w:t>
      </w:r>
    </w:p>
    <w:p>
      <w:pPr>
        <w:spacing w:before="120" w:line="320" w:lineRule="atLeast"/>
        <w:ind w:firstLine="420" w:firstLineChars="200"/>
        <w:rPr>
          <w:color w:val="auto"/>
          <w:szCs w:val="21"/>
          <w:highlight w:val="none"/>
        </w:rPr>
      </w:pPr>
      <w:r>
        <w:rPr>
          <w:rFonts w:hint="eastAsia"/>
          <w:color w:val="auto"/>
          <w:szCs w:val="21"/>
          <w:highlight w:val="none"/>
        </w:rPr>
        <w:t>1</w:t>
      </w:r>
      <w:r>
        <w:rPr>
          <w:color w:val="auto"/>
          <w:szCs w:val="21"/>
          <w:highlight w:val="none"/>
        </w:rPr>
        <w:t>.3.1</w:t>
      </w:r>
      <w:r>
        <w:rPr>
          <w:rFonts w:hint="eastAsia"/>
          <w:color w:val="auto"/>
          <w:szCs w:val="21"/>
          <w:highlight w:val="none"/>
        </w:rPr>
        <w:t>项目名称及编号：详见供应商须知前附表</w:t>
      </w:r>
    </w:p>
    <w:p>
      <w:pPr>
        <w:spacing w:before="120" w:line="320" w:lineRule="atLeast"/>
        <w:ind w:firstLine="420" w:firstLineChars="200"/>
        <w:rPr>
          <w:color w:val="auto"/>
          <w:szCs w:val="21"/>
          <w:highlight w:val="none"/>
        </w:rPr>
      </w:pPr>
      <w:r>
        <w:rPr>
          <w:rFonts w:hint="eastAsia"/>
          <w:color w:val="auto"/>
          <w:szCs w:val="21"/>
          <w:highlight w:val="none"/>
        </w:rPr>
        <w:t>1</w:t>
      </w:r>
      <w:r>
        <w:rPr>
          <w:color w:val="auto"/>
          <w:szCs w:val="21"/>
          <w:highlight w:val="none"/>
        </w:rPr>
        <w:t>.3.2</w:t>
      </w:r>
      <w:r>
        <w:rPr>
          <w:rFonts w:hint="eastAsia"/>
          <w:color w:val="auto"/>
          <w:szCs w:val="21"/>
          <w:highlight w:val="none"/>
        </w:rPr>
        <w:t>采购方式：详见供应商须知前附表</w:t>
      </w:r>
    </w:p>
    <w:p>
      <w:pPr>
        <w:spacing w:before="120" w:line="320" w:lineRule="atLeast"/>
        <w:ind w:firstLine="422" w:firstLineChars="200"/>
        <w:outlineLvl w:val="2"/>
        <w:rPr>
          <w:b/>
          <w:bCs/>
          <w:color w:val="auto"/>
          <w:kern w:val="0"/>
          <w:szCs w:val="21"/>
          <w:highlight w:val="none"/>
        </w:rPr>
      </w:pPr>
      <w:bookmarkStart w:id="31" w:name="_Hlk132812137"/>
      <w:r>
        <w:rPr>
          <w:rFonts w:hint="eastAsia"/>
          <w:b/>
          <w:bCs/>
          <w:color w:val="auto"/>
          <w:kern w:val="0"/>
          <w:szCs w:val="21"/>
          <w:highlight w:val="none"/>
        </w:rPr>
        <w:t>1</w:t>
      </w:r>
      <w:r>
        <w:rPr>
          <w:b/>
          <w:bCs/>
          <w:color w:val="auto"/>
          <w:kern w:val="0"/>
          <w:szCs w:val="21"/>
          <w:highlight w:val="none"/>
        </w:rPr>
        <w:t>.4</w:t>
      </w:r>
      <w:r>
        <w:rPr>
          <w:rFonts w:hint="eastAsia"/>
          <w:b/>
          <w:bCs/>
          <w:color w:val="auto"/>
          <w:kern w:val="0"/>
          <w:szCs w:val="21"/>
          <w:highlight w:val="none"/>
        </w:rPr>
        <w:t>促进中小企业发展政策</w:t>
      </w:r>
    </w:p>
    <w:p>
      <w:pPr>
        <w:spacing w:before="120" w:line="320" w:lineRule="atLeast"/>
        <w:ind w:left="2" w:leftChars="1" w:firstLine="420" w:firstLineChars="200"/>
        <w:rPr>
          <w:color w:val="auto"/>
          <w:szCs w:val="21"/>
          <w:highlight w:val="none"/>
        </w:rPr>
      </w:pPr>
      <w:r>
        <w:rPr>
          <w:color w:val="auto"/>
          <w:szCs w:val="21"/>
          <w:highlight w:val="none"/>
        </w:rPr>
        <w:t>1.4.1</w:t>
      </w:r>
      <w:r>
        <w:rPr>
          <w:rFonts w:hint="eastAsia"/>
          <w:color w:val="auto"/>
          <w:szCs w:val="21"/>
          <w:highlight w:val="none"/>
        </w:rPr>
        <w:t>本项目落实促进中小企业发展政策措施在前附表规定。依据促进中小企业发展政策获得政府采购合同的，小微企业不得将合同分包给大中型企业，中型企业不得将合同分包给大型企业。</w:t>
      </w:r>
    </w:p>
    <w:p>
      <w:pPr>
        <w:spacing w:before="120" w:line="320" w:lineRule="atLeast"/>
        <w:ind w:left="2" w:leftChars="1" w:firstLine="420" w:firstLineChars="200"/>
        <w:rPr>
          <w:color w:val="auto"/>
          <w:szCs w:val="21"/>
          <w:highlight w:val="none"/>
        </w:rPr>
      </w:pPr>
      <w:bookmarkStart w:id="32" w:name="_Hlk138842976"/>
      <w:r>
        <w:rPr>
          <w:rFonts w:hint="eastAsia"/>
          <w:color w:val="auto"/>
          <w:szCs w:val="21"/>
          <w:highlight w:val="none"/>
        </w:rPr>
        <w:t>根据《政府采购促进中小企业发展管理办法》（财库[2020]46号）第九条以及《广西壮族自治区财政厅 广西壮族自治区工业和信息化厅转发财政部 工业和信息化部政府采购促进中小企业发展管理办法的通知》（桂财采[2021]70号）规定，</w:t>
      </w:r>
      <w:bookmarkEnd w:id="32"/>
      <w:bookmarkStart w:id="33" w:name="_Hlk92205820"/>
      <w:r>
        <w:rPr>
          <w:rFonts w:hint="eastAsia"/>
          <w:color w:val="auto"/>
          <w:szCs w:val="21"/>
          <w:highlight w:val="none"/>
        </w:rPr>
        <w:t>价格扣除比例在第四章评审方法及标准中规定，对小型企业和微型企业同等对待，不作区分。</w:t>
      </w:r>
    </w:p>
    <w:p>
      <w:pPr>
        <w:spacing w:before="120" w:line="320" w:lineRule="atLeast"/>
        <w:ind w:left="2" w:leftChars="1" w:firstLine="420" w:firstLineChars="200"/>
        <w:rPr>
          <w:color w:val="auto"/>
          <w:szCs w:val="21"/>
          <w:highlight w:val="none"/>
        </w:rPr>
      </w:pPr>
      <w:r>
        <w:rPr>
          <w:color w:val="auto"/>
          <w:szCs w:val="21"/>
          <w:highlight w:val="none"/>
        </w:rPr>
        <w:t>1.4.2</w:t>
      </w:r>
      <w:r>
        <w:rPr>
          <w:rFonts w:hint="eastAsia"/>
          <w:color w:val="auto"/>
          <w:szCs w:val="21"/>
          <w:highlight w:val="none"/>
        </w:rPr>
        <w:t>中小企业定义</w:t>
      </w:r>
    </w:p>
    <w:p>
      <w:pPr>
        <w:spacing w:before="120" w:line="320" w:lineRule="atLeast"/>
        <w:ind w:firstLine="420" w:firstLineChars="200"/>
        <w:rPr>
          <w:color w:val="auto"/>
          <w:szCs w:val="21"/>
          <w:highlight w:val="none"/>
        </w:rPr>
      </w:pPr>
      <w:r>
        <w:rPr>
          <w:color w:val="auto"/>
          <w:szCs w:val="21"/>
          <w:highlight w:val="none"/>
        </w:rPr>
        <w:t>1.4.2.1</w:t>
      </w:r>
      <w:r>
        <w:rPr>
          <w:rFonts w:hint="eastAsia"/>
          <w:color w:val="auto"/>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120" w:line="320" w:lineRule="atLeast"/>
        <w:ind w:left="2" w:leftChars="1" w:firstLine="420" w:firstLineChars="200"/>
        <w:rPr>
          <w:color w:val="auto"/>
          <w:szCs w:val="21"/>
          <w:highlight w:val="none"/>
        </w:rPr>
      </w:pPr>
      <w:r>
        <w:rPr>
          <w:color w:val="auto"/>
          <w:szCs w:val="21"/>
          <w:highlight w:val="none"/>
        </w:rPr>
        <w:t>1.4.2.2</w:t>
      </w:r>
      <w:r>
        <w:rPr>
          <w:rFonts w:hint="eastAsia"/>
          <w:color w:val="auto"/>
          <w:szCs w:val="21"/>
          <w:highlight w:val="none"/>
        </w:rPr>
        <w:t>供应商提供的货物、工程或者服务符合下列情形的，享受本款规定的促进中小企业发展政策：</w:t>
      </w:r>
    </w:p>
    <w:p>
      <w:pPr>
        <w:spacing w:before="120" w:line="320" w:lineRule="atLeast"/>
        <w:ind w:left="2" w:leftChars="1" w:firstLine="420" w:firstLineChars="200"/>
        <w:rPr>
          <w:color w:val="auto"/>
          <w:szCs w:val="21"/>
          <w:highlight w:val="none"/>
        </w:rPr>
      </w:pPr>
      <w:r>
        <w:rPr>
          <w:rFonts w:hint="eastAsia"/>
          <w:color w:val="auto"/>
          <w:szCs w:val="21"/>
          <w:highlight w:val="none"/>
        </w:rPr>
        <w:t>在货物采购项目中，货物由中小企业制造，即货物由中小企业生产且使用该中小企业商号或者注册商标；</w:t>
      </w:r>
    </w:p>
    <w:p>
      <w:pPr>
        <w:spacing w:before="120" w:line="320" w:lineRule="atLeast"/>
        <w:ind w:left="2" w:leftChars="1" w:firstLine="420" w:firstLineChars="200"/>
        <w:rPr>
          <w:color w:val="auto"/>
          <w:szCs w:val="21"/>
          <w:highlight w:val="none"/>
        </w:rPr>
      </w:pPr>
      <w:r>
        <w:rPr>
          <w:rFonts w:hint="eastAsia"/>
          <w:color w:val="auto"/>
          <w:szCs w:val="21"/>
          <w:highlight w:val="none"/>
        </w:rPr>
        <w:t>在工程采购项目中，工程由中小企业承建，即工程施工单位为中小企业；</w:t>
      </w:r>
    </w:p>
    <w:p>
      <w:pPr>
        <w:spacing w:before="120" w:line="320" w:lineRule="atLeast"/>
        <w:ind w:left="2" w:leftChars="1" w:firstLine="420" w:firstLineChars="200"/>
        <w:rPr>
          <w:color w:val="auto"/>
          <w:szCs w:val="21"/>
          <w:highlight w:val="none"/>
        </w:rPr>
      </w:pPr>
      <w:r>
        <w:rPr>
          <w:rFonts w:hint="eastAsia"/>
          <w:color w:val="auto"/>
          <w:szCs w:val="21"/>
          <w:highlight w:val="none"/>
        </w:rPr>
        <w:t>在服务采购项目中，服务由中小企业承接，即提供服务的人员为中小企业依照《中华人民共和国劳动合同法》订立劳动合同的从业人员。</w:t>
      </w:r>
    </w:p>
    <w:p>
      <w:pPr>
        <w:spacing w:before="120" w:line="320" w:lineRule="atLeast"/>
        <w:ind w:left="2" w:leftChars="1" w:firstLine="420" w:firstLineChars="200"/>
        <w:rPr>
          <w:color w:val="auto"/>
          <w:szCs w:val="21"/>
          <w:highlight w:val="none"/>
        </w:rPr>
      </w:pPr>
      <w:r>
        <w:rPr>
          <w:rFonts w:hint="eastAsia"/>
          <w:color w:val="auto"/>
          <w:szCs w:val="21"/>
          <w:highlight w:val="none"/>
        </w:rPr>
        <w:t>在货物采购项目中，供应商提供的货物既有中小企业制造货物，也有大型企业制造货物的，不享受本款规定的促进中小企业发展政策。</w:t>
      </w:r>
    </w:p>
    <w:p>
      <w:pPr>
        <w:spacing w:before="120" w:line="320" w:lineRule="atLeast"/>
        <w:ind w:firstLine="420" w:firstLineChars="200"/>
        <w:rPr>
          <w:color w:val="auto"/>
          <w:szCs w:val="21"/>
          <w:highlight w:val="none"/>
        </w:rPr>
      </w:pPr>
      <w:r>
        <w:rPr>
          <w:color w:val="auto"/>
          <w:szCs w:val="21"/>
          <w:highlight w:val="none"/>
        </w:rPr>
        <w:t>1.4.2</w:t>
      </w:r>
      <w:r>
        <w:rPr>
          <w:rFonts w:hint="eastAsia"/>
          <w:color w:val="auto"/>
          <w:szCs w:val="21"/>
          <w:highlight w:val="none"/>
        </w:rPr>
        <w:t>.</w:t>
      </w:r>
      <w:r>
        <w:rPr>
          <w:color w:val="auto"/>
          <w:szCs w:val="21"/>
          <w:highlight w:val="none"/>
        </w:rPr>
        <w:t>3</w:t>
      </w:r>
      <w:r>
        <w:rPr>
          <w:rFonts w:hint="eastAsia"/>
          <w:color w:val="auto"/>
          <w:szCs w:val="21"/>
          <w:highlight w:val="none"/>
        </w:rPr>
        <w:t>本项目标的所属行业在第二章采购需求中规定。供应商根据中小企业划分标准（《关于印发中小企业划型标准规定的通知》（工信部联企业〔2011〕300号）判断是否为中小企业。（见附件）</w:t>
      </w:r>
    </w:p>
    <w:p>
      <w:pPr>
        <w:spacing w:before="120" w:line="320" w:lineRule="atLeast"/>
        <w:ind w:firstLine="420" w:firstLineChars="200"/>
        <w:rPr>
          <w:color w:val="auto"/>
          <w:szCs w:val="21"/>
          <w:highlight w:val="none"/>
        </w:rPr>
      </w:pPr>
      <w:r>
        <w:rPr>
          <w:rFonts w:hint="eastAsia"/>
          <w:color w:val="auto"/>
          <w:szCs w:val="21"/>
          <w:highlight w:val="none"/>
        </w:rPr>
        <w:t>符合条件的货物制造商、工程施工单位、服务承接单位为中小企业的，应按招标文件规定在投标文件中提供声明函。</w:t>
      </w:r>
    </w:p>
    <w:p>
      <w:pPr>
        <w:spacing w:before="120" w:line="320" w:lineRule="atLeast"/>
        <w:ind w:firstLine="420" w:firstLineChars="200"/>
        <w:rPr>
          <w:color w:val="auto"/>
          <w:szCs w:val="21"/>
          <w:highlight w:val="none"/>
        </w:rPr>
      </w:pPr>
      <w:r>
        <w:rPr>
          <w:color w:val="auto"/>
          <w:szCs w:val="21"/>
          <w:highlight w:val="none"/>
        </w:rPr>
        <w:t>1.4</w:t>
      </w:r>
      <w:r>
        <w:rPr>
          <w:rFonts w:hint="eastAsia"/>
          <w:color w:val="auto"/>
          <w:szCs w:val="21"/>
          <w:highlight w:val="none"/>
        </w:rPr>
        <w:t>.</w:t>
      </w:r>
      <w:r>
        <w:rPr>
          <w:color w:val="auto"/>
          <w:szCs w:val="21"/>
          <w:highlight w:val="none"/>
        </w:rPr>
        <w:t>2</w:t>
      </w:r>
      <w:r>
        <w:rPr>
          <w:rFonts w:hint="eastAsia"/>
          <w:color w:val="auto"/>
          <w:szCs w:val="21"/>
          <w:highlight w:val="none"/>
        </w:rPr>
        <w:t>.</w:t>
      </w:r>
      <w:r>
        <w:rPr>
          <w:color w:val="auto"/>
          <w:szCs w:val="21"/>
          <w:highlight w:val="none"/>
        </w:rPr>
        <w:t>4</w:t>
      </w:r>
      <w:r>
        <w:rPr>
          <w:rFonts w:hint="eastAsia"/>
          <w:color w:val="auto"/>
          <w:szCs w:val="21"/>
          <w:highlight w:val="none"/>
        </w:rPr>
        <w:t>视同中小企业情形</w:t>
      </w:r>
    </w:p>
    <w:p>
      <w:pPr>
        <w:spacing w:before="120" w:line="320" w:lineRule="atLeast"/>
        <w:ind w:firstLine="420" w:firstLineChars="200"/>
        <w:rPr>
          <w:color w:val="auto"/>
          <w:szCs w:val="21"/>
          <w:highlight w:val="none"/>
        </w:rPr>
      </w:pPr>
      <w:r>
        <w:rPr>
          <w:rFonts w:hint="eastAsia"/>
          <w:color w:val="auto"/>
          <w:szCs w:val="21"/>
          <w:highlight w:val="none"/>
        </w:rPr>
        <w:t>（1）符合中小企业划分标准的个体工商户，视同中小企业。</w:t>
      </w:r>
    </w:p>
    <w:p>
      <w:pPr>
        <w:spacing w:before="120" w:line="320" w:lineRule="atLeast"/>
        <w:ind w:firstLine="420" w:firstLineChars="200"/>
        <w:rPr>
          <w:color w:val="auto"/>
          <w:szCs w:val="21"/>
          <w:highlight w:val="none"/>
        </w:rPr>
      </w:pPr>
      <w:r>
        <w:rPr>
          <w:rFonts w:hint="eastAsia"/>
          <w:color w:val="auto"/>
          <w:szCs w:val="21"/>
          <w:highlight w:val="none"/>
        </w:rPr>
        <w:t>（2）以联合体形式参加政府采购活动，联合体各方均为中小企业的，联合体视同中小企业。其中，联合体各方均为小微企业的，联合体视同小微企业。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color w:val="auto"/>
          <w:szCs w:val="21"/>
          <w:highlight w:val="none"/>
        </w:rPr>
      </w:pPr>
      <w:r>
        <w:rPr>
          <w:rFonts w:hint="eastAsia"/>
          <w:color w:val="auto"/>
          <w:szCs w:val="21"/>
          <w:highlight w:val="none"/>
        </w:rPr>
        <w:t>（3）符合《财政部、司法部关于政府采购支持监狱企业发展有关问题的通知》（财库〔2014〕68号）规定的监狱企业，或符合《关于促进残疾人就业政府采购政策的通知》（财库〔2017〕141号）规定的残疾人福利性单位，视同小型、微型企业。</w:t>
      </w:r>
    </w:p>
    <w:p>
      <w:pPr>
        <w:spacing w:before="120" w:line="320" w:lineRule="atLeast"/>
        <w:ind w:left="2" w:leftChars="1" w:firstLine="420" w:firstLineChars="200"/>
        <w:rPr>
          <w:color w:val="auto"/>
          <w:szCs w:val="21"/>
          <w:highlight w:val="none"/>
        </w:rPr>
      </w:pPr>
      <w:r>
        <w:rPr>
          <w:rFonts w:hint="eastAsia"/>
          <w:color w:val="auto"/>
          <w:szCs w:val="21"/>
          <w:highlight w:val="none"/>
        </w:rPr>
        <w:t>符合条件的货物制造商、工程施工单位、服务承接单位为监狱企业或残疾人福利性单位的，应按招标文件规定在投标文件中提供相关证明文件。</w:t>
      </w:r>
      <w:bookmarkEnd w:id="33"/>
    </w:p>
    <w:bookmarkEnd w:id="31"/>
    <w:p>
      <w:pPr>
        <w:spacing w:before="120" w:line="320" w:lineRule="atLeast"/>
        <w:ind w:firstLine="422" w:firstLineChars="200"/>
        <w:outlineLvl w:val="2"/>
        <w:rPr>
          <w:b/>
          <w:bCs/>
          <w:color w:val="auto"/>
          <w:kern w:val="0"/>
          <w:szCs w:val="21"/>
          <w:highlight w:val="none"/>
        </w:rPr>
      </w:pPr>
      <w:r>
        <w:rPr>
          <w:b/>
          <w:bCs/>
          <w:color w:val="auto"/>
          <w:kern w:val="0"/>
          <w:szCs w:val="21"/>
          <w:highlight w:val="none"/>
        </w:rPr>
        <w:t>1.5供应商资格</w:t>
      </w:r>
      <w:r>
        <w:rPr>
          <w:rFonts w:hint="eastAsia"/>
          <w:b/>
          <w:bCs/>
          <w:color w:val="auto"/>
          <w:kern w:val="0"/>
          <w:szCs w:val="21"/>
          <w:highlight w:val="none"/>
        </w:rPr>
        <w:t>要求</w:t>
      </w:r>
    </w:p>
    <w:p>
      <w:pPr>
        <w:spacing w:before="120" w:line="320" w:lineRule="atLeast"/>
        <w:ind w:firstLine="420" w:firstLineChars="200"/>
        <w:rPr>
          <w:color w:val="auto"/>
          <w:szCs w:val="21"/>
          <w:highlight w:val="none"/>
        </w:rPr>
      </w:pPr>
      <w:r>
        <w:rPr>
          <w:color w:val="auto"/>
          <w:szCs w:val="21"/>
          <w:highlight w:val="none"/>
        </w:rPr>
        <w:t>1.5.1</w:t>
      </w:r>
      <w:r>
        <w:rPr>
          <w:rFonts w:hint="eastAsia"/>
          <w:color w:val="auto"/>
          <w:szCs w:val="21"/>
          <w:highlight w:val="none"/>
        </w:rPr>
        <w:t>供应商资格要求：详见供应商须知前附表</w:t>
      </w:r>
    </w:p>
    <w:p>
      <w:pPr>
        <w:spacing w:before="120" w:line="320" w:lineRule="atLeast"/>
        <w:ind w:firstLine="420" w:firstLineChars="200"/>
        <w:rPr>
          <w:color w:val="auto"/>
          <w:szCs w:val="21"/>
          <w:highlight w:val="none"/>
        </w:rPr>
      </w:pPr>
      <w:r>
        <w:rPr>
          <w:color w:val="auto"/>
          <w:szCs w:val="21"/>
          <w:highlight w:val="none"/>
        </w:rPr>
        <w:t>1.5.2按照招标公告的规定获得招标文件。</w:t>
      </w:r>
    </w:p>
    <w:p>
      <w:pPr>
        <w:spacing w:before="120" w:line="320" w:lineRule="atLeast"/>
        <w:ind w:firstLine="420" w:firstLineChars="200"/>
        <w:rPr>
          <w:color w:val="auto"/>
          <w:szCs w:val="21"/>
          <w:highlight w:val="none"/>
        </w:rPr>
      </w:pPr>
      <w:r>
        <w:rPr>
          <w:color w:val="auto"/>
          <w:szCs w:val="21"/>
          <w:highlight w:val="none"/>
        </w:rPr>
        <w:t>1.5.3本项目是否接受联合体投标，见“供应商须知前附表”规定。</w:t>
      </w:r>
    </w:p>
    <w:p>
      <w:pPr>
        <w:spacing w:before="120" w:line="320" w:lineRule="atLeast"/>
        <w:ind w:firstLine="420" w:firstLineChars="200"/>
        <w:rPr>
          <w:color w:val="auto"/>
          <w:szCs w:val="21"/>
          <w:highlight w:val="none"/>
        </w:rPr>
      </w:pPr>
      <w:r>
        <w:rPr>
          <w:rFonts w:hint="eastAsia"/>
          <w:color w:val="auto"/>
          <w:szCs w:val="21"/>
          <w:highlight w:val="none"/>
        </w:rPr>
        <w:t xml:space="preserve">如接受联合体投标，联合体投标要求如下： </w:t>
      </w:r>
    </w:p>
    <w:p>
      <w:pPr>
        <w:spacing w:before="120" w:line="320" w:lineRule="atLeast"/>
        <w:ind w:firstLine="420" w:firstLineChars="200"/>
        <w:rPr>
          <w:color w:val="auto"/>
          <w:szCs w:val="21"/>
          <w:highlight w:val="none"/>
        </w:rPr>
      </w:pPr>
      <w:r>
        <w:rPr>
          <w:color w:val="auto"/>
          <w:szCs w:val="21"/>
          <w:highlight w:val="none"/>
        </w:rPr>
        <w:t>（1</w:t>
      </w:r>
      <w:r>
        <w:rPr>
          <w:rFonts w:hint="eastAsia"/>
          <w:color w:val="auto"/>
          <w:szCs w:val="21"/>
          <w:highlight w:val="none"/>
        </w:rPr>
        <w:t>）供应商可以组成一个投标联合体，以一个供应商的身份共同参加投标。联合体投标的，须提供《联合体协议书》（格式后附）</w:t>
      </w:r>
    </w:p>
    <w:p>
      <w:pPr>
        <w:spacing w:before="120" w:line="320" w:lineRule="atLeast"/>
        <w:ind w:firstLine="420" w:firstLineChars="200"/>
        <w:rPr>
          <w:color w:val="auto"/>
          <w:szCs w:val="21"/>
          <w:highlight w:val="none"/>
        </w:rPr>
      </w:pPr>
      <w:r>
        <w:rPr>
          <w:color w:val="auto"/>
          <w:szCs w:val="21"/>
          <w:highlight w:val="none"/>
        </w:rPr>
        <w:t>（2</w:t>
      </w:r>
      <w:r>
        <w:rPr>
          <w:rFonts w:hint="eastAsia"/>
          <w:color w:val="auto"/>
          <w:szCs w:val="21"/>
          <w:highlight w:val="none"/>
        </w:rPr>
        <w:t>）以联合体形式参加投标的，联合体各方均必须具备《中华人民共和国政府采购法》第二十二条第一款规定的基本条件。本项目有特殊要求规定供应商特定条件的，联合体各方中至少有一方必须符合招标文件规定的特定条件。</w:t>
      </w:r>
    </w:p>
    <w:p>
      <w:pPr>
        <w:spacing w:before="120" w:line="320" w:lineRule="atLeast"/>
        <w:ind w:firstLine="420" w:firstLineChars="200"/>
        <w:rPr>
          <w:color w:val="auto"/>
          <w:szCs w:val="21"/>
          <w:highlight w:val="none"/>
        </w:rPr>
      </w:pPr>
      <w:r>
        <w:rPr>
          <w:color w:val="auto"/>
          <w:szCs w:val="21"/>
          <w:highlight w:val="none"/>
        </w:rPr>
        <w:t>（3</w:t>
      </w:r>
      <w:r>
        <w:rPr>
          <w:rFonts w:hint="eastAsia"/>
          <w:color w:val="auto"/>
          <w:szCs w:val="21"/>
          <w:highlight w:val="none"/>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pPr>
        <w:spacing w:before="120" w:line="320" w:lineRule="atLeast"/>
        <w:ind w:firstLine="420" w:firstLineChars="200"/>
        <w:rPr>
          <w:color w:val="auto"/>
          <w:szCs w:val="21"/>
          <w:highlight w:val="none"/>
        </w:rPr>
      </w:pPr>
      <w:r>
        <w:rPr>
          <w:color w:val="auto"/>
          <w:szCs w:val="21"/>
          <w:highlight w:val="none"/>
        </w:rPr>
        <w:t>（4</w:t>
      </w:r>
      <w:r>
        <w:rPr>
          <w:rFonts w:hint="eastAsia"/>
          <w:color w:val="auto"/>
          <w:szCs w:val="21"/>
          <w:highlight w:val="none"/>
        </w:rPr>
        <w:t>）以联合体形式参加政府采购活动的，联合体各方不得再单独参加或者与其他供应商另外组成联合体参加同一合同项下的政府采购活动。</w:t>
      </w:r>
    </w:p>
    <w:p>
      <w:pPr>
        <w:spacing w:before="120" w:line="320" w:lineRule="atLeast"/>
        <w:ind w:firstLine="420" w:firstLineChars="200"/>
        <w:rPr>
          <w:color w:val="auto"/>
          <w:szCs w:val="21"/>
          <w:highlight w:val="none"/>
        </w:rPr>
      </w:pPr>
      <w:r>
        <w:rPr>
          <w:color w:val="auto"/>
          <w:szCs w:val="21"/>
          <w:highlight w:val="none"/>
        </w:rPr>
        <w:t>（5</w:t>
      </w:r>
      <w:r>
        <w:rPr>
          <w:rFonts w:hint="eastAsia"/>
          <w:color w:val="auto"/>
          <w:szCs w:val="21"/>
          <w:highlight w:val="none"/>
        </w:rPr>
        <w:t>）联合体中有同类资质的供应商按照联合体分工承担相同工作的，应当按照资质等级较低的供应商确定资质等级。</w:t>
      </w:r>
    </w:p>
    <w:p>
      <w:pPr>
        <w:spacing w:before="120" w:line="320" w:lineRule="atLeast"/>
        <w:ind w:firstLine="420" w:firstLineChars="200"/>
        <w:rPr>
          <w:color w:val="auto"/>
          <w:szCs w:val="21"/>
          <w:highlight w:val="none"/>
        </w:rPr>
      </w:pPr>
      <w:r>
        <w:rPr>
          <w:color w:val="auto"/>
          <w:szCs w:val="21"/>
          <w:highlight w:val="none"/>
        </w:rPr>
        <w:t>（6</w:t>
      </w:r>
      <w:r>
        <w:rPr>
          <w:rFonts w:hint="eastAsia"/>
          <w:color w:val="auto"/>
          <w:szCs w:val="21"/>
          <w:highlight w:val="none"/>
        </w:rPr>
        <w:t>）联合体投标业绩、履约能力按照联合体各方其中较高的一方认定并计算（招标文件其他章节另有规定的除外）。</w:t>
      </w:r>
    </w:p>
    <w:p>
      <w:pPr>
        <w:spacing w:before="120" w:line="320" w:lineRule="atLeast"/>
        <w:ind w:firstLine="420" w:firstLineChars="200"/>
        <w:rPr>
          <w:color w:val="auto"/>
          <w:szCs w:val="21"/>
          <w:highlight w:val="none"/>
        </w:rPr>
      </w:pPr>
      <w:r>
        <w:rPr>
          <w:color w:val="auto"/>
          <w:szCs w:val="21"/>
          <w:highlight w:val="none"/>
        </w:rPr>
        <w:t>（7</w:t>
      </w:r>
      <w:r>
        <w:rPr>
          <w:rFonts w:hint="eastAsia"/>
          <w:color w:val="auto"/>
          <w:szCs w:val="21"/>
          <w:highlight w:val="none"/>
        </w:rPr>
        <w:t>）供应商为联合体的，可以由联合体中的一方或者多方共同交纳投标保证金，其交纳的保证金对联合体各方均具有约束力。</w:t>
      </w:r>
    </w:p>
    <w:p>
      <w:pPr>
        <w:spacing w:before="120" w:line="320" w:lineRule="atLeast"/>
        <w:ind w:firstLine="420" w:firstLineChars="200"/>
        <w:rPr>
          <w:color w:val="auto"/>
          <w:szCs w:val="21"/>
          <w:highlight w:val="none"/>
        </w:rPr>
      </w:pPr>
      <w:r>
        <w:rPr>
          <w:color w:val="auto"/>
          <w:szCs w:val="21"/>
          <w:highlight w:val="none"/>
        </w:rPr>
        <w:t>（8</w:t>
      </w:r>
      <w:r>
        <w:rPr>
          <w:rFonts w:hint="eastAsia"/>
          <w:color w:val="auto"/>
          <w:szCs w:val="21"/>
          <w:highlight w:val="none"/>
        </w:rPr>
        <w:t>）联合体各方均应按照招标文件的规定提交资格证明文件。</w:t>
      </w:r>
    </w:p>
    <w:p>
      <w:pPr>
        <w:spacing w:before="120" w:line="320" w:lineRule="atLeast"/>
        <w:ind w:firstLine="422" w:firstLineChars="200"/>
        <w:outlineLvl w:val="2"/>
        <w:rPr>
          <w:b/>
          <w:bCs/>
          <w:color w:val="auto"/>
          <w:kern w:val="0"/>
          <w:szCs w:val="21"/>
          <w:highlight w:val="none"/>
        </w:rPr>
      </w:pPr>
      <w:bookmarkStart w:id="34" w:name="_Toc254970672"/>
      <w:bookmarkStart w:id="35" w:name="_Toc254970531"/>
      <w:r>
        <w:rPr>
          <w:b/>
          <w:bCs/>
          <w:color w:val="auto"/>
          <w:kern w:val="0"/>
          <w:szCs w:val="21"/>
          <w:highlight w:val="none"/>
        </w:rPr>
        <w:t>1.6现场踏勘及投标费用</w:t>
      </w:r>
      <w:bookmarkEnd w:id="34"/>
      <w:bookmarkEnd w:id="35"/>
    </w:p>
    <w:p>
      <w:pPr>
        <w:spacing w:before="120" w:line="320" w:lineRule="atLeast"/>
        <w:ind w:firstLine="420" w:firstLineChars="200"/>
        <w:rPr>
          <w:color w:val="auto"/>
          <w:szCs w:val="21"/>
          <w:highlight w:val="none"/>
        </w:rPr>
      </w:pPr>
      <w:r>
        <w:rPr>
          <w:color w:val="auto"/>
          <w:szCs w:val="21"/>
          <w:highlight w:val="none"/>
        </w:rPr>
        <w:t>1.6.1前附表如规定现场踏勘的，供应商应按规定时间地点参加踏勘。</w:t>
      </w:r>
    </w:p>
    <w:p>
      <w:pPr>
        <w:spacing w:before="120" w:line="320" w:lineRule="atLeast"/>
        <w:ind w:firstLine="420" w:firstLineChars="200"/>
        <w:rPr>
          <w:color w:val="auto"/>
          <w:szCs w:val="21"/>
          <w:highlight w:val="none"/>
        </w:rPr>
      </w:pPr>
      <w:r>
        <w:rPr>
          <w:color w:val="auto"/>
          <w:szCs w:val="21"/>
          <w:highlight w:val="none"/>
        </w:rPr>
        <w:t>1.6.2供应商均应自行承担所有与投标有关的全部费用（招标文件有相关的规定除外）。</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1.7转包与分包</w:t>
      </w:r>
    </w:p>
    <w:p>
      <w:pPr>
        <w:spacing w:before="120" w:line="320" w:lineRule="atLeast"/>
        <w:ind w:firstLine="420" w:firstLineChars="200"/>
        <w:rPr>
          <w:color w:val="auto"/>
          <w:szCs w:val="21"/>
          <w:highlight w:val="none"/>
        </w:rPr>
      </w:pPr>
      <w:r>
        <w:rPr>
          <w:color w:val="auto"/>
          <w:szCs w:val="21"/>
          <w:highlight w:val="none"/>
        </w:rPr>
        <w:t>1.7.1如</w:t>
      </w:r>
      <w:r>
        <w:rPr>
          <w:rFonts w:hint="eastAsia"/>
          <w:color w:val="auto"/>
          <w:szCs w:val="21"/>
          <w:highlight w:val="none"/>
        </w:rPr>
        <w:t>招标</w:t>
      </w:r>
      <w:r>
        <w:rPr>
          <w:color w:val="auto"/>
          <w:szCs w:val="21"/>
          <w:highlight w:val="none"/>
        </w:rPr>
        <w:t>文件其他地方无特别规定</w:t>
      </w:r>
      <w:r>
        <w:rPr>
          <w:rFonts w:hint="eastAsia"/>
          <w:color w:val="auto"/>
          <w:szCs w:val="21"/>
          <w:highlight w:val="none"/>
        </w:rPr>
        <w:t>，</w:t>
      </w:r>
      <w:r>
        <w:rPr>
          <w:color w:val="auto"/>
          <w:szCs w:val="21"/>
          <w:highlight w:val="none"/>
        </w:rPr>
        <w:t>本项目不允许转包。</w:t>
      </w:r>
    </w:p>
    <w:p>
      <w:pPr>
        <w:spacing w:before="120" w:line="320" w:lineRule="atLeast"/>
        <w:ind w:firstLine="420" w:firstLineChars="200"/>
        <w:rPr>
          <w:color w:val="auto"/>
          <w:szCs w:val="21"/>
          <w:highlight w:val="none"/>
        </w:rPr>
      </w:pPr>
      <w:r>
        <w:rPr>
          <w:color w:val="auto"/>
          <w:szCs w:val="21"/>
          <w:highlight w:val="none"/>
        </w:rPr>
        <w:t>1.7.2</w:t>
      </w:r>
      <w:r>
        <w:rPr>
          <w:rFonts w:hint="eastAsia"/>
          <w:color w:val="auto"/>
          <w:szCs w:val="21"/>
          <w:highlight w:val="none"/>
        </w:rPr>
        <w:t>本项目是否允许分包详见“供应商须知前附表”，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pPr>
        <w:spacing w:before="120" w:line="276" w:lineRule="auto"/>
        <w:ind w:firstLine="422" w:firstLineChars="200"/>
        <w:outlineLvl w:val="2"/>
        <w:rPr>
          <w:b/>
          <w:bCs/>
          <w:color w:val="auto"/>
          <w:kern w:val="0"/>
          <w:szCs w:val="21"/>
          <w:highlight w:val="none"/>
        </w:rPr>
      </w:pPr>
      <w:bookmarkStart w:id="36" w:name="_Toc254970532"/>
      <w:bookmarkStart w:id="37" w:name="_Toc254970673"/>
      <w:r>
        <w:rPr>
          <w:b/>
          <w:bCs/>
          <w:color w:val="auto"/>
          <w:kern w:val="0"/>
          <w:szCs w:val="21"/>
          <w:highlight w:val="none"/>
        </w:rPr>
        <w:t>1.8特别说明</w:t>
      </w:r>
      <w:bookmarkEnd w:id="36"/>
      <w:bookmarkEnd w:id="37"/>
    </w:p>
    <w:p>
      <w:pPr>
        <w:spacing w:line="276" w:lineRule="auto"/>
        <w:ind w:firstLine="420" w:firstLineChars="200"/>
        <w:rPr>
          <w:color w:val="auto"/>
          <w:szCs w:val="21"/>
          <w:highlight w:val="none"/>
        </w:rPr>
      </w:pPr>
      <w:r>
        <w:rPr>
          <w:color w:val="auto"/>
          <w:szCs w:val="21"/>
          <w:highlight w:val="none"/>
        </w:rPr>
        <w:t>1.8.1 供应商应保证其提供的联系方式（电话、传真、电子邮件）有效，以保证往来函件（澄清、修改等）能及时通知供应商，并能及时反馈，否则采购人</w:t>
      </w:r>
      <w:r>
        <w:rPr>
          <w:rFonts w:hint="eastAsia"/>
          <w:color w:val="auto"/>
          <w:szCs w:val="21"/>
          <w:highlight w:val="none"/>
        </w:rPr>
        <w:t>及代理机构</w:t>
      </w:r>
      <w:r>
        <w:rPr>
          <w:color w:val="auto"/>
          <w:szCs w:val="21"/>
          <w:highlight w:val="none"/>
        </w:rPr>
        <w:t>不承担由此引起的一切后果。</w:t>
      </w:r>
    </w:p>
    <w:p>
      <w:pPr>
        <w:spacing w:before="120" w:line="320" w:lineRule="atLeast"/>
        <w:ind w:firstLine="420" w:firstLineChars="200"/>
        <w:rPr>
          <w:color w:val="auto"/>
          <w:szCs w:val="21"/>
          <w:highlight w:val="none"/>
        </w:rPr>
      </w:pPr>
      <w:r>
        <w:rPr>
          <w:color w:val="auto"/>
          <w:szCs w:val="21"/>
          <w:highlight w:val="none"/>
        </w:rPr>
        <w:t>1.8.2供应商应仔细阅读招标文件的所有内容，按照招标文件的要求提交投标文件，并对所提供的全部资料的真实性承担法律责任。</w:t>
      </w:r>
    </w:p>
    <w:p>
      <w:pPr>
        <w:spacing w:before="120" w:line="360" w:lineRule="auto"/>
        <w:ind w:firstLine="420" w:firstLineChars="200"/>
        <w:rPr>
          <w:color w:val="auto"/>
          <w:szCs w:val="21"/>
          <w:highlight w:val="none"/>
        </w:rPr>
      </w:pPr>
      <w:r>
        <w:rPr>
          <w:color w:val="auto"/>
          <w:szCs w:val="21"/>
          <w:highlight w:val="none"/>
        </w:rPr>
        <w:t>1.8.3供应商在投标活动中提供任何虚假材料，</w:t>
      </w:r>
      <w:r>
        <w:rPr>
          <w:rFonts w:hint="eastAsia"/>
          <w:color w:val="auto"/>
          <w:szCs w:val="21"/>
          <w:highlight w:val="none"/>
        </w:rPr>
        <w:t>将</w:t>
      </w:r>
      <w:r>
        <w:rPr>
          <w:color w:val="auto"/>
          <w:szCs w:val="21"/>
          <w:highlight w:val="none"/>
        </w:rPr>
        <w:t xml:space="preserve">报监管部门查处； </w:t>
      </w:r>
    </w:p>
    <w:p>
      <w:pPr>
        <w:spacing w:before="120" w:line="320" w:lineRule="atLeast"/>
        <w:ind w:left="2" w:leftChars="1" w:firstLine="422" w:firstLineChars="200"/>
        <w:outlineLvl w:val="1"/>
        <w:rPr>
          <w:b/>
          <w:bCs/>
          <w:color w:val="auto"/>
          <w:kern w:val="0"/>
          <w:szCs w:val="21"/>
          <w:highlight w:val="none"/>
        </w:rPr>
      </w:pPr>
      <w:bookmarkStart w:id="38" w:name="_Toc254970534"/>
      <w:bookmarkStart w:id="39" w:name="_Toc254970675"/>
      <w:r>
        <w:rPr>
          <w:b/>
          <w:bCs/>
          <w:color w:val="auto"/>
          <w:kern w:val="0"/>
          <w:szCs w:val="21"/>
          <w:highlight w:val="none"/>
        </w:rPr>
        <w:t>2．招标文件</w:t>
      </w:r>
      <w:bookmarkEnd w:id="38"/>
      <w:bookmarkEnd w:id="39"/>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2.1招标文件的构成</w:t>
      </w:r>
    </w:p>
    <w:p>
      <w:pPr>
        <w:spacing w:before="120" w:line="320" w:lineRule="atLeast"/>
        <w:ind w:firstLine="420" w:firstLineChars="200"/>
        <w:rPr>
          <w:color w:val="auto"/>
          <w:szCs w:val="21"/>
          <w:highlight w:val="none"/>
        </w:rPr>
      </w:pPr>
      <w:r>
        <w:rPr>
          <w:color w:val="auto"/>
          <w:szCs w:val="21"/>
          <w:highlight w:val="none"/>
        </w:rPr>
        <w:t>第一章 招标公告</w:t>
      </w:r>
    </w:p>
    <w:p>
      <w:pPr>
        <w:spacing w:before="120" w:line="320" w:lineRule="atLeast"/>
        <w:ind w:firstLine="420" w:firstLineChars="200"/>
        <w:rPr>
          <w:color w:val="auto"/>
          <w:szCs w:val="21"/>
          <w:highlight w:val="none"/>
        </w:rPr>
      </w:pPr>
      <w:r>
        <w:rPr>
          <w:color w:val="auto"/>
          <w:szCs w:val="21"/>
          <w:highlight w:val="none"/>
        </w:rPr>
        <w:t xml:space="preserve">第二章 </w:t>
      </w:r>
      <w:r>
        <w:rPr>
          <w:rFonts w:hint="eastAsia"/>
          <w:color w:val="auto"/>
          <w:szCs w:val="21"/>
          <w:highlight w:val="none"/>
        </w:rPr>
        <w:t>项目</w:t>
      </w:r>
      <w:r>
        <w:rPr>
          <w:color w:val="auto"/>
          <w:szCs w:val="21"/>
          <w:highlight w:val="none"/>
        </w:rPr>
        <w:t>采购需求</w:t>
      </w:r>
    </w:p>
    <w:p>
      <w:pPr>
        <w:spacing w:before="120" w:line="320" w:lineRule="atLeast"/>
        <w:ind w:firstLine="420" w:firstLineChars="200"/>
        <w:rPr>
          <w:color w:val="auto"/>
          <w:szCs w:val="21"/>
          <w:highlight w:val="none"/>
        </w:rPr>
      </w:pPr>
      <w:r>
        <w:rPr>
          <w:color w:val="auto"/>
          <w:szCs w:val="21"/>
          <w:highlight w:val="none"/>
        </w:rPr>
        <w:t>第三章 供应商须知</w:t>
      </w:r>
    </w:p>
    <w:p>
      <w:pPr>
        <w:spacing w:before="120" w:line="320" w:lineRule="atLeast"/>
        <w:ind w:firstLine="420" w:firstLineChars="200"/>
        <w:rPr>
          <w:color w:val="auto"/>
          <w:szCs w:val="21"/>
          <w:highlight w:val="none"/>
        </w:rPr>
      </w:pPr>
      <w:r>
        <w:rPr>
          <w:color w:val="auto"/>
          <w:szCs w:val="21"/>
          <w:highlight w:val="none"/>
        </w:rPr>
        <w:t xml:space="preserve">第四章 </w:t>
      </w:r>
      <w:r>
        <w:rPr>
          <w:rFonts w:hint="eastAsia"/>
          <w:color w:val="auto"/>
          <w:szCs w:val="21"/>
          <w:highlight w:val="none"/>
        </w:rPr>
        <w:t>评标</w:t>
      </w:r>
      <w:r>
        <w:rPr>
          <w:color w:val="auto"/>
          <w:szCs w:val="21"/>
          <w:highlight w:val="none"/>
        </w:rPr>
        <w:t>方法及</w:t>
      </w:r>
      <w:r>
        <w:rPr>
          <w:rFonts w:hint="eastAsia"/>
          <w:color w:val="auto"/>
          <w:szCs w:val="21"/>
          <w:highlight w:val="none"/>
        </w:rPr>
        <w:t>评标</w:t>
      </w:r>
      <w:r>
        <w:rPr>
          <w:color w:val="auto"/>
          <w:szCs w:val="21"/>
          <w:highlight w:val="none"/>
        </w:rPr>
        <w:t>标准</w:t>
      </w:r>
    </w:p>
    <w:p>
      <w:pPr>
        <w:spacing w:before="120" w:line="320" w:lineRule="atLeast"/>
        <w:ind w:firstLine="420" w:firstLineChars="200"/>
        <w:rPr>
          <w:color w:val="auto"/>
          <w:szCs w:val="21"/>
          <w:highlight w:val="none"/>
        </w:rPr>
      </w:pPr>
      <w:r>
        <w:rPr>
          <w:color w:val="auto"/>
          <w:szCs w:val="21"/>
          <w:highlight w:val="none"/>
        </w:rPr>
        <w:t>第五章 合同主要条款格式</w:t>
      </w:r>
    </w:p>
    <w:p>
      <w:pPr>
        <w:spacing w:before="120" w:line="320" w:lineRule="atLeast"/>
        <w:ind w:firstLine="420" w:firstLineChars="200"/>
        <w:rPr>
          <w:color w:val="auto"/>
          <w:szCs w:val="21"/>
          <w:highlight w:val="none"/>
        </w:rPr>
      </w:pPr>
      <w:r>
        <w:rPr>
          <w:color w:val="auto"/>
          <w:szCs w:val="21"/>
          <w:highlight w:val="none"/>
        </w:rPr>
        <w:t>第六章 投标文件格式</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2.2供应商的风险</w:t>
      </w:r>
    </w:p>
    <w:p>
      <w:pPr>
        <w:spacing w:before="120" w:line="320" w:lineRule="atLeast"/>
        <w:ind w:firstLine="420" w:firstLineChars="200"/>
        <w:rPr>
          <w:color w:val="auto"/>
          <w:szCs w:val="21"/>
          <w:highlight w:val="none"/>
        </w:rPr>
      </w:pPr>
      <w:r>
        <w:rPr>
          <w:color w:val="auto"/>
          <w:szCs w:val="21"/>
          <w:highlight w:val="none"/>
        </w:rPr>
        <w:t>供应商没有按照招标文件要求提供全部资料，或者供应商没有对招标文件在各方面作出实质性响应是供应商的风险，并可能导致其投标被否决。</w:t>
      </w:r>
    </w:p>
    <w:p>
      <w:pPr>
        <w:spacing w:before="120" w:line="320" w:lineRule="atLeast"/>
        <w:ind w:firstLine="422" w:firstLineChars="200"/>
        <w:outlineLvl w:val="2"/>
        <w:rPr>
          <w:b/>
          <w:color w:val="auto"/>
          <w:szCs w:val="21"/>
          <w:highlight w:val="none"/>
        </w:rPr>
      </w:pPr>
      <w:r>
        <w:rPr>
          <w:b/>
          <w:bCs/>
          <w:color w:val="auto"/>
          <w:kern w:val="0"/>
          <w:szCs w:val="21"/>
          <w:highlight w:val="none"/>
        </w:rPr>
        <w:t>2.3招标文件的澄清与修改</w:t>
      </w:r>
    </w:p>
    <w:p>
      <w:pPr>
        <w:spacing w:before="120" w:line="320" w:lineRule="atLeast"/>
        <w:ind w:firstLine="420" w:firstLineChars="200"/>
        <w:rPr>
          <w:color w:val="auto"/>
          <w:szCs w:val="21"/>
          <w:highlight w:val="none"/>
        </w:rPr>
      </w:pPr>
      <w:r>
        <w:rPr>
          <w:color w:val="auto"/>
          <w:szCs w:val="21"/>
          <w:highlight w:val="none"/>
        </w:rPr>
        <w:t>2.3.1</w:t>
      </w:r>
      <w:r>
        <w:rPr>
          <w:rFonts w:hint="eastAsia"/>
          <w:color w:val="auto"/>
          <w:szCs w:val="21"/>
          <w:highlight w:val="none"/>
        </w:rPr>
        <w:t>任何已获得招标文件的潜在供应商，均可</w:t>
      </w:r>
      <w:r>
        <w:rPr>
          <w:color w:val="auto"/>
          <w:szCs w:val="21"/>
          <w:highlight w:val="none"/>
        </w:rPr>
        <w:t>以书面形式要求采购代理机构作出书面解释、澄清</w:t>
      </w:r>
      <w:r>
        <w:rPr>
          <w:rFonts w:hint="eastAsia"/>
          <w:color w:val="auto"/>
          <w:szCs w:val="21"/>
          <w:highlight w:val="none"/>
        </w:rPr>
        <w:t>。</w:t>
      </w:r>
    </w:p>
    <w:p>
      <w:pPr>
        <w:spacing w:before="120" w:line="320" w:lineRule="atLeast"/>
        <w:ind w:firstLine="420" w:firstLineChars="200"/>
        <w:rPr>
          <w:color w:val="auto"/>
          <w:szCs w:val="21"/>
          <w:highlight w:val="none"/>
        </w:rPr>
      </w:pPr>
      <w:r>
        <w:rPr>
          <w:color w:val="auto"/>
          <w:szCs w:val="21"/>
          <w:highlight w:val="none"/>
        </w:rPr>
        <w:t>2.3.2</w:t>
      </w:r>
      <w:r>
        <w:rPr>
          <w:rFonts w:hint="eastAsia"/>
          <w:color w:val="auto"/>
          <w:szCs w:val="21"/>
          <w:highlight w:val="none"/>
        </w:rPr>
        <w:t>采购人或者采购代理机构可以对已发出的招标文件进行必要的澄清或者修改。澄清或者修改的内容可能影响投标文件编制的，采购人或者采购代理机构应当在投标截止时间至少15日前，</w:t>
      </w:r>
      <w:bookmarkStart w:id="40" w:name="_Hlk132790706"/>
      <w:r>
        <w:rPr>
          <w:rFonts w:hint="eastAsia"/>
          <w:color w:val="auto"/>
          <w:szCs w:val="21"/>
          <w:highlight w:val="none"/>
        </w:rPr>
        <w:t>在投标人须知前附表规定的方式通知所有获取招标文件的潜在投标人</w:t>
      </w:r>
      <w:bookmarkEnd w:id="40"/>
      <w:r>
        <w:rPr>
          <w:rFonts w:hint="eastAsia"/>
          <w:color w:val="auto"/>
          <w:szCs w:val="21"/>
          <w:highlight w:val="none"/>
        </w:rPr>
        <w:t>；不足15日的，采购人或者采购代理机构应当顺延提交投标文件的截止时间。</w:t>
      </w:r>
    </w:p>
    <w:p>
      <w:pPr>
        <w:spacing w:before="120" w:line="320" w:lineRule="atLeast"/>
        <w:ind w:firstLine="420" w:firstLineChars="200"/>
        <w:rPr>
          <w:color w:val="auto"/>
          <w:szCs w:val="21"/>
          <w:highlight w:val="none"/>
        </w:rPr>
      </w:pPr>
      <w:r>
        <w:rPr>
          <w:color w:val="auto"/>
          <w:szCs w:val="21"/>
          <w:highlight w:val="none"/>
        </w:rPr>
        <w:t>2.3.3招标文件澄清、答复、修改、补充的内容为招标文件的组成部分。当招标文件与招标文件的答复、澄清、修改、补充通知就同一内容的表述不一致时，以最后发出的公告或书面文件为准。</w:t>
      </w:r>
    </w:p>
    <w:p>
      <w:pPr>
        <w:spacing w:before="120" w:line="320" w:lineRule="atLeast"/>
        <w:ind w:left="2" w:leftChars="1" w:firstLine="422" w:firstLineChars="200"/>
        <w:outlineLvl w:val="1"/>
        <w:rPr>
          <w:b/>
          <w:bCs/>
          <w:color w:val="auto"/>
          <w:kern w:val="0"/>
          <w:szCs w:val="21"/>
          <w:highlight w:val="none"/>
        </w:rPr>
      </w:pPr>
      <w:bookmarkStart w:id="41" w:name="_Toc254970676"/>
      <w:bookmarkStart w:id="42" w:name="_Toc254970535"/>
      <w:r>
        <w:rPr>
          <w:b/>
          <w:bCs/>
          <w:color w:val="auto"/>
          <w:kern w:val="0"/>
          <w:szCs w:val="21"/>
          <w:highlight w:val="none"/>
        </w:rPr>
        <w:t>3．投标文件</w:t>
      </w:r>
      <w:bookmarkEnd w:id="41"/>
      <w:bookmarkEnd w:id="42"/>
    </w:p>
    <w:p>
      <w:pPr>
        <w:spacing w:before="120" w:line="320" w:lineRule="atLeast"/>
        <w:ind w:firstLine="422" w:firstLineChars="200"/>
        <w:outlineLvl w:val="2"/>
        <w:rPr>
          <w:b/>
          <w:bCs/>
          <w:color w:val="auto"/>
          <w:kern w:val="0"/>
          <w:szCs w:val="21"/>
          <w:highlight w:val="none"/>
        </w:rPr>
      </w:pPr>
      <w:bookmarkStart w:id="43" w:name="_Toc254970536"/>
      <w:bookmarkStart w:id="44" w:name="_Toc254970677"/>
      <w:r>
        <w:rPr>
          <w:b/>
          <w:bCs/>
          <w:color w:val="auto"/>
          <w:kern w:val="0"/>
          <w:szCs w:val="21"/>
          <w:highlight w:val="none"/>
        </w:rPr>
        <w:t>3.1投标文件的组成</w:t>
      </w:r>
      <w:bookmarkEnd w:id="43"/>
      <w:bookmarkEnd w:id="44"/>
    </w:p>
    <w:p>
      <w:pPr>
        <w:spacing w:before="120" w:line="320" w:lineRule="atLeast"/>
        <w:ind w:firstLine="420" w:firstLineChars="200"/>
        <w:rPr>
          <w:color w:val="auto"/>
          <w:szCs w:val="21"/>
          <w:highlight w:val="none"/>
        </w:rPr>
      </w:pPr>
      <w:r>
        <w:rPr>
          <w:color w:val="auto"/>
          <w:szCs w:val="21"/>
          <w:highlight w:val="none"/>
        </w:rPr>
        <w:t>投标文件由第六章“投标文件格式”规定的</w:t>
      </w:r>
      <w:r>
        <w:rPr>
          <w:rFonts w:hint="eastAsia"/>
          <w:color w:val="auto"/>
          <w:szCs w:val="21"/>
          <w:highlight w:val="none"/>
        </w:rPr>
        <w:t>内容</w:t>
      </w:r>
      <w:r>
        <w:rPr>
          <w:color w:val="auto"/>
          <w:szCs w:val="21"/>
          <w:highlight w:val="none"/>
        </w:rPr>
        <w:t>和供应商所作的一切有效补充、修改和承诺等文件组成</w:t>
      </w:r>
      <w:r>
        <w:rPr>
          <w:rFonts w:hint="eastAsia"/>
          <w:color w:val="auto"/>
          <w:szCs w:val="21"/>
          <w:highlight w:val="none"/>
        </w:rPr>
        <w:t>。</w:t>
      </w:r>
    </w:p>
    <w:p>
      <w:pPr>
        <w:spacing w:before="120" w:line="320" w:lineRule="atLeast"/>
        <w:ind w:firstLine="422" w:firstLineChars="200"/>
        <w:outlineLvl w:val="2"/>
        <w:rPr>
          <w:b/>
          <w:bCs/>
          <w:color w:val="auto"/>
          <w:kern w:val="0"/>
          <w:szCs w:val="21"/>
          <w:highlight w:val="none"/>
        </w:rPr>
      </w:pPr>
      <w:bookmarkStart w:id="45" w:name="_Toc254970537"/>
      <w:bookmarkStart w:id="46" w:name="_Toc254970678"/>
      <w:r>
        <w:rPr>
          <w:b/>
          <w:color w:val="auto"/>
          <w:szCs w:val="21"/>
          <w:highlight w:val="none"/>
        </w:rPr>
        <w:t>3.2</w:t>
      </w:r>
      <w:r>
        <w:rPr>
          <w:b/>
          <w:bCs/>
          <w:color w:val="auto"/>
          <w:kern w:val="0"/>
          <w:szCs w:val="21"/>
          <w:highlight w:val="none"/>
        </w:rPr>
        <w:t>投标文件的语言及计量</w:t>
      </w:r>
      <w:bookmarkEnd w:id="45"/>
      <w:bookmarkEnd w:id="46"/>
    </w:p>
    <w:p>
      <w:pPr>
        <w:spacing w:before="120" w:line="320" w:lineRule="atLeast"/>
        <w:ind w:firstLine="420" w:firstLineChars="200"/>
        <w:rPr>
          <w:color w:val="auto"/>
          <w:szCs w:val="21"/>
          <w:highlight w:val="none"/>
        </w:rPr>
      </w:pPr>
      <w:r>
        <w:rPr>
          <w:color w:val="auto"/>
          <w:szCs w:val="21"/>
          <w:highlight w:val="none"/>
        </w:rPr>
        <w:t>3.2.1</w:t>
      </w:r>
      <w:r>
        <w:rPr>
          <w:rFonts w:hint="eastAsia"/>
          <w:color w:val="auto"/>
          <w:szCs w:val="21"/>
          <w:highlight w:val="none"/>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pPr>
        <w:spacing w:before="120" w:line="320" w:lineRule="atLeast"/>
        <w:ind w:firstLine="420" w:firstLineChars="200"/>
        <w:rPr>
          <w:color w:val="auto"/>
          <w:szCs w:val="21"/>
          <w:highlight w:val="none"/>
        </w:rPr>
      </w:pPr>
      <w:r>
        <w:rPr>
          <w:color w:val="auto"/>
          <w:szCs w:val="21"/>
          <w:highlight w:val="none"/>
        </w:rPr>
        <w:t>3.2.2计量单位招标文件已有明确规定的，投标使用招标文件规定的计量单位；招标文件没有规定的，应采用中华人民共和国法定计量单位。</w:t>
      </w:r>
    </w:p>
    <w:p>
      <w:pPr>
        <w:spacing w:before="120" w:line="320" w:lineRule="atLeast"/>
        <w:ind w:firstLine="422" w:firstLineChars="200"/>
        <w:outlineLvl w:val="2"/>
        <w:rPr>
          <w:b/>
          <w:bCs/>
          <w:color w:val="auto"/>
          <w:kern w:val="0"/>
          <w:szCs w:val="21"/>
          <w:highlight w:val="none"/>
        </w:rPr>
      </w:pPr>
      <w:bookmarkStart w:id="47" w:name="_Toc254970538"/>
      <w:bookmarkStart w:id="48" w:name="_Toc254970679"/>
      <w:r>
        <w:rPr>
          <w:b/>
          <w:bCs/>
          <w:color w:val="auto"/>
          <w:kern w:val="0"/>
          <w:szCs w:val="21"/>
          <w:highlight w:val="none"/>
        </w:rPr>
        <w:t>3.3投标报价</w:t>
      </w:r>
      <w:bookmarkEnd w:id="47"/>
      <w:bookmarkEnd w:id="48"/>
    </w:p>
    <w:p>
      <w:pPr>
        <w:spacing w:before="120" w:line="320" w:lineRule="atLeast"/>
        <w:ind w:firstLine="420" w:firstLineChars="200"/>
        <w:rPr>
          <w:color w:val="auto"/>
          <w:szCs w:val="21"/>
          <w:highlight w:val="none"/>
        </w:rPr>
      </w:pPr>
      <w:r>
        <w:rPr>
          <w:color w:val="auto"/>
          <w:szCs w:val="21"/>
          <w:highlight w:val="none"/>
        </w:rPr>
        <w:t>3.3.1投标报价应按招标文件中相关附表格式填写。</w:t>
      </w:r>
    </w:p>
    <w:p>
      <w:pPr>
        <w:spacing w:before="120" w:line="320" w:lineRule="atLeast"/>
        <w:ind w:firstLine="420" w:firstLineChars="200"/>
        <w:rPr>
          <w:color w:val="auto"/>
          <w:szCs w:val="21"/>
          <w:highlight w:val="none"/>
        </w:rPr>
      </w:pPr>
      <w:r>
        <w:rPr>
          <w:color w:val="auto"/>
          <w:szCs w:val="21"/>
          <w:highlight w:val="none"/>
        </w:rPr>
        <w:t>3.3.2投标文件只允许有一个报价，有选择的或有条件的报价将不予接受。</w:t>
      </w:r>
    </w:p>
    <w:p>
      <w:pPr>
        <w:suppressAutoHyphens/>
        <w:spacing w:before="120" w:line="320" w:lineRule="atLeast"/>
        <w:ind w:firstLine="420" w:firstLineChars="200"/>
        <w:rPr>
          <w:color w:val="auto"/>
          <w:kern w:val="1"/>
          <w:szCs w:val="21"/>
          <w:highlight w:val="none"/>
        </w:rPr>
      </w:pPr>
      <w:r>
        <w:rPr>
          <w:color w:val="auto"/>
          <w:kern w:val="1"/>
          <w:szCs w:val="21"/>
          <w:highlight w:val="none"/>
        </w:rPr>
        <w:t>3.3.3对于本文件中未列明，而供应商认为必需的费用也需列入</w:t>
      </w:r>
      <w:r>
        <w:rPr>
          <w:rFonts w:hint="eastAsia"/>
          <w:color w:val="auto"/>
          <w:kern w:val="1"/>
          <w:szCs w:val="21"/>
          <w:highlight w:val="none"/>
        </w:rPr>
        <w:t>投标报价</w:t>
      </w:r>
      <w:r>
        <w:rPr>
          <w:color w:val="auto"/>
          <w:kern w:val="1"/>
          <w:szCs w:val="21"/>
          <w:highlight w:val="none"/>
        </w:rPr>
        <w:t>。在合同实施时，采购人将不予支付中标人没有列入的项目费用，并认为此项目的费用已包括在</w:t>
      </w:r>
      <w:r>
        <w:rPr>
          <w:rFonts w:hint="eastAsia"/>
          <w:color w:val="auto"/>
          <w:kern w:val="1"/>
          <w:szCs w:val="21"/>
          <w:highlight w:val="none"/>
        </w:rPr>
        <w:t>投标报价</w:t>
      </w:r>
      <w:r>
        <w:rPr>
          <w:color w:val="auto"/>
          <w:kern w:val="1"/>
          <w:szCs w:val="21"/>
          <w:highlight w:val="none"/>
        </w:rPr>
        <w:t>中。</w:t>
      </w:r>
    </w:p>
    <w:p>
      <w:pPr>
        <w:suppressAutoHyphens/>
        <w:spacing w:before="120" w:line="320" w:lineRule="atLeast"/>
        <w:ind w:firstLine="420" w:firstLineChars="200"/>
        <w:rPr>
          <w:b/>
          <w:bCs/>
          <w:color w:val="auto"/>
          <w:kern w:val="1"/>
          <w:szCs w:val="21"/>
          <w:highlight w:val="none"/>
        </w:rPr>
      </w:pPr>
      <w:r>
        <w:rPr>
          <w:rFonts w:hint="eastAsia"/>
          <w:color w:val="auto"/>
          <w:kern w:val="1"/>
          <w:szCs w:val="21"/>
          <w:highlight w:val="none"/>
        </w:rPr>
        <w:t>3</w:t>
      </w:r>
      <w:r>
        <w:rPr>
          <w:color w:val="auto"/>
          <w:kern w:val="1"/>
          <w:szCs w:val="21"/>
          <w:highlight w:val="none"/>
        </w:rPr>
        <w:t>.3.4</w:t>
      </w:r>
      <w:r>
        <w:rPr>
          <w:rFonts w:hint="eastAsia"/>
          <w:color w:val="auto"/>
          <w:kern w:val="1"/>
          <w:szCs w:val="21"/>
          <w:highlight w:val="none"/>
        </w:rPr>
        <w:t>采购人不接受供应商给予的赠品、回扣或者与采购无关的其他商品、服务。</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3.4投标有效期</w:t>
      </w:r>
    </w:p>
    <w:p>
      <w:pPr>
        <w:spacing w:before="120" w:line="320" w:lineRule="atLeast"/>
        <w:ind w:firstLine="420" w:firstLineChars="200"/>
        <w:rPr>
          <w:color w:val="auto"/>
          <w:szCs w:val="21"/>
          <w:highlight w:val="none"/>
        </w:rPr>
      </w:pPr>
      <w:r>
        <w:rPr>
          <w:color w:val="auto"/>
          <w:szCs w:val="21"/>
          <w:highlight w:val="none"/>
        </w:rPr>
        <w:t>3.4.1如招标文件其他地方无特别规定</w:t>
      </w:r>
      <w:r>
        <w:rPr>
          <w:rFonts w:hint="eastAsia"/>
          <w:color w:val="auto"/>
          <w:szCs w:val="21"/>
          <w:highlight w:val="none"/>
        </w:rPr>
        <w:t>，</w:t>
      </w:r>
      <w:r>
        <w:rPr>
          <w:color w:val="auto"/>
          <w:szCs w:val="21"/>
          <w:highlight w:val="none"/>
        </w:rPr>
        <w:t>投标有效期则为投标截止之日起90天</w:t>
      </w:r>
      <w:r>
        <w:rPr>
          <w:rFonts w:hint="eastAsia"/>
          <w:color w:val="auto"/>
          <w:szCs w:val="21"/>
          <w:highlight w:val="none"/>
        </w:rPr>
        <w:t>。</w:t>
      </w:r>
      <w:r>
        <w:rPr>
          <w:color w:val="auto"/>
          <w:szCs w:val="21"/>
          <w:highlight w:val="none"/>
        </w:rPr>
        <w:t>在投标有效期内投标文件应保持有效。</w:t>
      </w:r>
      <w:r>
        <w:rPr>
          <w:b/>
          <w:bCs/>
          <w:color w:val="auto"/>
          <w:szCs w:val="21"/>
          <w:highlight w:val="none"/>
        </w:rPr>
        <w:t>有效期不足的投标文件将被否决</w:t>
      </w:r>
      <w:r>
        <w:rPr>
          <w:color w:val="auto"/>
          <w:szCs w:val="21"/>
          <w:highlight w:val="none"/>
        </w:rPr>
        <w:t>。</w:t>
      </w:r>
    </w:p>
    <w:p>
      <w:pPr>
        <w:spacing w:before="120" w:line="320" w:lineRule="atLeast"/>
        <w:ind w:firstLine="420" w:firstLineChars="200"/>
        <w:rPr>
          <w:color w:val="auto"/>
          <w:szCs w:val="21"/>
          <w:highlight w:val="none"/>
        </w:rPr>
      </w:pPr>
      <w:r>
        <w:rPr>
          <w:color w:val="auto"/>
          <w:szCs w:val="21"/>
          <w:highlight w:val="none"/>
        </w:rPr>
        <w:t>3.4.2在特殊情况下，采购人可与供应商协商延长投标文件的有效期，这种要求和答复均以书面形式进行。</w:t>
      </w:r>
    </w:p>
    <w:p>
      <w:pPr>
        <w:spacing w:before="120" w:line="320" w:lineRule="atLeast"/>
        <w:ind w:firstLine="420" w:firstLineChars="200"/>
        <w:rPr>
          <w:color w:val="auto"/>
          <w:szCs w:val="21"/>
          <w:highlight w:val="none"/>
        </w:rPr>
      </w:pPr>
      <w:r>
        <w:rPr>
          <w:color w:val="auto"/>
          <w:szCs w:val="21"/>
          <w:highlight w:val="none"/>
        </w:rPr>
        <w:t>3.4.3</w:t>
      </w:r>
      <w:r>
        <w:rPr>
          <w:rFonts w:hint="eastAsia"/>
          <w:color w:val="auto"/>
          <w:szCs w:val="21"/>
          <w:highlight w:val="none"/>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pPr>
        <w:spacing w:before="120" w:line="320" w:lineRule="atLeast"/>
        <w:ind w:firstLine="422" w:firstLineChars="200"/>
        <w:outlineLvl w:val="2"/>
        <w:rPr>
          <w:b/>
          <w:bCs/>
          <w:color w:val="auto"/>
          <w:kern w:val="0"/>
          <w:szCs w:val="21"/>
          <w:highlight w:val="none"/>
        </w:rPr>
      </w:pPr>
      <w:bookmarkStart w:id="49" w:name="_Toc254970541"/>
      <w:bookmarkStart w:id="50" w:name="_Toc254970682"/>
      <w:r>
        <w:rPr>
          <w:b/>
          <w:bCs/>
          <w:color w:val="auto"/>
          <w:kern w:val="0"/>
          <w:szCs w:val="21"/>
          <w:highlight w:val="none"/>
        </w:rPr>
        <w:t>3.5投标保证金</w:t>
      </w:r>
      <w:bookmarkEnd w:id="49"/>
      <w:bookmarkEnd w:id="50"/>
    </w:p>
    <w:p>
      <w:pPr>
        <w:spacing w:before="120" w:line="320" w:lineRule="atLeast"/>
        <w:ind w:left="420"/>
        <w:rPr>
          <w:color w:val="auto"/>
          <w:szCs w:val="21"/>
          <w:highlight w:val="none"/>
        </w:rPr>
      </w:pPr>
      <w:r>
        <w:rPr>
          <w:rFonts w:hint="eastAsia"/>
          <w:color w:val="auto"/>
          <w:szCs w:val="21"/>
          <w:highlight w:val="none"/>
        </w:rPr>
        <w:t>本项目无需缴纳投标保证金。</w:t>
      </w:r>
    </w:p>
    <w:p>
      <w:pPr>
        <w:spacing w:before="120" w:line="320" w:lineRule="atLeast"/>
        <w:ind w:firstLine="422" w:firstLineChars="200"/>
        <w:outlineLvl w:val="2"/>
        <w:rPr>
          <w:b/>
          <w:bCs/>
          <w:color w:val="auto"/>
          <w:kern w:val="0"/>
          <w:szCs w:val="21"/>
          <w:highlight w:val="none"/>
        </w:rPr>
      </w:pPr>
      <w:bookmarkStart w:id="51" w:name="_Toc254970542"/>
      <w:bookmarkStart w:id="52" w:name="_Toc254970683"/>
      <w:r>
        <w:rPr>
          <w:b/>
          <w:bCs/>
          <w:color w:val="auto"/>
          <w:kern w:val="0"/>
          <w:szCs w:val="21"/>
          <w:highlight w:val="none"/>
        </w:rPr>
        <w:t>3.6投标文件的</w:t>
      </w:r>
      <w:bookmarkEnd w:id="51"/>
      <w:bookmarkEnd w:id="52"/>
      <w:r>
        <w:rPr>
          <w:b/>
          <w:bCs/>
          <w:color w:val="auto"/>
          <w:kern w:val="0"/>
          <w:szCs w:val="21"/>
          <w:highlight w:val="none"/>
        </w:rPr>
        <w:t>编制要求</w:t>
      </w:r>
    </w:p>
    <w:p>
      <w:pPr>
        <w:spacing w:before="120" w:line="320" w:lineRule="atLeast"/>
        <w:ind w:firstLine="420" w:firstLineChars="200"/>
        <w:rPr>
          <w:b/>
          <w:bCs/>
          <w:color w:val="auto"/>
          <w:kern w:val="0"/>
          <w:szCs w:val="21"/>
          <w:highlight w:val="none"/>
        </w:rPr>
      </w:pPr>
      <w:r>
        <w:rPr>
          <w:rFonts w:hint="eastAsia"/>
          <w:color w:val="auto"/>
          <w:kern w:val="0"/>
          <w:szCs w:val="21"/>
          <w:highlight w:val="none"/>
        </w:rPr>
        <w:t>3</w:t>
      </w:r>
      <w:r>
        <w:rPr>
          <w:color w:val="auto"/>
          <w:kern w:val="0"/>
          <w:szCs w:val="21"/>
          <w:highlight w:val="none"/>
        </w:rPr>
        <w:t>.6.1</w:t>
      </w:r>
      <w:r>
        <w:rPr>
          <w:rFonts w:hint="eastAsia"/>
          <w:color w:val="auto"/>
          <w:szCs w:val="21"/>
          <w:highlight w:val="none"/>
        </w:rPr>
        <w:t>供应商应先安装</w:t>
      </w:r>
      <w:bookmarkStart w:id="53" w:name="_Hlk160184301"/>
      <w:r>
        <w:rPr>
          <w:rFonts w:hint="eastAsia"/>
          <w:color w:val="auto"/>
          <w:szCs w:val="21"/>
          <w:highlight w:val="none"/>
        </w:rPr>
        <w:t>广西政府采购云平台新版客户端</w:t>
      </w:r>
      <w:bookmarkEnd w:id="53"/>
      <w:r>
        <w:rPr>
          <w:rFonts w:hint="eastAsia"/>
          <w:color w:val="auto"/>
          <w:szCs w:val="21"/>
          <w:highlight w:val="none"/>
        </w:rPr>
        <w:t>，通过账号密码或C</w:t>
      </w:r>
      <w:r>
        <w:rPr>
          <w:color w:val="auto"/>
          <w:szCs w:val="21"/>
          <w:highlight w:val="none"/>
        </w:rPr>
        <w:t>A</w:t>
      </w:r>
      <w:r>
        <w:rPr>
          <w:rFonts w:hint="eastAsia"/>
          <w:color w:val="auto"/>
          <w:szCs w:val="21"/>
          <w:highlight w:val="none"/>
        </w:rPr>
        <w:t>登录客户端制作投标文件。</w:t>
      </w:r>
    </w:p>
    <w:p>
      <w:pPr>
        <w:spacing w:before="120" w:line="320" w:lineRule="atLeast"/>
        <w:ind w:firstLine="420" w:firstLineChars="200"/>
        <w:rPr>
          <w:color w:val="auto"/>
          <w:szCs w:val="21"/>
          <w:highlight w:val="none"/>
        </w:rPr>
      </w:pPr>
      <w:bookmarkStart w:id="54" w:name="_Hlk132791136"/>
      <w:r>
        <w:rPr>
          <w:color w:val="auto"/>
          <w:szCs w:val="21"/>
          <w:highlight w:val="none"/>
        </w:rPr>
        <w:t>3.6.2供应商应按本招标文件规定的格式和顺序编制投标文件</w:t>
      </w:r>
      <w:r>
        <w:rPr>
          <w:rFonts w:hint="eastAsia"/>
          <w:color w:val="auto"/>
          <w:szCs w:val="21"/>
          <w:highlight w:val="none"/>
        </w:rPr>
        <w:t>并进行关联定位</w:t>
      </w:r>
      <w:r>
        <w:rPr>
          <w:color w:val="auto"/>
          <w:szCs w:val="21"/>
          <w:highlight w:val="none"/>
        </w:rPr>
        <w:t>，</w:t>
      </w:r>
      <w:r>
        <w:rPr>
          <w:rFonts w:hint="eastAsia"/>
          <w:color w:val="auto"/>
          <w:szCs w:val="21"/>
          <w:highlight w:val="none"/>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pPr>
        <w:spacing w:before="120" w:line="320" w:lineRule="atLeast"/>
        <w:ind w:firstLine="420" w:firstLineChars="200"/>
        <w:rPr>
          <w:color w:val="auto"/>
          <w:szCs w:val="21"/>
          <w:highlight w:val="none"/>
        </w:rPr>
      </w:pPr>
      <w:bookmarkStart w:id="55" w:name="_Hlk93046800"/>
      <w:r>
        <w:rPr>
          <w:color w:val="auto"/>
          <w:szCs w:val="21"/>
          <w:highlight w:val="none"/>
        </w:rPr>
        <w:t xml:space="preserve">3.6.3 </w:t>
      </w:r>
      <w:r>
        <w:rPr>
          <w:rFonts w:hint="eastAsia"/>
          <w:color w:val="auto"/>
          <w:szCs w:val="21"/>
          <w:highlight w:val="none"/>
        </w:rPr>
        <w:t>投标人的投标文件未按照招标文件要求签署、盖章的，</w:t>
      </w:r>
      <w:r>
        <w:rPr>
          <w:rFonts w:hint="eastAsia"/>
          <w:b/>
          <w:bCs/>
          <w:color w:val="auto"/>
          <w:szCs w:val="21"/>
          <w:highlight w:val="none"/>
        </w:rPr>
        <w:t>其投标无效</w:t>
      </w:r>
      <w:r>
        <w:rPr>
          <w:rFonts w:hint="eastAsia"/>
          <w:color w:val="auto"/>
          <w:szCs w:val="21"/>
          <w:highlight w:val="none"/>
        </w:rPr>
        <w:t>。</w:t>
      </w:r>
    </w:p>
    <w:bookmarkEnd w:id="54"/>
    <w:bookmarkEnd w:id="55"/>
    <w:p>
      <w:pPr>
        <w:spacing w:before="120" w:line="320" w:lineRule="atLeast"/>
        <w:ind w:firstLine="420" w:firstLineChars="200"/>
        <w:rPr>
          <w:color w:val="auto"/>
          <w:szCs w:val="21"/>
          <w:highlight w:val="none"/>
        </w:rPr>
      </w:pPr>
      <w:r>
        <w:rPr>
          <w:color w:val="auto"/>
          <w:szCs w:val="21"/>
          <w:highlight w:val="none"/>
        </w:rPr>
        <w:t>3.6.4</w:t>
      </w:r>
      <w:r>
        <w:rPr>
          <w:rFonts w:hint="eastAsia"/>
          <w:color w:val="auto"/>
          <w:szCs w:val="21"/>
          <w:highlight w:val="none"/>
        </w:rPr>
        <w:t>为确保网上操作合法、有效和安全，供应商应当在投标截止时间前完成在广西政府采购云平台的身份认证，确保在电子投标过程中能够对相关数据电文进行加密和使用电子签名。</w:t>
      </w:r>
    </w:p>
    <w:p>
      <w:pPr>
        <w:spacing w:before="120" w:line="320" w:lineRule="atLeast"/>
        <w:ind w:firstLine="420" w:firstLineChars="200"/>
        <w:rPr>
          <w:b/>
          <w:bCs/>
          <w:color w:val="auto"/>
          <w:szCs w:val="21"/>
          <w:highlight w:val="none"/>
        </w:rPr>
      </w:pPr>
      <w:r>
        <w:rPr>
          <w:rFonts w:hint="eastAsia"/>
          <w:color w:val="auto"/>
          <w:szCs w:val="21"/>
          <w:highlight w:val="none"/>
        </w:rPr>
        <w:t>3</w:t>
      </w:r>
      <w:r>
        <w:rPr>
          <w:color w:val="auto"/>
          <w:szCs w:val="21"/>
          <w:highlight w:val="none"/>
        </w:rPr>
        <w:t>.6.5</w:t>
      </w:r>
      <w:r>
        <w:rPr>
          <w:rFonts w:hint="eastAsia"/>
          <w:color w:val="auto"/>
          <w:szCs w:val="21"/>
          <w:highlight w:val="none"/>
        </w:rPr>
        <w:t>投标文件中标注的供应商名称应与主体资格证明（如营业执照、事业单位法人证书、执业许可证、个体工商户营业执照、自然人身份证等）和公章/电子签章一致，</w:t>
      </w:r>
      <w:r>
        <w:rPr>
          <w:rFonts w:hint="eastAsia"/>
          <w:b/>
          <w:bCs/>
          <w:color w:val="auto"/>
          <w:szCs w:val="21"/>
          <w:highlight w:val="none"/>
        </w:rPr>
        <w:t>否则作无效投标处理。</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3.7投标文件的递交、修改和撤回</w:t>
      </w:r>
    </w:p>
    <w:p>
      <w:pPr>
        <w:spacing w:before="120" w:line="320" w:lineRule="atLeast"/>
        <w:ind w:firstLine="420" w:firstLineChars="200"/>
        <w:rPr>
          <w:color w:val="auto"/>
          <w:szCs w:val="21"/>
          <w:highlight w:val="none"/>
        </w:rPr>
      </w:pPr>
      <w:r>
        <w:rPr>
          <w:color w:val="auto"/>
          <w:szCs w:val="21"/>
          <w:highlight w:val="none"/>
        </w:rPr>
        <w:t>3.7.1</w:t>
      </w:r>
      <w:r>
        <w:rPr>
          <w:rFonts w:hint="eastAsia"/>
          <w:color w:val="auto"/>
          <w:szCs w:val="21"/>
          <w:highlight w:val="none"/>
        </w:rPr>
        <w:t>供应商必须在供应商须知前附表规定的投标文件开标时间和投标地点提交电子版投标文件。电子投标文件应在制作完成后，在投标截止时间前通过有效数字证书（CA认证锁）进行电子签章、加密，然后通过网络将加密的电子投标文件递交至广西政府采购云平台。</w:t>
      </w:r>
    </w:p>
    <w:p>
      <w:pPr>
        <w:spacing w:before="120" w:line="320" w:lineRule="atLeast"/>
        <w:ind w:firstLine="420" w:firstLineChars="200"/>
        <w:rPr>
          <w:color w:val="auto"/>
          <w:szCs w:val="21"/>
          <w:highlight w:val="none"/>
        </w:rPr>
      </w:pPr>
      <w:r>
        <w:rPr>
          <w:rFonts w:hint="eastAsia"/>
          <w:color w:val="auto"/>
          <w:szCs w:val="21"/>
          <w:highlight w:val="none"/>
        </w:rPr>
        <w:t>3</w:t>
      </w:r>
      <w:r>
        <w:rPr>
          <w:color w:val="auto"/>
          <w:szCs w:val="21"/>
          <w:highlight w:val="none"/>
        </w:rPr>
        <w:t>.7.2</w:t>
      </w:r>
      <w:r>
        <w:rPr>
          <w:rFonts w:hint="eastAsia"/>
          <w:color w:val="auto"/>
          <w:szCs w:val="21"/>
          <w:highlight w:val="none"/>
        </w:rPr>
        <w:t xml:space="preserve">未在规定时间内提交或者未按照招标文件要求签章、加密的电子投标文件，广西政府采购云平台将拒收。 </w:t>
      </w:r>
    </w:p>
    <w:p>
      <w:pPr>
        <w:spacing w:before="120" w:line="320" w:lineRule="atLeast"/>
        <w:ind w:left="2" w:leftChars="1" w:firstLine="420" w:firstLineChars="200"/>
        <w:rPr>
          <w:color w:val="auto"/>
          <w:szCs w:val="21"/>
          <w:highlight w:val="none"/>
        </w:rPr>
      </w:pPr>
      <w:bookmarkStart w:id="56" w:name="_Toc254970685"/>
      <w:bookmarkStart w:id="57" w:name="_Toc254970544"/>
      <w:r>
        <w:rPr>
          <w:rFonts w:hint="eastAsia"/>
          <w:color w:val="auto"/>
          <w:szCs w:val="21"/>
          <w:highlight w:val="none"/>
        </w:rPr>
        <w:t>3</w:t>
      </w:r>
      <w:r>
        <w:rPr>
          <w:color w:val="auto"/>
          <w:szCs w:val="21"/>
          <w:highlight w:val="none"/>
        </w:rPr>
        <w:t>.7.3</w:t>
      </w:r>
      <w:r>
        <w:rPr>
          <w:rFonts w:hint="eastAsia"/>
          <w:color w:val="auto"/>
          <w:szCs w:val="21"/>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广西政府采购云平台将拒收。</w:t>
      </w:r>
    </w:p>
    <w:p>
      <w:pPr>
        <w:spacing w:before="120" w:line="320" w:lineRule="atLeast"/>
        <w:ind w:left="2" w:leftChars="1" w:firstLine="420" w:firstLineChars="200"/>
        <w:rPr>
          <w:color w:val="auto"/>
          <w:szCs w:val="21"/>
          <w:highlight w:val="none"/>
        </w:rPr>
      </w:pPr>
      <w:r>
        <w:rPr>
          <w:color w:val="auto"/>
          <w:szCs w:val="21"/>
          <w:highlight w:val="none"/>
        </w:rPr>
        <w:t>3.7.4</w:t>
      </w:r>
      <w:r>
        <w:rPr>
          <w:rFonts w:hint="eastAsia"/>
          <w:color w:val="auto"/>
          <w:szCs w:val="21"/>
          <w:highlight w:val="none"/>
        </w:rPr>
        <w:t>在投标截止时间前，除供应商补充、修改或者撤回投标文件外，任何单位和个人不得解密或提取投标文件。</w:t>
      </w:r>
    </w:p>
    <w:p>
      <w:pPr>
        <w:spacing w:before="120" w:line="320" w:lineRule="atLeast"/>
        <w:ind w:left="2" w:leftChars="1" w:firstLine="420" w:firstLineChars="200"/>
        <w:rPr>
          <w:color w:val="auto"/>
          <w:szCs w:val="21"/>
          <w:highlight w:val="none"/>
        </w:rPr>
      </w:pPr>
      <w:r>
        <w:rPr>
          <w:color w:val="auto"/>
          <w:szCs w:val="21"/>
          <w:highlight w:val="none"/>
        </w:rPr>
        <w:t>3.7.5</w:t>
      </w:r>
      <w:r>
        <w:rPr>
          <w:rFonts w:hint="eastAsia"/>
          <w:color w:val="auto"/>
          <w:szCs w:val="21"/>
          <w:highlight w:val="none"/>
        </w:rPr>
        <w:t>在投标截止时间止提交电子版投标文件的供应商不足3家时，电子版投标文件由代理机构在广西政府采购云平台操作退回，除此之外采购人和采购代理机构对已提交的投标文件概不退回。</w:t>
      </w:r>
    </w:p>
    <w:p>
      <w:pPr>
        <w:spacing w:before="120" w:line="320" w:lineRule="atLeast"/>
        <w:ind w:left="2" w:leftChars="1" w:firstLine="420" w:firstLineChars="200"/>
        <w:rPr>
          <w:color w:val="auto"/>
          <w:szCs w:val="21"/>
          <w:highlight w:val="none"/>
        </w:rPr>
      </w:pPr>
      <w:bookmarkStart w:id="58" w:name="_Hlk93046827"/>
      <w:r>
        <w:rPr>
          <w:rFonts w:hint="eastAsia"/>
          <w:color w:val="auto"/>
          <w:szCs w:val="21"/>
          <w:highlight w:val="none"/>
        </w:rPr>
        <w:t>3</w:t>
      </w:r>
      <w:r>
        <w:rPr>
          <w:color w:val="auto"/>
          <w:szCs w:val="21"/>
          <w:highlight w:val="none"/>
        </w:rPr>
        <w:t>.7.6</w:t>
      </w:r>
      <w:r>
        <w:rPr>
          <w:rFonts w:hint="eastAsia"/>
          <w:color w:val="auto"/>
          <w:szCs w:val="21"/>
          <w:highlight w:val="none"/>
        </w:rPr>
        <w:t>招标文件未允许同一供应商提交两个或以上不同的响应文件，但存在</w:t>
      </w:r>
      <w:r>
        <w:rPr>
          <w:rFonts w:hint="eastAsia"/>
          <w:color w:val="auto"/>
          <w:highlight w:val="none"/>
        </w:rPr>
        <w:t>同</w:t>
      </w:r>
      <w:r>
        <w:rPr>
          <w:rFonts w:hint="eastAsia"/>
          <w:color w:val="auto"/>
          <w:szCs w:val="21"/>
          <w:highlight w:val="none"/>
        </w:rPr>
        <w:t>一供应商提交两个或以上不同的响应文件的，</w:t>
      </w:r>
      <w:r>
        <w:rPr>
          <w:rFonts w:hint="eastAsia"/>
          <w:b/>
          <w:bCs/>
          <w:color w:val="auto"/>
          <w:szCs w:val="21"/>
          <w:highlight w:val="none"/>
        </w:rPr>
        <w:t>其投标无效。</w:t>
      </w:r>
    </w:p>
    <w:bookmarkEnd w:id="58"/>
    <w:p>
      <w:pPr>
        <w:spacing w:before="120" w:line="320" w:lineRule="atLeast"/>
        <w:ind w:left="2" w:leftChars="1" w:firstLine="422" w:firstLineChars="200"/>
        <w:outlineLvl w:val="1"/>
        <w:rPr>
          <w:b/>
          <w:bCs/>
          <w:color w:val="auto"/>
          <w:kern w:val="0"/>
          <w:szCs w:val="21"/>
          <w:highlight w:val="none"/>
        </w:rPr>
      </w:pPr>
      <w:r>
        <w:rPr>
          <w:b/>
          <w:bCs/>
          <w:color w:val="auto"/>
          <w:kern w:val="0"/>
          <w:szCs w:val="21"/>
          <w:highlight w:val="none"/>
        </w:rPr>
        <w:t>4．开标</w:t>
      </w:r>
      <w:bookmarkEnd w:id="56"/>
      <w:bookmarkEnd w:id="57"/>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4.1开标准备</w:t>
      </w:r>
    </w:p>
    <w:p>
      <w:pPr>
        <w:spacing w:before="120" w:line="276" w:lineRule="auto"/>
        <w:ind w:firstLine="420" w:firstLineChars="200"/>
        <w:rPr>
          <w:color w:val="auto"/>
          <w:szCs w:val="21"/>
          <w:highlight w:val="none"/>
        </w:rPr>
      </w:pPr>
      <w:r>
        <w:rPr>
          <w:color w:val="auto"/>
          <w:szCs w:val="21"/>
          <w:highlight w:val="none"/>
        </w:rPr>
        <w:t>本项目投标截止时间及地点见“供应商须知前附表”规定。</w:t>
      </w:r>
    </w:p>
    <w:p>
      <w:pPr>
        <w:autoSpaceDE w:val="0"/>
        <w:autoSpaceDN w:val="0"/>
        <w:adjustRightInd w:val="0"/>
        <w:spacing w:line="276" w:lineRule="auto"/>
        <w:ind w:firstLine="420" w:firstLineChars="200"/>
        <w:rPr>
          <w:color w:val="auto"/>
          <w:szCs w:val="21"/>
          <w:highlight w:val="none"/>
        </w:rPr>
      </w:pPr>
      <w:r>
        <w:rPr>
          <w:rFonts w:hint="eastAsia"/>
          <w:color w:val="auto"/>
          <w:szCs w:val="21"/>
          <w:highlight w:val="none"/>
        </w:rPr>
        <w:t>全流程电子化项目没有现场递交投标文件及现场开标环节。采购代理机构将按照招标文件规定的时间通过广西政府采购云平台组织线上开标活动、开启投标文件，所有供应商均应当准时在线参加。供应商</w:t>
      </w:r>
      <w:r>
        <w:rPr>
          <w:color w:val="auto"/>
          <w:szCs w:val="21"/>
          <w:highlight w:val="none"/>
        </w:rPr>
        <w:t>如不</w:t>
      </w:r>
      <w:r>
        <w:rPr>
          <w:rFonts w:hint="eastAsia"/>
          <w:color w:val="auto"/>
          <w:szCs w:val="21"/>
          <w:highlight w:val="none"/>
        </w:rPr>
        <w:t>参加</w:t>
      </w:r>
      <w:r>
        <w:rPr>
          <w:color w:val="auto"/>
          <w:szCs w:val="21"/>
          <w:highlight w:val="none"/>
        </w:rPr>
        <w:t>开标大会的，</w:t>
      </w:r>
      <w:r>
        <w:rPr>
          <w:rFonts w:hint="eastAsia"/>
          <w:color w:val="auto"/>
          <w:szCs w:val="21"/>
          <w:highlight w:val="none"/>
        </w:rPr>
        <w:t>视同认可开标结果，</w:t>
      </w:r>
      <w:r>
        <w:rPr>
          <w:color w:val="auto"/>
          <w:szCs w:val="21"/>
          <w:highlight w:val="none"/>
        </w:rPr>
        <w:t>事后不得对采购相关人员、开标过程和开标结果提出异议</w:t>
      </w:r>
      <w:r>
        <w:rPr>
          <w:rFonts w:hint="eastAsia"/>
          <w:color w:val="auto"/>
          <w:szCs w:val="21"/>
          <w:highlight w:val="none"/>
        </w:rPr>
        <w:t>，同时供应商因未在线参加开标而导致投标文件无法按时解密等一切后果由供应商自己承担。</w:t>
      </w:r>
    </w:p>
    <w:p>
      <w:pPr>
        <w:spacing w:before="120" w:line="276" w:lineRule="auto"/>
        <w:ind w:firstLine="420" w:firstLineChars="200"/>
        <w:rPr>
          <w:color w:val="auto"/>
          <w:szCs w:val="21"/>
          <w:highlight w:val="none"/>
        </w:rPr>
      </w:pPr>
      <w:r>
        <w:rPr>
          <w:rFonts w:hint="eastAsia"/>
          <w:color w:val="auto"/>
          <w:szCs w:val="21"/>
          <w:highlight w:val="none"/>
        </w:rPr>
        <w:t xml:space="preserve">如供应商成功解密投标文件，但未在广西政府采购云平台电子开标大厅参加开标的，视同认可开标过程和结果，由此产生的后果由供应商自行负责。 </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4.2开标程序</w:t>
      </w:r>
    </w:p>
    <w:p>
      <w:pPr>
        <w:spacing w:before="120" w:line="320" w:lineRule="atLeast"/>
        <w:ind w:firstLine="420" w:firstLineChars="200"/>
        <w:rPr>
          <w:color w:val="auto"/>
          <w:szCs w:val="21"/>
          <w:highlight w:val="none"/>
        </w:rPr>
      </w:pPr>
      <w:r>
        <w:rPr>
          <w:color w:val="auto"/>
          <w:szCs w:val="21"/>
          <w:highlight w:val="none"/>
        </w:rPr>
        <w:t>4.2.1</w:t>
      </w:r>
      <w:r>
        <w:rPr>
          <w:rFonts w:hint="eastAsia"/>
          <w:color w:val="auto"/>
          <w:szCs w:val="21"/>
          <w:highlight w:val="none"/>
        </w:rPr>
        <w:t>供应商登录广西政府采购云平台进入开标大厅签到。</w:t>
      </w:r>
    </w:p>
    <w:p>
      <w:pPr>
        <w:spacing w:before="120" w:line="320" w:lineRule="atLeast"/>
        <w:ind w:firstLine="420" w:firstLineChars="200"/>
        <w:rPr>
          <w:color w:val="auto"/>
          <w:szCs w:val="21"/>
          <w:highlight w:val="none"/>
        </w:rPr>
      </w:pPr>
      <w:r>
        <w:rPr>
          <w:rFonts w:hint="eastAsia"/>
          <w:color w:val="auto"/>
          <w:szCs w:val="21"/>
          <w:highlight w:val="none"/>
        </w:rPr>
        <w:t>4</w:t>
      </w:r>
      <w:r>
        <w:rPr>
          <w:color w:val="auto"/>
          <w:szCs w:val="21"/>
          <w:highlight w:val="none"/>
        </w:rPr>
        <w:t>.2.2</w:t>
      </w:r>
      <w:r>
        <w:rPr>
          <w:rFonts w:hint="eastAsia"/>
          <w:color w:val="auto"/>
          <w:szCs w:val="21"/>
          <w:highlight w:val="none"/>
        </w:rPr>
        <w:t>解密电子投标文件。广西政府采购云平台按开标时间自动提取所有投标文件。采购代理机构在广西政府采购云平台向各供应商发出电子加密投标文件开始解密通知，由供应商平台设置时间内自行进行投标文件解密。供应商须使用加密时所用的CA锁准时登录到广西政府采购云平台电子开标大厅签到并对电子投标文件解密。开标后供应商未及时进行解密的，代理机构可通知供应商。</w:t>
      </w:r>
      <w:r>
        <w:rPr>
          <w:rFonts w:hint="eastAsia"/>
          <w:color w:val="auto"/>
          <w:highlight w:val="none"/>
        </w:rPr>
        <w:t>通知后供应商仍未在上述规定时间内解密响应文件</w:t>
      </w:r>
      <w:r>
        <w:rPr>
          <w:rFonts w:hint="eastAsia"/>
          <w:color w:val="auto"/>
          <w:szCs w:val="21"/>
          <w:highlight w:val="none"/>
        </w:rPr>
        <w:t>，或者供应商没预留联系方式或预留联系方式无效导致代理机构无法联系到供应商进行解密的，均视为无效投标。</w:t>
      </w:r>
    </w:p>
    <w:p>
      <w:pPr>
        <w:spacing w:before="120" w:line="320" w:lineRule="atLeast"/>
        <w:ind w:firstLine="420" w:firstLineChars="200"/>
        <w:rPr>
          <w:color w:val="auto"/>
          <w:szCs w:val="21"/>
          <w:highlight w:val="none"/>
        </w:rPr>
      </w:pPr>
      <w:r>
        <w:rPr>
          <w:rFonts w:hint="eastAsia"/>
          <w:color w:val="auto"/>
          <w:szCs w:val="21"/>
          <w:highlight w:val="none"/>
        </w:rPr>
        <w:t>4</w:t>
      </w:r>
      <w:r>
        <w:rPr>
          <w:color w:val="auto"/>
          <w:szCs w:val="21"/>
          <w:highlight w:val="none"/>
        </w:rPr>
        <w:t>.2.3</w:t>
      </w:r>
      <w:r>
        <w:rPr>
          <w:rFonts w:hint="eastAsia"/>
          <w:color w:val="auto"/>
          <w:szCs w:val="21"/>
          <w:highlight w:val="none"/>
        </w:rPr>
        <w:t>广西政府采购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pPr>
        <w:spacing w:before="120" w:line="320" w:lineRule="atLeast"/>
        <w:ind w:firstLine="420" w:firstLineChars="200"/>
        <w:rPr>
          <w:color w:val="auto"/>
          <w:szCs w:val="21"/>
          <w:highlight w:val="none"/>
        </w:rPr>
      </w:pPr>
      <w:r>
        <w:rPr>
          <w:rFonts w:hint="eastAsia"/>
          <w:color w:val="auto"/>
          <w:szCs w:val="21"/>
          <w:highlight w:val="none"/>
        </w:rPr>
        <w:t>4</w:t>
      </w:r>
      <w:r>
        <w:rPr>
          <w:color w:val="auto"/>
          <w:szCs w:val="21"/>
          <w:highlight w:val="none"/>
        </w:rPr>
        <w:t>.2.4</w:t>
      </w:r>
      <w:r>
        <w:rPr>
          <w:rFonts w:hint="eastAsia"/>
          <w:color w:val="auto"/>
          <w:szCs w:val="21"/>
          <w:highlight w:val="none"/>
        </w:rPr>
        <w:t>解密异常情况处理：详见本章</w:t>
      </w:r>
      <w:r>
        <w:rPr>
          <w:color w:val="auto"/>
          <w:szCs w:val="21"/>
          <w:highlight w:val="none"/>
        </w:rPr>
        <w:t>9.2</w:t>
      </w:r>
      <w:r>
        <w:rPr>
          <w:rFonts w:hint="eastAsia"/>
          <w:color w:val="auto"/>
          <w:szCs w:val="21"/>
          <w:highlight w:val="none"/>
        </w:rPr>
        <w:t>电子交易活动的中止。</w:t>
      </w:r>
    </w:p>
    <w:p>
      <w:pPr>
        <w:spacing w:before="120" w:line="320" w:lineRule="atLeast"/>
        <w:ind w:firstLine="420" w:firstLineChars="200"/>
        <w:rPr>
          <w:color w:val="auto"/>
          <w:szCs w:val="21"/>
          <w:highlight w:val="none"/>
        </w:rPr>
      </w:pPr>
      <w:r>
        <w:rPr>
          <w:rFonts w:hint="eastAsia"/>
          <w:color w:val="auto"/>
          <w:szCs w:val="21"/>
          <w:highlight w:val="none"/>
        </w:rPr>
        <w:t>4</w:t>
      </w:r>
      <w:r>
        <w:rPr>
          <w:color w:val="auto"/>
          <w:szCs w:val="21"/>
          <w:highlight w:val="none"/>
        </w:rPr>
        <w:t>.2.5</w:t>
      </w:r>
      <w:r>
        <w:rPr>
          <w:rFonts w:hint="eastAsia"/>
          <w:color w:val="auto"/>
          <w:szCs w:val="21"/>
          <w:highlight w:val="none"/>
        </w:rPr>
        <w:t>供应商对报价进行确认。</w:t>
      </w:r>
    </w:p>
    <w:p>
      <w:pPr>
        <w:spacing w:before="120" w:line="320" w:lineRule="atLeast"/>
        <w:ind w:firstLine="420" w:firstLineChars="200"/>
        <w:rPr>
          <w:color w:val="auto"/>
          <w:szCs w:val="21"/>
          <w:highlight w:val="none"/>
        </w:rPr>
      </w:pPr>
      <w:r>
        <w:rPr>
          <w:color w:val="auto"/>
          <w:szCs w:val="21"/>
          <w:highlight w:val="none"/>
        </w:rPr>
        <w:t>4.2.6开标结束。</w:t>
      </w:r>
    </w:p>
    <w:p>
      <w:pPr>
        <w:pStyle w:val="28"/>
        <w:snapToGrid w:val="0"/>
        <w:spacing w:line="440" w:lineRule="exact"/>
        <w:ind w:firstLine="422" w:firstLineChars="200"/>
        <w:rPr>
          <w:rFonts w:hAnsi="宋体"/>
          <w:color w:val="auto"/>
          <w:highlight w:val="none"/>
        </w:rPr>
      </w:pPr>
      <w:r>
        <w:rPr>
          <w:rFonts w:hint="eastAsia" w:hAnsi="宋体"/>
          <w:b/>
          <w:bCs/>
          <w:color w:val="auto"/>
          <w:highlight w:val="none"/>
        </w:rPr>
        <w:t>特别说明：</w:t>
      </w:r>
      <w:r>
        <w:rPr>
          <w:rFonts w:hint="eastAsia" w:hAnsi="宋体"/>
          <w:color w:val="auto"/>
          <w:highlight w:val="none"/>
        </w:rPr>
        <w:t>如遇</w:t>
      </w:r>
      <w:r>
        <w:rPr>
          <w:rFonts w:hint="eastAsia"/>
          <w:color w:val="auto"/>
          <w:highlight w:val="none"/>
        </w:rPr>
        <w:t>广西政府采购云平台</w:t>
      </w:r>
      <w:r>
        <w:rPr>
          <w:rFonts w:hint="eastAsia" w:hAnsi="宋体"/>
          <w:color w:val="auto"/>
          <w:highlight w:val="none"/>
        </w:rPr>
        <w:t>电子化开标或评审程序调整的，按调整后的程序执行。</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4.3演示</w:t>
      </w:r>
    </w:p>
    <w:p>
      <w:pPr>
        <w:spacing w:before="120" w:line="320" w:lineRule="atLeast"/>
        <w:ind w:firstLine="420" w:firstLineChars="200"/>
        <w:rPr>
          <w:color w:val="auto"/>
          <w:szCs w:val="21"/>
          <w:highlight w:val="none"/>
        </w:rPr>
      </w:pPr>
      <w:r>
        <w:rPr>
          <w:rFonts w:hint="eastAsia"/>
          <w:color w:val="auto"/>
          <w:szCs w:val="21"/>
          <w:highlight w:val="none"/>
        </w:rPr>
        <w:t>本项目无演示</w:t>
      </w:r>
      <w:r>
        <w:rPr>
          <w:color w:val="auto"/>
          <w:szCs w:val="21"/>
          <w:highlight w:val="none"/>
        </w:rPr>
        <w:t>。</w:t>
      </w:r>
    </w:p>
    <w:p>
      <w:pPr>
        <w:spacing w:before="120" w:line="320" w:lineRule="atLeast"/>
        <w:ind w:firstLine="422" w:firstLineChars="200"/>
        <w:outlineLvl w:val="2"/>
        <w:rPr>
          <w:color w:val="auto"/>
          <w:szCs w:val="21"/>
          <w:highlight w:val="none"/>
        </w:rPr>
      </w:pPr>
      <w:r>
        <w:rPr>
          <w:b/>
          <w:bCs/>
          <w:color w:val="auto"/>
          <w:kern w:val="0"/>
          <w:szCs w:val="21"/>
          <w:highlight w:val="none"/>
        </w:rPr>
        <w:t>4.4样品</w:t>
      </w:r>
    </w:p>
    <w:p>
      <w:pPr>
        <w:spacing w:before="120" w:line="320" w:lineRule="atLeast"/>
        <w:ind w:firstLine="420" w:firstLineChars="200"/>
        <w:rPr>
          <w:color w:val="auto"/>
          <w:szCs w:val="21"/>
          <w:highlight w:val="none"/>
        </w:rPr>
      </w:pPr>
      <w:bookmarkStart w:id="59" w:name="_Toc254970686"/>
      <w:bookmarkStart w:id="60" w:name="_Toc254970545"/>
      <w:r>
        <w:rPr>
          <w:rFonts w:hint="eastAsia"/>
          <w:color w:val="auto"/>
          <w:szCs w:val="21"/>
          <w:highlight w:val="none"/>
        </w:rPr>
        <w:t>本项目无需提供样品</w:t>
      </w:r>
      <w:r>
        <w:rPr>
          <w:color w:val="auto"/>
          <w:szCs w:val="21"/>
          <w:highlight w:val="none"/>
        </w:rPr>
        <w:t>。</w:t>
      </w:r>
    </w:p>
    <w:p>
      <w:pPr>
        <w:spacing w:before="120" w:line="320" w:lineRule="atLeast"/>
        <w:ind w:left="2" w:leftChars="1" w:firstLine="422" w:firstLineChars="200"/>
        <w:outlineLvl w:val="1"/>
        <w:rPr>
          <w:b/>
          <w:bCs/>
          <w:color w:val="auto"/>
          <w:kern w:val="0"/>
          <w:szCs w:val="21"/>
          <w:highlight w:val="none"/>
        </w:rPr>
      </w:pPr>
      <w:bookmarkStart w:id="61" w:name="_Hlk93420947"/>
      <w:r>
        <w:rPr>
          <w:b/>
          <w:bCs/>
          <w:color w:val="auto"/>
          <w:kern w:val="0"/>
          <w:szCs w:val="21"/>
          <w:highlight w:val="none"/>
        </w:rPr>
        <w:t>5．</w:t>
      </w:r>
      <w:r>
        <w:rPr>
          <w:rFonts w:hint="eastAsia"/>
          <w:b/>
          <w:bCs/>
          <w:color w:val="auto"/>
          <w:kern w:val="0"/>
          <w:szCs w:val="21"/>
          <w:highlight w:val="none"/>
        </w:rPr>
        <w:t>资格审查</w:t>
      </w:r>
    </w:p>
    <w:p>
      <w:pPr>
        <w:spacing w:before="120" w:line="320" w:lineRule="atLeast"/>
        <w:ind w:left="2" w:leftChars="1" w:firstLine="420" w:firstLineChars="200"/>
        <w:outlineLvl w:val="1"/>
        <w:rPr>
          <w:bCs/>
          <w:color w:val="auto"/>
          <w:kern w:val="0"/>
          <w:szCs w:val="21"/>
          <w:highlight w:val="none"/>
        </w:rPr>
      </w:pPr>
      <w:r>
        <w:rPr>
          <w:rFonts w:hint="eastAsia"/>
          <w:bCs/>
          <w:color w:val="auto"/>
          <w:kern w:val="0"/>
          <w:szCs w:val="21"/>
          <w:highlight w:val="none"/>
        </w:rPr>
        <w:t>5</w:t>
      </w:r>
      <w:r>
        <w:rPr>
          <w:bCs/>
          <w:color w:val="auto"/>
          <w:kern w:val="0"/>
          <w:szCs w:val="21"/>
          <w:highlight w:val="none"/>
        </w:rPr>
        <w:t>.1</w:t>
      </w:r>
      <w:r>
        <w:rPr>
          <w:rFonts w:ascii="宋体" w:hAnsi="宋体"/>
          <w:bCs/>
          <w:color w:val="auto"/>
          <w:szCs w:val="21"/>
          <w:highlight w:val="none"/>
        </w:rPr>
        <w:t>开标结束后，</w:t>
      </w:r>
      <w:r>
        <w:rPr>
          <w:rFonts w:hint="eastAsia" w:ascii="宋体" w:hAnsi="宋体"/>
          <w:bCs/>
          <w:color w:val="auto"/>
          <w:szCs w:val="21"/>
          <w:highlight w:val="none"/>
        </w:rPr>
        <w:t>采购人或者采购代理机构通过电子交易平台</w:t>
      </w:r>
      <w:r>
        <w:rPr>
          <w:rFonts w:ascii="宋体" w:hAnsi="宋体"/>
          <w:bCs/>
          <w:color w:val="auto"/>
          <w:szCs w:val="21"/>
          <w:highlight w:val="none"/>
        </w:rPr>
        <w:t>对供应商的资格进行审查。</w:t>
      </w:r>
      <w:r>
        <w:rPr>
          <w:rFonts w:hint="eastAsia" w:ascii="宋体" w:hAnsi="宋体"/>
          <w:bCs/>
          <w:color w:val="auto"/>
          <w:szCs w:val="21"/>
          <w:highlight w:val="none"/>
        </w:rPr>
        <w:t>资格审查</w:t>
      </w:r>
      <w:r>
        <w:rPr>
          <w:rFonts w:hint="eastAsia"/>
          <w:bCs/>
          <w:color w:val="auto"/>
          <w:kern w:val="0"/>
          <w:szCs w:val="21"/>
          <w:highlight w:val="none"/>
        </w:rPr>
        <w:t>是根据法律法规和招标文件的规定，对供应商的基本资格条件、特定资格条件进行审查。</w:t>
      </w:r>
    </w:p>
    <w:p>
      <w:pPr>
        <w:spacing w:before="120" w:line="320" w:lineRule="atLeast"/>
        <w:ind w:left="2" w:leftChars="1" w:firstLine="420" w:firstLineChars="200"/>
        <w:outlineLvl w:val="1"/>
        <w:rPr>
          <w:bCs/>
          <w:color w:val="auto"/>
          <w:kern w:val="0"/>
          <w:szCs w:val="21"/>
          <w:highlight w:val="none"/>
        </w:rPr>
      </w:pPr>
      <w:r>
        <w:rPr>
          <w:rFonts w:hint="eastAsia"/>
          <w:bCs/>
          <w:color w:val="auto"/>
          <w:kern w:val="0"/>
          <w:szCs w:val="21"/>
          <w:highlight w:val="none"/>
        </w:rPr>
        <w:t>5.</w:t>
      </w:r>
      <w:r>
        <w:rPr>
          <w:bCs/>
          <w:color w:val="auto"/>
          <w:kern w:val="0"/>
          <w:szCs w:val="21"/>
          <w:highlight w:val="none"/>
        </w:rPr>
        <w:t>2</w:t>
      </w:r>
      <w:r>
        <w:rPr>
          <w:rFonts w:hint="eastAsia"/>
          <w:bCs/>
          <w:color w:val="auto"/>
          <w:kern w:val="0"/>
          <w:szCs w:val="21"/>
          <w:highlight w:val="none"/>
        </w:rPr>
        <w:t>资格审查标准在第四章评审方法及标准中规定，符合资格审查标准要求的供应商即为资格审查合格。</w:t>
      </w:r>
    </w:p>
    <w:p>
      <w:pPr>
        <w:spacing w:before="120" w:line="276" w:lineRule="auto"/>
        <w:ind w:left="2" w:leftChars="1" w:firstLine="420" w:firstLineChars="200"/>
        <w:outlineLvl w:val="1"/>
        <w:rPr>
          <w:bCs/>
          <w:color w:val="auto"/>
          <w:kern w:val="0"/>
          <w:szCs w:val="21"/>
          <w:highlight w:val="none"/>
        </w:rPr>
      </w:pPr>
      <w:r>
        <w:rPr>
          <w:bCs/>
          <w:color w:val="auto"/>
          <w:kern w:val="0"/>
          <w:szCs w:val="21"/>
          <w:highlight w:val="none"/>
        </w:rPr>
        <w:t>5.3</w:t>
      </w:r>
      <w:r>
        <w:rPr>
          <w:rFonts w:hint="eastAsia"/>
          <w:bCs/>
          <w:color w:val="auto"/>
          <w:kern w:val="0"/>
          <w:szCs w:val="21"/>
          <w:highlight w:val="none"/>
        </w:rPr>
        <w:t>供应商有下列情形之一的，资格审查不合格，作无效投标处理：</w:t>
      </w:r>
    </w:p>
    <w:p>
      <w:pPr>
        <w:spacing w:line="276" w:lineRule="auto"/>
        <w:ind w:firstLine="420" w:firstLineChars="200"/>
        <w:rPr>
          <w:rFonts w:hAnsi="宋体"/>
          <w:color w:val="auto"/>
          <w:highlight w:val="none"/>
        </w:rPr>
      </w:pPr>
      <w:r>
        <w:rPr>
          <w:rFonts w:hint="eastAsia"/>
          <w:color w:val="auto"/>
          <w:szCs w:val="21"/>
          <w:highlight w:val="none"/>
        </w:rPr>
        <w:t>5</w:t>
      </w:r>
      <w:r>
        <w:rPr>
          <w:color w:val="auto"/>
          <w:szCs w:val="21"/>
          <w:highlight w:val="none"/>
        </w:rPr>
        <w:t>.3.1</w:t>
      </w:r>
      <w:r>
        <w:rPr>
          <w:rFonts w:hint="eastAsia"/>
          <w:color w:val="auto"/>
          <w:szCs w:val="21"/>
          <w:highlight w:val="none"/>
        </w:rPr>
        <w:t>不具备招标文件中规定的资格要求或资格条件的；</w:t>
      </w:r>
      <w:r>
        <w:rPr>
          <w:color w:val="auto"/>
          <w:szCs w:val="21"/>
          <w:highlight w:val="none"/>
        </w:rPr>
        <w:t xml:space="preserve"> </w:t>
      </w:r>
      <w:r>
        <w:rPr>
          <w:rFonts w:hint="eastAsia" w:hAnsi="宋体"/>
          <w:color w:val="auto"/>
          <w:highlight w:val="none"/>
        </w:rPr>
        <w:t>（注：其中信用查询规则见“投标人须知前附表”，</w:t>
      </w:r>
      <w:r>
        <w:rPr>
          <w:rFonts w:hint="eastAsia"/>
          <w:color w:val="auto"/>
          <w:szCs w:val="21"/>
          <w:highlight w:val="none"/>
        </w:rPr>
        <w:t>广西政府采购云平台</w:t>
      </w:r>
      <w:r>
        <w:rPr>
          <w:rFonts w:hint="eastAsia" w:hAnsi="宋体"/>
          <w:color w:val="auto"/>
          <w:highlight w:val="none"/>
        </w:rPr>
        <w:t>已与“信用中国”平台做接口，可直接在线查询）</w:t>
      </w:r>
    </w:p>
    <w:p>
      <w:pPr>
        <w:spacing w:before="120" w:line="276" w:lineRule="auto"/>
        <w:ind w:firstLine="420" w:firstLineChars="200"/>
        <w:rPr>
          <w:color w:val="auto"/>
          <w:szCs w:val="21"/>
          <w:highlight w:val="none"/>
        </w:rPr>
      </w:pPr>
      <w:r>
        <w:rPr>
          <w:rFonts w:hint="eastAsia"/>
          <w:color w:val="auto"/>
          <w:szCs w:val="21"/>
          <w:highlight w:val="none"/>
        </w:rPr>
        <w:t>5</w:t>
      </w:r>
      <w:r>
        <w:rPr>
          <w:color w:val="auto"/>
          <w:szCs w:val="21"/>
          <w:highlight w:val="none"/>
        </w:rPr>
        <w:t>.3.2</w:t>
      </w:r>
      <w:r>
        <w:rPr>
          <w:rFonts w:hint="eastAsia"/>
          <w:color w:val="auto"/>
          <w:szCs w:val="21"/>
          <w:highlight w:val="none"/>
        </w:rPr>
        <w:t>投标文件缺少任何一项资格证明文件或不符合第四章评审方法及标准中资格审查标准规定的评审内容的；</w:t>
      </w:r>
    </w:p>
    <w:p>
      <w:pPr>
        <w:spacing w:before="120" w:line="276" w:lineRule="auto"/>
        <w:ind w:left="2" w:leftChars="1" w:firstLine="420" w:firstLineChars="200"/>
        <w:outlineLvl w:val="1"/>
        <w:rPr>
          <w:bCs/>
          <w:color w:val="auto"/>
          <w:kern w:val="0"/>
          <w:szCs w:val="21"/>
          <w:highlight w:val="none"/>
        </w:rPr>
      </w:pPr>
      <w:r>
        <w:rPr>
          <w:bCs/>
          <w:color w:val="auto"/>
          <w:kern w:val="0"/>
          <w:szCs w:val="21"/>
          <w:highlight w:val="none"/>
        </w:rPr>
        <w:t>5.4</w:t>
      </w:r>
      <w:r>
        <w:rPr>
          <w:rFonts w:hint="eastAsia"/>
          <w:bCs/>
          <w:color w:val="auto"/>
          <w:kern w:val="0"/>
          <w:szCs w:val="21"/>
          <w:highlight w:val="none"/>
        </w:rPr>
        <w:t>资格审查合格的供应商不足3家的，不得评审。</w:t>
      </w:r>
    </w:p>
    <w:bookmarkEnd w:id="61"/>
    <w:p>
      <w:pPr>
        <w:spacing w:before="120" w:line="320" w:lineRule="atLeast"/>
        <w:ind w:left="2" w:leftChars="1" w:firstLine="422" w:firstLineChars="200"/>
        <w:outlineLvl w:val="1"/>
        <w:rPr>
          <w:b/>
          <w:bCs/>
          <w:color w:val="auto"/>
          <w:kern w:val="0"/>
          <w:szCs w:val="21"/>
          <w:highlight w:val="none"/>
        </w:rPr>
      </w:pPr>
      <w:bookmarkStart w:id="62" w:name="_Hlk93420990"/>
      <w:r>
        <w:rPr>
          <w:b/>
          <w:bCs/>
          <w:color w:val="auto"/>
          <w:kern w:val="0"/>
          <w:szCs w:val="21"/>
          <w:highlight w:val="none"/>
        </w:rPr>
        <w:t>6．评审</w:t>
      </w:r>
      <w:bookmarkEnd w:id="59"/>
      <w:bookmarkEnd w:id="60"/>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6.1评审委员会</w:t>
      </w:r>
      <w:r>
        <w:rPr>
          <w:rFonts w:hint="eastAsia"/>
          <w:b/>
          <w:bCs/>
          <w:color w:val="auto"/>
          <w:kern w:val="0"/>
          <w:szCs w:val="21"/>
          <w:highlight w:val="none"/>
        </w:rPr>
        <w:t>及评审原则</w:t>
      </w:r>
    </w:p>
    <w:p>
      <w:pPr>
        <w:spacing w:before="120" w:line="320" w:lineRule="atLeast"/>
        <w:ind w:firstLine="420" w:firstLineChars="200"/>
        <w:rPr>
          <w:color w:val="auto"/>
          <w:szCs w:val="21"/>
          <w:highlight w:val="none"/>
        </w:rPr>
      </w:pPr>
      <w:bookmarkStart w:id="63" w:name="_Hlk91249317"/>
      <w:r>
        <w:rPr>
          <w:rFonts w:hint="eastAsia"/>
          <w:color w:val="auto"/>
          <w:szCs w:val="21"/>
          <w:highlight w:val="none"/>
        </w:rPr>
        <w:t>6.1.1</w:t>
      </w:r>
      <w:r>
        <w:rPr>
          <w:color w:val="auto"/>
          <w:szCs w:val="21"/>
          <w:highlight w:val="none"/>
        </w:rPr>
        <w:t>本项目</w:t>
      </w:r>
      <w:r>
        <w:rPr>
          <w:rFonts w:hint="eastAsia"/>
          <w:color w:val="auto"/>
          <w:szCs w:val="21"/>
          <w:highlight w:val="none"/>
        </w:rPr>
        <w:t>评审工作由</w:t>
      </w:r>
      <w:r>
        <w:rPr>
          <w:color w:val="auto"/>
          <w:szCs w:val="21"/>
          <w:highlight w:val="none"/>
        </w:rPr>
        <w:t>评审委员会</w:t>
      </w:r>
      <w:r>
        <w:rPr>
          <w:rFonts w:hint="eastAsia"/>
          <w:color w:val="auto"/>
          <w:szCs w:val="21"/>
          <w:highlight w:val="none"/>
        </w:rPr>
        <w:t>负责，评审委员会</w:t>
      </w:r>
      <w:r>
        <w:rPr>
          <w:color w:val="auto"/>
          <w:szCs w:val="21"/>
          <w:highlight w:val="none"/>
        </w:rPr>
        <w:t>由</w:t>
      </w:r>
      <w:r>
        <w:rPr>
          <w:rFonts w:hint="eastAsia"/>
          <w:color w:val="auto"/>
          <w:szCs w:val="21"/>
          <w:highlight w:val="none"/>
        </w:rPr>
        <w:t>评审专家</w:t>
      </w:r>
      <w:r>
        <w:rPr>
          <w:color w:val="auto"/>
          <w:szCs w:val="21"/>
          <w:highlight w:val="none"/>
        </w:rPr>
        <w:t>和采购人代表</w:t>
      </w:r>
      <w:r>
        <w:rPr>
          <w:rFonts w:hint="eastAsia"/>
          <w:color w:val="auto"/>
          <w:szCs w:val="21"/>
          <w:highlight w:val="none"/>
        </w:rPr>
        <w:t>（如有）</w:t>
      </w:r>
      <w:r>
        <w:rPr>
          <w:color w:val="auto"/>
          <w:szCs w:val="21"/>
          <w:highlight w:val="none"/>
        </w:rPr>
        <w:t>组成。</w:t>
      </w:r>
      <w:r>
        <w:rPr>
          <w:rFonts w:hint="eastAsia"/>
          <w:color w:val="auto"/>
          <w:szCs w:val="21"/>
          <w:highlight w:val="none"/>
        </w:rPr>
        <w:t>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w:t>
      </w:r>
      <w:r>
        <w:rPr>
          <w:color w:val="auto"/>
          <w:szCs w:val="21"/>
          <w:highlight w:val="none"/>
        </w:rPr>
        <w:t>评审专家发现本人与参加采购活动的供应商有利害关系的，应当主动提出回避</w:t>
      </w:r>
      <w:r>
        <w:rPr>
          <w:rFonts w:hint="eastAsia"/>
          <w:color w:val="auto"/>
          <w:szCs w:val="21"/>
          <w:highlight w:val="none"/>
        </w:rPr>
        <w:t>。</w:t>
      </w:r>
    </w:p>
    <w:p>
      <w:pPr>
        <w:spacing w:before="120" w:line="320" w:lineRule="atLeast"/>
        <w:ind w:firstLine="420" w:firstLineChars="200"/>
        <w:rPr>
          <w:color w:val="auto"/>
          <w:szCs w:val="21"/>
          <w:highlight w:val="none"/>
        </w:rPr>
      </w:pPr>
      <w:r>
        <w:rPr>
          <w:rFonts w:hint="eastAsia"/>
          <w:color w:val="auto"/>
          <w:szCs w:val="21"/>
          <w:highlight w:val="none"/>
        </w:rPr>
        <w:t>6.1.2评审委员会成员应当通过电子交易平台进行独立评审，评审委员会成员对需要共同认定的事项存在争议的，应当按照少数服从多数的原则作出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作出结论并记录在评审报告中。</w:t>
      </w:r>
    </w:p>
    <w:p>
      <w:pPr>
        <w:spacing w:before="120" w:line="320" w:lineRule="atLeast"/>
        <w:ind w:firstLine="420" w:firstLineChars="200"/>
        <w:rPr>
          <w:color w:val="auto"/>
          <w:szCs w:val="21"/>
          <w:highlight w:val="none"/>
        </w:rPr>
      </w:pPr>
      <w:r>
        <w:rPr>
          <w:rFonts w:hint="eastAsia"/>
          <w:color w:val="auto"/>
          <w:szCs w:val="21"/>
          <w:highlight w:val="none"/>
        </w:rPr>
        <w:t>6.1.3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pPr>
        <w:spacing w:before="120" w:line="320" w:lineRule="atLeast"/>
        <w:ind w:firstLine="420" w:firstLineChars="200"/>
        <w:rPr>
          <w:color w:val="auto"/>
          <w:szCs w:val="21"/>
          <w:highlight w:val="none"/>
        </w:rPr>
      </w:pPr>
      <w:r>
        <w:rPr>
          <w:rFonts w:hint="eastAsia"/>
          <w:color w:val="auto"/>
          <w:szCs w:val="21"/>
          <w:highlight w:val="none"/>
        </w:rPr>
        <w:t>6.1.4本项目评审过程实行全程网上留痕及录音、录像监控，供应商在评审过程中所进行的试图影响评审结果的不公正活动，可能导致其投标按无效处理。</w:t>
      </w:r>
    </w:p>
    <w:bookmarkEnd w:id="63"/>
    <w:p>
      <w:pPr>
        <w:spacing w:before="120" w:line="320" w:lineRule="atLeast"/>
        <w:ind w:firstLine="422" w:firstLineChars="200"/>
        <w:outlineLvl w:val="2"/>
        <w:rPr>
          <w:b/>
          <w:bCs/>
          <w:color w:val="auto"/>
          <w:kern w:val="0"/>
          <w:szCs w:val="21"/>
          <w:highlight w:val="none"/>
        </w:rPr>
      </w:pPr>
      <w:bookmarkStart w:id="64" w:name="_Hlk91324148"/>
      <w:r>
        <w:rPr>
          <w:b/>
          <w:bCs/>
          <w:color w:val="auto"/>
          <w:kern w:val="0"/>
          <w:szCs w:val="21"/>
          <w:highlight w:val="none"/>
        </w:rPr>
        <w:t>6.2</w:t>
      </w:r>
      <w:r>
        <w:rPr>
          <w:rFonts w:hint="eastAsia"/>
          <w:b/>
          <w:bCs/>
          <w:color w:val="auto"/>
          <w:kern w:val="0"/>
          <w:szCs w:val="21"/>
          <w:highlight w:val="none"/>
        </w:rPr>
        <w:t>评审方法及依据</w:t>
      </w:r>
    </w:p>
    <w:p>
      <w:pPr>
        <w:spacing w:before="120" w:line="320" w:lineRule="atLeast"/>
        <w:ind w:firstLine="420" w:firstLineChars="200"/>
        <w:rPr>
          <w:bCs/>
          <w:color w:val="auto"/>
          <w:kern w:val="0"/>
          <w:szCs w:val="21"/>
          <w:highlight w:val="none"/>
        </w:rPr>
      </w:pPr>
      <w:r>
        <w:rPr>
          <w:bCs/>
          <w:color w:val="auto"/>
          <w:kern w:val="0"/>
          <w:szCs w:val="21"/>
          <w:highlight w:val="none"/>
        </w:rPr>
        <w:t>6.2.1</w:t>
      </w:r>
      <w:r>
        <w:rPr>
          <w:rFonts w:hint="eastAsia"/>
          <w:bCs/>
          <w:color w:val="auto"/>
          <w:kern w:val="0"/>
          <w:szCs w:val="21"/>
          <w:highlight w:val="none"/>
        </w:rPr>
        <w:t>本项目采用第四章评审方法及标准规定的方法进行评审。</w:t>
      </w:r>
    </w:p>
    <w:p>
      <w:pPr>
        <w:suppressAutoHyphens/>
        <w:spacing w:before="120" w:line="320" w:lineRule="atLeast"/>
        <w:ind w:firstLine="420" w:firstLineChars="200"/>
        <w:rPr>
          <w:bCs/>
          <w:color w:val="auto"/>
          <w:kern w:val="0"/>
          <w:szCs w:val="21"/>
          <w:highlight w:val="none"/>
        </w:rPr>
      </w:pPr>
      <w:r>
        <w:rPr>
          <w:bCs/>
          <w:color w:val="auto"/>
          <w:kern w:val="0"/>
          <w:szCs w:val="21"/>
          <w:highlight w:val="none"/>
        </w:rPr>
        <w:t>6.2.2</w:t>
      </w:r>
      <w:r>
        <w:rPr>
          <w:rFonts w:hint="eastAsia"/>
          <w:color w:val="auto"/>
          <w:highlight w:val="none"/>
        </w:rPr>
        <w:t>评审委员会</w:t>
      </w:r>
      <w:r>
        <w:rPr>
          <w:color w:val="auto"/>
          <w:highlight w:val="none"/>
        </w:rPr>
        <w:t>以</w:t>
      </w:r>
      <w:r>
        <w:rPr>
          <w:rFonts w:hint="eastAsia"/>
          <w:color w:val="auto"/>
          <w:highlight w:val="none"/>
        </w:rPr>
        <w:t>招标</w:t>
      </w:r>
      <w:r>
        <w:rPr>
          <w:color w:val="auto"/>
          <w:highlight w:val="none"/>
        </w:rPr>
        <w:t>文件、补充文件、</w:t>
      </w:r>
      <w:r>
        <w:rPr>
          <w:rFonts w:hint="eastAsia"/>
          <w:color w:val="auto"/>
          <w:highlight w:val="none"/>
        </w:rPr>
        <w:t>投标</w:t>
      </w:r>
      <w:r>
        <w:rPr>
          <w:color w:val="auto"/>
          <w:highlight w:val="none"/>
        </w:rPr>
        <w:t>文件、澄清及答复为评审依据</w:t>
      </w:r>
      <w:r>
        <w:rPr>
          <w:rFonts w:hint="eastAsia"/>
          <w:color w:val="auto"/>
          <w:highlight w:val="none"/>
        </w:rPr>
        <w:t>，</w:t>
      </w:r>
      <w:r>
        <w:rPr>
          <w:rFonts w:hint="eastAsia"/>
          <w:bCs/>
          <w:color w:val="auto"/>
          <w:kern w:val="0"/>
          <w:szCs w:val="21"/>
          <w:highlight w:val="none"/>
        </w:rPr>
        <w:t>第四章评审方法及标准没有规定的评审方法、标准及因素，不得作为评审依据。</w:t>
      </w:r>
    </w:p>
    <w:bookmarkEnd w:id="64"/>
    <w:p>
      <w:pPr>
        <w:spacing w:before="120" w:line="320" w:lineRule="atLeast"/>
        <w:ind w:firstLine="422" w:firstLineChars="200"/>
        <w:outlineLvl w:val="2"/>
        <w:rPr>
          <w:b/>
          <w:bCs/>
          <w:color w:val="auto"/>
          <w:kern w:val="0"/>
          <w:szCs w:val="21"/>
          <w:highlight w:val="none"/>
        </w:rPr>
      </w:pPr>
      <w:bookmarkStart w:id="65" w:name="_Hlk91324322"/>
      <w:r>
        <w:rPr>
          <w:b/>
          <w:bCs/>
          <w:color w:val="auto"/>
          <w:kern w:val="0"/>
          <w:szCs w:val="21"/>
          <w:highlight w:val="none"/>
        </w:rPr>
        <w:t>6.3评审</w:t>
      </w:r>
      <w:r>
        <w:rPr>
          <w:rFonts w:hint="eastAsia"/>
          <w:b/>
          <w:bCs/>
          <w:color w:val="auto"/>
          <w:kern w:val="0"/>
          <w:szCs w:val="21"/>
          <w:highlight w:val="none"/>
        </w:rPr>
        <w:t>程序</w:t>
      </w:r>
    </w:p>
    <w:p>
      <w:pPr>
        <w:spacing w:before="120" w:line="320" w:lineRule="atLeast"/>
        <w:ind w:firstLine="420" w:firstLineChars="200"/>
        <w:rPr>
          <w:color w:val="auto"/>
          <w:highlight w:val="none"/>
        </w:rPr>
      </w:pPr>
      <w:r>
        <w:rPr>
          <w:color w:val="auto"/>
          <w:highlight w:val="none"/>
        </w:rPr>
        <w:t>6.</w:t>
      </w:r>
      <w:bookmarkStart w:id="66" w:name="_Hlk80956880"/>
      <w:r>
        <w:rPr>
          <w:color w:val="auto"/>
          <w:highlight w:val="none"/>
        </w:rPr>
        <w:t>3.1</w:t>
      </w:r>
      <w:r>
        <w:rPr>
          <w:rFonts w:hint="eastAsia"/>
          <w:color w:val="auto"/>
          <w:highlight w:val="none"/>
        </w:rPr>
        <w:t>符合性审查</w:t>
      </w:r>
    </w:p>
    <w:p>
      <w:pPr>
        <w:spacing w:before="120" w:line="320" w:lineRule="atLeast"/>
        <w:ind w:firstLine="420" w:firstLineChars="200"/>
        <w:rPr>
          <w:color w:val="auto"/>
          <w:szCs w:val="21"/>
          <w:highlight w:val="none"/>
        </w:rPr>
      </w:pPr>
      <w:r>
        <w:rPr>
          <w:bCs/>
          <w:color w:val="auto"/>
          <w:kern w:val="1"/>
          <w:szCs w:val="21"/>
          <w:highlight w:val="none"/>
        </w:rPr>
        <w:t>资格审查结束后，</w:t>
      </w:r>
      <w:r>
        <w:rPr>
          <w:rFonts w:hint="eastAsia" w:hAnsi="宋体"/>
          <w:color w:val="auto"/>
          <w:highlight w:val="none"/>
        </w:rPr>
        <w:t>评审委员会对</w:t>
      </w:r>
      <w:r>
        <w:rPr>
          <w:color w:val="auto"/>
          <w:highlight w:val="none"/>
        </w:rPr>
        <w:t>通过资格审查的供应商</w:t>
      </w:r>
      <w:r>
        <w:rPr>
          <w:rFonts w:hint="eastAsia" w:hAnsi="宋体"/>
          <w:color w:val="auto"/>
          <w:highlight w:val="none"/>
        </w:rPr>
        <w:t>的投标文件报价、商务资信、技术等方面实质性内容进行符合性审查，</w:t>
      </w:r>
      <w:r>
        <w:rPr>
          <w:rFonts w:hint="eastAsia"/>
          <w:color w:val="auto"/>
          <w:szCs w:val="21"/>
          <w:highlight w:val="none"/>
        </w:rPr>
        <w:t>符合性审查标准</w:t>
      </w:r>
      <w:r>
        <w:rPr>
          <w:color w:val="auto"/>
          <w:szCs w:val="21"/>
          <w:highlight w:val="none"/>
        </w:rPr>
        <w:t>详见第四章评审方法及标准。</w:t>
      </w:r>
    </w:p>
    <w:bookmarkEnd w:id="66"/>
    <w:p>
      <w:pPr>
        <w:spacing w:before="120" w:line="320" w:lineRule="atLeast"/>
        <w:ind w:firstLine="420" w:firstLineChars="200"/>
        <w:rPr>
          <w:color w:val="auto"/>
          <w:szCs w:val="21"/>
          <w:highlight w:val="none"/>
        </w:rPr>
      </w:pPr>
      <w:r>
        <w:rPr>
          <w:rFonts w:hint="eastAsia"/>
          <w:color w:val="auto"/>
          <w:szCs w:val="21"/>
          <w:highlight w:val="none"/>
        </w:rPr>
        <w:t>6</w:t>
      </w:r>
      <w:r>
        <w:rPr>
          <w:color w:val="auto"/>
          <w:szCs w:val="21"/>
          <w:highlight w:val="none"/>
        </w:rPr>
        <w:t>.3.2</w:t>
      </w:r>
      <w:r>
        <w:rPr>
          <w:rFonts w:hAnsi="宋体"/>
          <w:color w:val="auto"/>
          <w:highlight w:val="none"/>
        </w:rPr>
        <w:t>强制性</w:t>
      </w:r>
      <w:r>
        <w:rPr>
          <w:color w:val="auto"/>
          <w:szCs w:val="21"/>
          <w:highlight w:val="none"/>
        </w:rPr>
        <w:t>采购要求</w:t>
      </w:r>
      <w:r>
        <w:rPr>
          <w:rFonts w:hint="eastAsia"/>
          <w:color w:val="auto"/>
          <w:szCs w:val="21"/>
          <w:highlight w:val="none"/>
        </w:rPr>
        <w:t>（仅适用于货物采购项目）</w:t>
      </w:r>
    </w:p>
    <w:p>
      <w:pPr>
        <w:suppressAutoHyphens/>
        <w:spacing w:before="120" w:line="320" w:lineRule="atLeast"/>
        <w:ind w:firstLine="422" w:firstLineChars="201"/>
        <w:rPr>
          <w:color w:val="auto"/>
          <w:szCs w:val="21"/>
          <w:highlight w:val="none"/>
        </w:rPr>
      </w:pPr>
      <w:bookmarkStart w:id="67" w:name="_Hlk47714684"/>
      <w:r>
        <w:rPr>
          <w:rFonts w:hint="eastAsia"/>
          <w:color w:val="auto"/>
          <w:szCs w:val="21"/>
          <w:highlight w:val="none"/>
        </w:rPr>
        <w:t>（1）</w:t>
      </w:r>
      <w:bookmarkEnd w:id="67"/>
      <w:r>
        <w:rPr>
          <w:rFonts w:hint="eastAsia"/>
          <w:color w:val="auto"/>
          <w:szCs w:val="21"/>
          <w:highlight w:val="none"/>
        </w:rPr>
        <w:t>根据《财政部 发展改革委 生态环境部 市场监管总局关于调整优化节能产品、环境标志产品政府采购执行机制的通知》（财库〔2019〕9号）和《关于印发节能产品政府采购品目清单的通知》（财库〔2019〕19号）规定，本项目采购需求中的产品属于节能产品政府采购品目清单内标注“★”的，供应商的投标货物必须使用政府强制采购的节能产品，否则投标文件作无效处理；属于品目清单内非标注“★”的产品时，应优先采购。</w:t>
      </w:r>
    </w:p>
    <w:p>
      <w:pPr>
        <w:spacing w:before="120" w:line="276" w:lineRule="auto"/>
        <w:ind w:firstLine="420" w:firstLineChars="200"/>
        <w:rPr>
          <w:color w:val="auto"/>
          <w:szCs w:val="21"/>
          <w:highlight w:val="none"/>
        </w:rPr>
      </w:pPr>
      <w:bookmarkStart w:id="68" w:name="_Hlk138843020"/>
      <w:r>
        <w:rPr>
          <w:rFonts w:hint="eastAsia"/>
          <w:color w:val="auto"/>
          <w:szCs w:val="21"/>
          <w:highlight w:val="none"/>
        </w:rPr>
        <w:t>（2）根据《关于调整网络安全专用产品安全管理有关事项的公告》（2023年1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pPr>
        <w:spacing w:before="120" w:line="276" w:lineRule="auto"/>
        <w:ind w:firstLine="420" w:firstLineChars="200"/>
        <w:rPr>
          <w:color w:val="auto"/>
          <w:szCs w:val="21"/>
          <w:highlight w:val="none"/>
        </w:rPr>
      </w:pPr>
      <w:r>
        <w:rPr>
          <w:rFonts w:hint="eastAsia"/>
          <w:color w:val="auto"/>
          <w:szCs w:val="21"/>
          <w:highlight w:val="none"/>
        </w:rPr>
        <w:t>注：网络安全专用产品在中共中央网络安全和信息化委员会办公室网站上发布的《网络关键设备和网络安全专用产品目录》中查询。</w:t>
      </w:r>
      <w:r>
        <w:rPr>
          <w:color w:val="auto"/>
          <w:szCs w:val="21"/>
          <w:highlight w:val="none"/>
        </w:rPr>
        <w:t xml:space="preserve"> </w:t>
      </w:r>
      <w:r>
        <w:rPr>
          <w:rFonts w:hint="eastAsia"/>
          <w:color w:val="auto"/>
          <w:szCs w:val="21"/>
          <w:highlight w:val="none"/>
        </w:rPr>
        <w:t>目前共1</w:t>
      </w:r>
      <w:r>
        <w:rPr>
          <w:color w:val="auto"/>
          <w:szCs w:val="21"/>
          <w:highlight w:val="none"/>
        </w:rPr>
        <w:t>5</w:t>
      </w:r>
      <w:r>
        <w:rPr>
          <w:rFonts w:hint="eastAsia"/>
          <w:color w:val="auto"/>
          <w:szCs w:val="21"/>
          <w:highlight w:val="none"/>
        </w:rPr>
        <w:t>类：路由器、交换机、服务器（机架式）、可编程逻辑控制器（P</w:t>
      </w:r>
      <w:r>
        <w:rPr>
          <w:color w:val="auto"/>
          <w:szCs w:val="21"/>
          <w:highlight w:val="none"/>
        </w:rPr>
        <w:t>LC</w:t>
      </w:r>
      <w:r>
        <w:rPr>
          <w:rFonts w:hint="eastAsia"/>
          <w:color w:val="auto"/>
          <w:szCs w:val="21"/>
          <w:highlight w:val="none"/>
        </w:rPr>
        <w:t>设备）、数据备份一体机、防火墙（硬件）、WEB应用防火墙（W</w:t>
      </w:r>
      <w:r>
        <w:rPr>
          <w:color w:val="auto"/>
          <w:szCs w:val="21"/>
          <w:highlight w:val="none"/>
        </w:rPr>
        <w:t>AF</w:t>
      </w:r>
      <w:r>
        <w:rPr>
          <w:rFonts w:hint="eastAsia"/>
          <w:color w:val="auto"/>
          <w:szCs w:val="21"/>
          <w:highlight w:val="none"/>
        </w:rPr>
        <w:t>）、入侵检测系统（I</w:t>
      </w:r>
      <w:r>
        <w:rPr>
          <w:color w:val="auto"/>
          <w:szCs w:val="21"/>
          <w:highlight w:val="none"/>
        </w:rPr>
        <w:t>DS</w:t>
      </w:r>
      <w:r>
        <w:rPr>
          <w:rFonts w:hint="eastAsia"/>
          <w:color w:val="auto"/>
          <w:szCs w:val="21"/>
          <w:highlight w:val="none"/>
        </w:rPr>
        <w:t>）、入侵防御系统（</w:t>
      </w:r>
      <w:r>
        <w:rPr>
          <w:color w:val="auto"/>
          <w:szCs w:val="21"/>
          <w:highlight w:val="none"/>
        </w:rPr>
        <w:t>IPS</w:t>
      </w:r>
      <w:r>
        <w:rPr>
          <w:rFonts w:hint="eastAsia"/>
          <w:color w:val="auto"/>
          <w:szCs w:val="21"/>
          <w:highlight w:val="none"/>
        </w:rPr>
        <w:t>）、安全隔离与信息交换产品（网闸）、反垃圾邮件产品、网络综合审计系统、网络脆弱性扫描产品、安全数据库系统、网站恢复产品（硬件）。</w:t>
      </w:r>
    </w:p>
    <w:bookmarkEnd w:id="68"/>
    <w:p>
      <w:pPr>
        <w:spacing w:before="120" w:line="320" w:lineRule="atLeast"/>
        <w:ind w:firstLine="420" w:firstLineChars="200"/>
        <w:rPr>
          <w:color w:val="auto"/>
          <w:highlight w:val="none"/>
        </w:rPr>
      </w:pPr>
      <w:r>
        <w:rPr>
          <w:color w:val="auto"/>
          <w:highlight w:val="none"/>
        </w:rPr>
        <w:t>6.3.3澄清、说明或补正</w:t>
      </w:r>
    </w:p>
    <w:p>
      <w:pPr>
        <w:spacing w:before="120" w:line="320" w:lineRule="atLeast"/>
        <w:ind w:firstLine="420" w:firstLineChars="200"/>
        <w:rPr>
          <w:color w:val="auto"/>
          <w:highlight w:val="none"/>
        </w:rPr>
      </w:pPr>
      <w:r>
        <w:rPr>
          <w:rFonts w:hint="eastAsia"/>
          <w:color w:val="auto"/>
          <w:highlight w:val="none"/>
        </w:rPr>
        <w:t>（1）对投标文件中含义不明确、同类问题表述不一致或者有明显文字和计算错误的内容，评审委员会应在</w:t>
      </w:r>
      <w:r>
        <w:rPr>
          <w:rFonts w:hint="eastAsia"/>
          <w:color w:val="auto"/>
          <w:szCs w:val="21"/>
          <w:highlight w:val="none"/>
        </w:rPr>
        <w:t>广西政府采购云平台</w:t>
      </w:r>
      <w:r>
        <w:rPr>
          <w:rFonts w:hint="eastAsia"/>
          <w:color w:val="auto"/>
          <w:highlight w:val="none"/>
        </w:rPr>
        <w:t>发布电子澄清函，要求供应商在平台设置的时间内作出必要的澄清、说明或者补正。供应商在</w:t>
      </w:r>
      <w:r>
        <w:rPr>
          <w:rFonts w:hint="eastAsia"/>
          <w:color w:val="auto"/>
          <w:szCs w:val="21"/>
          <w:highlight w:val="none"/>
        </w:rPr>
        <w:t>广西政府采购云平台</w:t>
      </w:r>
      <w:r>
        <w:rPr>
          <w:rFonts w:hint="eastAsia"/>
          <w:color w:val="auto"/>
          <w:highlight w:val="none"/>
        </w:rPr>
        <w:t>接收到电子澄清函后根据澄清函内容直接在线编辑或上传PDF格式回函，电子澄清答复函使用CA证书加盖单位电子签章后提交至评审委员会。供应商的澄清、说明或者补正不得超出投标文件的范围或者改变投标文件的实质性内容。供应商未在规定时间内进行澄清、说明或者补正的，按无效投标处理。</w:t>
      </w:r>
    </w:p>
    <w:p>
      <w:pPr>
        <w:spacing w:before="120" w:line="320" w:lineRule="atLeast"/>
        <w:ind w:firstLine="420" w:firstLineChars="200"/>
        <w:rPr>
          <w:color w:val="auto"/>
          <w:highlight w:val="none"/>
        </w:rPr>
      </w:pPr>
      <w:r>
        <w:rPr>
          <w:rFonts w:hint="eastAsia"/>
          <w:color w:val="auto"/>
          <w:highlight w:val="none"/>
        </w:rPr>
        <w:t>（2）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pPr>
        <w:spacing w:before="120" w:line="320" w:lineRule="atLeast"/>
        <w:ind w:firstLine="420" w:firstLineChars="200"/>
        <w:rPr>
          <w:color w:val="auto"/>
          <w:highlight w:val="none"/>
        </w:rPr>
      </w:pPr>
      <w:r>
        <w:rPr>
          <w:color w:val="auto"/>
          <w:highlight w:val="none"/>
        </w:rPr>
        <w:t>6.3.4</w:t>
      </w:r>
      <w:r>
        <w:rPr>
          <w:rFonts w:hint="eastAsia"/>
          <w:color w:val="auto"/>
          <w:highlight w:val="none"/>
        </w:rPr>
        <w:t>报价</w:t>
      </w:r>
      <w:r>
        <w:rPr>
          <w:color w:val="auto"/>
          <w:highlight w:val="none"/>
        </w:rPr>
        <w:t>修正</w:t>
      </w:r>
    </w:p>
    <w:p>
      <w:pPr>
        <w:spacing w:before="120" w:line="320" w:lineRule="atLeast"/>
        <w:ind w:firstLine="420" w:firstLineChars="200"/>
        <w:rPr>
          <w:color w:val="auto"/>
          <w:highlight w:val="none"/>
        </w:rPr>
      </w:pPr>
      <w:r>
        <w:rPr>
          <w:rFonts w:hint="eastAsia"/>
          <w:color w:val="auto"/>
          <w:highlight w:val="none"/>
        </w:rPr>
        <w:t>（1）报价出现前后不一致的，按照下列规定修正：</w:t>
      </w:r>
    </w:p>
    <w:p>
      <w:pPr>
        <w:spacing w:before="120" w:line="320" w:lineRule="atLeast"/>
        <w:ind w:firstLine="420" w:firstLineChars="200"/>
        <w:rPr>
          <w:color w:val="auto"/>
          <w:szCs w:val="21"/>
          <w:highlight w:val="none"/>
        </w:rPr>
      </w:pPr>
      <w:r>
        <w:rPr>
          <w:rFonts w:hint="eastAsia" w:ascii="宋体" w:hAnsi="宋体"/>
          <w:color w:val="auto"/>
          <w:szCs w:val="21"/>
          <w:highlight w:val="none"/>
        </w:rPr>
        <w:t>①</w:t>
      </w:r>
      <w:r>
        <w:rPr>
          <w:color w:val="auto"/>
          <w:szCs w:val="21"/>
          <w:highlight w:val="none"/>
        </w:rPr>
        <w:t>投标文件中开标一览表（报价表）内容与投标文件中相应内容不一致的，以开标一览表（报价表）为准；</w:t>
      </w:r>
    </w:p>
    <w:p>
      <w:pPr>
        <w:spacing w:before="120" w:line="320" w:lineRule="atLeast"/>
        <w:ind w:firstLine="420" w:firstLineChars="200"/>
        <w:rPr>
          <w:color w:val="auto"/>
          <w:szCs w:val="21"/>
          <w:highlight w:val="none"/>
        </w:rPr>
      </w:pPr>
      <w:r>
        <w:rPr>
          <w:rFonts w:ascii="宋体" w:hAnsi="宋体"/>
          <w:color w:val="auto"/>
          <w:szCs w:val="21"/>
          <w:highlight w:val="none"/>
        </w:rPr>
        <w:t>②</w:t>
      </w:r>
      <w:r>
        <w:rPr>
          <w:color w:val="auto"/>
          <w:szCs w:val="21"/>
          <w:highlight w:val="none"/>
        </w:rPr>
        <w:t>大写金额和小写金额不一致的，以大写金额为准；</w:t>
      </w:r>
    </w:p>
    <w:p>
      <w:pPr>
        <w:spacing w:before="120" w:line="320" w:lineRule="atLeast"/>
        <w:ind w:firstLine="420" w:firstLineChars="200"/>
        <w:rPr>
          <w:color w:val="auto"/>
          <w:szCs w:val="21"/>
          <w:highlight w:val="none"/>
        </w:rPr>
      </w:pPr>
      <w:r>
        <w:rPr>
          <w:rFonts w:hint="eastAsia"/>
          <w:color w:val="auto"/>
          <w:szCs w:val="21"/>
          <w:highlight w:val="none"/>
        </w:rPr>
        <w:t>③</w:t>
      </w:r>
      <w:r>
        <w:rPr>
          <w:color w:val="auto"/>
          <w:szCs w:val="21"/>
          <w:highlight w:val="none"/>
        </w:rPr>
        <w:t>单价金额小数点或者百分比有明显错位的，以开标一览表的总价为准，并修改单价；</w:t>
      </w:r>
    </w:p>
    <w:p>
      <w:pPr>
        <w:spacing w:before="120" w:line="320" w:lineRule="atLeast"/>
        <w:ind w:firstLine="420" w:firstLineChars="200"/>
        <w:rPr>
          <w:color w:val="auto"/>
          <w:szCs w:val="21"/>
          <w:highlight w:val="none"/>
        </w:rPr>
      </w:pPr>
      <w:r>
        <w:rPr>
          <w:rFonts w:hint="eastAsia"/>
          <w:color w:val="auto"/>
          <w:szCs w:val="21"/>
          <w:highlight w:val="none"/>
        </w:rPr>
        <w:t>④</w:t>
      </w:r>
      <w:r>
        <w:rPr>
          <w:color w:val="auto"/>
          <w:szCs w:val="21"/>
          <w:highlight w:val="none"/>
        </w:rPr>
        <w:t>总价金额与按单价汇总金额不一致的，以单价金额计算结果为准</w:t>
      </w:r>
      <w:r>
        <w:rPr>
          <w:rFonts w:hint="eastAsia"/>
          <w:color w:val="auto"/>
          <w:szCs w:val="21"/>
          <w:highlight w:val="none"/>
        </w:rPr>
        <w:t>。</w:t>
      </w:r>
    </w:p>
    <w:p>
      <w:pPr>
        <w:spacing w:before="120" w:line="320" w:lineRule="atLeast"/>
        <w:ind w:firstLine="420" w:firstLineChars="200"/>
        <w:rPr>
          <w:color w:val="auto"/>
          <w:szCs w:val="21"/>
          <w:highlight w:val="none"/>
        </w:rPr>
      </w:pPr>
      <w:r>
        <w:rPr>
          <w:rFonts w:hint="eastAsia"/>
          <w:color w:val="auto"/>
          <w:szCs w:val="21"/>
          <w:highlight w:val="none"/>
        </w:rPr>
        <w:t>同时出现两种以上不一致的，按照上述</w:t>
      </w:r>
      <w:r>
        <w:rPr>
          <w:rFonts w:hint="eastAsia" w:ascii="宋体" w:hAnsi="宋体"/>
          <w:color w:val="auto"/>
          <w:szCs w:val="21"/>
          <w:highlight w:val="none"/>
        </w:rPr>
        <w:t>①-</w:t>
      </w:r>
      <w:r>
        <w:rPr>
          <w:rFonts w:hint="eastAsia"/>
          <w:color w:val="auto"/>
          <w:szCs w:val="21"/>
          <w:highlight w:val="none"/>
        </w:rPr>
        <w:t>④顺序修正。修正后的报价按照上述“</w:t>
      </w:r>
      <w:r>
        <w:rPr>
          <w:color w:val="auto"/>
          <w:szCs w:val="21"/>
          <w:highlight w:val="none"/>
        </w:rPr>
        <w:t>6.3.3</w:t>
      </w:r>
      <w:r>
        <w:rPr>
          <w:rFonts w:hint="eastAsia"/>
          <w:color w:val="auto"/>
          <w:szCs w:val="21"/>
          <w:highlight w:val="none"/>
        </w:rPr>
        <w:t>澄清、说明或补正”的规定经供应商确认后产生约束力，供应商不确认的，其投标无效。</w:t>
      </w:r>
    </w:p>
    <w:p>
      <w:pPr>
        <w:spacing w:before="120" w:line="320" w:lineRule="atLeast"/>
        <w:ind w:firstLine="420" w:firstLineChars="200"/>
        <w:rPr>
          <w:color w:val="auto"/>
          <w:szCs w:val="21"/>
          <w:highlight w:val="none"/>
        </w:rPr>
      </w:pPr>
      <w:r>
        <w:rPr>
          <w:rFonts w:hint="eastAsia"/>
          <w:color w:val="auto"/>
          <w:szCs w:val="21"/>
          <w:highlight w:val="none"/>
        </w:rPr>
        <w:t>（</w:t>
      </w:r>
      <w:r>
        <w:rPr>
          <w:color w:val="auto"/>
          <w:szCs w:val="21"/>
          <w:highlight w:val="none"/>
        </w:rPr>
        <w:t>2</w:t>
      </w:r>
      <w:r>
        <w:rPr>
          <w:rFonts w:hint="eastAsia"/>
          <w:color w:val="auto"/>
          <w:szCs w:val="21"/>
          <w:highlight w:val="none"/>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Pr>
          <w:color w:val="auto"/>
          <w:szCs w:val="21"/>
          <w:highlight w:val="none"/>
        </w:rPr>
        <w:t>6.3.3</w:t>
      </w:r>
      <w:r>
        <w:rPr>
          <w:rFonts w:hint="eastAsia"/>
          <w:color w:val="auto"/>
          <w:szCs w:val="21"/>
          <w:highlight w:val="none"/>
        </w:rPr>
        <w:t>澄清、说明或补正”的规定提交。供应商未按规定提交或不能证明其报价合理性的，评审委员会应当将其作为无效投标处理。</w:t>
      </w:r>
    </w:p>
    <w:p>
      <w:pPr>
        <w:spacing w:before="120" w:line="320" w:lineRule="atLeast"/>
        <w:ind w:firstLine="420" w:firstLineChars="200"/>
        <w:rPr>
          <w:color w:val="auto"/>
          <w:szCs w:val="21"/>
          <w:highlight w:val="none"/>
        </w:rPr>
      </w:pPr>
      <w:r>
        <w:rPr>
          <w:rFonts w:hint="eastAsia"/>
          <w:color w:val="auto"/>
          <w:szCs w:val="21"/>
          <w:highlight w:val="none"/>
        </w:rPr>
        <w:t>（</w:t>
      </w:r>
      <w:r>
        <w:rPr>
          <w:color w:val="auto"/>
          <w:szCs w:val="21"/>
          <w:highlight w:val="none"/>
        </w:rPr>
        <w:t>3</w:t>
      </w:r>
      <w:r>
        <w:rPr>
          <w:rFonts w:hint="eastAsia"/>
          <w:color w:val="auto"/>
          <w:szCs w:val="21"/>
          <w:highlight w:val="none"/>
        </w:rPr>
        <w:t>）经供应商确认修正后的报价若超过采购预算金额或者最高限价，其投标文件作无效投标处理。</w:t>
      </w:r>
    </w:p>
    <w:p>
      <w:pPr>
        <w:spacing w:before="120" w:line="320" w:lineRule="atLeast"/>
        <w:ind w:firstLine="420" w:firstLineChars="200"/>
        <w:rPr>
          <w:color w:val="auto"/>
          <w:szCs w:val="21"/>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）经供应产确认修正后的报价作为签订合同的依据，并以此报价计算价格分。</w:t>
      </w:r>
    </w:p>
    <w:p>
      <w:pPr>
        <w:spacing w:before="120" w:line="320" w:lineRule="atLeast"/>
        <w:ind w:firstLine="420" w:firstLineChars="200"/>
        <w:rPr>
          <w:color w:val="auto"/>
          <w:szCs w:val="21"/>
          <w:highlight w:val="none"/>
        </w:rPr>
      </w:pPr>
      <w:r>
        <w:rPr>
          <w:rFonts w:hint="eastAsia"/>
          <w:color w:val="auto"/>
          <w:szCs w:val="21"/>
          <w:highlight w:val="none"/>
        </w:rPr>
        <w:t>6</w:t>
      </w:r>
      <w:r>
        <w:rPr>
          <w:color w:val="auto"/>
          <w:szCs w:val="21"/>
          <w:highlight w:val="none"/>
        </w:rPr>
        <w:t>.3.5</w:t>
      </w:r>
      <w:r>
        <w:rPr>
          <w:rFonts w:hint="eastAsia"/>
          <w:color w:val="auto"/>
          <w:szCs w:val="21"/>
          <w:highlight w:val="none"/>
        </w:rPr>
        <w:t>相同品牌认定（仅适用于货物采购项目）</w:t>
      </w:r>
    </w:p>
    <w:p>
      <w:pPr>
        <w:spacing w:before="120" w:line="320" w:lineRule="atLeast"/>
        <w:ind w:firstLine="420" w:firstLineChars="200"/>
        <w:rPr>
          <w:color w:val="auto"/>
          <w:szCs w:val="21"/>
          <w:highlight w:val="none"/>
        </w:rPr>
      </w:pPr>
      <w:r>
        <w:rPr>
          <w:rFonts w:hint="eastAsia"/>
          <w:color w:val="auto"/>
          <w:szCs w:val="21"/>
          <w:highlight w:val="none"/>
        </w:rPr>
        <w:t>（1）单一产品采购项目，</w:t>
      </w:r>
      <w:r>
        <w:rPr>
          <w:color w:val="auto"/>
          <w:highlight w:val="none"/>
        </w:rPr>
        <w:t>不同供应商提供的产品品牌相同时，</w:t>
      </w:r>
      <w:r>
        <w:rPr>
          <w:rFonts w:hint="eastAsia"/>
          <w:color w:val="auto"/>
          <w:highlight w:val="none"/>
        </w:rPr>
        <w:t>按以下</w:t>
      </w:r>
      <w:r>
        <w:rPr>
          <w:color w:val="auto"/>
          <w:highlight w:val="none"/>
        </w:rPr>
        <w:t>规定</w:t>
      </w:r>
      <w:r>
        <w:rPr>
          <w:rFonts w:hint="eastAsia"/>
          <w:color w:val="auto"/>
          <w:highlight w:val="none"/>
        </w:rPr>
        <w:t>确定</w:t>
      </w:r>
      <w:r>
        <w:rPr>
          <w:bCs/>
          <w:color w:val="auto"/>
          <w:kern w:val="0"/>
          <w:szCs w:val="21"/>
          <w:highlight w:val="none"/>
        </w:rPr>
        <w:t>相同品牌的投标有效性</w:t>
      </w:r>
      <w:r>
        <w:rPr>
          <w:color w:val="auto"/>
          <w:highlight w:val="none"/>
        </w:rPr>
        <w:t>。</w:t>
      </w:r>
    </w:p>
    <w:p>
      <w:pPr>
        <w:spacing w:before="120" w:line="320" w:lineRule="atLeast"/>
        <w:ind w:firstLine="420" w:firstLineChars="200"/>
        <w:rPr>
          <w:color w:val="auto"/>
          <w:szCs w:val="21"/>
          <w:highlight w:val="none"/>
        </w:rPr>
      </w:pPr>
      <w:r>
        <w:rPr>
          <w:rFonts w:hint="eastAsia" w:ascii="宋体" w:hAnsi="宋体"/>
          <w:color w:val="auto"/>
          <w:szCs w:val="21"/>
          <w:highlight w:val="none"/>
        </w:rPr>
        <w:t>①采</w:t>
      </w:r>
      <w:r>
        <w:rPr>
          <w:rFonts w:hint="eastAsia"/>
          <w:color w:val="auto"/>
          <w:szCs w:val="21"/>
          <w:highlight w:val="none"/>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pPr>
        <w:spacing w:before="120" w:line="320" w:lineRule="atLeast"/>
        <w:ind w:firstLine="420" w:firstLineChars="200"/>
        <w:rPr>
          <w:color w:val="auto"/>
          <w:szCs w:val="21"/>
          <w:highlight w:val="none"/>
        </w:rPr>
      </w:pPr>
      <w:r>
        <w:rPr>
          <w:rFonts w:ascii="宋体" w:hAnsi="宋体"/>
          <w:color w:val="auto"/>
          <w:szCs w:val="21"/>
          <w:highlight w:val="none"/>
        </w:rPr>
        <w:t>②</w:t>
      </w:r>
      <w:r>
        <w:rPr>
          <w:rFonts w:hint="eastAsia"/>
          <w:color w:val="auto"/>
          <w:szCs w:val="21"/>
          <w:highlight w:val="none"/>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pPr>
        <w:spacing w:before="120" w:line="320" w:lineRule="atLeast"/>
        <w:ind w:firstLine="420" w:firstLineChars="200"/>
        <w:rPr>
          <w:color w:val="auto"/>
          <w:highlight w:val="none"/>
        </w:rPr>
      </w:pPr>
      <w:r>
        <w:rPr>
          <w:rFonts w:hint="eastAsia"/>
          <w:color w:val="auto"/>
          <w:szCs w:val="21"/>
          <w:highlight w:val="none"/>
        </w:rPr>
        <w:t>（2）非单一产品采购项目，</w:t>
      </w:r>
      <w:r>
        <w:rPr>
          <w:color w:val="auto"/>
          <w:szCs w:val="21"/>
          <w:highlight w:val="none"/>
        </w:rPr>
        <w:t>采购人应当确定核心产品，并在招标文件中载明。</w:t>
      </w:r>
      <w:r>
        <w:rPr>
          <w:rFonts w:hint="eastAsia"/>
          <w:color w:val="auto"/>
          <w:szCs w:val="21"/>
          <w:highlight w:val="none"/>
        </w:rPr>
        <w:t>不同</w:t>
      </w:r>
      <w:r>
        <w:rPr>
          <w:color w:val="auto"/>
          <w:szCs w:val="21"/>
          <w:highlight w:val="none"/>
        </w:rPr>
        <w:t>供应商提供的核心产品品牌相同的，按上述规定处理。核心产品</w:t>
      </w:r>
      <w:r>
        <w:rPr>
          <w:rFonts w:hint="eastAsia"/>
          <w:color w:val="auto"/>
          <w:szCs w:val="21"/>
          <w:highlight w:val="none"/>
        </w:rPr>
        <w:t>在第二章</w:t>
      </w:r>
      <w:r>
        <w:rPr>
          <w:color w:val="auto"/>
          <w:szCs w:val="21"/>
          <w:highlight w:val="none"/>
        </w:rPr>
        <w:t>采购需求规定。</w:t>
      </w:r>
    </w:p>
    <w:p>
      <w:pPr>
        <w:spacing w:before="120" w:line="320" w:lineRule="atLeast"/>
        <w:ind w:firstLine="420" w:firstLineChars="200"/>
        <w:rPr>
          <w:color w:val="auto"/>
          <w:szCs w:val="21"/>
          <w:highlight w:val="none"/>
        </w:rPr>
      </w:pPr>
      <w:r>
        <w:rPr>
          <w:color w:val="auto"/>
          <w:szCs w:val="21"/>
          <w:highlight w:val="none"/>
        </w:rPr>
        <w:t>6.3.6串通投标认定</w:t>
      </w:r>
    </w:p>
    <w:p>
      <w:pPr>
        <w:spacing w:before="120" w:line="320" w:lineRule="atLeast"/>
        <w:ind w:firstLine="420" w:firstLineChars="200"/>
        <w:rPr>
          <w:color w:val="auto"/>
          <w:highlight w:val="none"/>
        </w:rPr>
      </w:pPr>
      <w:r>
        <w:rPr>
          <w:color w:val="auto"/>
          <w:szCs w:val="21"/>
          <w:highlight w:val="none"/>
        </w:rPr>
        <w:t>评审委员会须根据</w:t>
      </w:r>
      <w:r>
        <w:rPr>
          <w:rFonts w:hint="eastAsia"/>
          <w:color w:val="auto"/>
          <w:szCs w:val="21"/>
          <w:highlight w:val="none"/>
        </w:rPr>
        <w:t>以下</w:t>
      </w:r>
      <w:r>
        <w:rPr>
          <w:color w:val="auto"/>
          <w:szCs w:val="21"/>
          <w:highlight w:val="none"/>
        </w:rPr>
        <w:t>规定</w:t>
      </w:r>
      <w:r>
        <w:rPr>
          <w:rFonts w:hint="eastAsia"/>
          <w:color w:val="auto"/>
          <w:szCs w:val="21"/>
          <w:highlight w:val="none"/>
        </w:rPr>
        <w:t>认定</w:t>
      </w:r>
      <w:r>
        <w:rPr>
          <w:color w:val="auto"/>
          <w:szCs w:val="21"/>
          <w:highlight w:val="none"/>
        </w:rPr>
        <w:t>供应商是否有</w:t>
      </w:r>
      <w:r>
        <w:rPr>
          <w:bCs/>
          <w:color w:val="auto"/>
          <w:kern w:val="0"/>
          <w:szCs w:val="21"/>
          <w:highlight w:val="none"/>
        </w:rPr>
        <w:t>串通投标的行为</w:t>
      </w:r>
      <w:r>
        <w:rPr>
          <w:color w:val="auto"/>
          <w:highlight w:val="none"/>
        </w:rPr>
        <w:t>。</w:t>
      </w:r>
    </w:p>
    <w:p>
      <w:pPr>
        <w:spacing w:before="120" w:line="320" w:lineRule="atLeast"/>
        <w:ind w:firstLine="420" w:firstLineChars="200"/>
        <w:rPr>
          <w:color w:val="auto"/>
          <w:szCs w:val="21"/>
          <w:highlight w:val="none"/>
        </w:rPr>
      </w:pPr>
      <w:r>
        <w:rPr>
          <w:rFonts w:hint="eastAsia"/>
          <w:color w:val="auto"/>
          <w:szCs w:val="21"/>
          <w:highlight w:val="none"/>
        </w:rPr>
        <w:t>（1）</w:t>
      </w:r>
      <w:r>
        <w:rPr>
          <w:color w:val="auto"/>
          <w:szCs w:val="21"/>
          <w:highlight w:val="none"/>
        </w:rPr>
        <w:t>根据《关于防治政府采购招标中串通投标行为的通知》</w:t>
      </w:r>
      <w:r>
        <w:rPr>
          <w:rFonts w:hint="eastAsia"/>
          <w:color w:val="auto"/>
          <w:szCs w:val="21"/>
          <w:highlight w:val="none"/>
        </w:rPr>
        <w:t>（</w:t>
      </w:r>
      <w:r>
        <w:rPr>
          <w:color w:val="auto"/>
          <w:szCs w:val="21"/>
          <w:highlight w:val="none"/>
        </w:rPr>
        <w:t>桂财采[2016]42号</w:t>
      </w:r>
      <w:r>
        <w:rPr>
          <w:rFonts w:hint="eastAsia"/>
          <w:color w:val="auto"/>
          <w:szCs w:val="21"/>
          <w:highlight w:val="none"/>
        </w:rPr>
        <w:t>）</w:t>
      </w:r>
      <w:r>
        <w:rPr>
          <w:color w:val="auto"/>
          <w:szCs w:val="21"/>
          <w:highlight w:val="none"/>
        </w:rPr>
        <w:t>规定，出现下述情况的，相关供应商的投标作无效投标处理。</w:t>
      </w:r>
    </w:p>
    <w:p>
      <w:pPr>
        <w:spacing w:before="120" w:line="320" w:lineRule="atLeast"/>
        <w:ind w:firstLine="420" w:firstLineChars="200"/>
        <w:rPr>
          <w:color w:val="auto"/>
          <w:szCs w:val="21"/>
          <w:highlight w:val="none"/>
        </w:rPr>
      </w:pPr>
      <w:r>
        <w:rPr>
          <w:rFonts w:hint="eastAsia" w:ascii="宋体" w:hAnsi="宋体" w:cs="宋体"/>
          <w:color w:val="auto"/>
          <w:szCs w:val="21"/>
          <w:highlight w:val="none"/>
        </w:rPr>
        <w:t>①</w:t>
      </w:r>
      <w:r>
        <w:rPr>
          <w:color w:val="auto"/>
          <w:szCs w:val="21"/>
          <w:highlight w:val="none"/>
        </w:rPr>
        <w:t>单位负责人为同一人或者存在直接控股、管理关系，参加同一合同项下政府采购活动的不同供应商。</w:t>
      </w:r>
    </w:p>
    <w:p>
      <w:pPr>
        <w:spacing w:before="120" w:line="320" w:lineRule="atLeast"/>
        <w:ind w:firstLine="420" w:firstLineChars="200"/>
        <w:rPr>
          <w:color w:val="auto"/>
          <w:szCs w:val="21"/>
          <w:highlight w:val="none"/>
        </w:rPr>
      </w:pPr>
      <w:r>
        <w:rPr>
          <w:rFonts w:hint="eastAsia"/>
          <w:color w:val="auto"/>
          <w:szCs w:val="21"/>
          <w:highlight w:val="none"/>
        </w:rPr>
        <w:t>②</w:t>
      </w:r>
      <w:r>
        <w:rPr>
          <w:color w:val="auto"/>
          <w:szCs w:val="21"/>
          <w:highlight w:val="none"/>
        </w:rPr>
        <w:t>授权给供应商后参加同一合同项（分标、分包）投标的生产厂商。</w:t>
      </w:r>
    </w:p>
    <w:p>
      <w:pPr>
        <w:spacing w:before="120" w:line="320" w:lineRule="atLeast"/>
        <w:ind w:firstLine="420" w:firstLineChars="200"/>
        <w:rPr>
          <w:color w:val="auto"/>
          <w:szCs w:val="21"/>
          <w:highlight w:val="none"/>
        </w:rPr>
      </w:pPr>
      <w:r>
        <w:rPr>
          <w:rFonts w:hint="eastAsia"/>
          <w:color w:val="auto"/>
          <w:szCs w:val="21"/>
          <w:highlight w:val="none"/>
        </w:rPr>
        <w:t>③</w:t>
      </w:r>
      <w:r>
        <w:rPr>
          <w:color w:val="auto"/>
          <w:szCs w:val="21"/>
          <w:highlight w:val="none"/>
        </w:rPr>
        <w:t>视为或被认定为串通投标的相关供应商。</w:t>
      </w:r>
    </w:p>
    <w:p>
      <w:pPr>
        <w:spacing w:before="120" w:line="320" w:lineRule="atLeast"/>
        <w:ind w:firstLine="420" w:firstLineChars="200"/>
        <w:rPr>
          <w:color w:val="auto"/>
          <w:szCs w:val="21"/>
          <w:highlight w:val="none"/>
        </w:rPr>
      </w:pPr>
      <w:r>
        <w:rPr>
          <w:rFonts w:hint="eastAsia"/>
          <w:color w:val="auto"/>
          <w:szCs w:val="21"/>
          <w:highlight w:val="none"/>
        </w:rPr>
        <w:t>（2）</w:t>
      </w:r>
      <w:r>
        <w:rPr>
          <w:color w:val="auto"/>
          <w:szCs w:val="21"/>
          <w:highlight w:val="none"/>
        </w:rPr>
        <w:t>根据《关于防治政府采购招标中串通投标行为的通知》</w:t>
      </w:r>
      <w:r>
        <w:rPr>
          <w:rFonts w:hint="eastAsia"/>
          <w:color w:val="auto"/>
          <w:szCs w:val="21"/>
          <w:highlight w:val="none"/>
        </w:rPr>
        <w:t>（</w:t>
      </w:r>
      <w:r>
        <w:rPr>
          <w:color w:val="auto"/>
          <w:szCs w:val="21"/>
          <w:highlight w:val="none"/>
        </w:rPr>
        <w:t>桂财采[2016]42号</w:t>
      </w:r>
      <w:r>
        <w:rPr>
          <w:rFonts w:hint="eastAsia"/>
          <w:color w:val="auto"/>
          <w:szCs w:val="21"/>
          <w:highlight w:val="none"/>
        </w:rPr>
        <w:t>）</w:t>
      </w:r>
      <w:r>
        <w:rPr>
          <w:color w:val="auto"/>
          <w:szCs w:val="21"/>
          <w:highlight w:val="none"/>
        </w:rPr>
        <w:t>规定，有下列情形之一的视为供应商相互串通投标，投标文件将被视为无效。</w:t>
      </w:r>
    </w:p>
    <w:p>
      <w:pPr>
        <w:spacing w:before="120" w:line="320" w:lineRule="atLeast"/>
        <w:ind w:firstLine="420" w:firstLineChars="200"/>
        <w:rPr>
          <w:color w:val="auto"/>
          <w:szCs w:val="21"/>
          <w:highlight w:val="none"/>
        </w:rPr>
      </w:pPr>
      <w:r>
        <w:rPr>
          <w:rFonts w:hint="eastAsia" w:ascii="宋体" w:hAnsi="宋体" w:cs="宋体"/>
          <w:color w:val="auto"/>
          <w:szCs w:val="21"/>
          <w:highlight w:val="none"/>
        </w:rPr>
        <w:t>①</w:t>
      </w:r>
      <w:r>
        <w:rPr>
          <w:color w:val="auto"/>
          <w:szCs w:val="21"/>
          <w:highlight w:val="none"/>
        </w:rPr>
        <w:t>不同供应商的投标文件由同一单位或者个人编制；或不同供应商报名的IP地址一致的；</w:t>
      </w:r>
    </w:p>
    <w:p>
      <w:pPr>
        <w:spacing w:before="120" w:line="320" w:lineRule="atLeast"/>
        <w:ind w:firstLine="420" w:firstLineChars="200"/>
        <w:rPr>
          <w:color w:val="auto"/>
          <w:szCs w:val="21"/>
          <w:highlight w:val="none"/>
        </w:rPr>
      </w:pPr>
      <w:r>
        <w:rPr>
          <w:rFonts w:hint="eastAsia"/>
          <w:color w:val="auto"/>
          <w:szCs w:val="21"/>
          <w:highlight w:val="none"/>
        </w:rPr>
        <w:t>②</w:t>
      </w:r>
      <w:r>
        <w:rPr>
          <w:color w:val="auto"/>
          <w:szCs w:val="21"/>
          <w:highlight w:val="none"/>
        </w:rPr>
        <w:t>不同供应商委托同一单位或者个人办理投标事宜；</w:t>
      </w:r>
    </w:p>
    <w:p>
      <w:pPr>
        <w:spacing w:before="120" w:line="320" w:lineRule="atLeast"/>
        <w:ind w:firstLine="420" w:firstLineChars="200"/>
        <w:rPr>
          <w:color w:val="auto"/>
          <w:szCs w:val="21"/>
          <w:highlight w:val="none"/>
        </w:rPr>
      </w:pPr>
      <w:r>
        <w:rPr>
          <w:rFonts w:hint="eastAsia"/>
          <w:color w:val="auto"/>
          <w:szCs w:val="21"/>
          <w:highlight w:val="none"/>
        </w:rPr>
        <w:t>③</w:t>
      </w:r>
      <w:r>
        <w:rPr>
          <w:color w:val="auto"/>
          <w:szCs w:val="21"/>
          <w:highlight w:val="none"/>
        </w:rPr>
        <w:t>不同的供应商的投标文件载明的项目管理员为同一个人；</w:t>
      </w:r>
    </w:p>
    <w:p>
      <w:pPr>
        <w:spacing w:before="120" w:line="320" w:lineRule="atLeast"/>
        <w:ind w:firstLine="420" w:firstLineChars="200"/>
        <w:rPr>
          <w:color w:val="auto"/>
          <w:szCs w:val="21"/>
          <w:highlight w:val="none"/>
        </w:rPr>
      </w:pPr>
      <w:r>
        <w:rPr>
          <w:rFonts w:hint="eastAsia"/>
          <w:color w:val="auto"/>
          <w:szCs w:val="21"/>
          <w:highlight w:val="none"/>
        </w:rPr>
        <w:t>④</w:t>
      </w:r>
      <w:r>
        <w:rPr>
          <w:color w:val="auto"/>
          <w:szCs w:val="21"/>
          <w:highlight w:val="none"/>
        </w:rPr>
        <w:t>不同供应商的投标文件异常一致或投标报价呈规律性差异；</w:t>
      </w:r>
    </w:p>
    <w:p>
      <w:pPr>
        <w:spacing w:before="120" w:line="320" w:lineRule="atLeast"/>
        <w:ind w:firstLine="420" w:firstLineChars="200"/>
        <w:rPr>
          <w:color w:val="auto"/>
          <w:szCs w:val="21"/>
          <w:highlight w:val="none"/>
        </w:rPr>
      </w:pPr>
      <w:r>
        <w:rPr>
          <w:rFonts w:hint="eastAsia"/>
          <w:color w:val="auto"/>
          <w:szCs w:val="21"/>
          <w:highlight w:val="none"/>
        </w:rPr>
        <w:t>⑤</w:t>
      </w:r>
      <w:r>
        <w:rPr>
          <w:color w:val="auto"/>
          <w:szCs w:val="21"/>
          <w:highlight w:val="none"/>
        </w:rPr>
        <w:t>不同供应商的投标文件相互混装；</w:t>
      </w:r>
    </w:p>
    <w:p>
      <w:pPr>
        <w:spacing w:before="120" w:line="320" w:lineRule="atLeast"/>
        <w:ind w:firstLine="420" w:firstLineChars="200"/>
        <w:rPr>
          <w:color w:val="auto"/>
          <w:szCs w:val="21"/>
          <w:highlight w:val="none"/>
        </w:rPr>
      </w:pPr>
      <w:r>
        <w:rPr>
          <w:rFonts w:hint="eastAsia"/>
          <w:color w:val="auto"/>
          <w:szCs w:val="21"/>
          <w:highlight w:val="none"/>
        </w:rPr>
        <w:t>⑥</w:t>
      </w:r>
      <w:r>
        <w:rPr>
          <w:color w:val="auto"/>
          <w:szCs w:val="21"/>
          <w:highlight w:val="none"/>
        </w:rPr>
        <w:t>不同供应商的保证金从同一单位或者个人账户转出。</w:t>
      </w:r>
    </w:p>
    <w:p>
      <w:pPr>
        <w:spacing w:before="120" w:line="320" w:lineRule="atLeast"/>
        <w:ind w:firstLine="420" w:firstLineChars="200"/>
        <w:rPr>
          <w:color w:val="auto"/>
          <w:szCs w:val="21"/>
          <w:highlight w:val="none"/>
        </w:rPr>
      </w:pPr>
      <w:r>
        <w:rPr>
          <w:rFonts w:hint="eastAsia"/>
          <w:color w:val="auto"/>
          <w:szCs w:val="21"/>
          <w:highlight w:val="none"/>
        </w:rPr>
        <w:t>（3）</w:t>
      </w:r>
      <w:r>
        <w:rPr>
          <w:color w:val="auto"/>
          <w:szCs w:val="21"/>
          <w:highlight w:val="none"/>
        </w:rPr>
        <w:t>根据《关于防治政府采购招标中串通投标行为的通知》</w:t>
      </w:r>
      <w:r>
        <w:rPr>
          <w:rFonts w:hint="eastAsia"/>
          <w:color w:val="auto"/>
          <w:szCs w:val="21"/>
          <w:highlight w:val="none"/>
        </w:rPr>
        <w:t>（</w:t>
      </w:r>
      <w:r>
        <w:rPr>
          <w:color w:val="auto"/>
          <w:szCs w:val="21"/>
          <w:highlight w:val="none"/>
        </w:rPr>
        <w:t>桂财采[2016]42号</w:t>
      </w:r>
      <w:r>
        <w:rPr>
          <w:rFonts w:hint="eastAsia"/>
          <w:color w:val="auto"/>
          <w:szCs w:val="21"/>
          <w:highlight w:val="none"/>
        </w:rPr>
        <w:t>）</w:t>
      </w:r>
      <w:r>
        <w:rPr>
          <w:color w:val="auto"/>
          <w:szCs w:val="21"/>
          <w:highlight w:val="none"/>
        </w:rPr>
        <w:t>规定，供应商有下列情形之一的，属于恶意串通行为，投标文件将被视为无效。</w:t>
      </w:r>
    </w:p>
    <w:p>
      <w:pPr>
        <w:spacing w:before="120" w:line="320" w:lineRule="atLeast"/>
        <w:ind w:firstLine="420" w:firstLineChars="200"/>
        <w:rPr>
          <w:color w:val="auto"/>
          <w:szCs w:val="21"/>
          <w:highlight w:val="none"/>
        </w:rPr>
      </w:pPr>
      <w:r>
        <w:rPr>
          <w:rFonts w:hint="eastAsia"/>
          <w:color w:val="auto"/>
          <w:szCs w:val="21"/>
          <w:highlight w:val="none"/>
        </w:rPr>
        <w:t>①</w:t>
      </w:r>
      <w:r>
        <w:rPr>
          <w:color w:val="auto"/>
          <w:szCs w:val="21"/>
          <w:highlight w:val="none"/>
        </w:rPr>
        <w:t>供应商直接或者间接从采购人或者采购代理机构处获得其他供应商的相关信息并修改其投标文件或者响应文件；</w:t>
      </w:r>
    </w:p>
    <w:p>
      <w:pPr>
        <w:spacing w:before="120" w:line="320" w:lineRule="atLeast"/>
        <w:ind w:firstLine="420" w:firstLineChars="200"/>
        <w:rPr>
          <w:color w:val="auto"/>
          <w:szCs w:val="21"/>
          <w:highlight w:val="none"/>
        </w:rPr>
      </w:pPr>
      <w:r>
        <w:rPr>
          <w:rFonts w:hint="eastAsia"/>
          <w:color w:val="auto"/>
          <w:szCs w:val="21"/>
          <w:highlight w:val="none"/>
        </w:rPr>
        <w:t>②</w:t>
      </w:r>
      <w:r>
        <w:rPr>
          <w:color w:val="auto"/>
          <w:szCs w:val="21"/>
          <w:highlight w:val="none"/>
        </w:rPr>
        <w:t>供应商按照采购人或者采购代理机构的授意撤换、修改投标文件或者响应文件;；</w:t>
      </w:r>
    </w:p>
    <w:p>
      <w:pPr>
        <w:spacing w:before="120" w:line="320" w:lineRule="atLeast"/>
        <w:ind w:firstLine="420" w:firstLineChars="200"/>
        <w:rPr>
          <w:color w:val="auto"/>
          <w:szCs w:val="21"/>
          <w:highlight w:val="none"/>
        </w:rPr>
      </w:pPr>
      <w:r>
        <w:rPr>
          <w:rFonts w:hint="eastAsia"/>
          <w:color w:val="auto"/>
          <w:szCs w:val="21"/>
          <w:highlight w:val="none"/>
        </w:rPr>
        <w:t>③</w:t>
      </w:r>
      <w:r>
        <w:rPr>
          <w:color w:val="auto"/>
          <w:szCs w:val="21"/>
          <w:highlight w:val="none"/>
        </w:rPr>
        <w:t>供应商之间协商报价、技术方案等投标文件或者响应文件的实质性内容；</w:t>
      </w:r>
    </w:p>
    <w:p>
      <w:pPr>
        <w:spacing w:before="120" w:line="320" w:lineRule="atLeast"/>
        <w:ind w:firstLine="420" w:firstLineChars="200"/>
        <w:rPr>
          <w:color w:val="auto"/>
          <w:szCs w:val="21"/>
          <w:highlight w:val="none"/>
        </w:rPr>
      </w:pPr>
      <w:r>
        <w:rPr>
          <w:rFonts w:hint="eastAsia"/>
          <w:color w:val="auto"/>
          <w:szCs w:val="21"/>
          <w:highlight w:val="none"/>
        </w:rPr>
        <w:t>④</w:t>
      </w:r>
      <w:r>
        <w:rPr>
          <w:color w:val="auto"/>
          <w:szCs w:val="21"/>
          <w:highlight w:val="none"/>
        </w:rPr>
        <w:t>属于同一集团、协会、商会等组织成员的供应商按照该组织要求协同参加政府采购活动；</w:t>
      </w:r>
    </w:p>
    <w:p>
      <w:pPr>
        <w:spacing w:before="120" w:line="320" w:lineRule="atLeast"/>
        <w:ind w:firstLine="420" w:firstLineChars="200"/>
        <w:rPr>
          <w:color w:val="auto"/>
          <w:szCs w:val="21"/>
          <w:highlight w:val="none"/>
        </w:rPr>
      </w:pPr>
      <w:r>
        <w:rPr>
          <w:rFonts w:hint="eastAsia"/>
          <w:color w:val="auto"/>
          <w:szCs w:val="21"/>
          <w:highlight w:val="none"/>
        </w:rPr>
        <w:t>⑤</w:t>
      </w:r>
      <w:r>
        <w:rPr>
          <w:color w:val="auto"/>
          <w:szCs w:val="21"/>
          <w:highlight w:val="none"/>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color w:val="auto"/>
          <w:szCs w:val="21"/>
          <w:highlight w:val="none"/>
        </w:rPr>
      </w:pPr>
      <w:r>
        <w:rPr>
          <w:rFonts w:hint="eastAsia"/>
          <w:color w:val="auto"/>
          <w:szCs w:val="21"/>
          <w:highlight w:val="none"/>
        </w:rPr>
        <w:t>⑥</w:t>
      </w:r>
      <w:r>
        <w:rPr>
          <w:color w:val="auto"/>
          <w:szCs w:val="21"/>
          <w:highlight w:val="none"/>
        </w:rPr>
        <w:t>供应商之间商定部分供应商放弃参加政府采购活动或者放弃中标；</w:t>
      </w:r>
    </w:p>
    <w:p>
      <w:pPr>
        <w:spacing w:before="120" w:line="320" w:lineRule="atLeast"/>
        <w:ind w:firstLine="420" w:firstLineChars="200"/>
        <w:rPr>
          <w:color w:val="auto"/>
          <w:szCs w:val="21"/>
          <w:highlight w:val="none"/>
        </w:rPr>
      </w:pPr>
      <w:r>
        <w:rPr>
          <w:rFonts w:hint="eastAsia"/>
          <w:color w:val="auto"/>
          <w:szCs w:val="21"/>
          <w:highlight w:val="none"/>
        </w:rPr>
        <w:t>⑦</w:t>
      </w:r>
      <w:r>
        <w:rPr>
          <w:color w:val="auto"/>
          <w:szCs w:val="21"/>
          <w:highlight w:val="none"/>
        </w:rPr>
        <w:t>供应商与采购人或者采购代理机构之间、供应商相互之间，为谋求特定供应商中标或者排斥其他供应商的其他串通行为。</w:t>
      </w:r>
    </w:p>
    <w:p>
      <w:pPr>
        <w:spacing w:before="120" w:line="320" w:lineRule="atLeast"/>
        <w:ind w:firstLine="420" w:firstLineChars="200"/>
        <w:rPr>
          <w:color w:val="auto"/>
          <w:szCs w:val="21"/>
          <w:highlight w:val="none"/>
        </w:rPr>
      </w:pPr>
      <w:r>
        <w:rPr>
          <w:color w:val="auto"/>
          <w:szCs w:val="21"/>
          <w:highlight w:val="none"/>
        </w:rPr>
        <w:t>6.3.7投标</w:t>
      </w:r>
      <w:r>
        <w:rPr>
          <w:rFonts w:hint="eastAsia"/>
          <w:color w:val="auto"/>
          <w:szCs w:val="21"/>
          <w:highlight w:val="none"/>
        </w:rPr>
        <w:t>无效</w:t>
      </w:r>
      <w:r>
        <w:rPr>
          <w:color w:val="auto"/>
          <w:szCs w:val="21"/>
          <w:highlight w:val="none"/>
        </w:rPr>
        <w:t>认定</w:t>
      </w:r>
    </w:p>
    <w:p>
      <w:pPr>
        <w:spacing w:before="120" w:line="320" w:lineRule="atLeast"/>
        <w:ind w:firstLine="420" w:firstLineChars="200"/>
        <w:rPr>
          <w:color w:val="auto"/>
          <w:szCs w:val="21"/>
          <w:highlight w:val="none"/>
        </w:rPr>
      </w:pPr>
      <w:r>
        <w:rPr>
          <w:rFonts w:hint="eastAsia"/>
          <w:color w:val="auto"/>
          <w:szCs w:val="21"/>
          <w:highlight w:val="none"/>
        </w:rPr>
        <w:t>（</w:t>
      </w:r>
      <w:r>
        <w:rPr>
          <w:color w:val="auto"/>
          <w:szCs w:val="21"/>
          <w:highlight w:val="none"/>
        </w:rPr>
        <w:t>1）在</w:t>
      </w:r>
      <w:r>
        <w:rPr>
          <w:rFonts w:hint="eastAsia"/>
          <w:color w:val="auto"/>
          <w:szCs w:val="21"/>
          <w:highlight w:val="none"/>
        </w:rPr>
        <w:t>评审过程中</w:t>
      </w:r>
      <w:r>
        <w:rPr>
          <w:color w:val="auto"/>
          <w:szCs w:val="21"/>
          <w:highlight w:val="none"/>
        </w:rPr>
        <w:t>如发现下列情形之一的，投标文件将被视为无效：</w:t>
      </w:r>
    </w:p>
    <w:p>
      <w:pPr>
        <w:spacing w:before="120" w:line="320" w:lineRule="atLeast"/>
        <w:ind w:firstLine="420" w:firstLineChars="200"/>
        <w:rPr>
          <w:color w:val="auto"/>
          <w:highlight w:val="none"/>
        </w:rPr>
      </w:pPr>
      <w:r>
        <w:rPr>
          <w:rFonts w:hint="eastAsia"/>
          <w:color w:val="auto"/>
          <w:szCs w:val="21"/>
          <w:highlight w:val="none"/>
        </w:rPr>
        <w:t>①</w:t>
      </w:r>
      <w:r>
        <w:rPr>
          <w:color w:val="auto"/>
          <w:szCs w:val="21"/>
          <w:highlight w:val="none"/>
        </w:rPr>
        <w:t>投标文件</w:t>
      </w:r>
      <w:r>
        <w:rPr>
          <w:rFonts w:hint="eastAsia"/>
          <w:color w:val="auto"/>
          <w:szCs w:val="21"/>
          <w:highlight w:val="none"/>
        </w:rPr>
        <w:t>存在法律、法规及监督部门有关文件规定的无效情形</w:t>
      </w:r>
      <w:r>
        <w:rPr>
          <w:color w:val="auto"/>
          <w:szCs w:val="21"/>
          <w:highlight w:val="none"/>
        </w:rPr>
        <w:t>。</w:t>
      </w:r>
    </w:p>
    <w:p>
      <w:pPr>
        <w:spacing w:before="120" w:line="320" w:lineRule="atLeast"/>
        <w:ind w:firstLine="420" w:firstLineChars="200"/>
        <w:rPr>
          <w:color w:val="auto"/>
          <w:szCs w:val="21"/>
          <w:highlight w:val="none"/>
        </w:rPr>
      </w:pPr>
      <w:r>
        <w:rPr>
          <w:rFonts w:hint="eastAsia"/>
          <w:color w:val="auto"/>
          <w:szCs w:val="21"/>
          <w:highlight w:val="none"/>
        </w:rPr>
        <w:t>②</w:t>
      </w:r>
      <w:r>
        <w:rPr>
          <w:color w:val="auto"/>
          <w:szCs w:val="21"/>
          <w:highlight w:val="none"/>
        </w:rPr>
        <w:t>投标文件</w:t>
      </w:r>
      <w:r>
        <w:rPr>
          <w:rFonts w:hint="eastAsia"/>
          <w:color w:val="auto"/>
          <w:szCs w:val="21"/>
          <w:highlight w:val="none"/>
        </w:rPr>
        <w:t>存在招标文件规定的无效情形。</w:t>
      </w:r>
    </w:p>
    <w:p>
      <w:pPr>
        <w:spacing w:before="120" w:line="320" w:lineRule="atLeast"/>
        <w:ind w:firstLine="420" w:firstLineChars="200"/>
        <w:rPr>
          <w:color w:val="auto"/>
          <w:szCs w:val="21"/>
          <w:highlight w:val="none"/>
        </w:rPr>
      </w:pPr>
      <w:r>
        <w:rPr>
          <w:rFonts w:hint="eastAsia"/>
          <w:color w:val="auto"/>
          <w:szCs w:val="21"/>
          <w:highlight w:val="none"/>
        </w:rPr>
        <w:t>（2）根据</w:t>
      </w:r>
      <w:r>
        <w:rPr>
          <w:color w:val="auto"/>
          <w:szCs w:val="21"/>
          <w:highlight w:val="none"/>
        </w:rPr>
        <w:t>财库</w:t>
      </w:r>
      <w:r>
        <w:rPr>
          <w:rFonts w:hint="eastAsia"/>
          <w:color w:val="auto"/>
          <w:szCs w:val="21"/>
          <w:highlight w:val="none"/>
        </w:rPr>
        <w:t>《</w:t>
      </w:r>
      <w:r>
        <w:rPr>
          <w:color w:val="auto"/>
          <w:szCs w:val="21"/>
          <w:highlight w:val="none"/>
        </w:rPr>
        <w:t>关于促进政府采购公平竞争优化营商环境的通知</w:t>
      </w:r>
      <w:r>
        <w:rPr>
          <w:rFonts w:hint="eastAsia"/>
          <w:color w:val="auto"/>
          <w:szCs w:val="21"/>
          <w:highlight w:val="none"/>
        </w:rPr>
        <w:t>》（</w:t>
      </w:r>
      <w:r>
        <w:rPr>
          <w:color w:val="auto"/>
          <w:szCs w:val="21"/>
          <w:highlight w:val="none"/>
        </w:rPr>
        <w:t>〔2019〕38号</w:t>
      </w:r>
      <w:r>
        <w:rPr>
          <w:rFonts w:hint="eastAsia"/>
          <w:color w:val="auto"/>
          <w:szCs w:val="21"/>
          <w:highlight w:val="none"/>
        </w:rPr>
        <w:t>）以及《广西壮族自治区财政厅转发财政部关于促进政府采购公平竞争优化营商环境的通知》（桂财采〔2019〕41号）规定，评审委员会不得因装订、纸张、文件排序等非实质性的格式、形式问题认定投标无效或否决投标，从而限制和影响供应商投标（响应）。</w:t>
      </w:r>
    </w:p>
    <w:p>
      <w:pPr>
        <w:spacing w:before="120" w:line="320" w:lineRule="atLeast"/>
        <w:ind w:firstLine="420" w:firstLineChars="200"/>
        <w:rPr>
          <w:color w:val="auto"/>
          <w:szCs w:val="21"/>
          <w:highlight w:val="none"/>
        </w:rPr>
      </w:pPr>
      <w:r>
        <w:rPr>
          <w:color w:val="auto"/>
          <w:szCs w:val="21"/>
          <w:highlight w:val="none"/>
        </w:rPr>
        <w:t>6.3.8比较与评价</w:t>
      </w:r>
    </w:p>
    <w:p>
      <w:pPr>
        <w:spacing w:before="120" w:line="320" w:lineRule="atLeast"/>
        <w:ind w:firstLine="420" w:firstLineChars="200"/>
        <w:rPr>
          <w:color w:val="auto"/>
          <w:szCs w:val="21"/>
          <w:highlight w:val="none"/>
        </w:rPr>
      </w:pPr>
      <w:r>
        <w:rPr>
          <w:rFonts w:hint="eastAsia"/>
          <w:color w:val="auto"/>
          <w:szCs w:val="21"/>
          <w:highlight w:val="none"/>
        </w:rPr>
        <w:t>（1）评审委员会</w:t>
      </w:r>
      <w:r>
        <w:rPr>
          <w:color w:val="auto"/>
          <w:szCs w:val="21"/>
          <w:highlight w:val="none"/>
        </w:rPr>
        <w:t>按招标文件中规定的评审方法和标准，对符合性审查合格的投标文件进行综合比较与评价。</w:t>
      </w:r>
    </w:p>
    <w:p>
      <w:pPr>
        <w:spacing w:before="120" w:line="320" w:lineRule="atLeast"/>
        <w:ind w:firstLine="420" w:firstLineChars="200"/>
        <w:rPr>
          <w:color w:val="auto"/>
          <w:szCs w:val="21"/>
          <w:highlight w:val="none"/>
        </w:rPr>
      </w:pPr>
      <w:r>
        <w:rPr>
          <w:rFonts w:hint="eastAsia"/>
          <w:color w:val="auto"/>
          <w:szCs w:val="21"/>
          <w:highlight w:val="none"/>
        </w:rPr>
        <w:t>（2）</w:t>
      </w:r>
      <w:r>
        <w:rPr>
          <w:color w:val="auto"/>
          <w:szCs w:val="21"/>
          <w:highlight w:val="none"/>
        </w:rPr>
        <w:t>评审委员会各成员独立对每个有效供应商的投标文件进行评价</w:t>
      </w:r>
      <w:r>
        <w:rPr>
          <w:rFonts w:hint="eastAsia"/>
          <w:color w:val="auto"/>
          <w:szCs w:val="21"/>
          <w:highlight w:val="none"/>
        </w:rPr>
        <w:t>。评价</w:t>
      </w:r>
      <w:r>
        <w:rPr>
          <w:color w:val="auto"/>
          <w:szCs w:val="21"/>
          <w:highlight w:val="none"/>
        </w:rPr>
        <w:t>有误的应及时进行修正。评</w:t>
      </w:r>
      <w:r>
        <w:rPr>
          <w:rFonts w:hint="eastAsia"/>
          <w:color w:val="auto"/>
          <w:szCs w:val="21"/>
          <w:highlight w:val="none"/>
        </w:rPr>
        <w:t>分</w:t>
      </w:r>
      <w:r>
        <w:rPr>
          <w:color w:val="auto"/>
          <w:szCs w:val="21"/>
          <w:highlight w:val="none"/>
        </w:rPr>
        <w:t>标准如有客观分定义，评审委员会所有成员的客观分</w:t>
      </w:r>
      <w:r>
        <w:rPr>
          <w:rFonts w:hint="eastAsia"/>
          <w:color w:val="auto"/>
          <w:szCs w:val="21"/>
          <w:highlight w:val="none"/>
        </w:rPr>
        <w:t>评分分值</w:t>
      </w:r>
      <w:r>
        <w:rPr>
          <w:color w:val="auto"/>
          <w:szCs w:val="21"/>
          <w:highlight w:val="none"/>
        </w:rPr>
        <w:t>应当一致。</w:t>
      </w:r>
    </w:p>
    <w:p>
      <w:pPr>
        <w:spacing w:before="120" w:line="320" w:lineRule="atLeast"/>
        <w:ind w:firstLine="420" w:firstLineChars="200"/>
        <w:rPr>
          <w:color w:val="auto"/>
          <w:szCs w:val="21"/>
          <w:highlight w:val="none"/>
        </w:rPr>
      </w:pPr>
      <w:r>
        <w:rPr>
          <w:rFonts w:hint="eastAsia"/>
          <w:color w:val="auto"/>
          <w:szCs w:val="21"/>
          <w:highlight w:val="none"/>
        </w:rPr>
        <w:t>（3）评审委员会</w:t>
      </w:r>
      <w:r>
        <w:rPr>
          <w:color w:val="auto"/>
          <w:szCs w:val="21"/>
          <w:highlight w:val="none"/>
        </w:rPr>
        <w:t>按</w:t>
      </w:r>
      <w:r>
        <w:rPr>
          <w:rFonts w:hint="eastAsia"/>
          <w:color w:val="auto"/>
          <w:szCs w:val="21"/>
          <w:highlight w:val="none"/>
        </w:rPr>
        <w:t>综合评</w:t>
      </w:r>
      <w:r>
        <w:rPr>
          <w:color w:val="auto"/>
          <w:szCs w:val="21"/>
          <w:highlight w:val="none"/>
        </w:rPr>
        <w:t>分由高到低的排列顺序推荐中标候选人</w:t>
      </w:r>
      <w:r>
        <w:rPr>
          <w:rFonts w:hint="eastAsia"/>
          <w:color w:val="auto"/>
          <w:szCs w:val="21"/>
          <w:highlight w:val="none"/>
        </w:rPr>
        <w:t>，中标候选人最多不超过3名。</w:t>
      </w:r>
      <w:r>
        <w:rPr>
          <w:color w:val="auto"/>
          <w:szCs w:val="21"/>
          <w:highlight w:val="none"/>
        </w:rPr>
        <w:t>若中标候选人综合</w:t>
      </w:r>
      <w:r>
        <w:rPr>
          <w:rFonts w:hint="eastAsia"/>
          <w:color w:val="auto"/>
          <w:szCs w:val="21"/>
          <w:highlight w:val="none"/>
        </w:rPr>
        <w:t>评</w:t>
      </w:r>
      <w:r>
        <w:rPr>
          <w:color w:val="auto"/>
          <w:szCs w:val="21"/>
          <w:highlight w:val="none"/>
        </w:rPr>
        <w:t>分相同的，按投标报价由低到高顺序排列；综合</w:t>
      </w:r>
      <w:r>
        <w:rPr>
          <w:rFonts w:hint="eastAsia"/>
          <w:color w:val="auto"/>
          <w:szCs w:val="21"/>
          <w:highlight w:val="none"/>
        </w:rPr>
        <w:t>评</w:t>
      </w:r>
      <w:r>
        <w:rPr>
          <w:color w:val="auto"/>
          <w:szCs w:val="21"/>
          <w:highlight w:val="none"/>
        </w:rPr>
        <w:t>分且投标报价相同的</w:t>
      </w:r>
      <w:r>
        <w:rPr>
          <w:color w:val="auto"/>
          <w:highlight w:val="none"/>
        </w:rPr>
        <w:t>并列</w:t>
      </w:r>
      <w:r>
        <w:rPr>
          <w:color w:val="auto"/>
          <w:szCs w:val="21"/>
          <w:highlight w:val="none"/>
        </w:rPr>
        <w:t>；中标候选人并列的，按技术部分得分由高到低顺序排列，若综合评分、投标报价、技术部分均相同的，按商务部分得分由高到低顺序排列</w:t>
      </w:r>
      <w:r>
        <w:rPr>
          <w:rFonts w:hint="eastAsia"/>
          <w:color w:val="auto"/>
          <w:szCs w:val="21"/>
          <w:highlight w:val="none"/>
        </w:rPr>
        <w:t>。</w:t>
      </w:r>
    </w:p>
    <w:p>
      <w:pPr>
        <w:spacing w:before="120" w:line="320" w:lineRule="atLeast"/>
        <w:ind w:firstLine="420" w:firstLineChars="200"/>
        <w:rPr>
          <w:color w:val="auto"/>
          <w:highlight w:val="none"/>
        </w:rPr>
      </w:pPr>
      <w:r>
        <w:rPr>
          <w:rFonts w:hint="eastAsia"/>
          <w:color w:val="auto"/>
          <w:szCs w:val="21"/>
          <w:highlight w:val="none"/>
        </w:rPr>
        <w:t>（</w:t>
      </w:r>
      <w:r>
        <w:rPr>
          <w:color w:val="auto"/>
          <w:szCs w:val="21"/>
          <w:highlight w:val="none"/>
        </w:rPr>
        <w:t>4</w:t>
      </w:r>
      <w:r>
        <w:rPr>
          <w:rFonts w:hint="eastAsia"/>
          <w:color w:val="auto"/>
          <w:szCs w:val="21"/>
          <w:highlight w:val="none"/>
        </w:rPr>
        <w:t>）评审委员会根据评审记录及评审结果编写评审报告，评审委员会成员均应当在评审报告上签字，对自己的评审意见承担法律责任。</w:t>
      </w:r>
      <w:r>
        <w:rPr>
          <w:color w:val="auto"/>
          <w:highlight w:val="none"/>
        </w:rPr>
        <w:t>评审报告签署前，经复核发现存在以</w:t>
      </w:r>
      <w:r>
        <w:rPr>
          <w:rFonts w:hint="eastAsia"/>
          <w:color w:val="auto"/>
          <w:highlight w:val="none"/>
        </w:rPr>
        <w:t>下</w:t>
      </w:r>
      <w:r>
        <w:rPr>
          <w:color w:val="auto"/>
          <w:highlight w:val="none"/>
        </w:rPr>
        <w:t>情形之一的，评审委员会应当当场修改评审结果，并在评审报告中记载；评审报告签署后，采购人或者采购代理机构发现存在以</w:t>
      </w:r>
      <w:r>
        <w:rPr>
          <w:rFonts w:hint="eastAsia"/>
          <w:color w:val="auto"/>
          <w:highlight w:val="none"/>
        </w:rPr>
        <w:t>下</w:t>
      </w:r>
      <w:r>
        <w:rPr>
          <w:color w:val="auto"/>
          <w:highlight w:val="none"/>
        </w:rPr>
        <w:t>情形之一的，应当组织原评审委员会进行重新评审。</w:t>
      </w:r>
    </w:p>
    <w:p>
      <w:pPr>
        <w:spacing w:before="120" w:line="320" w:lineRule="atLeast"/>
        <w:ind w:firstLine="420" w:firstLineChars="200"/>
        <w:rPr>
          <w:color w:val="auto"/>
          <w:highlight w:val="none"/>
        </w:rPr>
      </w:pPr>
      <w:r>
        <w:rPr>
          <w:color w:val="auto"/>
          <w:highlight w:val="none"/>
        </w:rPr>
        <w:t>分值汇总计算错误的；分项评分超出评分标准范围的；评审委员会成员对客观评审因素评分不一致的；经评审委员会认定评分畸高、畸低的。</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6.4确定中标人</w:t>
      </w:r>
    </w:p>
    <w:p>
      <w:pPr>
        <w:spacing w:before="120" w:line="276" w:lineRule="auto"/>
        <w:ind w:firstLine="420" w:firstLineChars="200"/>
        <w:rPr>
          <w:color w:val="auto"/>
          <w:szCs w:val="21"/>
          <w:highlight w:val="none"/>
        </w:rPr>
      </w:pPr>
      <w:r>
        <w:rPr>
          <w:rFonts w:hint="eastAsia"/>
          <w:color w:val="auto"/>
          <w:szCs w:val="21"/>
          <w:highlight w:val="none"/>
        </w:rPr>
        <w:t>6.4</w:t>
      </w:r>
      <w:r>
        <w:rPr>
          <w:color w:val="auto"/>
          <w:szCs w:val="21"/>
          <w:highlight w:val="none"/>
        </w:rPr>
        <w:t>.1采购代理机构在评审结束后2个工作日内将评审报告送采购人，采购人在5个工作日内按照评审报告中推荐的中标候选</w:t>
      </w:r>
      <w:r>
        <w:rPr>
          <w:rFonts w:hint="eastAsia"/>
          <w:color w:val="auto"/>
          <w:szCs w:val="21"/>
          <w:highlight w:val="none"/>
        </w:rPr>
        <w:t>人</w:t>
      </w:r>
      <w:r>
        <w:rPr>
          <w:color w:val="auto"/>
          <w:szCs w:val="21"/>
          <w:highlight w:val="none"/>
        </w:rPr>
        <w:t>顺序确定中标人。</w:t>
      </w:r>
      <w:r>
        <w:rPr>
          <w:rFonts w:hint="eastAsia"/>
          <w:color w:val="auto"/>
          <w:szCs w:val="21"/>
          <w:highlight w:val="none"/>
        </w:rPr>
        <w:t>中标候选人并列的，由采购人或者采购人委托评标委员会按照招标文件规定的方式确定中标人；招标文件未规定的，采取随机抽取的方式确定。</w:t>
      </w:r>
    </w:p>
    <w:p>
      <w:pPr>
        <w:spacing w:before="120" w:line="276" w:lineRule="auto"/>
        <w:ind w:firstLine="420" w:firstLineChars="200"/>
        <w:rPr>
          <w:color w:val="auto"/>
          <w:szCs w:val="21"/>
          <w:highlight w:val="none"/>
        </w:rPr>
      </w:pPr>
      <w:r>
        <w:rPr>
          <w:color w:val="auto"/>
          <w:szCs w:val="21"/>
          <w:highlight w:val="none"/>
        </w:rPr>
        <w:t>6.4.2</w:t>
      </w:r>
      <w:r>
        <w:rPr>
          <w:rFonts w:hint="eastAsia"/>
          <w:color w:val="auto"/>
          <w:szCs w:val="21"/>
          <w:highlight w:val="none"/>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6.5</w:t>
      </w:r>
      <w:r>
        <w:rPr>
          <w:rFonts w:hint="eastAsia"/>
          <w:b/>
          <w:bCs/>
          <w:color w:val="auto"/>
          <w:kern w:val="0"/>
          <w:szCs w:val="21"/>
          <w:highlight w:val="none"/>
        </w:rPr>
        <w:t>结果公告</w:t>
      </w:r>
    </w:p>
    <w:p>
      <w:pPr>
        <w:spacing w:before="120" w:line="320" w:lineRule="atLeast"/>
        <w:ind w:firstLine="420" w:firstLineChars="200"/>
        <w:rPr>
          <w:color w:val="auto"/>
          <w:szCs w:val="21"/>
          <w:highlight w:val="none"/>
        </w:rPr>
      </w:pPr>
      <w:r>
        <w:rPr>
          <w:rFonts w:hint="eastAsia"/>
          <w:color w:val="auto"/>
          <w:szCs w:val="21"/>
          <w:highlight w:val="none"/>
        </w:rPr>
        <w:t>6</w:t>
      </w:r>
      <w:r>
        <w:rPr>
          <w:color w:val="auto"/>
          <w:szCs w:val="21"/>
          <w:highlight w:val="none"/>
        </w:rPr>
        <w:t>.5.1自中标人确定后2个工作日内，采购代理机构</w:t>
      </w:r>
      <w:r>
        <w:rPr>
          <w:rFonts w:hint="eastAsia"/>
          <w:color w:val="auto"/>
          <w:szCs w:val="21"/>
          <w:highlight w:val="none"/>
        </w:rPr>
        <w:t>按照供应商须知</w:t>
      </w:r>
      <w:r>
        <w:rPr>
          <w:rFonts w:hint="eastAsia"/>
          <w:color w:val="auto"/>
          <w:kern w:val="0"/>
          <w:szCs w:val="21"/>
          <w:highlight w:val="none"/>
        </w:rPr>
        <w:t>前附表的规定</w:t>
      </w:r>
      <w:r>
        <w:rPr>
          <w:color w:val="auto"/>
          <w:kern w:val="0"/>
          <w:szCs w:val="21"/>
          <w:highlight w:val="none"/>
        </w:rPr>
        <w:t>公告</w:t>
      </w:r>
      <w:r>
        <w:rPr>
          <w:color w:val="auto"/>
          <w:szCs w:val="21"/>
          <w:highlight w:val="none"/>
        </w:rPr>
        <w:t>中标结果。</w:t>
      </w:r>
    </w:p>
    <w:p>
      <w:pPr>
        <w:spacing w:before="120" w:line="320" w:lineRule="atLeast"/>
        <w:ind w:firstLine="420" w:firstLineChars="200"/>
        <w:rPr>
          <w:color w:val="auto"/>
          <w:szCs w:val="21"/>
          <w:highlight w:val="none"/>
        </w:rPr>
      </w:pPr>
      <w:r>
        <w:rPr>
          <w:rFonts w:hint="eastAsia"/>
          <w:color w:val="auto"/>
          <w:szCs w:val="21"/>
          <w:highlight w:val="none"/>
        </w:rPr>
        <w:t>6</w:t>
      </w:r>
      <w:r>
        <w:rPr>
          <w:color w:val="auto"/>
          <w:szCs w:val="21"/>
          <w:highlight w:val="none"/>
        </w:rPr>
        <w:t>.5.2在发布</w:t>
      </w:r>
      <w:r>
        <w:rPr>
          <w:rFonts w:hint="eastAsia"/>
          <w:color w:val="auto"/>
          <w:szCs w:val="21"/>
          <w:highlight w:val="none"/>
        </w:rPr>
        <w:t>结果</w:t>
      </w:r>
      <w:r>
        <w:rPr>
          <w:color w:val="auto"/>
          <w:szCs w:val="21"/>
          <w:highlight w:val="none"/>
        </w:rPr>
        <w:t>公告的同时，采购代理机构以供应商须知前附表规定的形式向中标人发出中标通知书。中标通知书发出后，采购人改变中标结果，或者中标人放弃中标，应当承担相应的法律责任。</w:t>
      </w:r>
    </w:p>
    <w:p>
      <w:pPr>
        <w:spacing w:before="120" w:line="320" w:lineRule="atLeast"/>
        <w:ind w:firstLine="420" w:firstLineChars="200"/>
        <w:rPr>
          <w:b/>
          <w:bCs/>
          <w:color w:val="auto"/>
          <w:kern w:val="0"/>
          <w:szCs w:val="21"/>
          <w:highlight w:val="none"/>
        </w:rPr>
      </w:pPr>
      <w:r>
        <w:rPr>
          <w:rFonts w:hint="eastAsia"/>
          <w:color w:val="auto"/>
          <w:szCs w:val="21"/>
          <w:highlight w:val="none"/>
        </w:rPr>
        <w:t>6</w:t>
      </w:r>
      <w:r>
        <w:rPr>
          <w:color w:val="auto"/>
          <w:szCs w:val="21"/>
          <w:highlight w:val="none"/>
        </w:rPr>
        <w:t>.5.3</w:t>
      </w:r>
      <w:r>
        <w:rPr>
          <w:rFonts w:hint="eastAsia"/>
          <w:color w:val="auto"/>
          <w:szCs w:val="21"/>
          <w:highlight w:val="none"/>
        </w:rPr>
        <w:t>在发布结果公告的同时，</w:t>
      </w:r>
      <w:r>
        <w:rPr>
          <w:color w:val="auto"/>
          <w:szCs w:val="21"/>
          <w:highlight w:val="none"/>
        </w:rPr>
        <w:t>采购代理机构以供应商须知前附表规定的形式</w:t>
      </w:r>
      <w:r>
        <w:rPr>
          <w:rFonts w:hint="eastAsia"/>
          <w:color w:val="auto"/>
          <w:szCs w:val="21"/>
          <w:highlight w:val="none"/>
        </w:rPr>
        <w:t>向未中标人发出招标结果通知书，供应商自行承担未及时查收的后果。</w:t>
      </w:r>
    </w:p>
    <w:p>
      <w:pPr>
        <w:suppressAutoHyphens/>
        <w:spacing w:before="120" w:line="320" w:lineRule="atLeast"/>
        <w:ind w:firstLine="422" w:firstLineChars="200"/>
        <w:outlineLvl w:val="2"/>
        <w:rPr>
          <w:b/>
          <w:bCs/>
          <w:color w:val="auto"/>
          <w:kern w:val="0"/>
          <w:szCs w:val="21"/>
          <w:highlight w:val="none"/>
        </w:rPr>
      </w:pPr>
      <w:r>
        <w:rPr>
          <w:b/>
          <w:bCs/>
          <w:color w:val="auto"/>
          <w:kern w:val="0"/>
          <w:szCs w:val="21"/>
          <w:highlight w:val="none"/>
        </w:rPr>
        <w:t>6.6</w:t>
      </w:r>
      <w:r>
        <w:rPr>
          <w:rFonts w:hint="eastAsia"/>
          <w:b/>
          <w:bCs/>
          <w:color w:val="auto"/>
          <w:kern w:val="0"/>
          <w:szCs w:val="21"/>
          <w:highlight w:val="none"/>
        </w:rPr>
        <w:t>废标</w:t>
      </w:r>
    </w:p>
    <w:p>
      <w:pPr>
        <w:spacing w:before="120" w:line="320" w:lineRule="atLeast"/>
        <w:ind w:firstLine="420" w:firstLineChars="200"/>
        <w:rPr>
          <w:color w:val="auto"/>
          <w:kern w:val="1"/>
          <w:szCs w:val="21"/>
          <w:highlight w:val="none"/>
        </w:rPr>
      </w:pPr>
      <w:r>
        <w:rPr>
          <w:color w:val="auto"/>
          <w:kern w:val="1"/>
          <w:szCs w:val="21"/>
          <w:highlight w:val="none"/>
        </w:rPr>
        <w:t>6.6.1</w:t>
      </w:r>
      <w:r>
        <w:rPr>
          <w:rFonts w:hint="eastAsia"/>
          <w:color w:val="auto"/>
          <w:kern w:val="1"/>
          <w:szCs w:val="21"/>
          <w:highlight w:val="none"/>
        </w:rPr>
        <w:t xml:space="preserve">出现下列情形之一，将导致项目废标： </w:t>
      </w:r>
    </w:p>
    <w:p>
      <w:pPr>
        <w:spacing w:before="120" w:line="320" w:lineRule="atLeast"/>
        <w:ind w:firstLine="420" w:firstLineChars="200"/>
        <w:rPr>
          <w:color w:val="auto"/>
          <w:szCs w:val="21"/>
          <w:highlight w:val="none"/>
        </w:rPr>
      </w:pPr>
      <w:r>
        <w:rPr>
          <w:rFonts w:hint="eastAsia"/>
          <w:color w:val="auto"/>
          <w:kern w:val="1"/>
          <w:szCs w:val="21"/>
          <w:highlight w:val="none"/>
        </w:rPr>
        <w:t>（1</w:t>
      </w:r>
      <w:r>
        <w:rPr>
          <w:rFonts w:hint="eastAsia"/>
          <w:color w:val="auto"/>
          <w:szCs w:val="21"/>
          <w:highlight w:val="none"/>
        </w:rPr>
        <w:t>）符合专业条件的供应商或者对招标文件做实质性响应的供应商不足三家；</w:t>
      </w:r>
    </w:p>
    <w:p>
      <w:pPr>
        <w:spacing w:before="120" w:line="320" w:lineRule="atLeast"/>
        <w:ind w:firstLine="420" w:firstLineChars="200"/>
        <w:rPr>
          <w:color w:val="auto"/>
          <w:szCs w:val="21"/>
          <w:highlight w:val="none"/>
        </w:rPr>
      </w:pPr>
      <w:r>
        <w:rPr>
          <w:rFonts w:hint="eastAsia"/>
          <w:color w:val="auto"/>
          <w:szCs w:val="21"/>
          <w:highlight w:val="none"/>
        </w:rPr>
        <w:t>（2）出现影响采购公正的违法、违规行为的；</w:t>
      </w:r>
    </w:p>
    <w:p>
      <w:pPr>
        <w:spacing w:before="120" w:line="320" w:lineRule="atLeast"/>
        <w:ind w:firstLine="420" w:firstLineChars="200"/>
        <w:rPr>
          <w:color w:val="auto"/>
          <w:szCs w:val="21"/>
          <w:highlight w:val="none"/>
        </w:rPr>
      </w:pPr>
      <w:r>
        <w:rPr>
          <w:rFonts w:hint="eastAsia"/>
          <w:color w:val="auto"/>
          <w:szCs w:val="21"/>
          <w:highlight w:val="none"/>
        </w:rPr>
        <w:t>（3）供应商的报价均超过了采购预算，采购人不能支付的；</w:t>
      </w:r>
    </w:p>
    <w:p>
      <w:pPr>
        <w:spacing w:before="120" w:line="320" w:lineRule="atLeast"/>
        <w:ind w:firstLine="420" w:firstLineChars="200"/>
        <w:rPr>
          <w:color w:val="auto"/>
          <w:highlight w:val="none"/>
        </w:rPr>
      </w:pPr>
      <w:r>
        <w:rPr>
          <w:rFonts w:hint="eastAsia"/>
          <w:color w:val="auto"/>
          <w:szCs w:val="21"/>
          <w:highlight w:val="none"/>
        </w:rPr>
        <w:t>（4）</w:t>
      </w:r>
      <w:r>
        <w:rPr>
          <w:rFonts w:hint="eastAsia"/>
          <w:color w:val="auto"/>
          <w:highlight w:val="none"/>
        </w:rPr>
        <w:t>因发生重大变故或采购任务取消的。</w:t>
      </w:r>
    </w:p>
    <w:p>
      <w:pPr>
        <w:spacing w:before="120" w:line="320" w:lineRule="atLeast"/>
        <w:ind w:firstLine="420" w:firstLineChars="200"/>
        <w:rPr>
          <w:color w:val="auto"/>
          <w:szCs w:val="21"/>
          <w:highlight w:val="none"/>
        </w:rPr>
      </w:pPr>
      <w:r>
        <w:rPr>
          <w:color w:val="auto"/>
          <w:kern w:val="1"/>
          <w:szCs w:val="21"/>
          <w:highlight w:val="none"/>
        </w:rPr>
        <w:t>6.6.2</w:t>
      </w:r>
      <w:r>
        <w:rPr>
          <w:rFonts w:hint="eastAsia"/>
          <w:color w:val="auto"/>
          <w:kern w:val="1"/>
          <w:szCs w:val="21"/>
          <w:highlight w:val="none"/>
        </w:rPr>
        <w:t>废标后</w:t>
      </w:r>
      <w:r>
        <w:rPr>
          <w:rFonts w:hint="eastAsia"/>
          <w:color w:val="auto"/>
          <w:szCs w:val="21"/>
          <w:highlight w:val="none"/>
        </w:rPr>
        <w:t>采购</w:t>
      </w:r>
      <w:r>
        <w:rPr>
          <w:rFonts w:hint="eastAsia"/>
          <w:color w:val="auto"/>
          <w:kern w:val="1"/>
          <w:szCs w:val="21"/>
          <w:highlight w:val="none"/>
        </w:rPr>
        <w:t>代理机构将发布废标公告通知供应商。</w:t>
      </w:r>
      <w:bookmarkEnd w:id="65"/>
    </w:p>
    <w:bookmarkEnd w:id="62"/>
    <w:p>
      <w:pPr>
        <w:spacing w:before="120" w:line="320" w:lineRule="atLeast"/>
        <w:ind w:left="2" w:leftChars="1" w:firstLine="422" w:firstLineChars="200"/>
        <w:outlineLvl w:val="1"/>
        <w:rPr>
          <w:b/>
          <w:bCs/>
          <w:color w:val="auto"/>
          <w:kern w:val="0"/>
          <w:szCs w:val="21"/>
          <w:highlight w:val="none"/>
        </w:rPr>
      </w:pPr>
      <w:r>
        <w:rPr>
          <w:b/>
          <w:bCs/>
          <w:color w:val="auto"/>
          <w:kern w:val="0"/>
          <w:szCs w:val="21"/>
          <w:highlight w:val="none"/>
        </w:rPr>
        <w:t>7．合同</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7.1合同授予标准</w:t>
      </w:r>
    </w:p>
    <w:p>
      <w:pPr>
        <w:spacing w:before="120" w:line="320" w:lineRule="atLeast"/>
        <w:ind w:firstLine="420" w:firstLineChars="200"/>
        <w:rPr>
          <w:color w:val="auto"/>
          <w:szCs w:val="21"/>
          <w:highlight w:val="none"/>
        </w:rPr>
      </w:pPr>
      <w:r>
        <w:rPr>
          <w:color w:val="auto"/>
          <w:szCs w:val="21"/>
          <w:highlight w:val="none"/>
        </w:rPr>
        <w:t>合同将授予被确定实质上响应招标文件要求，具备履行合同能力，综合评分排名第一的供应商。在</w:t>
      </w:r>
      <w:r>
        <w:rPr>
          <w:rFonts w:hint="eastAsia"/>
          <w:color w:val="auto"/>
          <w:szCs w:val="21"/>
          <w:highlight w:val="none"/>
        </w:rPr>
        <w:t>中标</w:t>
      </w:r>
      <w:r>
        <w:rPr>
          <w:color w:val="auto"/>
          <w:szCs w:val="21"/>
          <w:highlight w:val="none"/>
        </w:rPr>
        <w:t>通知书发出前或签订合同前，如果</w:t>
      </w:r>
      <w:r>
        <w:rPr>
          <w:rFonts w:hint="eastAsia"/>
          <w:color w:val="auto"/>
          <w:szCs w:val="21"/>
          <w:highlight w:val="none"/>
        </w:rPr>
        <w:t>中标</w:t>
      </w:r>
      <w:r>
        <w:rPr>
          <w:color w:val="auto"/>
          <w:szCs w:val="21"/>
          <w:highlight w:val="none"/>
        </w:rPr>
        <w:t>人的组织机构</w:t>
      </w:r>
      <w:r>
        <w:rPr>
          <w:rFonts w:hint="eastAsia"/>
          <w:color w:val="auto"/>
          <w:szCs w:val="21"/>
          <w:highlight w:val="none"/>
        </w:rPr>
        <w:t>、</w:t>
      </w:r>
      <w:r>
        <w:rPr>
          <w:color w:val="auto"/>
          <w:szCs w:val="21"/>
          <w:highlight w:val="none"/>
        </w:rPr>
        <w:t>经营、财务状况发生较大变化，可能造成不能履行合同、无法按照</w:t>
      </w:r>
      <w:r>
        <w:rPr>
          <w:rFonts w:hint="eastAsia"/>
          <w:color w:val="auto"/>
          <w:szCs w:val="21"/>
          <w:highlight w:val="none"/>
        </w:rPr>
        <w:t>招标</w:t>
      </w:r>
      <w:r>
        <w:rPr>
          <w:color w:val="auto"/>
          <w:szCs w:val="21"/>
          <w:highlight w:val="none"/>
        </w:rPr>
        <w:t>文件要求提交履约保证金等情形，不符合中标条件或不满足供应商资格条件要求 ，应在</w:t>
      </w:r>
      <w:r>
        <w:rPr>
          <w:rFonts w:hint="eastAsia"/>
          <w:color w:val="auto"/>
          <w:szCs w:val="21"/>
          <w:highlight w:val="none"/>
        </w:rPr>
        <w:t>中标</w:t>
      </w:r>
      <w:r>
        <w:rPr>
          <w:color w:val="auto"/>
          <w:szCs w:val="21"/>
          <w:highlight w:val="none"/>
        </w:rPr>
        <w:t>通知书发出前或签订合同前及时书面告知采购人</w:t>
      </w:r>
      <w:r>
        <w:rPr>
          <w:rFonts w:hint="eastAsia"/>
          <w:color w:val="auto"/>
          <w:szCs w:val="21"/>
          <w:highlight w:val="none"/>
        </w:rPr>
        <w:t>，</w:t>
      </w:r>
      <w:r>
        <w:rPr>
          <w:color w:val="auto"/>
          <w:szCs w:val="21"/>
          <w:highlight w:val="none"/>
        </w:rPr>
        <w:t>未主动告知</w:t>
      </w:r>
      <w:r>
        <w:rPr>
          <w:rFonts w:hint="eastAsia"/>
          <w:color w:val="auto"/>
          <w:szCs w:val="21"/>
          <w:highlight w:val="none"/>
        </w:rPr>
        <w:t>，</w:t>
      </w:r>
      <w:r>
        <w:rPr>
          <w:color w:val="auto"/>
          <w:szCs w:val="21"/>
          <w:highlight w:val="none"/>
        </w:rPr>
        <w:t>给采购人造成损失的</w:t>
      </w:r>
      <w:r>
        <w:rPr>
          <w:rFonts w:hint="eastAsia"/>
          <w:color w:val="auto"/>
          <w:szCs w:val="21"/>
          <w:highlight w:val="none"/>
        </w:rPr>
        <w:t>，</w:t>
      </w:r>
      <w:r>
        <w:rPr>
          <w:color w:val="auto"/>
          <w:szCs w:val="21"/>
          <w:highlight w:val="none"/>
        </w:rPr>
        <w:t>采购人有权</w:t>
      </w:r>
      <w:r>
        <w:rPr>
          <w:rFonts w:hint="eastAsia"/>
          <w:color w:val="auto"/>
          <w:szCs w:val="21"/>
          <w:highlight w:val="none"/>
        </w:rPr>
        <w:t>取消其中标资格并</w:t>
      </w:r>
      <w:r>
        <w:rPr>
          <w:color w:val="auto"/>
          <w:szCs w:val="21"/>
          <w:highlight w:val="none"/>
        </w:rPr>
        <w:t>没收投标保证金</w:t>
      </w:r>
      <w:r>
        <w:rPr>
          <w:rFonts w:hint="eastAsia"/>
          <w:color w:val="auto"/>
          <w:szCs w:val="21"/>
          <w:highlight w:val="none"/>
        </w:rPr>
        <w:t>。</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7.2签订合同</w:t>
      </w:r>
    </w:p>
    <w:p>
      <w:pPr>
        <w:spacing w:before="120" w:line="320" w:lineRule="atLeast"/>
        <w:ind w:firstLine="420" w:firstLineChars="200"/>
        <w:rPr>
          <w:color w:val="auto"/>
          <w:szCs w:val="21"/>
          <w:highlight w:val="none"/>
        </w:rPr>
      </w:pPr>
      <w:bookmarkStart w:id="69" w:name="_Hlk93421039"/>
      <w:r>
        <w:rPr>
          <w:color w:val="auto"/>
          <w:szCs w:val="21"/>
          <w:highlight w:val="none"/>
        </w:rPr>
        <w:t>7.2.1如</w:t>
      </w:r>
      <w:r>
        <w:rPr>
          <w:rFonts w:hint="eastAsia"/>
          <w:color w:val="auto"/>
          <w:szCs w:val="21"/>
          <w:highlight w:val="none"/>
        </w:rPr>
        <w:t>招标</w:t>
      </w:r>
      <w:r>
        <w:rPr>
          <w:color w:val="auto"/>
          <w:szCs w:val="21"/>
          <w:highlight w:val="none"/>
        </w:rPr>
        <w:t>文件无</w:t>
      </w:r>
      <w:r>
        <w:rPr>
          <w:rFonts w:hint="eastAsia"/>
          <w:color w:val="auto"/>
          <w:szCs w:val="21"/>
          <w:highlight w:val="none"/>
        </w:rPr>
        <w:t>特别</w:t>
      </w:r>
      <w:r>
        <w:rPr>
          <w:color w:val="auto"/>
          <w:szCs w:val="21"/>
          <w:highlight w:val="none"/>
        </w:rPr>
        <w:t>规定，</w:t>
      </w:r>
      <w:r>
        <w:rPr>
          <w:rFonts w:hint="eastAsia"/>
          <w:color w:val="auto"/>
          <w:szCs w:val="21"/>
          <w:highlight w:val="none"/>
        </w:rPr>
        <w:t>中标人按招标文件确定的事项签订政府采购合同。</w:t>
      </w:r>
    </w:p>
    <w:p>
      <w:pPr>
        <w:spacing w:before="120" w:line="320" w:lineRule="atLeast"/>
        <w:ind w:firstLine="420" w:firstLineChars="200"/>
        <w:rPr>
          <w:color w:val="auto"/>
          <w:szCs w:val="21"/>
          <w:highlight w:val="none"/>
        </w:rPr>
      </w:pPr>
      <w:r>
        <w:rPr>
          <w:color w:val="auto"/>
          <w:szCs w:val="21"/>
          <w:highlight w:val="none"/>
        </w:rPr>
        <w:t>7.2.2</w:t>
      </w:r>
      <w:r>
        <w:rPr>
          <w:rFonts w:hint="eastAsia"/>
          <w:color w:val="auto"/>
          <w:szCs w:val="21"/>
          <w:highlight w:val="none"/>
        </w:rPr>
        <w:t>政府采购合同应当包括采购人与中标人的名称和住所、标的、数量、质量、价款或者报酬、履行期限及地点和方式、验收要求、违约责任、解决争议的方法等内容。</w:t>
      </w:r>
      <w:r>
        <w:rPr>
          <w:color w:val="auto"/>
          <w:szCs w:val="21"/>
          <w:highlight w:val="none"/>
        </w:rPr>
        <w:t>招标文件、中标人的投标文件及澄清文件等，均为签订政府采购合同的依据。</w:t>
      </w:r>
    </w:p>
    <w:p>
      <w:pPr>
        <w:spacing w:before="120" w:line="320" w:lineRule="atLeast"/>
        <w:ind w:firstLine="420" w:firstLineChars="200"/>
        <w:rPr>
          <w:color w:val="auto"/>
          <w:szCs w:val="21"/>
          <w:highlight w:val="none"/>
        </w:rPr>
      </w:pPr>
      <w:r>
        <w:rPr>
          <w:color w:val="auto"/>
          <w:szCs w:val="21"/>
          <w:highlight w:val="none"/>
        </w:rPr>
        <w:t>7.2.3如中标人不按中标通知书的规定签订合同，</w:t>
      </w:r>
      <w:r>
        <w:rPr>
          <w:rFonts w:hint="eastAsia"/>
          <w:color w:val="auto"/>
          <w:szCs w:val="21"/>
          <w:highlight w:val="none"/>
        </w:rPr>
        <w:t>其投标保证金将不予退还，并报由同级政府采购监督管理部门处理。</w:t>
      </w:r>
    </w:p>
    <w:p>
      <w:pPr>
        <w:spacing w:before="120" w:line="320" w:lineRule="atLeast"/>
        <w:ind w:firstLine="420" w:firstLineChars="200"/>
        <w:rPr>
          <w:color w:val="auto"/>
          <w:szCs w:val="21"/>
          <w:highlight w:val="none"/>
        </w:rPr>
      </w:pPr>
      <w:r>
        <w:rPr>
          <w:rFonts w:hint="eastAsia"/>
          <w:color w:val="auto"/>
          <w:szCs w:val="21"/>
          <w:highlight w:val="none"/>
        </w:rPr>
        <w:t>7</w:t>
      </w:r>
      <w:r>
        <w:rPr>
          <w:color w:val="auto"/>
          <w:szCs w:val="21"/>
          <w:highlight w:val="none"/>
        </w:rPr>
        <w:t>.2.4</w:t>
      </w:r>
      <w:r>
        <w:rPr>
          <w:rFonts w:hint="eastAsia"/>
          <w:color w:val="auto"/>
          <w:szCs w:val="21"/>
          <w:highlight w:val="none"/>
        </w:rPr>
        <w:t>中标人拒绝与采购人签订合同的，采购人可以按照评审报告推荐的中标候选人名单排序，确定下一候选人为中标人，也可以重新开展政府采购活动。</w:t>
      </w:r>
    </w:p>
    <w:p>
      <w:pPr>
        <w:spacing w:before="120" w:line="320" w:lineRule="atLeast"/>
        <w:ind w:firstLine="420" w:firstLineChars="200"/>
        <w:rPr>
          <w:color w:val="auto"/>
          <w:szCs w:val="21"/>
          <w:highlight w:val="none"/>
        </w:rPr>
      </w:pPr>
      <w:bookmarkStart w:id="70" w:name="_Hlk155170999"/>
      <w:r>
        <w:rPr>
          <w:rFonts w:hint="eastAsia"/>
          <w:color w:val="auto"/>
          <w:szCs w:val="21"/>
          <w:highlight w:val="none"/>
        </w:rPr>
        <w:t>7</w:t>
      </w:r>
      <w:r>
        <w:rPr>
          <w:color w:val="auto"/>
          <w:szCs w:val="21"/>
          <w:highlight w:val="none"/>
        </w:rPr>
        <w:t>.2.5</w:t>
      </w:r>
      <w:r>
        <w:rPr>
          <w:rFonts w:hint="eastAsia"/>
          <w:color w:val="auto"/>
          <w:szCs w:val="21"/>
          <w:highlight w:val="none"/>
        </w:rPr>
        <w:t>采购人因不可抗力原因迟延签订合同的，应当自不可抗力事由消除之日起7日内完成合同签订事宜。</w:t>
      </w:r>
    </w:p>
    <w:bookmarkEnd w:id="69"/>
    <w:bookmarkEnd w:id="70"/>
    <w:p>
      <w:pPr>
        <w:spacing w:before="120" w:line="320" w:lineRule="atLeast"/>
        <w:ind w:firstLine="422" w:firstLineChars="200"/>
        <w:outlineLvl w:val="2"/>
        <w:rPr>
          <w:b/>
          <w:bCs/>
          <w:color w:val="auto"/>
          <w:kern w:val="0"/>
          <w:szCs w:val="21"/>
          <w:highlight w:val="none"/>
        </w:rPr>
      </w:pPr>
      <w:r>
        <w:rPr>
          <w:b/>
          <w:bCs/>
          <w:color w:val="auto"/>
          <w:kern w:val="0"/>
          <w:szCs w:val="21"/>
          <w:highlight w:val="none"/>
        </w:rPr>
        <w:t>7.3合同公告</w:t>
      </w:r>
    </w:p>
    <w:p>
      <w:pPr>
        <w:spacing w:before="120" w:line="320" w:lineRule="atLeast"/>
        <w:ind w:firstLine="420" w:firstLineChars="200"/>
        <w:rPr>
          <w:color w:val="auto"/>
          <w:szCs w:val="21"/>
          <w:highlight w:val="none"/>
        </w:rPr>
      </w:pPr>
      <w:bookmarkStart w:id="71" w:name="_Hlk93421052"/>
      <w:r>
        <w:rPr>
          <w:color w:val="auto"/>
          <w:szCs w:val="21"/>
          <w:highlight w:val="none"/>
        </w:rPr>
        <w:t>7.3.1如</w:t>
      </w:r>
      <w:r>
        <w:rPr>
          <w:rFonts w:hint="eastAsia"/>
          <w:color w:val="auto"/>
          <w:szCs w:val="21"/>
          <w:highlight w:val="none"/>
        </w:rPr>
        <w:t>招标</w:t>
      </w:r>
      <w:r>
        <w:rPr>
          <w:color w:val="auto"/>
          <w:szCs w:val="21"/>
          <w:highlight w:val="none"/>
        </w:rPr>
        <w:t>文件无特殊规定</w:t>
      </w:r>
      <w:r>
        <w:rPr>
          <w:rFonts w:hint="eastAsia"/>
          <w:color w:val="auto"/>
          <w:szCs w:val="21"/>
          <w:highlight w:val="none"/>
        </w:rPr>
        <w:t>，</w:t>
      </w:r>
      <w:r>
        <w:rPr>
          <w:color w:val="auto"/>
          <w:szCs w:val="21"/>
          <w:highlight w:val="none"/>
        </w:rPr>
        <w:t>中标人应在签订合同后1个工作日内，将政府采购合同副本送采购代理机构</w:t>
      </w:r>
      <w:r>
        <w:rPr>
          <w:rFonts w:hint="eastAsia"/>
          <w:color w:val="auto"/>
          <w:szCs w:val="21"/>
          <w:highlight w:val="none"/>
        </w:rPr>
        <w:t>存档</w:t>
      </w:r>
      <w:r>
        <w:rPr>
          <w:color w:val="auto"/>
          <w:szCs w:val="21"/>
          <w:highlight w:val="none"/>
        </w:rPr>
        <w:t>。</w:t>
      </w:r>
    </w:p>
    <w:p>
      <w:pPr>
        <w:spacing w:before="120" w:line="320" w:lineRule="atLeast"/>
        <w:ind w:firstLine="420" w:firstLineChars="200"/>
        <w:rPr>
          <w:color w:val="auto"/>
          <w:szCs w:val="21"/>
          <w:highlight w:val="none"/>
        </w:rPr>
      </w:pPr>
      <w:r>
        <w:rPr>
          <w:color w:val="auto"/>
          <w:szCs w:val="21"/>
          <w:highlight w:val="none"/>
        </w:rPr>
        <w:t>7.3.2采购人应当自政府采购合同签订之日起2个工作日内，将政府采购合同在省级以上人民政府财政部门指定的媒体上公告，但政府采购合同中涉及国家秘密、商业秘密的内容除外。</w:t>
      </w:r>
    </w:p>
    <w:p>
      <w:pPr>
        <w:spacing w:before="120" w:line="320" w:lineRule="atLeast"/>
        <w:ind w:firstLine="420" w:firstLineChars="200"/>
        <w:rPr>
          <w:color w:val="auto"/>
          <w:szCs w:val="21"/>
          <w:highlight w:val="none"/>
        </w:rPr>
      </w:pPr>
      <w:bookmarkStart w:id="72" w:name="_Hlk155171014"/>
      <w:r>
        <w:rPr>
          <w:rFonts w:hint="eastAsia"/>
          <w:color w:val="auto"/>
          <w:szCs w:val="21"/>
          <w:highlight w:val="none"/>
        </w:rPr>
        <w:t>7</w:t>
      </w:r>
      <w:r>
        <w:rPr>
          <w:color w:val="auto"/>
          <w:szCs w:val="21"/>
          <w:highlight w:val="none"/>
        </w:rPr>
        <w:t xml:space="preserve">.3.3 </w:t>
      </w:r>
      <w:r>
        <w:rPr>
          <w:rFonts w:hint="eastAsia"/>
          <w:color w:val="auto"/>
          <w:szCs w:val="21"/>
          <w:highlight w:val="none"/>
        </w:rPr>
        <w:t>政府采购合同双方不得擅自变更合同，依照政府采购法确需变更政府采购合同内容的，采购人应当自合同变更之日起2个工作日内在省级以上财政部门指定的媒体上发布政府采购合同变更公告，但涉及国家秘密、商业秘密的信息和其他依法不得公开的信息除外。</w:t>
      </w:r>
    </w:p>
    <w:bookmarkEnd w:id="71"/>
    <w:bookmarkEnd w:id="72"/>
    <w:p>
      <w:pPr>
        <w:spacing w:before="120" w:line="320" w:lineRule="atLeast"/>
        <w:ind w:firstLine="422" w:firstLineChars="200"/>
        <w:outlineLvl w:val="2"/>
        <w:rPr>
          <w:b/>
          <w:bCs/>
          <w:color w:val="auto"/>
          <w:kern w:val="0"/>
          <w:szCs w:val="21"/>
          <w:highlight w:val="none"/>
        </w:rPr>
      </w:pPr>
      <w:r>
        <w:rPr>
          <w:b/>
          <w:bCs/>
          <w:color w:val="auto"/>
          <w:kern w:val="0"/>
          <w:szCs w:val="21"/>
          <w:highlight w:val="none"/>
        </w:rPr>
        <w:t>7.4 履行合同</w:t>
      </w:r>
    </w:p>
    <w:p>
      <w:pPr>
        <w:spacing w:before="120" w:line="320" w:lineRule="atLeast"/>
        <w:ind w:firstLine="420" w:firstLineChars="200"/>
        <w:rPr>
          <w:color w:val="auto"/>
          <w:szCs w:val="21"/>
          <w:highlight w:val="none"/>
        </w:rPr>
      </w:pPr>
      <w:bookmarkStart w:id="73" w:name="_Hlk93421061"/>
      <w:r>
        <w:rPr>
          <w:color w:val="auto"/>
          <w:szCs w:val="21"/>
          <w:highlight w:val="none"/>
        </w:rPr>
        <w:t>7.4.1</w:t>
      </w:r>
      <w:bookmarkStart w:id="74" w:name="_Toc217446070"/>
      <w:bookmarkStart w:id="75" w:name="_Toc308164814"/>
      <w:r>
        <w:rPr>
          <w:rFonts w:hint="eastAsia"/>
          <w:color w:val="auto"/>
          <w:szCs w:val="21"/>
          <w:highlight w:val="none"/>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73"/>
    <w:p>
      <w:pPr>
        <w:spacing w:before="120" w:line="320" w:lineRule="atLeast"/>
        <w:ind w:firstLine="422" w:firstLineChars="200"/>
        <w:rPr>
          <w:b/>
          <w:bCs/>
          <w:color w:val="auto"/>
          <w:kern w:val="0"/>
          <w:szCs w:val="21"/>
          <w:highlight w:val="none"/>
        </w:rPr>
      </w:pPr>
      <w:r>
        <w:rPr>
          <w:b/>
          <w:bCs/>
          <w:color w:val="auto"/>
          <w:kern w:val="0"/>
          <w:szCs w:val="21"/>
          <w:highlight w:val="none"/>
        </w:rPr>
        <w:t>7.5履约验收</w:t>
      </w:r>
      <w:bookmarkEnd w:id="74"/>
      <w:bookmarkEnd w:id="75"/>
    </w:p>
    <w:p>
      <w:pPr>
        <w:spacing w:before="120" w:line="320" w:lineRule="atLeast"/>
        <w:ind w:firstLine="420" w:firstLineChars="200"/>
        <w:rPr>
          <w:color w:val="auto"/>
          <w:szCs w:val="21"/>
          <w:highlight w:val="none"/>
        </w:rPr>
      </w:pPr>
      <w:bookmarkStart w:id="76" w:name="_Hlk93421069"/>
      <w:r>
        <w:rPr>
          <w:color w:val="auto"/>
          <w:szCs w:val="21"/>
          <w:highlight w:val="none"/>
        </w:rPr>
        <w:t>7.5.1采购人可以根据政府采购项目具体情况自行组织验收，或者委托政府采购代理机构、国家认可的质量检测机构开展采购项目履约验收工作。</w:t>
      </w:r>
    </w:p>
    <w:p>
      <w:pPr>
        <w:spacing w:before="120" w:line="320" w:lineRule="atLeast"/>
        <w:ind w:firstLine="420" w:firstLineChars="200"/>
        <w:rPr>
          <w:color w:val="auto"/>
          <w:szCs w:val="21"/>
          <w:highlight w:val="none"/>
        </w:rPr>
      </w:pPr>
      <w:r>
        <w:rPr>
          <w:color w:val="auto"/>
          <w:szCs w:val="21"/>
          <w:highlight w:val="none"/>
        </w:rPr>
        <w:t>7.5.2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pPr>
        <w:spacing w:before="120" w:line="320" w:lineRule="atLeast"/>
        <w:ind w:firstLine="420" w:firstLineChars="200"/>
        <w:rPr>
          <w:color w:val="auto"/>
          <w:szCs w:val="21"/>
          <w:highlight w:val="none"/>
        </w:rPr>
      </w:pPr>
      <w:r>
        <w:rPr>
          <w:color w:val="auto"/>
          <w:szCs w:val="21"/>
          <w:highlight w:val="none"/>
        </w:rPr>
        <w:t>7.5.3采购合同项目完成验收后，采购人应当将验收原始记录、验收书等资料作为该采购项目档案妥善保管，不得伪造、变造、隐匿或者销毁，验收资料保存期为采购结束之日起至少保存15年。</w:t>
      </w:r>
    </w:p>
    <w:p>
      <w:pPr>
        <w:spacing w:before="120" w:line="320" w:lineRule="atLeast"/>
        <w:ind w:firstLine="420" w:firstLineChars="200"/>
        <w:rPr>
          <w:color w:val="auto"/>
          <w:szCs w:val="21"/>
          <w:highlight w:val="none"/>
        </w:rPr>
      </w:pPr>
      <w:r>
        <w:rPr>
          <w:color w:val="auto"/>
          <w:szCs w:val="21"/>
          <w:highlight w:val="none"/>
        </w:rPr>
        <w:t>7.5.4本项目将严格按照本招标文件及合同有关规定进行合同履约验收。招标文件或合同未规定的按财政部关于进一步加强政府采购需求和履约验收管理的指导意见（财库〔2016〕205号）以及《广西壮族自治区政府采购项目履约验收管理办法》（桂财采〔2015〕22号）的规定执行。</w:t>
      </w:r>
    </w:p>
    <w:bookmarkEnd w:id="76"/>
    <w:p>
      <w:pPr>
        <w:spacing w:before="120" w:line="320" w:lineRule="atLeast"/>
        <w:ind w:left="2" w:leftChars="1" w:firstLine="422" w:firstLineChars="200"/>
        <w:outlineLvl w:val="1"/>
        <w:rPr>
          <w:b/>
          <w:bCs/>
          <w:color w:val="auto"/>
          <w:kern w:val="0"/>
          <w:szCs w:val="21"/>
          <w:highlight w:val="none"/>
        </w:rPr>
      </w:pPr>
      <w:bookmarkStart w:id="77" w:name="_Toc254970674"/>
      <w:bookmarkStart w:id="78" w:name="_Toc254970533"/>
      <w:r>
        <w:rPr>
          <w:b/>
          <w:bCs/>
          <w:color w:val="auto"/>
          <w:kern w:val="0"/>
          <w:szCs w:val="21"/>
          <w:highlight w:val="none"/>
        </w:rPr>
        <w:t>8．质疑和投诉</w:t>
      </w:r>
      <w:bookmarkEnd w:id="77"/>
      <w:bookmarkEnd w:id="78"/>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8.1质疑</w:t>
      </w:r>
    </w:p>
    <w:p>
      <w:pPr>
        <w:spacing w:before="120" w:line="320" w:lineRule="atLeast"/>
        <w:ind w:firstLine="420" w:firstLineChars="200"/>
        <w:rPr>
          <w:color w:val="auto"/>
          <w:szCs w:val="21"/>
          <w:highlight w:val="none"/>
        </w:rPr>
      </w:pPr>
      <w:r>
        <w:rPr>
          <w:color w:val="auto"/>
          <w:szCs w:val="21"/>
          <w:highlight w:val="none"/>
        </w:rPr>
        <w:t>8.1.1质疑内容、时限</w:t>
      </w:r>
    </w:p>
    <w:p>
      <w:pPr>
        <w:spacing w:before="120" w:line="320" w:lineRule="atLeast"/>
        <w:ind w:firstLine="420" w:firstLineChars="200"/>
        <w:rPr>
          <w:color w:val="auto"/>
          <w:szCs w:val="21"/>
          <w:highlight w:val="none"/>
        </w:rPr>
      </w:pPr>
      <w:r>
        <w:rPr>
          <w:rFonts w:hint="eastAsia"/>
          <w:color w:val="auto"/>
          <w:szCs w:val="21"/>
          <w:highlight w:val="none"/>
        </w:rPr>
        <w:t>（1）供应商对政府采购活动有疑问的，可以向采购人或采购代理机构提出询问。采购人或者采购代理机构应当在3个工作日内对供应商依法提出的询问作出答复。</w:t>
      </w:r>
    </w:p>
    <w:p>
      <w:pPr>
        <w:spacing w:before="120" w:line="320" w:lineRule="atLeast"/>
        <w:ind w:firstLine="420" w:firstLineChars="200"/>
        <w:rPr>
          <w:color w:val="auto"/>
          <w:szCs w:val="21"/>
          <w:highlight w:val="none"/>
        </w:rPr>
      </w:pPr>
      <w:r>
        <w:rPr>
          <w:rFonts w:hint="eastAsia"/>
          <w:color w:val="auto"/>
          <w:szCs w:val="21"/>
          <w:highlight w:val="none"/>
        </w:rPr>
        <w:t>（2）供应商为认为招标文件、采购过程、中标或者成交结果使自己的权益受到损害的，可以在知道或者应知其权益受到损害之日起7个工作日内向采购人或采购代理机构提出质疑。采购人或</w:t>
      </w:r>
      <w:r>
        <w:rPr>
          <w:color w:val="auto"/>
          <w:szCs w:val="21"/>
          <w:highlight w:val="none"/>
        </w:rPr>
        <w:t>采购代理机构在收到供应商书面质疑后7个工作日内，对质疑内容作出答复。</w:t>
      </w:r>
    </w:p>
    <w:p>
      <w:pPr>
        <w:spacing w:before="120" w:line="320" w:lineRule="atLeast"/>
        <w:ind w:firstLine="420" w:firstLineChars="200"/>
        <w:rPr>
          <w:color w:val="auto"/>
          <w:szCs w:val="21"/>
          <w:highlight w:val="none"/>
        </w:rPr>
      </w:pPr>
      <w:r>
        <w:rPr>
          <w:color w:val="auto"/>
          <w:szCs w:val="21"/>
          <w:highlight w:val="none"/>
        </w:rPr>
        <w:t>8.1.2质疑形式</w:t>
      </w:r>
    </w:p>
    <w:p>
      <w:pPr>
        <w:spacing w:before="120" w:line="320" w:lineRule="atLeast"/>
        <w:ind w:firstLine="420" w:firstLineChars="200"/>
        <w:rPr>
          <w:color w:val="auto"/>
          <w:szCs w:val="21"/>
          <w:highlight w:val="none"/>
        </w:rPr>
      </w:pPr>
      <w:r>
        <w:rPr>
          <w:color w:val="auto"/>
          <w:szCs w:val="21"/>
          <w:highlight w:val="none"/>
        </w:rPr>
        <w:t>质疑应当采用</w:t>
      </w:r>
      <w:r>
        <w:rPr>
          <w:rFonts w:hint="eastAsia"/>
          <w:color w:val="auto"/>
          <w:szCs w:val="21"/>
          <w:highlight w:val="none"/>
        </w:rPr>
        <w:t>供应商</w:t>
      </w:r>
      <w:r>
        <w:rPr>
          <w:color w:val="auto"/>
          <w:szCs w:val="21"/>
          <w:highlight w:val="none"/>
        </w:rPr>
        <w:t>须知前附表所规定的形式，质疑书应明确阐述</w:t>
      </w:r>
      <w:r>
        <w:rPr>
          <w:rFonts w:hint="eastAsia"/>
          <w:color w:val="auto"/>
          <w:szCs w:val="21"/>
          <w:highlight w:val="none"/>
        </w:rPr>
        <w:t>招标文件</w:t>
      </w:r>
      <w:r>
        <w:rPr>
          <w:color w:val="auto"/>
          <w:szCs w:val="21"/>
          <w:highlight w:val="none"/>
        </w:rPr>
        <w:t>、</w:t>
      </w:r>
      <w:r>
        <w:rPr>
          <w:rFonts w:hint="eastAsia"/>
          <w:color w:val="auto"/>
          <w:szCs w:val="21"/>
          <w:highlight w:val="none"/>
        </w:rPr>
        <w:t>采购</w:t>
      </w:r>
      <w:r>
        <w:rPr>
          <w:color w:val="auto"/>
          <w:szCs w:val="21"/>
          <w:highlight w:val="none"/>
        </w:rPr>
        <w:t>过程或中标结果中使自己合法权益受到损害的实质性内容，提供相关事实、依据和证据及其来源或线索，便于有关单位调查、答复和处理。</w:t>
      </w:r>
    </w:p>
    <w:p>
      <w:pPr>
        <w:spacing w:before="120" w:line="320" w:lineRule="atLeast"/>
        <w:ind w:firstLine="420" w:firstLineChars="200"/>
        <w:rPr>
          <w:color w:val="auto"/>
          <w:szCs w:val="21"/>
          <w:highlight w:val="none"/>
        </w:rPr>
      </w:pPr>
      <w:r>
        <w:rPr>
          <w:rFonts w:hint="eastAsia"/>
          <w:color w:val="auto"/>
          <w:szCs w:val="21"/>
          <w:highlight w:val="none"/>
        </w:rPr>
        <w:t>8</w:t>
      </w:r>
      <w:r>
        <w:rPr>
          <w:color w:val="auto"/>
          <w:szCs w:val="21"/>
          <w:highlight w:val="none"/>
        </w:rPr>
        <w:t>.1.3</w:t>
      </w:r>
      <w:r>
        <w:rPr>
          <w:rFonts w:hint="eastAsia"/>
          <w:color w:val="auto"/>
          <w:highlight w:val="none"/>
        </w:rPr>
        <w:t xml:space="preserve"> </w:t>
      </w:r>
      <w:r>
        <w:rPr>
          <w:rFonts w:hint="eastAsia"/>
          <w:color w:val="auto"/>
          <w:szCs w:val="21"/>
          <w:highlight w:val="none"/>
        </w:rPr>
        <w:t>供应商提出质疑应当提交质疑函和必要的证明材料。质疑函应当包括下列内容：</w:t>
      </w:r>
    </w:p>
    <w:p>
      <w:pPr>
        <w:spacing w:before="120" w:line="320" w:lineRule="atLeast"/>
        <w:ind w:firstLine="420" w:firstLineChars="200"/>
        <w:rPr>
          <w:color w:val="auto"/>
          <w:szCs w:val="21"/>
          <w:highlight w:val="none"/>
        </w:rPr>
      </w:pPr>
      <w:r>
        <w:rPr>
          <w:rFonts w:hint="eastAsia"/>
          <w:color w:val="auto"/>
          <w:szCs w:val="21"/>
          <w:highlight w:val="none"/>
        </w:rPr>
        <w:t>（1）</w:t>
      </w:r>
      <w:r>
        <w:rPr>
          <w:rFonts w:hint="eastAsia"/>
          <w:color w:val="auto"/>
          <w:szCs w:val="21"/>
          <w:highlight w:val="none"/>
        </w:rPr>
        <w:tab/>
      </w:r>
      <w:r>
        <w:rPr>
          <w:rFonts w:hint="eastAsia"/>
          <w:color w:val="auto"/>
          <w:szCs w:val="21"/>
          <w:highlight w:val="none"/>
        </w:rPr>
        <w:t>供应商的姓名或者名称、地址、邮编、联系人及联系电话；</w:t>
      </w:r>
    </w:p>
    <w:p>
      <w:pPr>
        <w:spacing w:before="120" w:line="320" w:lineRule="atLeast"/>
        <w:ind w:firstLine="420" w:firstLineChars="200"/>
        <w:rPr>
          <w:color w:val="auto"/>
          <w:szCs w:val="21"/>
          <w:highlight w:val="none"/>
        </w:rPr>
      </w:pPr>
      <w:r>
        <w:rPr>
          <w:rFonts w:hint="eastAsia"/>
          <w:color w:val="auto"/>
          <w:szCs w:val="21"/>
          <w:highlight w:val="none"/>
        </w:rPr>
        <w:t>（2）</w:t>
      </w:r>
      <w:r>
        <w:rPr>
          <w:rFonts w:hint="eastAsia"/>
          <w:color w:val="auto"/>
          <w:szCs w:val="21"/>
          <w:highlight w:val="none"/>
        </w:rPr>
        <w:tab/>
      </w:r>
      <w:r>
        <w:rPr>
          <w:rFonts w:hint="eastAsia"/>
          <w:color w:val="auto"/>
          <w:szCs w:val="21"/>
          <w:highlight w:val="none"/>
        </w:rPr>
        <w:t>质疑项目的名称、编号；</w:t>
      </w:r>
    </w:p>
    <w:p>
      <w:pPr>
        <w:spacing w:before="120" w:line="320" w:lineRule="atLeast"/>
        <w:ind w:firstLine="420" w:firstLineChars="200"/>
        <w:rPr>
          <w:color w:val="auto"/>
          <w:szCs w:val="21"/>
          <w:highlight w:val="none"/>
        </w:rPr>
      </w:pPr>
      <w:r>
        <w:rPr>
          <w:rFonts w:hint="eastAsia"/>
          <w:color w:val="auto"/>
          <w:szCs w:val="21"/>
          <w:highlight w:val="none"/>
        </w:rPr>
        <w:t>（3）</w:t>
      </w:r>
      <w:r>
        <w:rPr>
          <w:rFonts w:hint="eastAsia"/>
          <w:color w:val="auto"/>
          <w:szCs w:val="21"/>
          <w:highlight w:val="none"/>
        </w:rPr>
        <w:tab/>
      </w:r>
      <w:r>
        <w:rPr>
          <w:rFonts w:hint="eastAsia"/>
          <w:color w:val="auto"/>
          <w:szCs w:val="21"/>
          <w:highlight w:val="none"/>
        </w:rPr>
        <w:t>具体、明确的质疑事项和与质疑事项相关的请求；</w:t>
      </w:r>
    </w:p>
    <w:p>
      <w:pPr>
        <w:spacing w:before="120" w:line="320" w:lineRule="atLeast"/>
        <w:ind w:firstLine="420" w:firstLineChars="200"/>
        <w:rPr>
          <w:color w:val="auto"/>
          <w:szCs w:val="21"/>
          <w:highlight w:val="none"/>
        </w:rPr>
      </w:pPr>
      <w:r>
        <w:rPr>
          <w:rFonts w:hint="eastAsia"/>
          <w:color w:val="auto"/>
          <w:szCs w:val="21"/>
          <w:highlight w:val="none"/>
        </w:rPr>
        <w:t>（4）</w:t>
      </w:r>
      <w:r>
        <w:rPr>
          <w:rFonts w:hint="eastAsia"/>
          <w:color w:val="auto"/>
          <w:szCs w:val="21"/>
          <w:highlight w:val="none"/>
        </w:rPr>
        <w:tab/>
      </w:r>
      <w:r>
        <w:rPr>
          <w:rFonts w:hint="eastAsia"/>
          <w:color w:val="auto"/>
          <w:szCs w:val="21"/>
          <w:highlight w:val="none"/>
        </w:rPr>
        <w:t>事实依据；</w:t>
      </w:r>
    </w:p>
    <w:p>
      <w:pPr>
        <w:spacing w:before="120" w:line="320" w:lineRule="atLeast"/>
        <w:ind w:firstLine="420" w:firstLineChars="200"/>
        <w:rPr>
          <w:color w:val="auto"/>
          <w:szCs w:val="21"/>
          <w:highlight w:val="none"/>
        </w:rPr>
      </w:pPr>
      <w:r>
        <w:rPr>
          <w:rFonts w:hint="eastAsia"/>
          <w:color w:val="auto"/>
          <w:szCs w:val="21"/>
          <w:highlight w:val="none"/>
        </w:rPr>
        <w:t>（5）</w:t>
      </w:r>
      <w:r>
        <w:rPr>
          <w:rFonts w:hint="eastAsia"/>
          <w:color w:val="auto"/>
          <w:szCs w:val="21"/>
          <w:highlight w:val="none"/>
        </w:rPr>
        <w:tab/>
      </w:r>
      <w:r>
        <w:rPr>
          <w:rFonts w:hint="eastAsia"/>
          <w:color w:val="auto"/>
          <w:szCs w:val="21"/>
          <w:highlight w:val="none"/>
        </w:rPr>
        <w:t>必要的法律依据；</w:t>
      </w:r>
    </w:p>
    <w:p>
      <w:pPr>
        <w:spacing w:before="120" w:line="320" w:lineRule="atLeast"/>
        <w:ind w:firstLine="420" w:firstLineChars="200"/>
        <w:rPr>
          <w:color w:val="auto"/>
          <w:szCs w:val="21"/>
          <w:highlight w:val="none"/>
        </w:rPr>
      </w:pPr>
      <w:r>
        <w:rPr>
          <w:rFonts w:hint="eastAsia"/>
          <w:color w:val="auto"/>
          <w:szCs w:val="21"/>
          <w:highlight w:val="none"/>
        </w:rPr>
        <w:t>（6）</w:t>
      </w:r>
      <w:r>
        <w:rPr>
          <w:rFonts w:hint="eastAsia"/>
          <w:color w:val="auto"/>
          <w:szCs w:val="21"/>
          <w:highlight w:val="none"/>
        </w:rPr>
        <w:tab/>
      </w:r>
      <w:r>
        <w:rPr>
          <w:rFonts w:hint="eastAsia"/>
          <w:color w:val="auto"/>
          <w:szCs w:val="21"/>
          <w:highlight w:val="none"/>
        </w:rPr>
        <w:t>提出质疑的日期。</w:t>
      </w:r>
    </w:p>
    <w:p>
      <w:pPr>
        <w:spacing w:before="120" w:line="320" w:lineRule="atLeast"/>
        <w:ind w:firstLine="420" w:firstLineChars="200"/>
        <w:rPr>
          <w:color w:val="auto"/>
          <w:szCs w:val="21"/>
          <w:highlight w:val="none"/>
        </w:rPr>
      </w:pPr>
      <w:r>
        <w:rPr>
          <w:rFonts w:hint="eastAsia"/>
          <w:color w:val="auto"/>
          <w:szCs w:val="21"/>
          <w:highlight w:val="none"/>
        </w:rPr>
        <w:t>供应商为自然人的，应当由本人签字；供应商为法人或者其他组织的，应当由法定代表人、主要负责人，或者其授权代表签字或者盖章，并加盖公章。</w:t>
      </w:r>
      <w:r>
        <w:rPr>
          <w:color w:val="auto"/>
          <w:szCs w:val="21"/>
          <w:highlight w:val="none"/>
        </w:rPr>
        <w:t xml:space="preserve"> </w:t>
      </w:r>
    </w:p>
    <w:p>
      <w:pPr>
        <w:spacing w:before="120" w:line="320" w:lineRule="atLeast"/>
        <w:ind w:firstLine="422" w:firstLineChars="200"/>
        <w:outlineLvl w:val="2"/>
        <w:rPr>
          <w:b/>
          <w:bCs/>
          <w:color w:val="auto"/>
          <w:kern w:val="0"/>
          <w:szCs w:val="21"/>
          <w:highlight w:val="none"/>
        </w:rPr>
      </w:pPr>
      <w:r>
        <w:rPr>
          <w:b/>
          <w:bCs/>
          <w:color w:val="auto"/>
          <w:kern w:val="0"/>
          <w:szCs w:val="21"/>
          <w:highlight w:val="none"/>
        </w:rPr>
        <w:t>8.2投诉</w:t>
      </w:r>
    </w:p>
    <w:p>
      <w:pPr>
        <w:spacing w:before="120" w:line="320" w:lineRule="atLeast"/>
        <w:ind w:firstLine="420" w:firstLineChars="200"/>
        <w:rPr>
          <w:color w:val="auto"/>
          <w:szCs w:val="21"/>
          <w:highlight w:val="none"/>
        </w:rPr>
      </w:pPr>
      <w:r>
        <w:rPr>
          <w:color w:val="auto"/>
          <w:szCs w:val="21"/>
          <w:highlight w:val="none"/>
        </w:rPr>
        <w:t>8.2.1供应商对采购人、采购代理机构的答复不满意，或者采购人、采购代理机构未在规定时间内答复的，可在答复期满后15个工作日内按有关规定，向同级财政部门投诉。</w:t>
      </w:r>
    </w:p>
    <w:p>
      <w:pPr>
        <w:spacing w:before="120" w:line="320" w:lineRule="atLeast"/>
        <w:ind w:firstLine="420" w:firstLineChars="200"/>
        <w:rPr>
          <w:color w:val="auto"/>
          <w:szCs w:val="21"/>
          <w:highlight w:val="none"/>
        </w:rPr>
      </w:pPr>
      <w:r>
        <w:rPr>
          <w:color w:val="auto"/>
          <w:szCs w:val="21"/>
          <w:highlight w:val="none"/>
        </w:rPr>
        <w:t>8.2.</w:t>
      </w:r>
      <w:r>
        <w:rPr>
          <w:rFonts w:hint="eastAsia"/>
          <w:color w:val="auto"/>
          <w:szCs w:val="21"/>
          <w:highlight w:val="none"/>
        </w:rPr>
        <w:t>2投诉</w:t>
      </w:r>
      <w:r>
        <w:rPr>
          <w:color w:val="auto"/>
          <w:szCs w:val="21"/>
          <w:highlight w:val="none"/>
        </w:rPr>
        <w:t>书应使用财政部发布的</w:t>
      </w:r>
      <w:r>
        <w:rPr>
          <w:rFonts w:hint="eastAsia"/>
          <w:color w:val="auto"/>
          <w:szCs w:val="21"/>
          <w:highlight w:val="none"/>
        </w:rPr>
        <w:t>政府采购供应投诉书范本，并应按照“投诉书制作说明”进行编写。</w:t>
      </w:r>
    </w:p>
    <w:p>
      <w:pPr>
        <w:spacing w:before="120" w:line="320" w:lineRule="atLeast"/>
        <w:ind w:left="2" w:leftChars="1" w:firstLine="422" w:firstLineChars="200"/>
        <w:outlineLvl w:val="1"/>
        <w:rPr>
          <w:b/>
          <w:bCs/>
          <w:color w:val="auto"/>
          <w:kern w:val="0"/>
          <w:szCs w:val="21"/>
          <w:highlight w:val="none"/>
        </w:rPr>
      </w:pPr>
      <w:r>
        <w:rPr>
          <w:b/>
          <w:bCs/>
          <w:color w:val="auto"/>
          <w:kern w:val="0"/>
          <w:szCs w:val="21"/>
          <w:highlight w:val="none"/>
        </w:rPr>
        <w:t>9．其他事项</w:t>
      </w:r>
    </w:p>
    <w:p>
      <w:pPr>
        <w:spacing w:before="120" w:line="320" w:lineRule="atLeast"/>
        <w:ind w:left="2" w:leftChars="1" w:firstLine="420" w:firstLineChars="200"/>
        <w:rPr>
          <w:color w:val="auto"/>
          <w:szCs w:val="21"/>
          <w:highlight w:val="none"/>
        </w:rPr>
      </w:pPr>
      <w:r>
        <w:rPr>
          <w:color w:val="auto"/>
          <w:szCs w:val="21"/>
          <w:highlight w:val="none"/>
        </w:rPr>
        <w:t>9.1代理服务收费由采购代理机构向中标人收取。签订合同前，中标人应向采购代理机构一次付清代理服务费。</w:t>
      </w:r>
    </w:p>
    <w:p>
      <w:pPr>
        <w:spacing w:before="120" w:line="320" w:lineRule="atLeast"/>
        <w:ind w:left="2" w:leftChars="1" w:firstLine="420" w:firstLineChars="200"/>
        <w:rPr>
          <w:color w:val="auto"/>
          <w:szCs w:val="21"/>
          <w:highlight w:val="none"/>
        </w:rPr>
      </w:pPr>
      <w:r>
        <w:rPr>
          <w:color w:val="auto"/>
          <w:szCs w:val="21"/>
          <w:highlight w:val="none"/>
        </w:rPr>
        <w:t>9.2</w:t>
      </w:r>
      <w:r>
        <w:rPr>
          <w:rFonts w:hint="eastAsia"/>
          <w:color w:val="auto"/>
          <w:szCs w:val="21"/>
          <w:highlight w:val="none"/>
        </w:rPr>
        <w:t>电子交易活动的中止。采购过程中出现以下情形，导致电子交易平台无法正常运行，或者无法保证电子交易的公平、公正和安全时，采购机构可中止电子交易活动：</w:t>
      </w:r>
    </w:p>
    <w:p>
      <w:pPr>
        <w:spacing w:before="120" w:line="276" w:lineRule="auto"/>
        <w:ind w:firstLine="420" w:firstLineChars="200"/>
        <w:rPr>
          <w:color w:val="auto"/>
          <w:szCs w:val="21"/>
          <w:highlight w:val="none"/>
        </w:rPr>
      </w:pPr>
      <w:r>
        <w:rPr>
          <w:rFonts w:hint="eastAsia"/>
          <w:color w:val="auto"/>
          <w:szCs w:val="21"/>
          <w:highlight w:val="none"/>
        </w:rPr>
        <w:t xml:space="preserve">（1）电子交易平台发生故障而无法登录访问的； </w:t>
      </w:r>
    </w:p>
    <w:p>
      <w:pPr>
        <w:spacing w:before="120" w:line="276" w:lineRule="auto"/>
        <w:ind w:firstLine="420" w:firstLineChars="200"/>
        <w:rPr>
          <w:color w:val="auto"/>
          <w:szCs w:val="21"/>
          <w:highlight w:val="none"/>
        </w:rPr>
      </w:pPr>
      <w:r>
        <w:rPr>
          <w:rFonts w:hint="eastAsia"/>
          <w:color w:val="auto"/>
          <w:szCs w:val="21"/>
          <w:highlight w:val="none"/>
        </w:rPr>
        <w:t>（2）电子交易平台应用或数据库出现错误，不能进行正常操作的；</w:t>
      </w:r>
    </w:p>
    <w:p>
      <w:pPr>
        <w:spacing w:before="120" w:line="276" w:lineRule="auto"/>
        <w:ind w:firstLine="420" w:firstLineChars="200"/>
        <w:rPr>
          <w:color w:val="auto"/>
          <w:szCs w:val="21"/>
          <w:highlight w:val="none"/>
        </w:rPr>
      </w:pPr>
      <w:r>
        <w:rPr>
          <w:rFonts w:hint="eastAsia"/>
          <w:color w:val="auto"/>
          <w:szCs w:val="21"/>
          <w:highlight w:val="none"/>
        </w:rPr>
        <w:t>（3）电子交易平台发现严重安全漏洞，有潜在泄密危险的；</w:t>
      </w:r>
    </w:p>
    <w:p>
      <w:pPr>
        <w:spacing w:before="120" w:line="276" w:lineRule="auto"/>
        <w:ind w:firstLine="420" w:firstLineChars="200"/>
        <w:rPr>
          <w:color w:val="auto"/>
          <w:szCs w:val="21"/>
          <w:highlight w:val="none"/>
        </w:rPr>
      </w:pPr>
      <w:r>
        <w:rPr>
          <w:rFonts w:hint="eastAsia"/>
          <w:color w:val="auto"/>
          <w:szCs w:val="21"/>
          <w:highlight w:val="none"/>
        </w:rPr>
        <w:t xml:space="preserve">（4）病毒发作导致不能进行正常操作的； </w:t>
      </w:r>
    </w:p>
    <w:p>
      <w:pPr>
        <w:spacing w:before="120" w:line="276" w:lineRule="auto"/>
        <w:ind w:firstLine="420" w:firstLineChars="200"/>
        <w:rPr>
          <w:color w:val="auto"/>
          <w:szCs w:val="21"/>
          <w:highlight w:val="none"/>
        </w:rPr>
      </w:pPr>
      <w:r>
        <w:rPr>
          <w:rFonts w:hint="eastAsia"/>
          <w:color w:val="auto"/>
          <w:szCs w:val="21"/>
          <w:highlight w:val="none"/>
        </w:rPr>
        <w:t>（</w:t>
      </w:r>
      <w:r>
        <w:rPr>
          <w:color w:val="auto"/>
          <w:szCs w:val="21"/>
          <w:highlight w:val="none"/>
        </w:rPr>
        <w:t>5</w:t>
      </w:r>
      <w:r>
        <w:rPr>
          <w:rFonts w:hint="eastAsia"/>
          <w:color w:val="auto"/>
          <w:szCs w:val="21"/>
          <w:highlight w:val="none"/>
        </w:rPr>
        <w:t>）其他无法保证电子交易的公平、公正和安全的情况。</w:t>
      </w:r>
    </w:p>
    <w:p>
      <w:pPr>
        <w:tabs>
          <w:tab w:val="left" w:pos="4820"/>
        </w:tabs>
        <w:spacing w:before="120" w:line="360" w:lineRule="auto"/>
        <w:ind w:firstLine="420" w:firstLineChars="200"/>
        <w:rPr>
          <w:color w:val="auto"/>
          <w:szCs w:val="21"/>
          <w:highlight w:val="none"/>
        </w:rPr>
      </w:pPr>
      <w:r>
        <w:rPr>
          <w:rFonts w:hint="eastAsia"/>
          <w:color w:val="auto"/>
          <w:szCs w:val="21"/>
          <w:highlight w:val="none"/>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Pr>
          <w:color w:val="auto"/>
          <w:szCs w:val="21"/>
          <w:highlight w:val="none"/>
        </w:rPr>
        <w:t xml:space="preserve"> </w:t>
      </w:r>
    </w:p>
    <w:p>
      <w:pPr>
        <w:spacing w:before="120" w:line="320" w:lineRule="atLeast"/>
        <w:ind w:left="2" w:leftChars="1" w:firstLine="420" w:firstLineChars="200"/>
        <w:rPr>
          <w:color w:val="auto"/>
          <w:szCs w:val="21"/>
          <w:highlight w:val="none"/>
        </w:rPr>
      </w:pPr>
      <w:r>
        <w:rPr>
          <w:color w:val="auto"/>
          <w:szCs w:val="21"/>
          <w:highlight w:val="none"/>
        </w:rPr>
        <w:t>9.3</w:t>
      </w:r>
      <w:r>
        <w:rPr>
          <w:rFonts w:hint="eastAsia"/>
          <w:color w:val="auto"/>
          <w:szCs w:val="21"/>
          <w:highlight w:val="none"/>
        </w:rPr>
        <w:t>本项目的附件及图纸</w:t>
      </w:r>
      <w:r>
        <w:rPr>
          <w:color w:val="auto"/>
          <w:szCs w:val="21"/>
          <w:highlight w:val="none"/>
        </w:rPr>
        <w:t>详见供应商须知前附表</w:t>
      </w:r>
      <w:r>
        <w:rPr>
          <w:rFonts w:hint="eastAsia"/>
          <w:color w:val="auto"/>
          <w:szCs w:val="21"/>
          <w:highlight w:val="none"/>
        </w:rPr>
        <w:t>。</w:t>
      </w:r>
    </w:p>
    <w:p>
      <w:pPr>
        <w:spacing w:before="120" w:line="320" w:lineRule="atLeast"/>
        <w:ind w:left="2" w:leftChars="1" w:firstLine="420" w:firstLineChars="200"/>
        <w:rPr>
          <w:color w:val="auto"/>
          <w:szCs w:val="21"/>
          <w:highlight w:val="none"/>
        </w:rPr>
      </w:pPr>
      <w:r>
        <w:rPr>
          <w:color w:val="auto"/>
          <w:szCs w:val="21"/>
          <w:highlight w:val="none"/>
        </w:rPr>
        <w:t>9.4</w:t>
      </w:r>
      <w:r>
        <w:rPr>
          <w:rFonts w:hint="eastAsia"/>
          <w:color w:val="auto"/>
          <w:szCs w:val="21"/>
          <w:highlight w:val="none"/>
        </w:rPr>
        <w:t>本项目的其他事项</w:t>
      </w:r>
      <w:r>
        <w:rPr>
          <w:color w:val="auto"/>
          <w:szCs w:val="21"/>
          <w:highlight w:val="none"/>
        </w:rPr>
        <w:t>详见供应商须知前附表</w:t>
      </w:r>
      <w:r>
        <w:rPr>
          <w:rFonts w:hint="eastAsia"/>
          <w:color w:val="auto"/>
          <w:szCs w:val="21"/>
          <w:highlight w:val="none"/>
        </w:rPr>
        <w:t>。</w:t>
      </w:r>
    </w:p>
    <w:p>
      <w:pPr>
        <w:spacing w:before="120" w:line="320" w:lineRule="atLeast"/>
        <w:ind w:left="2" w:leftChars="1" w:firstLine="422" w:firstLineChars="200"/>
        <w:outlineLvl w:val="1"/>
        <w:rPr>
          <w:b/>
          <w:bCs/>
          <w:color w:val="auto"/>
          <w:kern w:val="0"/>
          <w:szCs w:val="21"/>
          <w:highlight w:val="none"/>
        </w:rPr>
      </w:pPr>
      <w:r>
        <w:rPr>
          <w:b/>
          <w:bCs/>
          <w:color w:val="auto"/>
          <w:kern w:val="0"/>
          <w:szCs w:val="21"/>
          <w:highlight w:val="none"/>
        </w:rPr>
        <w:t>10．</w:t>
      </w:r>
      <w:r>
        <w:rPr>
          <w:rFonts w:hint="eastAsia"/>
          <w:b/>
          <w:bCs/>
          <w:color w:val="auto"/>
          <w:kern w:val="0"/>
          <w:szCs w:val="21"/>
          <w:highlight w:val="none"/>
        </w:rPr>
        <w:t>其他说明</w:t>
      </w:r>
    </w:p>
    <w:p>
      <w:pPr>
        <w:spacing w:before="120" w:line="320" w:lineRule="atLeast"/>
        <w:ind w:left="2" w:leftChars="1" w:firstLine="420" w:firstLineChars="200"/>
        <w:rPr>
          <w:color w:val="auto"/>
          <w:kern w:val="0"/>
          <w:szCs w:val="21"/>
          <w:highlight w:val="none"/>
        </w:rPr>
      </w:pPr>
      <w:r>
        <w:rPr>
          <w:rFonts w:hint="eastAsia"/>
          <w:color w:val="auto"/>
          <w:kern w:val="0"/>
          <w:szCs w:val="21"/>
          <w:highlight w:val="none"/>
        </w:rPr>
        <w:t>1</w:t>
      </w:r>
      <w:r>
        <w:rPr>
          <w:color w:val="auto"/>
          <w:kern w:val="0"/>
          <w:szCs w:val="21"/>
          <w:highlight w:val="none"/>
        </w:rPr>
        <w:t>0.1</w:t>
      </w:r>
      <w:r>
        <w:rPr>
          <w:rFonts w:hint="eastAsia"/>
          <w:color w:val="auto"/>
          <w:kern w:val="0"/>
          <w:szCs w:val="21"/>
          <w:highlight w:val="none"/>
        </w:rPr>
        <w:t>其余未尽事宜按</w:t>
      </w:r>
      <w:r>
        <w:rPr>
          <w:color w:val="auto"/>
          <w:kern w:val="0"/>
          <w:szCs w:val="21"/>
          <w:highlight w:val="none"/>
        </w:rPr>
        <w:t>《中华人民共和国政府采购法》、《中华人民共和国政府采购法实施条例》</w:t>
      </w:r>
      <w:r>
        <w:rPr>
          <w:rFonts w:hint="eastAsia"/>
          <w:color w:val="auto"/>
          <w:kern w:val="0"/>
          <w:szCs w:val="21"/>
          <w:highlight w:val="none"/>
        </w:rPr>
        <w:t>的相关规定执行。</w:t>
      </w:r>
    </w:p>
    <w:p>
      <w:pPr>
        <w:spacing w:before="120" w:line="320" w:lineRule="atLeast"/>
        <w:ind w:left="2" w:leftChars="1" w:firstLine="420" w:firstLineChars="200"/>
        <w:rPr>
          <w:color w:val="auto"/>
          <w:highlight w:val="none"/>
        </w:rPr>
      </w:pPr>
      <w:r>
        <w:rPr>
          <w:color w:val="auto"/>
          <w:kern w:val="0"/>
          <w:szCs w:val="21"/>
          <w:highlight w:val="none"/>
        </w:rPr>
        <w:t>10.2</w:t>
      </w:r>
      <w:r>
        <w:rPr>
          <w:rFonts w:hint="eastAsia"/>
          <w:color w:val="auto"/>
          <w:highlight w:val="none"/>
        </w:rPr>
        <w:t>本</w:t>
      </w:r>
      <w:r>
        <w:rPr>
          <w:color w:val="auto"/>
          <w:highlight w:val="none"/>
        </w:rPr>
        <w:t>招标文件是根据国家有关法律及有关政策、法规和参照国际惯例编制，解释权属采购代理机构。</w:t>
      </w:r>
    </w:p>
    <w:p>
      <w:pPr>
        <w:rPr>
          <w:rFonts w:ascii="Arial" w:hAnsi="Arial" w:cs="Arial"/>
          <w:color w:val="auto"/>
          <w:highlight w:val="none"/>
        </w:rPr>
      </w:pPr>
      <w:r>
        <w:rPr>
          <w:rFonts w:ascii="Arial" w:hAnsi="Arial" w:cs="Arial"/>
          <w:color w:val="auto"/>
          <w:highlight w:val="none"/>
        </w:rPr>
        <w:br w:type="page"/>
      </w:r>
    </w:p>
    <w:bookmarkEnd w:id="25"/>
    <w:p>
      <w:pPr>
        <w:rPr>
          <w:rFonts w:ascii="Arial" w:hAnsi="Arial" w:cs="Arial"/>
          <w:color w:val="auto"/>
          <w:szCs w:val="21"/>
          <w:highlight w:val="none"/>
        </w:rPr>
      </w:pPr>
    </w:p>
    <w:p>
      <w:pPr>
        <w:pStyle w:val="28"/>
        <w:snapToGrid w:val="0"/>
        <w:spacing w:before="120" w:after="120" w:line="320" w:lineRule="exact"/>
        <w:jc w:val="center"/>
        <w:outlineLvl w:val="0"/>
        <w:rPr>
          <w:rFonts w:ascii="Arial" w:hAnsi="Arial" w:cs="Arial"/>
          <w:color w:val="auto"/>
          <w:sz w:val="32"/>
          <w:szCs w:val="32"/>
          <w:highlight w:val="none"/>
        </w:rPr>
      </w:pPr>
      <w:bookmarkStart w:id="79" w:name="_Toc32204"/>
      <w:bookmarkStart w:id="80" w:name="_Toc254970690"/>
      <w:bookmarkStart w:id="81" w:name="_Toc254970549"/>
      <w:r>
        <w:rPr>
          <w:rFonts w:ascii="Arial" w:hAnsi="Arial" w:cs="Arial"/>
          <w:color w:val="auto"/>
          <w:sz w:val="32"/>
          <w:szCs w:val="32"/>
          <w:highlight w:val="none"/>
        </w:rPr>
        <w:t>第四章  评标方法及评标标准</w:t>
      </w:r>
      <w:bookmarkEnd w:id="79"/>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一、评标方法</w:t>
      </w:r>
    </w:p>
    <w:p>
      <w:pPr>
        <w:spacing w:before="120" w:line="320" w:lineRule="atLeast"/>
        <w:ind w:firstLine="411" w:firstLineChars="196"/>
        <w:outlineLvl w:val="1"/>
        <w:rPr>
          <w:rFonts w:ascii="Arial" w:hAnsi="Arial" w:cs="Arial"/>
          <w:bCs/>
          <w:color w:val="auto"/>
          <w:kern w:val="0"/>
          <w:szCs w:val="21"/>
          <w:highlight w:val="none"/>
        </w:rPr>
      </w:pPr>
      <w:r>
        <w:rPr>
          <w:rFonts w:ascii="Arial" w:hAnsi="Arial" w:cs="Arial"/>
          <w:bCs/>
          <w:color w:val="auto"/>
          <w:kern w:val="0"/>
          <w:szCs w:val="21"/>
          <w:highlight w:val="none"/>
        </w:rPr>
        <w:t>1、评标方法</w:t>
      </w:r>
    </w:p>
    <w:p>
      <w:pPr>
        <w:suppressAutoHyphens/>
        <w:spacing w:before="120" w:line="320" w:lineRule="atLeast"/>
        <w:ind w:firstLine="420" w:firstLineChars="200"/>
        <w:rPr>
          <w:rFonts w:ascii="Arial" w:hAnsi="Arial" w:cs="Arial"/>
          <w:color w:val="auto"/>
          <w:highlight w:val="none"/>
        </w:rPr>
      </w:pPr>
      <w:r>
        <w:rPr>
          <w:rFonts w:ascii="Arial" w:hAnsi="Arial" w:cs="Arial"/>
          <w:color w:val="auto"/>
          <w:highlight w:val="none"/>
        </w:rPr>
        <w:t>本项目采用综合评分法进行评标。综合评分法，是指投标文件满足招标文件全部实质性要求且按照评标因素的量化指标评标得分最高的供应商为中标候选人的评标方法。</w:t>
      </w:r>
    </w:p>
    <w:p>
      <w:pPr>
        <w:spacing w:before="120" w:line="320" w:lineRule="atLeast"/>
        <w:ind w:firstLine="411" w:firstLineChars="196"/>
        <w:outlineLvl w:val="1"/>
        <w:rPr>
          <w:rFonts w:ascii="Arial" w:hAnsi="Arial" w:cs="Arial"/>
          <w:color w:val="auto"/>
          <w:szCs w:val="21"/>
          <w:highlight w:val="none"/>
        </w:rPr>
      </w:pPr>
      <w:r>
        <w:rPr>
          <w:rFonts w:ascii="Arial" w:hAnsi="Arial" w:cs="Arial"/>
          <w:color w:val="auto"/>
          <w:szCs w:val="21"/>
          <w:highlight w:val="none"/>
        </w:rPr>
        <w:t>2、评标依据</w:t>
      </w:r>
    </w:p>
    <w:p>
      <w:pPr>
        <w:suppressAutoHyphens/>
        <w:spacing w:before="120" w:line="320" w:lineRule="atLeast"/>
        <w:ind w:firstLine="420" w:firstLineChars="200"/>
        <w:rPr>
          <w:rFonts w:ascii="Arial" w:hAnsi="Arial" w:cs="Arial"/>
          <w:color w:val="auto"/>
          <w:highlight w:val="none"/>
        </w:rPr>
      </w:pPr>
      <w:r>
        <w:rPr>
          <w:rFonts w:ascii="Arial" w:hAnsi="Arial" w:cs="Arial"/>
          <w:color w:val="auto"/>
          <w:highlight w:val="none"/>
        </w:rPr>
        <w:t>评标委员会以招标文件、补充文件、投标文件、澄清及答复为评标依据。</w:t>
      </w:r>
    </w:p>
    <w:p>
      <w:pPr>
        <w:spacing w:before="120" w:line="320" w:lineRule="atLeast"/>
        <w:ind w:firstLine="411" w:firstLineChars="196"/>
        <w:outlineLvl w:val="1"/>
        <w:rPr>
          <w:rFonts w:ascii="Arial" w:hAnsi="Arial" w:cs="Arial"/>
          <w:color w:val="auto"/>
          <w:szCs w:val="21"/>
          <w:highlight w:val="none"/>
        </w:rPr>
      </w:pPr>
      <w:r>
        <w:rPr>
          <w:rFonts w:ascii="Arial" w:hAnsi="Arial" w:cs="Arial"/>
          <w:color w:val="auto"/>
          <w:szCs w:val="21"/>
          <w:highlight w:val="none"/>
        </w:rPr>
        <w:t>3、评标委员会</w:t>
      </w:r>
      <w:bookmarkStart w:id="82" w:name="_Hlk19051932"/>
    </w:p>
    <w:p>
      <w:pPr>
        <w:suppressAutoHyphens/>
        <w:spacing w:before="120" w:line="320" w:lineRule="atLeast"/>
        <w:ind w:firstLine="420" w:firstLineChars="200"/>
        <w:rPr>
          <w:rFonts w:ascii="Arial" w:hAnsi="Arial" w:cs="Arial"/>
          <w:color w:val="auto"/>
          <w:highlight w:val="none"/>
        </w:rPr>
      </w:pPr>
      <w:r>
        <w:rPr>
          <w:rFonts w:ascii="Arial" w:hAnsi="Arial" w:cs="Arial"/>
          <w:color w:val="auto"/>
          <w:highlight w:val="none"/>
        </w:rPr>
        <w:t>本项目评标委员会由政府采购评审专家和采购人代表组成。</w:t>
      </w:r>
      <w:bookmarkEnd w:id="82"/>
      <w:bookmarkStart w:id="83" w:name="_Hlk19051968"/>
      <w:r>
        <w:rPr>
          <w:rFonts w:ascii="Arial" w:hAnsi="Arial" w:cs="Arial"/>
          <w:color w:val="auto"/>
          <w:highlight w:val="none"/>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83"/>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二、评标程序</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1、</w:t>
      </w:r>
      <w:bookmarkStart w:id="84" w:name="_Hlk19175507"/>
      <w:r>
        <w:rPr>
          <w:rFonts w:ascii="Arial" w:hAnsi="Arial" w:cs="Arial"/>
          <w:color w:val="auto"/>
          <w:szCs w:val="21"/>
          <w:highlight w:val="none"/>
        </w:rPr>
        <w:t>初步评审：初步评审包括资格检查及符合性检查。</w:t>
      </w:r>
      <w:bookmarkEnd w:id="84"/>
    </w:p>
    <w:p>
      <w:pPr>
        <w:suppressAutoHyphens/>
        <w:spacing w:before="120" w:line="320" w:lineRule="atLeast"/>
        <w:ind w:firstLine="420" w:firstLineChars="200"/>
        <w:rPr>
          <w:rFonts w:ascii="Arial" w:hAnsi="Arial" w:cs="Arial"/>
          <w:bCs/>
          <w:color w:val="auto"/>
          <w:kern w:val="1"/>
          <w:szCs w:val="21"/>
          <w:highlight w:val="none"/>
        </w:rPr>
      </w:pPr>
      <w:r>
        <w:rPr>
          <w:rFonts w:ascii="Arial" w:hAnsi="Arial" w:cs="Arial"/>
          <w:bCs/>
          <w:color w:val="auto"/>
          <w:kern w:val="1"/>
          <w:szCs w:val="21"/>
          <w:highlight w:val="none"/>
        </w:rPr>
        <w:t>2、澄清（如需要）。</w:t>
      </w:r>
    </w:p>
    <w:p>
      <w:pPr>
        <w:suppressAutoHyphens/>
        <w:spacing w:before="120" w:line="320" w:lineRule="atLeast"/>
        <w:ind w:firstLine="420" w:firstLineChars="200"/>
        <w:rPr>
          <w:rFonts w:ascii="Arial" w:hAnsi="Arial" w:cs="Arial"/>
          <w:bCs/>
          <w:color w:val="auto"/>
          <w:kern w:val="1"/>
          <w:szCs w:val="21"/>
          <w:highlight w:val="none"/>
        </w:rPr>
      </w:pPr>
      <w:r>
        <w:rPr>
          <w:rFonts w:ascii="Arial" w:hAnsi="Arial" w:cs="Arial"/>
          <w:bCs/>
          <w:color w:val="auto"/>
          <w:kern w:val="1"/>
          <w:szCs w:val="21"/>
          <w:highlight w:val="none"/>
        </w:rPr>
        <w:t>3、详细评审。</w:t>
      </w:r>
    </w:p>
    <w:p>
      <w:pPr>
        <w:suppressAutoHyphens/>
        <w:spacing w:before="120" w:line="320" w:lineRule="atLeast"/>
        <w:ind w:firstLine="420" w:firstLineChars="200"/>
        <w:rPr>
          <w:rFonts w:ascii="Arial" w:hAnsi="Arial" w:cs="Arial"/>
          <w:color w:val="auto"/>
          <w:szCs w:val="21"/>
          <w:highlight w:val="none"/>
        </w:rPr>
      </w:pPr>
      <w:r>
        <w:rPr>
          <w:rFonts w:ascii="Arial" w:hAnsi="Arial" w:cs="Arial"/>
          <w:bCs/>
          <w:color w:val="auto"/>
          <w:kern w:val="1"/>
          <w:szCs w:val="21"/>
          <w:highlight w:val="none"/>
        </w:rPr>
        <w:t>4、推荐中标候选人。</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三、特别说明：</w:t>
      </w:r>
    </w:p>
    <w:p>
      <w:pPr>
        <w:tabs>
          <w:tab w:val="left" w:pos="2190"/>
        </w:tabs>
        <w:spacing w:line="370" w:lineRule="exact"/>
        <w:ind w:firstLine="435"/>
        <w:rPr>
          <w:rFonts w:ascii="Arial" w:hAnsi="Arial" w:cs="Arial"/>
          <w:b/>
          <w:color w:val="auto"/>
          <w:szCs w:val="21"/>
          <w:highlight w:val="none"/>
        </w:rPr>
      </w:pPr>
      <w:r>
        <w:rPr>
          <w:rFonts w:ascii="Arial" w:hAnsi="Arial" w:cs="Arial"/>
          <w:b/>
          <w:color w:val="auto"/>
          <w:szCs w:val="21"/>
          <w:highlight w:val="none"/>
        </w:rPr>
        <w:t>1、注意事项：本项目实行电子投标，供应商应准备电子投标文件。</w:t>
      </w:r>
    </w:p>
    <w:p>
      <w:pPr>
        <w:tabs>
          <w:tab w:val="left" w:pos="2190"/>
        </w:tabs>
        <w:spacing w:line="370" w:lineRule="exact"/>
        <w:ind w:firstLine="435"/>
        <w:rPr>
          <w:rFonts w:ascii="Arial" w:hAnsi="Arial" w:cs="Arial"/>
          <w:b/>
          <w:bCs/>
          <w:color w:val="auto"/>
          <w:kern w:val="0"/>
          <w:szCs w:val="21"/>
          <w:highlight w:val="none"/>
        </w:rPr>
      </w:pPr>
      <w:r>
        <w:rPr>
          <w:rFonts w:ascii="Arial" w:hAnsi="Arial" w:cs="Arial"/>
          <w:b/>
          <w:color w:val="auto"/>
          <w:szCs w:val="21"/>
          <w:highlight w:val="none"/>
        </w:rPr>
        <w:t>2、电子投标文件按</w:t>
      </w:r>
      <w:r>
        <w:rPr>
          <w:rFonts w:hint="eastAsia" w:ascii="Arial" w:hAnsi="Arial" w:cs="Arial"/>
          <w:b/>
          <w:color w:val="auto"/>
          <w:szCs w:val="21"/>
          <w:highlight w:val="none"/>
        </w:rPr>
        <w:t>广西政府采购云平台</w:t>
      </w:r>
      <w:r>
        <w:rPr>
          <w:rFonts w:ascii="Arial" w:hAnsi="Arial" w:cs="Arial"/>
          <w:b/>
          <w:color w:val="auto"/>
          <w:szCs w:val="21"/>
          <w:highlight w:val="none"/>
        </w:rPr>
        <w:t>要求及本招标文件要求制作、加密并递交。具体操作流程可参考《政府采购项目电子交易管理操作指南-供应商》，指南可在 “http://www.ccgp-guangxi.gov.cn/PurchaseAdvisory/ImportantNotice/2866753.html”下载。</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3、供应商提供的以下相关证明材料属于“必须提供”的</w:t>
      </w:r>
      <w:r>
        <w:rPr>
          <w:rFonts w:ascii="Arial" w:hAnsi="Arial" w:cs="Arial"/>
          <w:b/>
          <w:color w:val="auto"/>
          <w:sz w:val="24"/>
          <w:highlight w:val="none"/>
        </w:rPr>
        <w:t>文件</w:t>
      </w:r>
      <w:r>
        <w:rPr>
          <w:rFonts w:ascii="Arial" w:hAnsi="Arial" w:cs="Arial"/>
          <w:b/>
          <w:bCs/>
          <w:color w:val="auto"/>
          <w:kern w:val="0"/>
          <w:szCs w:val="21"/>
          <w:highlight w:val="none"/>
        </w:rPr>
        <w:t>应加盖供应商公章（CA签章）/自然人签字或加盖个人CA签章，否则投标无效。</w:t>
      </w:r>
    </w:p>
    <w:p>
      <w:pPr>
        <w:pStyle w:val="28"/>
        <w:spacing w:line="370" w:lineRule="exact"/>
        <w:ind w:firstLine="420"/>
        <w:rPr>
          <w:rFonts w:ascii="Arial" w:hAnsi="Arial" w:cs="Arial"/>
          <w:b/>
          <w:bCs/>
          <w:color w:val="auto"/>
          <w:highlight w:val="none"/>
        </w:rPr>
      </w:pPr>
      <w:r>
        <w:rPr>
          <w:rFonts w:ascii="Arial" w:hAnsi="Arial" w:cs="Arial"/>
          <w:b/>
          <w:bCs/>
          <w:color w:val="auto"/>
          <w:kern w:val="0"/>
          <w:highlight w:val="none"/>
        </w:rPr>
        <w:t>4、</w:t>
      </w:r>
      <w:r>
        <w:rPr>
          <w:rFonts w:ascii="Arial" w:hAnsi="Arial" w:cs="Arial"/>
          <w:b/>
          <w:bCs/>
          <w:color w:val="auto"/>
          <w:highlight w:val="none"/>
        </w:rPr>
        <w:t>投标文件（电子响应文件），其中电子投标文件中所须加盖公章部分均采用CA签章。若招标文件中有专门标注的某关联点，并要求供应商在电子投标系统中作出响应的，如供应商未对关联点进行响应或者在投标文件其它内容进行描述，造成电子评审不能查询的责任由供应商自行承担。</w:t>
      </w:r>
    </w:p>
    <w:p>
      <w:pPr>
        <w:pStyle w:val="28"/>
        <w:spacing w:line="370" w:lineRule="exact"/>
        <w:ind w:firstLine="420"/>
        <w:rPr>
          <w:rFonts w:ascii="Arial" w:hAnsi="Arial" w:cs="Arial"/>
          <w:b/>
          <w:bCs/>
          <w:color w:val="auto"/>
          <w:highlight w:val="none"/>
        </w:rPr>
      </w:pPr>
      <w:r>
        <w:rPr>
          <w:rFonts w:ascii="Arial" w:hAnsi="Arial" w:cs="Arial"/>
          <w:b/>
          <w:bCs/>
          <w:color w:val="auto"/>
          <w:highlight w:val="none"/>
        </w:rPr>
        <w:t>5、招标文件要求法定代表人（负责人）或委托代理人签字的部分必须签字然后扫描或者拍照做成 pdf 格式上传（或加盖个人CA签章），无签字的视为投标无效。</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6、电子投标文件中须加盖供应商公章部分均采用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 漏读，或者在按招标文件规定的部位查找不到相关内容的，由供应商自行承担。</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7、供应商法人（负责人）或授权代表持有政采云个人CA签章的，应在投标文件中涉及到签字的位置使用个人CA签章，没有办理政采云个人CA签章的可在投标文件中涉及到签字的位置手写签字后扫描或者拍照做成 PDF 的格式上传即可。</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8、投标文件不得涂改，若有修改错漏处，须法定代表人（负责人）或授权委托人签字（或个人CA签章）。投标文件因字迹潦草或表达不清所引起的后果由供应商负责。</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9、本项目实行网上评审，采用电子投标文件；若供应商参与投标，自行承担投标一切费用。各供应商在截标前应确保成为</w:t>
      </w:r>
      <w:r>
        <w:rPr>
          <w:rFonts w:hint="eastAsia" w:ascii="Arial" w:hAnsi="Arial" w:cs="Arial"/>
          <w:b/>
          <w:bCs/>
          <w:color w:val="auto"/>
          <w:kern w:val="0"/>
          <w:szCs w:val="21"/>
          <w:highlight w:val="none"/>
        </w:rPr>
        <w:t>广西政府采购云平台</w:t>
      </w:r>
      <w:r>
        <w:rPr>
          <w:rFonts w:ascii="Arial" w:hAnsi="Arial" w:cs="Arial"/>
          <w:b/>
          <w:bCs/>
          <w:color w:val="auto"/>
          <w:kern w:val="0"/>
          <w:szCs w:val="21"/>
          <w:highlight w:val="none"/>
        </w:rPr>
        <w:t>正式注册入库供应商，并完成 CA 数字证书申领。因未注册入库、未办理 CA 数字证书等原因造成无法投标或投标失败等后果由供应商自行承担。供应商将政采云电子交易客户端下载、安装完成后，可通过账号密码或 CA 登录客户端进行投标文件制作。客户端请至网站下载专区查看，如有问题可拨打政采云客户服务热线</w:t>
      </w:r>
      <w:r>
        <w:rPr>
          <w:rFonts w:hint="eastAsia" w:ascii="Arial" w:hAnsi="Arial" w:cs="Arial"/>
          <w:b/>
          <w:bCs/>
          <w:color w:val="auto"/>
          <w:kern w:val="0"/>
          <w:szCs w:val="21"/>
          <w:highlight w:val="none"/>
        </w:rPr>
        <w:t>95763</w:t>
      </w:r>
      <w:r>
        <w:rPr>
          <w:rFonts w:ascii="Arial" w:hAnsi="Arial" w:cs="Arial"/>
          <w:b/>
          <w:bCs/>
          <w:color w:val="auto"/>
          <w:kern w:val="0"/>
          <w:szCs w:val="21"/>
          <w:highlight w:val="none"/>
        </w:rPr>
        <w:t xml:space="preserve"> 进行咨询。</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10、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如有特殊情况，采购代理机构延长截止时间和开标时间，采购代理机构和供应商的权利和义务将受到新的截止时间和开标时间的约束。</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四、评标内容</w:t>
      </w:r>
    </w:p>
    <w:p>
      <w:pPr>
        <w:spacing w:before="120" w:line="320" w:lineRule="atLeast"/>
        <w:ind w:firstLine="551" w:firstLineChars="196"/>
        <w:jc w:val="center"/>
        <w:outlineLvl w:val="1"/>
        <w:rPr>
          <w:rFonts w:ascii="Arial" w:hAnsi="Arial" w:cs="Arial"/>
          <w:b/>
          <w:bCs/>
          <w:color w:val="auto"/>
          <w:kern w:val="0"/>
          <w:sz w:val="28"/>
          <w:szCs w:val="28"/>
          <w:highlight w:val="none"/>
        </w:rPr>
      </w:pPr>
      <w:bookmarkStart w:id="85" w:name="_Hlk19052412"/>
      <w:r>
        <w:rPr>
          <w:rFonts w:ascii="Arial" w:hAnsi="Arial" w:cs="Arial"/>
          <w:b/>
          <w:bCs/>
          <w:color w:val="auto"/>
          <w:kern w:val="0"/>
          <w:sz w:val="28"/>
          <w:szCs w:val="28"/>
          <w:highlight w:val="none"/>
        </w:rPr>
        <w:t>1、资格审查</w:t>
      </w:r>
    </w:p>
    <w:p>
      <w:pPr>
        <w:suppressAutoHyphens/>
        <w:spacing w:before="120" w:line="320" w:lineRule="atLeast"/>
        <w:ind w:firstLine="420" w:firstLineChars="200"/>
        <w:rPr>
          <w:rFonts w:ascii="Arial" w:hAnsi="Arial" w:cs="Arial"/>
          <w:color w:val="auto"/>
          <w:szCs w:val="21"/>
          <w:highlight w:val="none"/>
        </w:rPr>
      </w:pPr>
      <w:r>
        <w:rPr>
          <w:rFonts w:ascii="Arial" w:hAnsi="Arial" w:cs="Arial"/>
          <w:color w:val="auto"/>
          <w:highlight w:val="none"/>
        </w:rPr>
        <w:t>采购人代表对所有供应商的投标文件进行资格审查。</w:t>
      </w:r>
      <w:r>
        <w:rPr>
          <w:rFonts w:ascii="Arial" w:hAnsi="Arial" w:cs="Arial"/>
          <w:color w:val="auto"/>
          <w:szCs w:val="21"/>
          <w:highlight w:val="none"/>
        </w:rPr>
        <w:t>以确定供应商是否具备投标资格。资格审查表如下，缺少任何一项或有任何一项不合格者，其资格审查视为不合格。</w:t>
      </w:r>
    </w:p>
    <w:p>
      <w:pPr>
        <w:suppressAutoHyphens/>
        <w:spacing w:before="120" w:line="288" w:lineRule="auto"/>
        <w:ind w:firstLine="440" w:firstLineChars="200"/>
        <w:rPr>
          <w:rFonts w:ascii="Arial" w:hAnsi="Arial" w:cs="Arial"/>
          <w:color w:val="auto"/>
          <w:highlight w:val="none"/>
        </w:rPr>
      </w:pPr>
      <w:r>
        <w:rPr>
          <w:rFonts w:ascii="Arial" w:hAnsi="Arial" w:cs="Arial"/>
          <w:color w:val="auto"/>
          <w:sz w:val="22"/>
          <w:szCs w:val="22"/>
          <w:highlight w:val="none"/>
        </w:rPr>
        <w:t>1.1</w:t>
      </w:r>
      <w:r>
        <w:rPr>
          <w:rFonts w:ascii="Arial" w:hAnsi="Arial" w:cs="Arial"/>
          <w:b/>
          <w:bCs/>
          <w:color w:val="auto"/>
          <w:sz w:val="22"/>
          <w:szCs w:val="22"/>
          <w:highlight w:val="none"/>
        </w:rPr>
        <w:t>供应商具备有效的“营业执照”或“事业单位法人证书”或“自然人的身份证明”副本复印件。</w:t>
      </w:r>
    </w:p>
    <w:p>
      <w:pPr>
        <w:suppressAutoHyphens/>
        <w:spacing w:before="120" w:line="288" w:lineRule="auto"/>
        <w:ind w:firstLine="420" w:firstLineChars="200"/>
        <w:rPr>
          <w:rFonts w:ascii="Arial" w:hAnsi="Arial" w:cs="Arial"/>
          <w:color w:val="auto"/>
          <w:highlight w:val="none"/>
        </w:rPr>
      </w:pPr>
      <w:r>
        <w:rPr>
          <w:rFonts w:ascii="Arial" w:hAnsi="Arial" w:cs="Arial"/>
          <w:color w:val="auto"/>
          <w:szCs w:val="21"/>
          <w:highlight w:val="none"/>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p>
      <w:pPr>
        <w:suppressAutoHyphens/>
        <w:spacing w:before="120" w:line="288" w:lineRule="auto"/>
        <w:ind w:firstLine="440" w:firstLineChars="200"/>
        <w:rPr>
          <w:rFonts w:ascii="Arial" w:hAnsi="Arial" w:cs="Arial"/>
          <w:color w:val="auto"/>
          <w:szCs w:val="21"/>
          <w:highlight w:val="none"/>
        </w:rPr>
      </w:pPr>
      <w:r>
        <w:rPr>
          <w:rFonts w:ascii="Arial" w:hAnsi="Arial" w:cs="Arial"/>
          <w:color w:val="auto"/>
          <w:sz w:val="22"/>
          <w:szCs w:val="22"/>
          <w:highlight w:val="none"/>
        </w:rPr>
        <w:t>1.</w:t>
      </w:r>
      <w:r>
        <w:rPr>
          <w:rFonts w:hint="eastAsia" w:ascii="Arial" w:hAnsi="Arial" w:cs="Arial"/>
          <w:color w:val="auto"/>
          <w:sz w:val="22"/>
          <w:szCs w:val="22"/>
          <w:highlight w:val="none"/>
        </w:rPr>
        <w:t xml:space="preserve">2 </w:t>
      </w:r>
      <w:r>
        <w:rPr>
          <w:rFonts w:ascii="Arial" w:hAnsi="Arial" w:cs="Arial"/>
          <w:b/>
          <w:bCs/>
          <w:color w:val="auto"/>
          <w:sz w:val="22"/>
          <w:szCs w:val="22"/>
          <w:highlight w:val="none"/>
        </w:rPr>
        <w:t>供应商202</w:t>
      </w:r>
      <w:r>
        <w:rPr>
          <w:rFonts w:hint="eastAsia" w:ascii="Arial" w:hAnsi="Arial" w:cs="Arial"/>
          <w:b/>
          <w:bCs/>
          <w:color w:val="auto"/>
          <w:sz w:val="22"/>
          <w:szCs w:val="22"/>
          <w:highlight w:val="none"/>
        </w:rPr>
        <w:t>2</w:t>
      </w:r>
      <w:r>
        <w:rPr>
          <w:rFonts w:ascii="Arial" w:hAnsi="Arial" w:cs="Arial"/>
          <w:b/>
          <w:bCs/>
          <w:color w:val="auto"/>
          <w:sz w:val="22"/>
          <w:szCs w:val="22"/>
          <w:highlight w:val="none"/>
        </w:rPr>
        <w:t>年度财务状况报告（表）复印件或</w:t>
      </w:r>
      <w:r>
        <w:rPr>
          <w:rFonts w:hint="eastAsia" w:ascii="Arial" w:hAnsi="Arial" w:cs="Arial"/>
          <w:b/>
          <w:bCs/>
          <w:color w:val="auto"/>
          <w:sz w:val="22"/>
          <w:szCs w:val="22"/>
          <w:highlight w:val="none"/>
        </w:rPr>
        <w:t>2023年</w:t>
      </w:r>
      <w:r>
        <w:rPr>
          <w:rFonts w:ascii="Arial" w:hAnsi="Arial" w:cs="Arial"/>
          <w:b/>
          <w:bCs/>
          <w:color w:val="auto"/>
          <w:sz w:val="22"/>
          <w:szCs w:val="22"/>
          <w:highlight w:val="none"/>
        </w:rPr>
        <w:t>银行出具的资信证明复印件。</w:t>
      </w:r>
      <w:r>
        <w:rPr>
          <w:rFonts w:ascii="Arial" w:hAnsi="Arial" w:cs="Arial"/>
          <w:color w:val="auto"/>
          <w:szCs w:val="21"/>
          <w:highlight w:val="none"/>
        </w:rPr>
        <w:t>对于从取得营业执照时间起到投标文件递交截止时间为止不足1年的供应商，只需提交投标文件递交截止时间前一个月的财务状况报告（表）复印件。</w:t>
      </w:r>
    </w:p>
    <w:p>
      <w:pPr>
        <w:suppressAutoHyphens/>
        <w:spacing w:before="120" w:line="288" w:lineRule="auto"/>
        <w:ind w:firstLine="440" w:firstLineChars="200"/>
        <w:rPr>
          <w:rFonts w:ascii="Arial" w:hAnsi="Arial" w:cs="Arial"/>
          <w:color w:val="auto"/>
          <w:szCs w:val="21"/>
          <w:highlight w:val="none"/>
          <w:lang w:val="zh-CN"/>
        </w:rPr>
      </w:pPr>
      <w:r>
        <w:rPr>
          <w:rFonts w:ascii="Arial" w:hAnsi="Arial" w:cs="Arial"/>
          <w:color w:val="auto"/>
          <w:sz w:val="22"/>
          <w:szCs w:val="22"/>
          <w:highlight w:val="none"/>
        </w:rPr>
        <w:t>1.</w:t>
      </w:r>
      <w:r>
        <w:rPr>
          <w:rFonts w:hint="eastAsia" w:ascii="Arial" w:hAnsi="Arial" w:cs="Arial"/>
          <w:color w:val="auto"/>
          <w:sz w:val="22"/>
          <w:szCs w:val="22"/>
          <w:highlight w:val="none"/>
        </w:rPr>
        <w:t>3</w:t>
      </w:r>
      <w:r>
        <w:rPr>
          <w:rFonts w:ascii="Arial" w:hAnsi="Arial" w:cs="Arial"/>
          <w:b/>
          <w:bCs/>
          <w:color w:val="auto"/>
          <w:sz w:val="22"/>
          <w:szCs w:val="22"/>
          <w:highlight w:val="none"/>
          <w:lang w:val="zh-CN"/>
        </w:rPr>
        <w:t>①投标截止时间前6个月内，供应商任意1个月依法缴纳税费证明复印件。②投标截止时间前6个月内，供应商任意1个月的社保缴费证明记录复印件。</w:t>
      </w:r>
      <w:r>
        <w:rPr>
          <w:rFonts w:ascii="Arial" w:hAnsi="Arial" w:cs="Arial"/>
          <w:color w:val="auto"/>
          <w:szCs w:val="21"/>
          <w:highlight w:val="none"/>
          <w:lang w:val="zh-CN"/>
        </w:rPr>
        <w:t>供应商成立不足1个月的，无须提供缴纳税费证明及社保缴费证明。依法免税或不需要缴纳社会保障资金的供应商，须提供相应文件证明其依法免税或不需要缴纳社会保障资金。</w:t>
      </w:r>
    </w:p>
    <w:p>
      <w:pPr>
        <w:suppressAutoHyphens/>
        <w:spacing w:before="120" w:line="288" w:lineRule="auto"/>
        <w:ind w:firstLine="442" w:firstLineChars="200"/>
        <w:rPr>
          <w:rFonts w:ascii="Arial" w:hAnsi="Arial" w:cs="Arial"/>
          <w:color w:val="auto"/>
          <w:szCs w:val="21"/>
          <w:highlight w:val="none"/>
        </w:rPr>
      </w:pPr>
      <w:r>
        <w:rPr>
          <w:rFonts w:hint="eastAsia" w:ascii="Arial" w:hAnsi="Arial" w:cs="Arial"/>
          <w:b/>
          <w:bCs/>
          <w:color w:val="auto"/>
          <w:sz w:val="22"/>
          <w:szCs w:val="22"/>
          <w:highlight w:val="none"/>
        </w:rPr>
        <w:t>1.4</w:t>
      </w:r>
      <w:r>
        <w:rPr>
          <w:rFonts w:ascii="Arial" w:hAnsi="Arial" w:cs="Arial"/>
          <w:b/>
          <w:bCs/>
          <w:color w:val="auto"/>
          <w:sz w:val="22"/>
          <w:szCs w:val="22"/>
          <w:highlight w:val="none"/>
        </w:rPr>
        <w:t>审查无重大违法记录声明。须提供，格式见第六章投标文件格式“投标声明书”。</w:t>
      </w:r>
      <w:r>
        <w:rPr>
          <w:rFonts w:ascii="Arial" w:hAnsi="Arial" w:cs="Arial"/>
          <w:color w:val="auto"/>
          <w:szCs w:val="21"/>
          <w:highlight w:val="none"/>
        </w:rPr>
        <w:t>一旦发现供应商提供的投标声明书不实时，则按照《政府采购法》有关提供虚假材料的规定给予处罚。</w:t>
      </w:r>
    </w:p>
    <w:p>
      <w:pPr>
        <w:suppressAutoHyphens/>
        <w:spacing w:before="120" w:line="288" w:lineRule="auto"/>
        <w:ind w:firstLine="442" w:firstLineChars="200"/>
        <w:rPr>
          <w:rFonts w:ascii="Arial" w:hAnsi="Arial" w:cs="Arial"/>
          <w:color w:val="auto"/>
          <w:szCs w:val="21"/>
          <w:highlight w:val="none"/>
          <w:lang w:val="zh-CN"/>
        </w:rPr>
      </w:pPr>
      <w:r>
        <w:rPr>
          <w:rFonts w:ascii="Arial" w:hAnsi="Arial" w:cs="Arial"/>
          <w:b/>
          <w:bCs/>
          <w:color w:val="auto"/>
          <w:sz w:val="22"/>
          <w:szCs w:val="22"/>
          <w:highlight w:val="none"/>
        </w:rPr>
        <w:t>1.</w:t>
      </w:r>
      <w:r>
        <w:rPr>
          <w:rFonts w:hint="eastAsia" w:ascii="Arial" w:hAnsi="Arial" w:cs="Arial"/>
          <w:b/>
          <w:bCs/>
          <w:color w:val="auto"/>
          <w:sz w:val="22"/>
          <w:szCs w:val="22"/>
          <w:highlight w:val="none"/>
        </w:rPr>
        <w:t>5</w:t>
      </w:r>
      <w:r>
        <w:rPr>
          <w:rFonts w:ascii="Arial" w:hAnsi="Arial" w:cs="Arial"/>
          <w:b/>
          <w:bCs/>
          <w:color w:val="auto"/>
          <w:sz w:val="22"/>
          <w:szCs w:val="22"/>
          <w:highlight w:val="none"/>
          <w:lang w:val="zh-CN"/>
        </w:rPr>
        <w:t>诚信要求：</w:t>
      </w:r>
      <w:r>
        <w:rPr>
          <w:rFonts w:ascii="Arial" w:hAnsi="Arial" w:cs="Arial"/>
          <w:color w:val="auto"/>
          <w:szCs w:val="21"/>
          <w:highlight w:val="none"/>
          <w:lang w:val="zh-CN"/>
        </w:rPr>
        <w:t>①</w:t>
      </w:r>
      <w:r>
        <w:rPr>
          <w:rFonts w:ascii="Arial" w:hAnsi="Arial" w:cs="Arial"/>
          <w:color w:val="auto"/>
          <w:szCs w:val="21"/>
          <w:highlight w:val="none"/>
        </w:rPr>
        <w:t>审核标准：供应商如被列入失信被执行人、重大税收违法失信主体、政府采购严重违法失信行为记录名单，则资格审查不予通过，其投标被否决</w:t>
      </w:r>
      <w:r>
        <w:rPr>
          <w:rFonts w:ascii="Arial" w:hAnsi="Arial" w:cs="Arial"/>
          <w:color w:val="auto"/>
          <w:szCs w:val="21"/>
          <w:highlight w:val="none"/>
          <w:lang w:val="zh-CN"/>
        </w:rPr>
        <w:t>。</w:t>
      </w:r>
    </w:p>
    <w:p>
      <w:pPr>
        <w:suppressAutoHyphens/>
        <w:spacing w:before="120" w:line="288" w:lineRule="auto"/>
        <w:ind w:firstLine="420" w:firstLineChars="200"/>
        <w:rPr>
          <w:rFonts w:ascii="Arial" w:hAnsi="Arial" w:cs="Arial"/>
          <w:color w:val="auto"/>
          <w:szCs w:val="21"/>
          <w:highlight w:val="none"/>
        </w:rPr>
      </w:pPr>
      <w:r>
        <w:rPr>
          <w:rFonts w:ascii="Arial" w:hAnsi="Arial" w:cs="Arial"/>
          <w:color w:val="auto"/>
          <w:szCs w:val="21"/>
          <w:highlight w:val="none"/>
        </w:rPr>
        <w:t xml:space="preserve">②信用信息查询渠道：中国政府采购网 “政府采购严重违法失信行为记录名单” 信用中国网：“失信被执行人”、“重大税收违法失信主体”  </w:t>
      </w:r>
    </w:p>
    <w:p>
      <w:pPr>
        <w:suppressAutoHyphens/>
        <w:spacing w:before="120" w:line="288" w:lineRule="auto"/>
        <w:ind w:firstLine="420" w:firstLineChars="200"/>
        <w:rPr>
          <w:rFonts w:ascii="Arial" w:hAnsi="Arial" w:cs="Arial"/>
          <w:color w:val="auto"/>
          <w:szCs w:val="21"/>
          <w:highlight w:val="none"/>
          <w:lang w:val="zh-CN"/>
        </w:rPr>
      </w:pPr>
      <w:r>
        <w:rPr>
          <w:rFonts w:ascii="Arial" w:hAnsi="Arial" w:cs="Arial"/>
          <w:color w:val="auto"/>
          <w:szCs w:val="21"/>
          <w:highlight w:val="none"/>
        </w:rPr>
        <w:t>③查询方式：</w:t>
      </w:r>
      <w:r>
        <w:rPr>
          <w:rFonts w:hint="eastAsia" w:ascii="Arial" w:hAnsi="Arial" w:cs="Arial"/>
          <w:color w:val="auto"/>
          <w:szCs w:val="21"/>
          <w:highlight w:val="none"/>
        </w:rPr>
        <w:t>广西政府采购云平台已与“信用中国”平台做接口，可直接在线查询</w:t>
      </w:r>
      <w:r>
        <w:rPr>
          <w:rFonts w:ascii="Arial" w:hAnsi="Arial" w:cs="Arial"/>
          <w:color w:val="auto"/>
          <w:szCs w:val="21"/>
          <w:highlight w:val="none"/>
        </w:rPr>
        <w:t>。</w:t>
      </w:r>
    </w:p>
    <w:p>
      <w:pPr>
        <w:suppressAutoHyphens/>
        <w:spacing w:before="120" w:line="288" w:lineRule="auto"/>
        <w:ind w:firstLine="442" w:firstLineChars="200"/>
        <w:rPr>
          <w:rFonts w:ascii="Arial" w:hAnsi="Arial" w:cs="Arial"/>
          <w:color w:val="auto"/>
          <w:kern w:val="0"/>
          <w:szCs w:val="21"/>
          <w:highlight w:val="none"/>
        </w:rPr>
      </w:pPr>
      <w:r>
        <w:rPr>
          <w:rFonts w:ascii="Arial" w:hAnsi="Arial" w:cs="Arial"/>
          <w:b/>
          <w:bCs/>
          <w:color w:val="auto"/>
          <w:sz w:val="22"/>
          <w:szCs w:val="22"/>
          <w:highlight w:val="none"/>
        </w:rPr>
        <w:t>1.</w:t>
      </w:r>
      <w:r>
        <w:rPr>
          <w:rFonts w:hint="eastAsia" w:ascii="Arial" w:hAnsi="Arial" w:cs="Arial"/>
          <w:b/>
          <w:bCs/>
          <w:color w:val="auto"/>
          <w:sz w:val="22"/>
          <w:szCs w:val="22"/>
          <w:highlight w:val="none"/>
        </w:rPr>
        <w:t>6</w:t>
      </w:r>
      <w:r>
        <w:rPr>
          <w:rFonts w:ascii="Arial" w:hAnsi="Arial" w:cs="Arial"/>
          <w:b/>
          <w:bCs/>
          <w:color w:val="auto"/>
          <w:kern w:val="0"/>
          <w:sz w:val="22"/>
          <w:szCs w:val="22"/>
          <w:highlight w:val="none"/>
        </w:rPr>
        <w:t>供应商不得参加资格性审查的情形：</w:t>
      </w:r>
      <w:r>
        <w:rPr>
          <w:rFonts w:ascii="Arial" w:hAnsi="Arial" w:cs="Arial"/>
          <w:color w:val="auto"/>
          <w:kern w:val="0"/>
          <w:szCs w:val="21"/>
          <w:highlight w:val="none"/>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pPr>
        <w:spacing w:before="120" w:line="320" w:lineRule="atLeast"/>
        <w:ind w:firstLine="551" w:firstLineChars="196"/>
        <w:jc w:val="center"/>
        <w:outlineLvl w:val="1"/>
        <w:rPr>
          <w:rFonts w:ascii="Arial" w:hAnsi="Arial" w:cs="Arial"/>
          <w:b/>
          <w:bCs/>
          <w:color w:val="auto"/>
          <w:kern w:val="0"/>
          <w:sz w:val="28"/>
          <w:szCs w:val="28"/>
          <w:highlight w:val="none"/>
        </w:rPr>
      </w:pPr>
      <w:r>
        <w:rPr>
          <w:rFonts w:ascii="Arial" w:hAnsi="Arial" w:cs="Arial"/>
          <w:b/>
          <w:bCs/>
          <w:color w:val="auto"/>
          <w:kern w:val="0"/>
          <w:sz w:val="28"/>
          <w:szCs w:val="28"/>
          <w:highlight w:val="none"/>
        </w:rPr>
        <w:t>2、符合性检查</w:t>
      </w:r>
    </w:p>
    <w:p>
      <w:pPr>
        <w:spacing w:before="120" w:line="320" w:lineRule="atLeast"/>
        <w:ind w:firstLine="420" w:firstLineChars="200"/>
        <w:rPr>
          <w:rFonts w:ascii="Arial" w:hAnsi="Arial" w:cs="Arial"/>
          <w:color w:val="auto"/>
          <w:szCs w:val="21"/>
          <w:highlight w:val="none"/>
        </w:rPr>
      </w:pPr>
      <w:r>
        <w:rPr>
          <w:rFonts w:ascii="Arial" w:hAnsi="Arial" w:cs="Arial"/>
          <w:bCs/>
          <w:color w:val="auto"/>
          <w:kern w:val="1"/>
          <w:szCs w:val="21"/>
          <w:highlight w:val="none"/>
        </w:rPr>
        <w:t>资格审查结束后，由评标委员会对</w:t>
      </w:r>
      <w:r>
        <w:rPr>
          <w:rFonts w:ascii="Arial" w:hAnsi="Arial" w:cs="Arial"/>
          <w:color w:val="auto"/>
          <w:highlight w:val="none"/>
        </w:rPr>
        <w:t>通过资格审查的供应商的投标文件进行符合性审查，以确定其是否满足招标文件的实质性要求。</w:t>
      </w:r>
      <w:r>
        <w:rPr>
          <w:rFonts w:ascii="Arial" w:hAnsi="Arial" w:cs="Arial"/>
          <w:color w:val="auto"/>
          <w:szCs w:val="21"/>
          <w:highlight w:val="none"/>
        </w:rPr>
        <w:t>符合性检查表如下，缺少任何一项或有任何一项不合格者，其符合性检查视为不合格。</w:t>
      </w:r>
    </w:p>
    <w:p>
      <w:pPr>
        <w:spacing w:before="120" w:line="288" w:lineRule="auto"/>
        <w:ind w:firstLine="482" w:firstLineChars="200"/>
        <w:rPr>
          <w:rFonts w:ascii="Arial" w:hAnsi="Arial" w:cs="Arial"/>
          <w:b/>
          <w:bCs/>
          <w:color w:val="auto"/>
          <w:kern w:val="0"/>
          <w:sz w:val="24"/>
          <w:highlight w:val="none"/>
        </w:rPr>
      </w:pPr>
      <w:r>
        <w:rPr>
          <w:rFonts w:ascii="Arial" w:hAnsi="Arial" w:cs="Arial"/>
          <w:b/>
          <w:bCs/>
          <w:color w:val="auto"/>
          <w:sz w:val="24"/>
          <w:highlight w:val="none"/>
        </w:rPr>
        <w:t>2.1</w:t>
      </w:r>
      <w:r>
        <w:rPr>
          <w:rFonts w:ascii="Arial" w:hAnsi="Arial" w:cs="Arial"/>
          <w:b/>
          <w:bCs/>
          <w:color w:val="auto"/>
          <w:kern w:val="0"/>
          <w:sz w:val="24"/>
          <w:highlight w:val="none"/>
        </w:rPr>
        <w:t>有效性审查</w:t>
      </w:r>
    </w:p>
    <w:p>
      <w:pPr>
        <w:spacing w:before="120" w:line="288" w:lineRule="auto"/>
        <w:ind w:firstLine="442" w:firstLineChars="200"/>
        <w:rPr>
          <w:rFonts w:ascii="Arial" w:hAnsi="Arial" w:cs="Arial"/>
          <w:color w:val="auto"/>
          <w:szCs w:val="21"/>
          <w:highlight w:val="none"/>
        </w:rPr>
      </w:pPr>
      <w:r>
        <w:rPr>
          <w:rFonts w:ascii="Arial" w:hAnsi="Arial" w:cs="Arial"/>
          <w:b/>
          <w:bCs/>
          <w:color w:val="auto"/>
          <w:kern w:val="0"/>
          <w:sz w:val="22"/>
          <w:szCs w:val="22"/>
          <w:highlight w:val="none"/>
        </w:rPr>
        <w:t>2.1.1</w:t>
      </w:r>
      <w:r>
        <w:rPr>
          <w:rFonts w:ascii="Arial" w:hAnsi="Arial" w:cs="Arial"/>
          <w:b/>
          <w:bCs/>
          <w:color w:val="auto"/>
          <w:sz w:val="22"/>
          <w:szCs w:val="22"/>
          <w:highlight w:val="none"/>
        </w:rPr>
        <w:t>投标文件签署</w:t>
      </w:r>
      <w:r>
        <w:rPr>
          <w:rFonts w:ascii="Arial" w:hAnsi="Arial" w:cs="Arial"/>
          <w:color w:val="auto"/>
          <w:sz w:val="22"/>
          <w:szCs w:val="22"/>
          <w:highlight w:val="none"/>
        </w:rPr>
        <w:t>：</w:t>
      </w:r>
      <w:r>
        <w:rPr>
          <w:rFonts w:ascii="Arial" w:hAnsi="Arial" w:cs="Arial"/>
          <w:color w:val="auto"/>
          <w:szCs w:val="21"/>
          <w:highlight w:val="none"/>
        </w:rPr>
        <w:t>投标文件上法定代表人或其授权代表人已按要求签字盖章。</w:t>
      </w:r>
    </w:p>
    <w:p>
      <w:pPr>
        <w:spacing w:before="120" w:line="288" w:lineRule="auto"/>
        <w:ind w:firstLine="442" w:firstLineChars="200"/>
        <w:rPr>
          <w:rFonts w:ascii="Arial" w:hAnsi="Arial" w:cs="Arial"/>
          <w:color w:val="auto"/>
          <w:szCs w:val="21"/>
          <w:highlight w:val="none"/>
        </w:rPr>
      </w:pPr>
      <w:r>
        <w:rPr>
          <w:rFonts w:ascii="Arial" w:hAnsi="Arial" w:cs="Arial"/>
          <w:b/>
          <w:bCs/>
          <w:color w:val="auto"/>
          <w:kern w:val="0"/>
          <w:sz w:val="22"/>
          <w:szCs w:val="22"/>
          <w:highlight w:val="none"/>
        </w:rPr>
        <w:t>2.1.2法定代表人身份证明及授权委托书：</w:t>
      </w:r>
      <w:r>
        <w:rPr>
          <w:rFonts w:ascii="Arial" w:hAnsi="Arial" w:cs="Arial"/>
          <w:color w:val="auto"/>
          <w:szCs w:val="21"/>
          <w:highlight w:val="none"/>
        </w:rPr>
        <w:t>供应商无授权代表时审查：法定代表人身份证明及附件，格式及附件见第六章投标文件格式要求；供应商有授权代表时审查：法定代表人授权委托书及附件，格式及附件见第六章投标文件格式要求；法定代表人身份证明及授权委托书须有效，符合招标文件规定的格式，签字或盖章齐全。</w:t>
      </w:r>
    </w:p>
    <w:p>
      <w:pPr>
        <w:spacing w:before="120" w:line="288" w:lineRule="auto"/>
        <w:ind w:firstLine="442" w:firstLineChars="200"/>
        <w:rPr>
          <w:rFonts w:ascii="Arial" w:hAnsi="Arial" w:cs="Arial"/>
          <w:color w:val="auto"/>
          <w:szCs w:val="21"/>
          <w:highlight w:val="none"/>
        </w:rPr>
      </w:pPr>
      <w:r>
        <w:rPr>
          <w:rFonts w:ascii="Arial" w:hAnsi="Arial" w:cs="Arial"/>
          <w:b/>
          <w:bCs/>
          <w:color w:val="auto"/>
          <w:kern w:val="0"/>
          <w:sz w:val="22"/>
          <w:szCs w:val="22"/>
          <w:highlight w:val="none"/>
        </w:rPr>
        <w:t>2.1.3投标文件或者投标报价唯一性：</w:t>
      </w:r>
      <w:r>
        <w:rPr>
          <w:rFonts w:ascii="Arial" w:hAnsi="Arial" w:cs="Arial"/>
          <w:color w:val="auto"/>
          <w:highlight w:val="none"/>
        </w:rPr>
        <w:t>同</w:t>
      </w:r>
      <w:r>
        <w:rPr>
          <w:rFonts w:ascii="Arial" w:hAnsi="Arial" w:cs="Arial"/>
          <w:color w:val="auto"/>
          <w:szCs w:val="21"/>
          <w:highlight w:val="none"/>
        </w:rPr>
        <w:t>一供应商不得提交两个以上不同的投标文件或者投标报价，但招标文件要求提交备选投标的除外。</w:t>
      </w:r>
    </w:p>
    <w:p>
      <w:pPr>
        <w:spacing w:before="120" w:line="288" w:lineRule="auto"/>
        <w:ind w:firstLine="442" w:firstLineChars="200"/>
        <w:rPr>
          <w:rFonts w:ascii="Arial" w:hAnsi="Arial" w:cs="Arial"/>
          <w:color w:val="auto"/>
          <w:szCs w:val="21"/>
          <w:highlight w:val="none"/>
        </w:rPr>
      </w:pPr>
      <w:r>
        <w:rPr>
          <w:rFonts w:ascii="Arial" w:hAnsi="Arial" w:cs="Arial"/>
          <w:b/>
          <w:bCs/>
          <w:color w:val="auto"/>
          <w:kern w:val="0"/>
          <w:sz w:val="22"/>
          <w:szCs w:val="22"/>
          <w:highlight w:val="none"/>
        </w:rPr>
        <w:t>2.1.4投标报价：</w:t>
      </w:r>
      <w:r>
        <w:rPr>
          <w:rFonts w:ascii="Arial" w:hAnsi="Arial" w:cs="Arial"/>
          <w:color w:val="auto"/>
          <w:szCs w:val="21"/>
          <w:highlight w:val="none"/>
        </w:rPr>
        <w:t>报价超出采购预算金额或最高限价（如有）</w:t>
      </w:r>
      <w:r>
        <w:rPr>
          <w:rFonts w:hint="eastAsia" w:ascii="Arial" w:hAnsi="Arial" w:cs="Arial"/>
          <w:color w:val="auto"/>
          <w:szCs w:val="21"/>
          <w:highlight w:val="none"/>
        </w:rPr>
        <w:t>或控制单价（如有）</w:t>
      </w:r>
      <w:r>
        <w:rPr>
          <w:rFonts w:ascii="Arial" w:hAnsi="Arial" w:cs="Arial"/>
          <w:color w:val="auto"/>
          <w:szCs w:val="21"/>
          <w:highlight w:val="none"/>
        </w:rPr>
        <w:t>的，否决其投标</w:t>
      </w:r>
      <w:r>
        <w:rPr>
          <w:rFonts w:ascii="Arial" w:hAnsi="Arial" w:cs="Arial"/>
          <w:color w:val="auto"/>
          <w:highlight w:val="none"/>
        </w:rPr>
        <w:t>。</w:t>
      </w:r>
      <w:r>
        <w:rPr>
          <w:rFonts w:ascii="Arial" w:hAnsi="Arial" w:cs="Arial"/>
          <w:color w:val="auto"/>
          <w:szCs w:val="21"/>
          <w:highlight w:val="none"/>
        </w:rPr>
        <w:t>提交选择性报价的，否决其投标。</w:t>
      </w:r>
    </w:p>
    <w:p>
      <w:pPr>
        <w:spacing w:before="120" w:line="288" w:lineRule="auto"/>
        <w:ind w:firstLine="442" w:firstLineChars="200"/>
        <w:rPr>
          <w:rFonts w:ascii="Arial" w:hAnsi="Arial" w:cs="Arial"/>
          <w:b/>
          <w:bCs/>
          <w:color w:val="auto"/>
          <w:kern w:val="0"/>
          <w:sz w:val="22"/>
          <w:szCs w:val="22"/>
          <w:highlight w:val="none"/>
        </w:rPr>
      </w:pPr>
      <w:r>
        <w:rPr>
          <w:rFonts w:ascii="Arial" w:hAnsi="Arial" w:cs="Arial"/>
          <w:b/>
          <w:bCs/>
          <w:color w:val="auto"/>
          <w:sz w:val="22"/>
          <w:szCs w:val="22"/>
          <w:highlight w:val="none"/>
        </w:rPr>
        <w:t>2.2</w:t>
      </w:r>
      <w:r>
        <w:rPr>
          <w:rFonts w:ascii="Arial" w:hAnsi="Arial" w:cs="Arial"/>
          <w:b/>
          <w:bCs/>
          <w:color w:val="auto"/>
          <w:kern w:val="0"/>
          <w:sz w:val="22"/>
          <w:szCs w:val="22"/>
          <w:highlight w:val="none"/>
        </w:rPr>
        <w:t>完整性审查</w:t>
      </w:r>
    </w:p>
    <w:p>
      <w:pPr>
        <w:spacing w:before="120" w:line="320" w:lineRule="atLeast"/>
        <w:ind w:firstLine="433" w:firstLineChars="196"/>
        <w:outlineLvl w:val="1"/>
        <w:rPr>
          <w:rFonts w:ascii="Arial" w:hAnsi="Arial" w:cs="Arial"/>
          <w:b/>
          <w:bCs/>
          <w:color w:val="auto"/>
          <w:kern w:val="0"/>
          <w:szCs w:val="21"/>
          <w:highlight w:val="none"/>
        </w:rPr>
      </w:pPr>
      <w:r>
        <w:rPr>
          <w:rFonts w:ascii="Arial" w:hAnsi="Arial" w:cs="Arial"/>
          <w:b/>
          <w:bCs/>
          <w:color w:val="auto"/>
          <w:kern w:val="0"/>
          <w:sz w:val="22"/>
          <w:szCs w:val="22"/>
          <w:highlight w:val="none"/>
        </w:rPr>
        <w:t>对招标文件的响应程度审查：</w:t>
      </w:r>
      <w:r>
        <w:rPr>
          <w:rFonts w:ascii="Arial" w:hAnsi="Arial" w:cs="Arial"/>
          <w:color w:val="auto"/>
          <w:kern w:val="0"/>
          <w:szCs w:val="21"/>
          <w:highlight w:val="none"/>
        </w:rPr>
        <w:t>（1）</w:t>
      </w:r>
      <w:r>
        <w:rPr>
          <w:rFonts w:ascii="Arial" w:hAnsi="Arial" w:cs="Arial"/>
          <w:color w:val="auto"/>
          <w:szCs w:val="21"/>
          <w:highlight w:val="none"/>
          <w:lang w:val="zh-CN"/>
        </w:rPr>
        <w:t>实质性条款响应：对招标文件中所有标注▲号的实质性条款要求响应均无负偏离。（</w:t>
      </w:r>
      <w:r>
        <w:rPr>
          <w:rFonts w:ascii="Arial" w:hAnsi="Arial" w:cs="Arial"/>
          <w:color w:val="auto"/>
          <w:szCs w:val="21"/>
          <w:highlight w:val="none"/>
        </w:rPr>
        <w:t>2</w:t>
      </w:r>
      <w:r>
        <w:rPr>
          <w:rFonts w:ascii="Arial" w:hAnsi="Arial" w:cs="Arial"/>
          <w:color w:val="auto"/>
          <w:szCs w:val="21"/>
          <w:highlight w:val="none"/>
          <w:lang w:val="zh-CN"/>
        </w:rPr>
        <w:t>）</w:t>
      </w:r>
      <w:r>
        <w:rPr>
          <w:rFonts w:ascii="Arial" w:hAnsi="Arial" w:cs="Arial"/>
          <w:color w:val="auto"/>
          <w:szCs w:val="21"/>
          <w:highlight w:val="none"/>
        </w:rPr>
        <w:t>投标有效期：满足招标文件规定。</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3、</w:t>
      </w:r>
      <w:r>
        <w:rPr>
          <w:rFonts w:hint="eastAsia" w:ascii="Arial" w:hAnsi="Arial" w:cs="Arial"/>
          <w:b/>
          <w:bCs/>
          <w:color w:val="auto"/>
          <w:kern w:val="0"/>
          <w:szCs w:val="21"/>
          <w:highlight w:val="none"/>
        </w:rPr>
        <w:t>强制性采购要求（仅适用于货物采购项目）</w:t>
      </w:r>
    </w:p>
    <w:p>
      <w:pPr>
        <w:spacing w:before="120" w:line="276" w:lineRule="auto"/>
        <w:ind w:firstLine="420" w:firstLineChars="200"/>
        <w:rPr>
          <w:rFonts w:ascii="Arial" w:hAnsi="Arial" w:cs="Arial"/>
          <w:color w:val="auto"/>
          <w:highlight w:val="none"/>
        </w:rPr>
      </w:pPr>
      <w:r>
        <w:rPr>
          <w:rFonts w:hint="eastAsia" w:ascii="Arial" w:hAnsi="Arial" w:cs="Arial"/>
          <w:color w:val="auto"/>
          <w:highlight w:val="none"/>
        </w:rPr>
        <w:t>（1）根据《财政部 发展改革委 生态环境部 市场监管总局关于调整优化节能产品、环境标志产品政府采购执行机制的通知》（财库〔2019〕9号）和《关于印发节能产品政府采购品目清单的通知》（财库〔2019〕19号）规定，本项目采购需求中的产品属于节能产品政府采购品目清单内标注“★”的，供应商的投标货物必须使用政府强制采购的节能产品，否则投标文件作无效处理；属于品目清单内非标注“★”的产品时，应优先采购。</w:t>
      </w:r>
    </w:p>
    <w:p>
      <w:pPr>
        <w:spacing w:before="120" w:line="276" w:lineRule="auto"/>
        <w:ind w:firstLine="420" w:firstLineChars="200"/>
        <w:rPr>
          <w:rFonts w:ascii="Arial" w:hAnsi="Arial" w:cs="Arial"/>
          <w:color w:val="auto"/>
          <w:highlight w:val="none"/>
        </w:rPr>
      </w:pPr>
      <w:r>
        <w:rPr>
          <w:rFonts w:hint="eastAsia" w:ascii="Arial" w:hAnsi="Arial" w:cs="Arial"/>
          <w:color w:val="auto"/>
          <w:highlight w:val="none"/>
        </w:rPr>
        <w:t>（2）根据《关于调整网络安全专用产品安全管理有关事项的公告》（2023年1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pPr>
        <w:spacing w:before="120" w:line="276" w:lineRule="auto"/>
        <w:ind w:firstLine="420" w:firstLineChars="200"/>
        <w:rPr>
          <w:rFonts w:ascii="Arial" w:hAnsi="Arial" w:cs="Arial"/>
          <w:color w:val="auto"/>
          <w:highlight w:val="none"/>
        </w:rPr>
      </w:pPr>
      <w:r>
        <w:rPr>
          <w:rFonts w:hint="eastAsia" w:ascii="Arial" w:hAnsi="Arial" w:cs="Arial"/>
          <w:color w:val="auto"/>
          <w:highlight w:val="none"/>
        </w:rPr>
        <w:t>注：网络安全专用产品在中共中央网络安全和信息化委员会办公室网站上发布的《网络关键设备和网络安全专用产品目录》中查询。 目前共15类：路由器、交换机、服务器（机架式）、可编程逻辑控制器（PLC设备）、数据备份一体机、防火墙（硬件）、WEB应用防火墙（WAF）、入侵检测系统（IDS）、入侵防御系统（IPS）、安全隔离与信息交换产品（网闸）、反垃圾邮件产品、网络综合审计系统、网络脆弱性扫描产品、安全数据库系统、网站恢复产品（硬件）。</w:t>
      </w:r>
    </w:p>
    <w:p>
      <w:pPr>
        <w:spacing w:before="120" w:line="320" w:lineRule="atLeast"/>
        <w:ind w:firstLine="413" w:firstLineChars="196"/>
        <w:outlineLvl w:val="1"/>
        <w:rPr>
          <w:rFonts w:ascii="Arial" w:hAnsi="Arial" w:cs="Arial"/>
          <w:b/>
          <w:bCs/>
          <w:color w:val="auto"/>
          <w:kern w:val="0"/>
          <w:szCs w:val="21"/>
          <w:highlight w:val="none"/>
        </w:rPr>
      </w:pPr>
      <w:r>
        <w:rPr>
          <w:rFonts w:hint="eastAsia" w:ascii="Arial" w:hAnsi="Arial" w:cs="Arial"/>
          <w:b/>
          <w:bCs/>
          <w:color w:val="auto"/>
          <w:kern w:val="0"/>
          <w:szCs w:val="21"/>
          <w:highlight w:val="none"/>
        </w:rPr>
        <w:t>4</w:t>
      </w:r>
      <w:r>
        <w:rPr>
          <w:rFonts w:ascii="Arial" w:hAnsi="Arial" w:cs="Arial"/>
          <w:b/>
          <w:bCs/>
          <w:color w:val="auto"/>
          <w:kern w:val="0"/>
          <w:szCs w:val="21"/>
          <w:highlight w:val="none"/>
        </w:rPr>
        <w:t>、相同品牌投标有效性认定</w:t>
      </w:r>
    </w:p>
    <w:p>
      <w:pPr>
        <w:spacing w:before="120" w:line="320" w:lineRule="atLeast"/>
        <w:ind w:firstLine="420" w:firstLineChars="200"/>
        <w:rPr>
          <w:rFonts w:ascii="Arial" w:hAnsi="Arial" w:cs="Arial"/>
          <w:color w:val="auto"/>
          <w:highlight w:val="none"/>
        </w:rPr>
      </w:pPr>
      <w:r>
        <w:rPr>
          <w:rFonts w:ascii="Arial" w:hAnsi="Arial" w:cs="Arial"/>
          <w:color w:val="auto"/>
          <w:highlight w:val="none"/>
        </w:rPr>
        <w:t>不同供应商提供的投标产品品牌相同时，评标委员会须根据以下规定评审</w:t>
      </w:r>
      <w:r>
        <w:rPr>
          <w:rFonts w:ascii="Arial" w:hAnsi="Arial" w:cs="Arial"/>
          <w:bCs/>
          <w:color w:val="auto"/>
          <w:kern w:val="0"/>
          <w:szCs w:val="21"/>
          <w:highlight w:val="none"/>
        </w:rPr>
        <w:t>相同品牌的投标有效性</w:t>
      </w:r>
      <w:r>
        <w:rPr>
          <w:rFonts w:ascii="Arial" w:hAnsi="Arial" w:cs="Arial"/>
          <w:color w:val="auto"/>
          <w:highlight w:val="none"/>
        </w:rPr>
        <w:t>。</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（1）如若提供相同品牌产品且通过资格审查、符合性审查的不同供应商参加同一合同项下投标的，按一家供应商计算，评审后得分最高的同品牌供应商获得中标供应商推荐资格；评审得分相同的，</w:t>
      </w:r>
      <w:r>
        <w:rPr>
          <w:rFonts w:ascii="Arial" w:hAnsi="Arial" w:cs="Arial"/>
          <w:color w:val="auto"/>
          <w:highlight w:val="none"/>
        </w:rPr>
        <w:t>由（</w:t>
      </w:r>
      <w:r>
        <w:rPr>
          <w:rFonts w:ascii="Arial" w:hAnsi="Arial" w:cs="Arial"/>
          <w:color w:val="auto"/>
          <w:szCs w:val="21"/>
          <w:highlight w:val="none"/>
        </w:rPr>
        <w:sym w:font="Wingdings 2" w:char="F052"/>
      </w:r>
      <w:r>
        <w:rPr>
          <w:rFonts w:ascii="Arial" w:hAnsi="Arial" w:cs="Arial"/>
          <w:color w:val="auto"/>
          <w:highlight w:val="none"/>
        </w:rPr>
        <w:t>采购人</w:t>
      </w:r>
      <w:r>
        <w:rPr>
          <w:rFonts w:ascii="Arial" w:hAnsi="Arial" w:cs="Arial"/>
          <w:color w:val="auto"/>
          <w:szCs w:val="21"/>
          <w:highlight w:val="none"/>
        </w:rPr>
        <w:t>；</w:t>
      </w:r>
      <w:r>
        <w:rPr>
          <w:rFonts w:ascii="Arial" w:hAnsi="Arial" w:cs="Arial"/>
          <w:color w:val="auto"/>
          <w:szCs w:val="21"/>
          <w:highlight w:val="none"/>
        </w:rPr>
        <w:sym w:font="Wingdings 2" w:char="F0A3"/>
      </w:r>
      <w:r>
        <w:rPr>
          <w:rFonts w:ascii="Arial" w:hAnsi="Arial" w:cs="Arial"/>
          <w:color w:val="auto"/>
          <w:highlight w:val="none"/>
        </w:rPr>
        <w:t>采购人委托评标委员会）按照报价低者推荐</w:t>
      </w:r>
      <w:r>
        <w:rPr>
          <w:rFonts w:ascii="Arial" w:hAnsi="Arial" w:cs="Arial"/>
          <w:color w:val="auto"/>
          <w:szCs w:val="21"/>
          <w:highlight w:val="none"/>
        </w:rPr>
        <w:t>中标供应商资格</w:t>
      </w:r>
      <w:r>
        <w:rPr>
          <w:rFonts w:ascii="Arial" w:hAnsi="Arial" w:cs="Arial"/>
          <w:color w:val="auto"/>
          <w:highlight w:val="none"/>
        </w:rPr>
        <w:t>，如报价仍相同，则按技术部分得分高者推荐</w:t>
      </w:r>
      <w:r>
        <w:rPr>
          <w:rFonts w:ascii="Arial" w:hAnsi="Arial" w:cs="Arial"/>
          <w:color w:val="auto"/>
          <w:szCs w:val="21"/>
          <w:highlight w:val="none"/>
        </w:rPr>
        <w:t>中标供应商资格</w:t>
      </w:r>
      <w:r>
        <w:rPr>
          <w:rFonts w:ascii="Arial" w:hAnsi="Arial" w:cs="Arial"/>
          <w:color w:val="auto"/>
          <w:highlight w:val="none"/>
        </w:rPr>
        <w:t>，仍相同的，则按商务部分得分高者推荐</w:t>
      </w:r>
      <w:r>
        <w:rPr>
          <w:rFonts w:ascii="Arial" w:hAnsi="Arial" w:cs="Arial"/>
          <w:color w:val="auto"/>
          <w:szCs w:val="21"/>
          <w:highlight w:val="none"/>
        </w:rPr>
        <w:t>中标供应商资格</w:t>
      </w:r>
      <w:r>
        <w:rPr>
          <w:rFonts w:ascii="Arial" w:hAnsi="Arial" w:cs="Arial"/>
          <w:color w:val="auto"/>
          <w:highlight w:val="none"/>
        </w:rPr>
        <w:t>，若仍相同，则按业绩得分高者推荐中标供应商资格，其他同品牌供应商不作为中标候选人。</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（2）非单一产品采购项目，采购人应当确定核心产品，并在招标文件中载明。多家供应商提供的核心产品品牌相同的，按上述规定处理。核心产品的定义见“项目采购需求”规定。</w:t>
      </w:r>
    </w:p>
    <w:p>
      <w:pPr>
        <w:spacing w:before="120" w:line="320" w:lineRule="atLeast"/>
        <w:ind w:firstLine="413" w:firstLineChars="196"/>
        <w:outlineLvl w:val="1"/>
        <w:rPr>
          <w:rFonts w:ascii="Arial" w:hAnsi="Arial" w:cs="Arial"/>
          <w:b/>
          <w:bCs/>
          <w:color w:val="auto"/>
          <w:kern w:val="0"/>
          <w:szCs w:val="21"/>
          <w:highlight w:val="none"/>
        </w:rPr>
      </w:pPr>
      <w:r>
        <w:rPr>
          <w:rFonts w:hint="eastAsia" w:ascii="Arial" w:hAnsi="Arial" w:cs="Arial"/>
          <w:b/>
          <w:bCs/>
          <w:color w:val="auto"/>
          <w:kern w:val="0"/>
          <w:szCs w:val="21"/>
          <w:highlight w:val="none"/>
        </w:rPr>
        <w:t>5</w:t>
      </w:r>
      <w:r>
        <w:rPr>
          <w:rFonts w:ascii="Arial" w:hAnsi="Arial" w:cs="Arial"/>
          <w:b/>
          <w:bCs/>
          <w:color w:val="auto"/>
          <w:kern w:val="0"/>
          <w:szCs w:val="21"/>
          <w:highlight w:val="none"/>
        </w:rPr>
        <w:t>、串通投标的认定</w:t>
      </w:r>
    </w:p>
    <w:p>
      <w:pPr>
        <w:spacing w:before="120" w:line="320" w:lineRule="atLeast"/>
        <w:ind w:firstLine="420" w:firstLineChars="200"/>
        <w:rPr>
          <w:rFonts w:ascii="Arial" w:hAnsi="Arial" w:cs="Arial"/>
          <w:color w:val="auto"/>
          <w:highlight w:val="none"/>
        </w:rPr>
      </w:pPr>
      <w:r>
        <w:rPr>
          <w:rFonts w:ascii="Arial" w:hAnsi="Arial" w:cs="Arial"/>
          <w:color w:val="auto"/>
          <w:highlight w:val="none"/>
        </w:rPr>
        <w:t>评标委员会须根据以下规定评审</w:t>
      </w:r>
      <w:r>
        <w:rPr>
          <w:rFonts w:ascii="Arial" w:hAnsi="Arial" w:cs="Arial"/>
          <w:bCs/>
          <w:color w:val="auto"/>
          <w:kern w:val="0"/>
          <w:szCs w:val="21"/>
          <w:highlight w:val="none"/>
        </w:rPr>
        <w:t>供应商是否有串通投标的行为，并按规定判定投标是否有效</w:t>
      </w:r>
      <w:r>
        <w:rPr>
          <w:rFonts w:ascii="Arial" w:hAnsi="Arial" w:cs="Arial"/>
          <w:color w:val="auto"/>
          <w:highlight w:val="none"/>
        </w:rPr>
        <w:t>。</w:t>
      </w:r>
    </w:p>
    <w:p>
      <w:pPr>
        <w:spacing w:before="120" w:line="320" w:lineRule="atLeast"/>
        <w:ind w:firstLine="420" w:firstLineChars="200"/>
        <w:rPr>
          <w:rFonts w:ascii="Arial" w:hAnsi="Arial" w:cs="Arial"/>
          <w:color w:val="auto"/>
          <w:szCs w:val="21"/>
          <w:highlight w:val="none"/>
        </w:rPr>
      </w:pPr>
      <w:bookmarkStart w:id="86" w:name="_Hlk19122026"/>
      <w:r>
        <w:rPr>
          <w:rFonts w:ascii="Arial" w:hAnsi="Arial" w:cs="Arial"/>
          <w:color w:val="auto"/>
          <w:szCs w:val="21"/>
          <w:highlight w:val="none"/>
        </w:rPr>
        <w:t>（1）</w:t>
      </w:r>
      <w:bookmarkEnd w:id="86"/>
      <w:r>
        <w:rPr>
          <w:rFonts w:ascii="Arial" w:hAnsi="Arial" w:cs="Arial"/>
          <w:color w:val="auto"/>
          <w:szCs w:val="21"/>
          <w:highlight w:val="none"/>
        </w:rPr>
        <w:t>根据桂财采[2016]42号《关于防治政府采购招标中串通投标行为的通知》规定，出现下述情况的，相关供应商的投标作无效投标处理。</w:t>
      </w:r>
    </w:p>
    <w:p>
      <w:pPr>
        <w:spacing w:before="120" w:line="320" w:lineRule="atLeast"/>
        <w:ind w:firstLine="420" w:firstLineChars="200"/>
        <w:rPr>
          <w:rFonts w:ascii="Arial" w:hAnsi="Arial" w:cs="Arial"/>
          <w:color w:val="auto"/>
          <w:szCs w:val="21"/>
          <w:highlight w:val="none"/>
        </w:rPr>
      </w:pPr>
      <w:bookmarkStart w:id="87" w:name="_Hlk19122039"/>
      <w:r>
        <w:rPr>
          <w:rFonts w:ascii="Arial" w:hAnsi="Arial" w:cs="Arial"/>
          <w:color w:val="auto"/>
          <w:szCs w:val="21"/>
          <w:highlight w:val="none"/>
        </w:rPr>
        <w:t>①单位负责人为同一人或者存在直接控股、管理关系，参加同一合同项下政府采购活动的不同供应商。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②授权给供应商后参加同一合同项（分标、分包）投标的生产厂商。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③视为或被认定为串通投标的相关供应商。</w:t>
      </w:r>
    </w:p>
    <w:bookmarkEnd w:id="87"/>
    <w:p>
      <w:pPr>
        <w:spacing w:before="120" w:line="320" w:lineRule="atLeast"/>
        <w:ind w:firstLine="420" w:firstLineChars="200"/>
        <w:rPr>
          <w:rFonts w:ascii="Arial" w:hAnsi="Arial" w:cs="Arial"/>
          <w:color w:val="auto"/>
          <w:szCs w:val="21"/>
          <w:highlight w:val="none"/>
        </w:rPr>
      </w:pPr>
      <w:bookmarkStart w:id="88" w:name="_Hlk19122058"/>
      <w:r>
        <w:rPr>
          <w:rFonts w:ascii="Arial" w:hAnsi="Arial" w:cs="Arial"/>
          <w:color w:val="auto"/>
          <w:szCs w:val="21"/>
          <w:highlight w:val="none"/>
        </w:rPr>
        <w:t>（2）</w:t>
      </w:r>
      <w:bookmarkEnd w:id="88"/>
      <w:r>
        <w:rPr>
          <w:rFonts w:ascii="Arial" w:hAnsi="Arial" w:cs="Arial"/>
          <w:color w:val="auto"/>
          <w:szCs w:val="21"/>
          <w:highlight w:val="none"/>
        </w:rPr>
        <w:t>根据桂财采[2016]42号《关于防治政府采购招标中串通投标行为的通知》规定，有下列情形之一的视为供应商相互串通投标，投标文件将被视为无效。</w:t>
      </w:r>
    </w:p>
    <w:p>
      <w:pPr>
        <w:spacing w:before="120" w:line="320" w:lineRule="atLeast"/>
        <w:ind w:firstLine="420" w:firstLineChars="200"/>
        <w:rPr>
          <w:rFonts w:ascii="Arial" w:hAnsi="Arial" w:cs="Arial"/>
          <w:color w:val="auto"/>
          <w:szCs w:val="21"/>
          <w:highlight w:val="none"/>
        </w:rPr>
      </w:pPr>
      <w:bookmarkStart w:id="89" w:name="_Hlk19122048"/>
      <w:r>
        <w:rPr>
          <w:rFonts w:ascii="Arial" w:hAnsi="Arial" w:cs="Arial"/>
          <w:color w:val="auto"/>
          <w:szCs w:val="21"/>
          <w:highlight w:val="none"/>
        </w:rPr>
        <w:t>①不同供应商的投标文件由同一单位或者个人编制；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②不同供应商委托同一单位或者个人办理投标事宜；</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③不同的供应商的投标文件载明的项目管理员为同一个人；</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④不同供应商的投标文件异常一致或投标报价呈规律性差异；</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⑤不同供应商的投标文件相互混装；</w:t>
      </w:r>
    </w:p>
    <w:bookmarkEnd w:id="89"/>
    <w:p>
      <w:pPr>
        <w:spacing w:before="120" w:line="320" w:lineRule="atLeast"/>
        <w:ind w:firstLine="420" w:firstLineChars="200"/>
        <w:rPr>
          <w:rFonts w:ascii="Arial" w:hAnsi="Arial" w:cs="Arial"/>
          <w:color w:val="auto"/>
          <w:szCs w:val="21"/>
          <w:highlight w:val="none"/>
        </w:rPr>
      </w:pPr>
      <w:bookmarkStart w:id="90" w:name="_Hlk19122102"/>
      <w:r>
        <w:rPr>
          <w:rFonts w:ascii="Arial" w:hAnsi="Arial" w:cs="Arial"/>
          <w:color w:val="auto"/>
          <w:szCs w:val="21"/>
          <w:highlight w:val="none"/>
        </w:rPr>
        <w:t>（3）</w:t>
      </w:r>
      <w:bookmarkEnd w:id="90"/>
      <w:r>
        <w:rPr>
          <w:rFonts w:ascii="Arial" w:hAnsi="Arial" w:cs="Arial"/>
          <w:color w:val="auto"/>
          <w:szCs w:val="21"/>
          <w:highlight w:val="none"/>
        </w:rPr>
        <w:t>根据桂财采[2016]42号《关于防治政府采购招标中串通投标行为的通知》规定，供应商有下列情形之一的，属于恶意串通行为，投标文件将被视为无效。</w:t>
      </w:r>
    </w:p>
    <w:p>
      <w:pPr>
        <w:spacing w:before="120" w:line="320" w:lineRule="atLeast"/>
        <w:ind w:firstLine="420" w:firstLineChars="200"/>
        <w:rPr>
          <w:rFonts w:ascii="Arial" w:hAnsi="Arial" w:cs="Arial"/>
          <w:color w:val="auto"/>
          <w:szCs w:val="21"/>
          <w:highlight w:val="none"/>
        </w:rPr>
      </w:pPr>
      <w:bookmarkStart w:id="91" w:name="_Hlk19122095"/>
      <w:r>
        <w:rPr>
          <w:rFonts w:ascii="Arial" w:hAnsi="Arial" w:cs="Arial"/>
          <w:color w:val="auto"/>
          <w:szCs w:val="21"/>
          <w:highlight w:val="none"/>
        </w:rPr>
        <w:t>①供应商直接或者间接从采购人或者采购代理机构处获得其他供应商的相关信息并修改其投标文件或者响应文件；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②供应商按照采购人或者采购代理机构的授意撤换、修改投标文件或者响应文件;；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③供应商之间协商报价、技术方案等投标文件或者响应文件的实质性内容；</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④属于同一集团、协会、商会等组织成员的供应商按照该组织要求协同参加政府采购活动；</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⑤供应商之间事先约定一致抬高或者压低投标报价，或者在招标项目中事先约定轮流以高价位或者低价位中标，或者事先约定由某一特定供应商中标，然后再参加投标；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⑥供应商之间商定部分供应商放弃参加政府采购活动或者放弃中标；</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⑦供应商与采购人或者采购代理机构之间、供应商相互之间，为谋求特定供应商中标或者排斥其他供应商的其他串通行为。</w:t>
      </w:r>
    </w:p>
    <w:bookmarkEnd w:id="91"/>
    <w:p>
      <w:pPr>
        <w:spacing w:before="120" w:line="320" w:lineRule="atLeast"/>
        <w:ind w:firstLine="413" w:firstLineChars="196"/>
        <w:outlineLvl w:val="1"/>
        <w:rPr>
          <w:rFonts w:ascii="Arial" w:hAnsi="Arial" w:cs="Arial"/>
          <w:b/>
          <w:bCs/>
          <w:color w:val="auto"/>
          <w:kern w:val="0"/>
          <w:szCs w:val="21"/>
          <w:highlight w:val="none"/>
        </w:rPr>
      </w:pPr>
      <w:r>
        <w:rPr>
          <w:rFonts w:hint="eastAsia" w:ascii="Arial" w:hAnsi="Arial" w:cs="Arial"/>
          <w:b/>
          <w:bCs/>
          <w:color w:val="auto"/>
          <w:kern w:val="0"/>
          <w:szCs w:val="21"/>
          <w:highlight w:val="none"/>
        </w:rPr>
        <w:t>6</w:t>
      </w:r>
      <w:r>
        <w:rPr>
          <w:rFonts w:ascii="Arial" w:hAnsi="Arial" w:cs="Arial"/>
          <w:b/>
          <w:bCs/>
          <w:color w:val="auto"/>
          <w:kern w:val="0"/>
          <w:szCs w:val="21"/>
          <w:highlight w:val="none"/>
        </w:rPr>
        <w:t>、投标有效性的认定</w:t>
      </w:r>
    </w:p>
    <w:p>
      <w:pPr>
        <w:spacing w:before="120" w:line="320" w:lineRule="atLeast"/>
        <w:ind w:firstLine="420" w:firstLineChars="200"/>
        <w:rPr>
          <w:rFonts w:ascii="Arial" w:hAnsi="Arial" w:cs="Arial"/>
          <w:color w:val="auto"/>
          <w:szCs w:val="21"/>
          <w:highlight w:val="none"/>
        </w:rPr>
      </w:pPr>
      <w:bookmarkStart w:id="92" w:name="_Hlk19113301"/>
      <w:r>
        <w:rPr>
          <w:rFonts w:ascii="Arial" w:hAnsi="Arial" w:cs="Arial"/>
          <w:color w:val="auto"/>
          <w:szCs w:val="21"/>
          <w:highlight w:val="none"/>
        </w:rPr>
        <w:t>（1）资格审查时，如发现下列情形之一的，投标文件将被视为无效：</w:t>
      </w:r>
    </w:p>
    <w:p>
      <w:pPr>
        <w:spacing w:before="120" w:line="320" w:lineRule="atLeast"/>
        <w:ind w:firstLine="420" w:firstLineChars="200"/>
        <w:rPr>
          <w:rStyle w:val="151"/>
          <w:rFonts w:ascii="Arial" w:hAnsi="Arial" w:cs="Arial"/>
          <w:color w:val="auto"/>
          <w:highlight w:val="none"/>
        </w:rPr>
      </w:pPr>
      <w:r>
        <w:rPr>
          <w:rFonts w:ascii="Arial" w:hAnsi="Arial" w:cs="Arial"/>
          <w:color w:val="auto"/>
          <w:szCs w:val="21"/>
          <w:highlight w:val="none"/>
        </w:rPr>
        <w:t>①</w:t>
      </w:r>
      <w:r>
        <w:rPr>
          <w:rFonts w:ascii="Arial" w:hAnsi="Arial" w:cs="Arial"/>
          <w:color w:val="auto"/>
          <w:highlight w:val="none"/>
        </w:rPr>
        <w:t>不具备招标文件中规定的资格要求的；</w:t>
      </w:r>
    </w:p>
    <w:p>
      <w:pPr>
        <w:spacing w:before="120" w:line="320" w:lineRule="atLeast"/>
        <w:ind w:firstLine="420" w:firstLineChars="200"/>
        <w:rPr>
          <w:rStyle w:val="151"/>
          <w:rFonts w:ascii="Arial" w:hAnsi="Arial" w:cs="Arial"/>
          <w:color w:val="auto"/>
          <w:szCs w:val="21"/>
          <w:highlight w:val="none"/>
        </w:rPr>
      </w:pPr>
      <w:r>
        <w:rPr>
          <w:rFonts w:ascii="Arial" w:hAnsi="Arial" w:cs="Arial"/>
          <w:color w:val="auto"/>
          <w:szCs w:val="21"/>
          <w:highlight w:val="none"/>
        </w:rPr>
        <w:t>②投标文件签署（签名）、盖章不符合招标文件要求的</w:t>
      </w:r>
      <w:r>
        <w:rPr>
          <w:rFonts w:ascii="Arial" w:hAnsi="Arial" w:cs="Arial"/>
          <w:color w:val="auto"/>
          <w:highlight w:val="none"/>
        </w:rPr>
        <w:t>；</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（2）在符合性审查、商务和技术评估时，如发现下列情形之一的，投标文件将被视为无效：</w:t>
      </w:r>
    </w:p>
    <w:p>
      <w:pPr>
        <w:spacing w:before="120" w:line="320" w:lineRule="atLeast"/>
        <w:ind w:firstLine="420" w:firstLineChars="200"/>
        <w:rPr>
          <w:rFonts w:ascii="Arial" w:hAnsi="Arial" w:cs="Arial"/>
          <w:color w:val="auto"/>
          <w:highlight w:val="none"/>
        </w:rPr>
      </w:pPr>
      <w:r>
        <w:rPr>
          <w:rFonts w:ascii="Arial" w:hAnsi="Arial" w:cs="Arial"/>
          <w:color w:val="auto"/>
          <w:szCs w:val="21"/>
          <w:highlight w:val="none"/>
        </w:rPr>
        <w:t>①</w:t>
      </w:r>
      <w:r>
        <w:rPr>
          <w:rFonts w:ascii="Arial" w:hAnsi="Arial" w:cs="Arial"/>
          <w:color w:val="auto"/>
          <w:highlight w:val="none"/>
        </w:rPr>
        <w:t>投标文件未按招标文件要求签署、盖章的；</w:t>
      </w:r>
    </w:p>
    <w:p>
      <w:pPr>
        <w:spacing w:before="120" w:line="320" w:lineRule="atLeast"/>
        <w:ind w:firstLine="420" w:firstLineChars="200"/>
        <w:rPr>
          <w:rStyle w:val="151"/>
          <w:rFonts w:ascii="Arial" w:hAnsi="Arial" w:cs="Arial"/>
          <w:color w:val="auto"/>
          <w:highlight w:val="none"/>
        </w:rPr>
      </w:pPr>
      <w:r>
        <w:rPr>
          <w:rFonts w:ascii="Arial" w:hAnsi="Arial" w:cs="Arial"/>
          <w:color w:val="auto"/>
          <w:szCs w:val="21"/>
          <w:highlight w:val="none"/>
        </w:rPr>
        <w:t>②</w:t>
      </w:r>
      <w:r>
        <w:rPr>
          <w:rFonts w:ascii="Arial" w:hAnsi="Arial" w:cs="Arial"/>
          <w:color w:val="auto"/>
          <w:highlight w:val="none"/>
        </w:rPr>
        <w:t>投标文件未按招标文件要求提供第六章要求“必须提供”的内容的；</w:t>
      </w:r>
    </w:p>
    <w:p>
      <w:pPr>
        <w:spacing w:before="120" w:line="320" w:lineRule="atLeast"/>
        <w:ind w:firstLine="420" w:firstLineChars="200"/>
        <w:rPr>
          <w:rStyle w:val="151"/>
          <w:rFonts w:ascii="Arial" w:hAnsi="Arial" w:cs="Arial"/>
          <w:color w:val="auto"/>
          <w:highlight w:val="none"/>
        </w:rPr>
      </w:pPr>
      <w:r>
        <w:rPr>
          <w:rFonts w:ascii="Arial" w:hAnsi="Arial" w:cs="Arial"/>
          <w:color w:val="auto"/>
          <w:szCs w:val="21"/>
          <w:highlight w:val="none"/>
        </w:rPr>
        <w:t>③</w:t>
      </w:r>
      <w:r>
        <w:rPr>
          <w:rFonts w:ascii="Arial" w:hAnsi="Arial" w:cs="Arial"/>
          <w:color w:val="auto"/>
          <w:highlight w:val="none"/>
        </w:rPr>
        <w:t>报价超过招标文件中规定的预算金额或者最高限价的；</w:t>
      </w:r>
    </w:p>
    <w:p>
      <w:pPr>
        <w:spacing w:before="120" w:line="320" w:lineRule="atLeast"/>
        <w:ind w:firstLine="420" w:firstLineChars="200"/>
        <w:rPr>
          <w:rFonts w:ascii="Arial" w:hAnsi="Arial" w:cs="Arial"/>
          <w:color w:val="auto"/>
          <w:highlight w:val="none"/>
        </w:rPr>
      </w:pPr>
      <w:r>
        <w:rPr>
          <w:rFonts w:ascii="Arial" w:hAnsi="Arial" w:cs="Arial"/>
          <w:color w:val="auto"/>
          <w:szCs w:val="21"/>
          <w:highlight w:val="none"/>
        </w:rPr>
        <w:t>④</w:t>
      </w:r>
      <w:r>
        <w:rPr>
          <w:rFonts w:ascii="Arial" w:hAnsi="Arial" w:cs="Arial"/>
          <w:color w:val="auto"/>
          <w:highlight w:val="none"/>
        </w:rPr>
        <w:t>投标文件含有采购人不能接受的附加条件的；</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⑤评审过程中发现投标文件中提供虚假材料的；</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⑥法律、法规和招标文件规定的其他无效情形。</w:t>
      </w:r>
    </w:p>
    <w:bookmarkEnd w:id="92"/>
    <w:p>
      <w:pPr>
        <w:spacing w:before="120" w:line="320" w:lineRule="atLeast"/>
        <w:ind w:firstLine="422" w:firstLineChars="200"/>
        <w:rPr>
          <w:rFonts w:ascii="Arial" w:hAnsi="Arial" w:cs="Arial"/>
          <w:b/>
          <w:bCs/>
          <w:color w:val="auto"/>
          <w:szCs w:val="21"/>
          <w:highlight w:val="none"/>
        </w:rPr>
      </w:pPr>
      <w:bookmarkStart w:id="93" w:name="_Hlk19113313"/>
      <w:r>
        <w:rPr>
          <w:rFonts w:ascii="Arial" w:hAnsi="Arial" w:cs="Arial"/>
          <w:b/>
          <w:bCs/>
          <w:color w:val="auto"/>
          <w:szCs w:val="21"/>
          <w:highlight w:val="none"/>
        </w:rPr>
        <w:t>（3）根据财库〔2019〕38号《关于促进政府采购公平竞争优化营商环境的通知》以及桂财采〔2019〕41号 《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bookmarkEnd w:id="93"/>
    <w:p>
      <w:pPr>
        <w:spacing w:before="120" w:line="320" w:lineRule="atLeast"/>
        <w:ind w:firstLine="413" w:firstLineChars="196"/>
        <w:outlineLvl w:val="1"/>
        <w:rPr>
          <w:rFonts w:ascii="Arial" w:hAnsi="Arial" w:cs="Arial"/>
          <w:b/>
          <w:bCs/>
          <w:color w:val="auto"/>
          <w:kern w:val="0"/>
          <w:szCs w:val="21"/>
          <w:highlight w:val="none"/>
        </w:rPr>
      </w:pPr>
      <w:bookmarkStart w:id="94" w:name="_Hlk19176155"/>
      <w:r>
        <w:rPr>
          <w:rFonts w:hint="eastAsia" w:ascii="Arial" w:hAnsi="Arial" w:cs="Arial"/>
          <w:b/>
          <w:bCs/>
          <w:color w:val="auto"/>
          <w:kern w:val="0"/>
          <w:szCs w:val="21"/>
          <w:highlight w:val="none"/>
        </w:rPr>
        <w:t>7</w:t>
      </w:r>
      <w:r>
        <w:rPr>
          <w:rFonts w:ascii="Arial" w:hAnsi="Arial" w:cs="Arial"/>
          <w:b/>
          <w:bCs/>
          <w:color w:val="auto"/>
          <w:kern w:val="0"/>
          <w:szCs w:val="21"/>
          <w:highlight w:val="none"/>
        </w:rPr>
        <w:t>、澄清、说明或补正</w:t>
      </w:r>
    </w:p>
    <w:p>
      <w:pPr>
        <w:spacing w:before="120" w:line="320" w:lineRule="atLeast"/>
        <w:ind w:firstLine="420" w:firstLineChars="200"/>
        <w:rPr>
          <w:rFonts w:ascii="Arial" w:hAnsi="Arial" w:cs="Arial"/>
          <w:color w:val="auto"/>
          <w:szCs w:val="21"/>
          <w:highlight w:val="none"/>
        </w:rPr>
      </w:pPr>
      <w:bookmarkStart w:id="95" w:name="_Hlk19113333"/>
      <w:r>
        <w:rPr>
          <w:rFonts w:ascii="Arial" w:hAnsi="Arial" w:cs="Arial"/>
          <w:color w:val="auto"/>
          <w:szCs w:val="21"/>
          <w:highlight w:val="none"/>
        </w:rPr>
        <w:t>对投标文件中含义不明确、同类问题表述不一致或者有明显文字和计算错误的内容，评标委员会可要求供应商在合理时间内通过在线询标、电话、电子邮件或传真等不见面、不接触的方式作出必要的澄清、说明或者纠正。内容不得超出投标文件的范围或者改变投标文件的实质性内容。逾期未做澄清、说明或者纠正的，经电话催告仍不澄清的，视为放弃。</w:t>
      </w:r>
    </w:p>
    <w:bookmarkEnd w:id="95"/>
    <w:p>
      <w:pPr>
        <w:spacing w:before="120" w:line="320" w:lineRule="atLeast"/>
        <w:ind w:firstLine="413" w:firstLineChars="196"/>
        <w:outlineLvl w:val="1"/>
        <w:rPr>
          <w:rFonts w:ascii="Arial" w:hAnsi="Arial" w:cs="Arial"/>
          <w:b/>
          <w:bCs/>
          <w:color w:val="auto"/>
          <w:kern w:val="0"/>
          <w:szCs w:val="21"/>
          <w:highlight w:val="none"/>
        </w:rPr>
      </w:pPr>
      <w:bookmarkStart w:id="96" w:name="_Hlk19113363"/>
      <w:r>
        <w:rPr>
          <w:rFonts w:hint="eastAsia" w:ascii="Arial" w:hAnsi="Arial" w:cs="Arial"/>
          <w:b/>
          <w:bCs/>
          <w:color w:val="auto"/>
          <w:kern w:val="0"/>
          <w:szCs w:val="21"/>
          <w:highlight w:val="none"/>
        </w:rPr>
        <w:t>8</w:t>
      </w:r>
      <w:r>
        <w:rPr>
          <w:rFonts w:ascii="Arial" w:hAnsi="Arial" w:cs="Arial"/>
          <w:b/>
          <w:bCs/>
          <w:color w:val="auto"/>
          <w:kern w:val="0"/>
          <w:szCs w:val="21"/>
          <w:highlight w:val="none"/>
        </w:rPr>
        <w:t>、报价修正</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投标文件报价如果出现计算或表达上的错误，修正错误的原则如下：</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（1）投标文件中开标一览表（报价表）内容与投标文件中相应内容不一致的，以开标一览表（报价表）为准；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（2）大写金额和小写金额不一致的，以大写金额为准；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（3）单价金额小数点或者百分比有明显错位的，以开标一览表的总价为准，并修改单价；</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（4）总价金额与按单价汇总金额不一致的，以单价金额计算结果为准。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同时出现两种以上不一致的，按照上述顺序修正。修正后的报价按照上述“</w:t>
      </w:r>
      <w:r>
        <w:rPr>
          <w:rFonts w:hint="eastAsia" w:ascii="Arial" w:hAnsi="Arial" w:cs="Arial"/>
          <w:color w:val="auto"/>
          <w:szCs w:val="21"/>
          <w:highlight w:val="none"/>
        </w:rPr>
        <w:t>7</w:t>
      </w:r>
      <w:r>
        <w:rPr>
          <w:rFonts w:ascii="Arial" w:hAnsi="Arial" w:cs="Arial"/>
          <w:color w:val="auto"/>
          <w:szCs w:val="21"/>
          <w:highlight w:val="none"/>
        </w:rPr>
        <w:t>、澄清、说明或补正”的规定经供应商确认后产生约束力，供应商不确认的，其投标无效。</w:t>
      </w:r>
    </w:p>
    <w:bookmarkEnd w:id="94"/>
    <w:p>
      <w:pPr>
        <w:spacing w:before="120" w:line="320" w:lineRule="atLeast"/>
        <w:ind w:firstLine="413" w:firstLineChars="196"/>
        <w:outlineLvl w:val="1"/>
        <w:rPr>
          <w:rFonts w:ascii="Arial" w:hAnsi="Arial" w:cs="Arial"/>
          <w:b/>
          <w:bCs/>
          <w:color w:val="auto"/>
          <w:kern w:val="0"/>
          <w:szCs w:val="21"/>
          <w:highlight w:val="none"/>
        </w:rPr>
      </w:pPr>
      <w:r>
        <w:rPr>
          <w:rFonts w:hint="eastAsia" w:ascii="Arial" w:hAnsi="Arial" w:cs="Arial"/>
          <w:b/>
          <w:bCs/>
          <w:color w:val="auto"/>
          <w:kern w:val="0"/>
          <w:szCs w:val="21"/>
          <w:highlight w:val="none"/>
        </w:rPr>
        <w:t>9</w:t>
      </w:r>
      <w:r>
        <w:rPr>
          <w:rFonts w:ascii="Arial" w:hAnsi="Arial" w:cs="Arial"/>
          <w:b/>
          <w:bCs/>
          <w:color w:val="auto"/>
          <w:kern w:val="0"/>
          <w:szCs w:val="21"/>
          <w:highlight w:val="none"/>
        </w:rPr>
        <w:t>、过低报价合理性的审查</w:t>
      </w:r>
    </w:p>
    <w:p>
      <w:pPr>
        <w:spacing w:before="120" w:line="320" w:lineRule="atLeast"/>
        <w:ind w:firstLine="420" w:firstLineChars="200"/>
        <w:rPr>
          <w:rFonts w:ascii="Arial" w:hAnsi="Arial" w:cs="Arial"/>
          <w:color w:val="auto"/>
          <w:szCs w:val="21"/>
          <w:highlight w:val="none"/>
        </w:rPr>
      </w:pPr>
      <w:r>
        <w:rPr>
          <w:rFonts w:ascii="Arial" w:hAnsi="Arial" w:cs="Arial"/>
          <w:color w:val="auto"/>
          <w:highlight w:val="none"/>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货物的主要成本、销售费用、管理费用、财务费用、履约费用、计划利润、税金及附加等成本构成事项进行详细陈述。书面说明应当</w:t>
      </w:r>
      <w:r>
        <w:rPr>
          <w:rFonts w:ascii="Arial" w:hAnsi="Arial" w:cs="Arial"/>
          <w:color w:val="auto"/>
          <w:szCs w:val="21"/>
          <w:highlight w:val="none"/>
        </w:rPr>
        <w:t>按照上述“</w:t>
      </w:r>
      <w:r>
        <w:rPr>
          <w:rFonts w:hint="eastAsia" w:ascii="Arial" w:hAnsi="Arial" w:cs="Arial"/>
          <w:color w:val="auto"/>
          <w:szCs w:val="21"/>
          <w:highlight w:val="none"/>
        </w:rPr>
        <w:t>7</w:t>
      </w:r>
      <w:r>
        <w:rPr>
          <w:rFonts w:ascii="Arial" w:hAnsi="Arial" w:cs="Arial"/>
          <w:color w:val="auto"/>
          <w:szCs w:val="21"/>
          <w:highlight w:val="none"/>
        </w:rPr>
        <w:t>、澄清、说明或补正”的规定经供应商确认后提交给评标委员会。</w:t>
      </w:r>
      <w:r>
        <w:rPr>
          <w:rFonts w:ascii="Arial" w:hAnsi="Arial" w:cs="Arial"/>
          <w:color w:val="auto"/>
          <w:highlight w:val="none"/>
        </w:rPr>
        <w:t>供应商未按规定提供说明或不能证明其报价合理性的，评标委员会应当将其作为无效投标处理。</w:t>
      </w:r>
    </w:p>
    <w:p>
      <w:pPr>
        <w:spacing w:before="120" w:line="320" w:lineRule="atLeast"/>
        <w:ind w:firstLine="420" w:firstLineChars="200"/>
        <w:rPr>
          <w:rFonts w:ascii="Arial" w:hAnsi="Arial" w:cs="Arial"/>
          <w:color w:val="auto"/>
          <w:highlight w:val="none"/>
        </w:rPr>
      </w:pPr>
      <w:r>
        <w:rPr>
          <w:rFonts w:ascii="Arial" w:hAnsi="Arial" w:cs="Arial"/>
          <w:color w:val="auto"/>
          <w:highlight w:val="none"/>
        </w:rPr>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1</w:t>
      </w:r>
      <w:r>
        <w:rPr>
          <w:rFonts w:hint="eastAsia" w:ascii="Arial" w:hAnsi="Arial" w:cs="Arial"/>
          <w:b/>
          <w:bCs/>
          <w:color w:val="auto"/>
          <w:kern w:val="0"/>
          <w:szCs w:val="21"/>
          <w:highlight w:val="none"/>
        </w:rPr>
        <w:t>0</w:t>
      </w:r>
      <w:r>
        <w:rPr>
          <w:rFonts w:ascii="Arial" w:hAnsi="Arial" w:cs="Arial"/>
          <w:b/>
          <w:bCs/>
          <w:color w:val="auto"/>
          <w:kern w:val="0"/>
          <w:szCs w:val="21"/>
          <w:highlight w:val="none"/>
        </w:rPr>
        <w:t>、商务和技术评估、综合比较与评价</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评标委员会按招标文件中规定的评标方法和标准，对资格审查和符合性审查合格的投标文件进行商务和技术评估，综合比较与评价。</w:t>
      </w:r>
      <w:r>
        <w:rPr>
          <w:rStyle w:val="151"/>
          <w:rFonts w:ascii="Arial" w:hAnsi="Arial" w:cs="Arial"/>
          <w:color w:val="auto"/>
          <w:highlight w:val="none"/>
        </w:rPr>
        <w:t>具体评标标准见《</w:t>
      </w:r>
      <w:r>
        <w:rPr>
          <w:rFonts w:ascii="Arial" w:hAnsi="Arial" w:cs="Arial"/>
          <w:bCs/>
          <w:color w:val="auto"/>
          <w:kern w:val="0"/>
          <w:szCs w:val="21"/>
          <w:highlight w:val="none"/>
        </w:rPr>
        <w:t>评分表</w:t>
      </w:r>
      <w:r>
        <w:rPr>
          <w:rStyle w:val="151"/>
          <w:rFonts w:ascii="Arial" w:hAnsi="Arial" w:cs="Arial"/>
          <w:color w:val="auto"/>
          <w:highlight w:val="none"/>
        </w:rPr>
        <w:t>》。</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pPr>
        <w:spacing w:before="120" w:line="320" w:lineRule="atLeast"/>
        <w:ind w:firstLine="420" w:firstLineChars="200"/>
        <w:rPr>
          <w:rFonts w:ascii="Arial" w:hAnsi="Arial" w:cs="Arial"/>
          <w:color w:val="auto"/>
          <w:highlight w:val="none"/>
        </w:rPr>
      </w:pPr>
      <w:r>
        <w:rPr>
          <w:rFonts w:ascii="Arial" w:hAnsi="Arial" w:cs="Arial"/>
          <w:color w:val="auto"/>
          <w:szCs w:val="21"/>
          <w:highlight w:val="none"/>
        </w:rPr>
        <w:t>复核后，评标委员会汇总每个供应商每项评分因素的得分。</w:t>
      </w:r>
      <w:r>
        <w:rPr>
          <w:rFonts w:ascii="Arial" w:hAnsi="Arial" w:cs="Arial"/>
          <w:color w:val="auto"/>
          <w:highlight w:val="none"/>
        </w:rPr>
        <w:t>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1</w:t>
      </w:r>
      <w:r>
        <w:rPr>
          <w:rFonts w:hint="eastAsia" w:ascii="Arial" w:hAnsi="Arial" w:cs="Arial"/>
          <w:b/>
          <w:bCs/>
          <w:color w:val="auto"/>
          <w:kern w:val="0"/>
          <w:szCs w:val="21"/>
          <w:highlight w:val="none"/>
        </w:rPr>
        <w:t>1</w:t>
      </w:r>
      <w:r>
        <w:rPr>
          <w:rFonts w:ascii="Arial" w:hAnsi="Arial" w:cs="Arial"/>
          <w:b/>
          <w:bCs/>
          <w:color w:val="auto"/>
          <w:kern w:val="0"/>
          <w:szCs w:val="21"/>
          <w:highlight w:val="none"/>
        </w:rPr>
        <w:t>、中标候选人推荐原则</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按评标后得分由高到低的排列顺序推荐综合得分排名第一的为第一中标候选人。若中标候选人综合得分相同的，按投标报价由低到高顺序排列；综合得分且投标报价相同的</w:t>
      </w:r>
      <w:r>
        <w:rPr>
          <w:rFonts w:ascii="Arial" w:hAnsi="Arial" w:cs="Arial"/>
          <w:color w:val="auto"/>
          <w:highlight w:val="none"/>
        </w:rPr>
        <w:t>并列</w:t>
      </w:r>
      <w:r>
        <w:rPr>
          <w:rFonts w:ascii="Arial" w:hAnsi="Arial" w:cs="Arial"/>
          <w:color w:val="auto"/>
          <w:szCs w:val="21"/>
          <w:highlight w:val="none"/>
        </w:rPr>
        <w:t>；中标候选人并列的，</w:t>
      </w:r>
      <w:r>
        <w:rPr>
          <w:rFonts w:ascii="Arial" w:hAnsi="Arial" w:cs="Arial"/>
          <w:color w:val="auto"/>
          <w:highlight w:val="none"/>
        </w:rPr>
        <w:t>由采购人</w:t>
      </w:r>
      <w:r>
        <w:rPr>
          <w:rFonts w:ascii="Arial" w:hAnsi="Arial" w:cs="Arial"/>
          <w:color w:val="auto"/>
          <w:szCs w:val="21"/>
          <w:highlight w:val="none"/>
        </w:rPr>
        <w:t>按综合信誉及履约能力分得分由高到低顺序排列，若综合得分、投标报价、综合信誉及履约能力分均相同的，按技术方案分得分由高到低顺序排列。</w:t>
      </w:r>
    </w:p>
    <w:p>
      <w:pPr>
        <w:spacing w:before="120" w:line="320" w:lineRule="atLeast"/>
        <w:ind w:firstLine="413" w:firstLineChars="196"/>
        <w:outlineLvl w:val="1"/>
        <w:rPr>
          <w:rFonts w:ascii="Arial" w:hAnsi="Arial" w:cs="Arial"/>
          <w:b/>
          <w:bCs/>
          <w:color w:val="auto"/>
          <w:kern w:val="0"/>
          <w:szCs w:val="21"/>
          <w:highlight w:val="none"/>
        </w:rPr>
      </w:pPr>
      <w:r>
        <w:rPr>
          <w:rFonts w:ascii="Arial" w:hAnsi="Arial" w:cs="Arial"/>
          <w:b/>
          <w:bCs/>
          <w:color w:val="auto"/>
          <w:kern w:val="0"/>
          <w:szCs w:val="21"/>
          <w:highlight w:val="none"/>
        </w:rPr>
        <w:t>1</w:t>
      </w:r>
      <w:r>
        <w:rPr>
          <w:rFonts w:hint="eastAsia" w:ascii="Arial" w:hAnsi="Arial" w:cs="Arial"/>
          <w:b/>
          <w:bCs/>
          <w:color w:val="auto"/>
          <w:kern w:val="0"/>
          <w:szCs w:val="21"/>
          <w:highlight w:val="none"/>
        </w:rPr>
        <w:t>2</w:t>
      </w:r>
      <w:r>
        <w:rPr>
          <w:rFonts w:ascii="Arial" w:hAnsi="Arial" w:cs="Arial"/>
          <w:b/>
          <w:bCs/>
          <w:color w:val="auto"/>
          <w:kern w:val="0"/>
          <w:szCs w:val="21"/>
          <w:highlight w:val="none"/>
        </w:rPr>
        <w:t>、评标争议处理</w:t>
      </w:r>
    </w:p>
    <w:p>
      <w:pPr>
        <w:spacing w:before="120" w:line="320" w:lineRule="atLeast"/>
        <w:ind w:firstLine="420" w:firstLineChars="200"/>
        <w:rPr>
          <w:rFonts w:ascii="Arial" w:hAnsi="Arial" w:cs="Arial"/>
          <w:color w:val="auto"/>
          <w:highlight w:val="none"/>
        </w:rPr>
      </w:pPr>
      <w:r>
        <w:rPr>
          <w:rFonts w:ascii="Arial" w:hAnsi="Arial" w:cs="Arial"/>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96"/>
    <w:p>
      <w:pPr>
        <w:spacing w:before="120" w:line="320" w:lineRule="atLeast"/>
        <w:outlineLvl w:val="1"/>
        <w:rPr>
          <w:rFonts w:ascii="Arial" w:hAnsi="Arial" w:cs="Arial"/>
          <w:b/>
          <w:bCs/>
          <w:color w:val="auto"/>
          <w:kern w:val="0"/>
          <w:szCs w:val="21"/>
          <w:highlight w:val="none"/>
        </w:rPr>
      </w:pPr>
      <w:r>
        <w:rPr>
          <w:rFonts w:ascii="Arial" w:hAnsi="Arial" w:cs="Arial"/>
          <w:b/>
          <w:bCs/>
          <w:color w:val="auto"/>
          <w:kern w:val="0"/>
          <w:highlight w:val="none"/>
        </w:rPr>
        <w:br w:type="page"/>
      </w:r>
      <w:bookmarkStart w:id="97" w:name="_Hlk19113393"/>
      <w:r>
        <w:rPr>
          <w:rFonts w:ascii="Arial" w:hAnsi="Arial" w:cs="Arial"/>
          <w:b/>
          <w:bCs/>
          <w:color w:val="auto"/>
          <w:kern w:val="0"/>
          <w:szCs w:val="21"/>
          <w:highlight w:val="none"/>
        </w:rPr>
        <w:t>五、评标标准</w:t>
      </w:r>
    </w:p>
    <w:bookmarkEnd w:id="97"/>
    <w:p>
      <w:pPr>
        <w:pStyle w:val="221"/>
        <w:snapToGrid w:val="0"/>
        <w:spacing w:line="288" w:lineRule="auto"/>
        <w:ind w:firstLine="0" w:firstLineChars="0"/>
        <w:rPr>
          <w:rFonts w:ascii="Arial" w:hAnsi="Arial" w:cs="Arial"/>
          <w:b/>
          <w:color w:val="auto"/>
          <w:kern w:val="0"/>
          <w:szCs w:val="21"/>
          <w:highlight w:val="none"/>
        </w:rPr>
      </w:pPr>
      <w:r>
        <w:rPr>
          <w:rFonts w:ascii="Arial" w:hAnsi="Arial" w:cs="Arial"/>
          <w:b/>
          <w:color w:val="auto"/>
          <w:kern w:val="0"/>
          <w:szCs w:val="21"/>
          <w:highlight w:val="none"/>
        </w:rPr>
        <w:t>（一）评分细则</w:t>
      </w:r>
    </w:p>
    <w:bookmarkEnd w:id="80"/>
    <w:bookmarkEnd w:id="81"/>
    <w:tbl>
      <w:tblPr>
        <w:tblStyle w:val="53"/>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638"/>
        <w:gridCol w:w="911"/>
        <w:gridCol w:w="3889"/>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
                <w:color w:val="auto"/>
                <w:szCs w:val="21"/>
                <w:highlight w:val="none"/>
              </w:rPr>
            </w:pPr>
            <w:r>
              <w:rPr>
                <w:rFonts w:ascii="Arial" w:hAnsi="Arial" w:cs="Arial"/>
                <w:b/>
                <w:color w:val="auto"/>
                <w:szCs w:val="21"/>
                <w:highlight w:val="none"/>
              </w:rPr>
              <w:t>序号</w:t>
            </w:r>
          </w:p>
        </w:tc>
        <w:tc>
          <w:tcPr>
            <w:tcW w:w="1638" w:type="dxa"/>
            <w:vAlign w:val="center"/>
          </w:tcPr>
          <w:p>
            <w:pPr>
              <w:wordWrap w:val="0"/>
              <w:jc w:val="center"/>
              <w:rPr>
                <w:rFonts w:ascii="Arial" w:hAnsi="Arial" w:cs="Arial"/>
                <w:b/>
                <w:color w:val="auto"/>
                <w:szCs w:val="21"/>
                <w:highlight w:val="none"/>
              </w:rPr>
            </w:pPr>
            <w:r>
              <w:rPr>
                <w:rFonts w:ascii="Arial" w:hAnsi="Arial" w:cs="Arial"/>
                <w:b/>
                <w:color w:val="auto"/>
                <w:szCs w:val="21"/>
                <w:highlight w:val="none"/>
              </w:rPr>
              <w:t>评标因素及分值</w:t>
            </w:r>
          </w:p>
        </w:tc>
        <w:tc>
          <w:tcPr>
            <w:tcW w:w="911" w:type="dxa"/>
            <w:vAlign w:val="center"/>
          </w:tcPr>
          <w:p>
            <w:pPr>
              <w:wordWrap w:val="0"/>
              <w:jc w:val="center"/>
              <w:rPr>
                <w:rFonts w:ascii="Arial" w:hAnsi="Arial" w:cs="Arial"/>
                <w:b/>
                <w:color w:val="auto"/>
                <w:szCs w:val="21"/>
                <w:highlight w:val="none"/>
              </w:rPr>
            </w:pPr>
            <w:r>
              <w:rPr>
                <w:rFonts w:ascii="Arial" w:hAnsi="Arial" w:cs="Arial"/>
                <w:b/>
                <w:color w:val="auto"/>
                <w:szCs w:val="21"/>
                <w:highlight w:val="none"/>
              </w:rPr>
              <w:t>分值</w:t>
            </w:r>
          </w:p>
          <w:p>
            <w:pPr>
              <w:wordWrap w:val="0"/>
              <w:jc w:val="center"/>
              <w:rPr>
                <w:rFonts w:ascii="Arial" w:hAnsi="Arial" w:cs="Arial"/>
                <w:b/>
                <w:color w:val="auto"/>
                <w:szCs w:val="21"/>
                <w:highlight w:val="none"/>
              </w:rPr>
            </w:pPr>
            <w:r>
              <w:rPr>
                <w:rFonts w:ascii="Arial" w:hAnsi="Arial" w:cs="Arial"/>
                <w:b/>
                <w:color w:val="auto"/>
                <w:szCs w:val="21"/>
                <w:highlight w:val="none"/>
              </w:rPr>
              <w:t>属性</w:t>
            </w:r>
          </w:p>
        </w:tc>
        <w:tc>
          <w:tcPr>
            <w:tcW w:w="3889" w:type="dxa"/>
            <w:vAlign w:val="center"/>
          </w:tcPr>
          <w:p>
            <w:pPr>
              <w:wordWrap w:val="0"/>
              <w:jc w:val="center"/>
              <w:rPr>
                <w:rFonts w:ascii="Arial" w:hAnsi="Arial" w:cs="Arial"/>
                <w:b/>
                <w:color w:val="auto"/>
                <w:szCs w:val="21"/>
                <w:highlight w:val="none"/>
              </w:rPr>
            </w:pPr>
            <w:r>
              <w:rPr>
                <w:rFonts w:ascii="Arial" w:hAnsi="Arial" w:cs="Arial"/>
                <w:b/>
                <w:color w:val="auto"/>
                <w:szCs w:val="21"/>
                <w:highlight w:val="none"/>
              </w:rPr>
              <w:t>评标标准</w:t>
            </w:r>
          </w:p>
        </w:tc>
        <w:tc>
          <w:tcPr>
            <w:tcW w:w="2936" w:type="dxa"/>
            <w:vAlign w:val="center"/>
          </w:tcPr>
          <w:p>
            <w:pPr>
              <w:wordWrap w:val="0"/>
              <w:jc w:val="center"/>
              <w:rPr>
                <w:rFonts w:ascii="Arial" w:hAnsi="Arial" w:cs="Arial"/>
                <w:b/>
                <w:color w:val="auto"/>
                <w:szCs w:val="21"/>
                <w:highlight w:val="none"/>
              </w:rPr>
            </w:pPr>
            <w:r>
              <w:rPr>
                <w:rFonts w:ascii="Arial" w:hAnsi="Arial" w:cs="Arial"/>
                <w:b/>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1</w:t>
            </w:r>
          </w:p>
        </w:tc>
        <w:tc>
          <w:tcPr>
            <w:tcW w:w="1638"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价格分30分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客观分</w:t>
            </w:r>
          </w:p>
        </w:tc>
        <w:tc>
          <w:tcPr>
            <w:tcW w:w="3889" w:type="dxa"/>
            <w:vAlign w:val="center"/>
          </w:tcPr>
          <w:p>
            <w:pPr>
              <w:wordWrap w:val="0"/>
              <w:rPr>
                <w:rFonts w:ascii="Arial" w:hAnsi="Arial" w:cs="Arial"/>
                <w:bCs/>
                <w:color w:val="auto"/>
                <w:szCs w:val="21"/>
                <w:highlight w:val="none"/>
              </w:rPr>
            </w:pPr>
            <w:r>
              <w:rPr>
                <w:rFonts w:ascii="Arial" w:hAnsi="Arial" w:cs="Arial"/>
                <w:bCs/>
                <w:color w:val="auto"/>
                <w:szCs w:val="21"/>
                <w:highlight w:val="none"/>
              </w:rPr>
              <w:t>以满足招标文件要求且投标价格最低的为评标基准价，其价格分为30分。其他供应商的价格分统一按照下列公式计算：投标报价得分=（评标基准价/投标报价）×30。</w:t>
            </w:r>
          </w:p>
        </w:tc>
        <w:tc>
          <w:tcPr>
            <w:tcW w:w="2936" w:type="dxa"/>
            <w:vAlign w:val="center"/>
          </w:tcPr>
          <w:p>
            <w:pPr>
              <w:wordWrap w:val="0"/>
              <w:rPr>
                <w:rFonts w:ascii="Arial" w:hAnsi="Arial" w:cs="Arial"/>
                <w:bCs/>
                <w:color w:val="auto"/>
                <w:szCs w:val="21"/>
                <w:highlight w:val="none"/>
              </w:rPr>
            </w:pPr>
            <w:r>
              <w:rPr>
                <w:rFonts w:ascii="Arial" w:hAnsi="Arial" w:cs="Arial"/>
                <w:bCs/>
                <w:color w:val="auto"/>
                <w:highlight w:val="none"/>
              </w:rPr>
              <w:t>投标报价计算时均为供应商的实际投标报价进行政策性扣除后的价格，最终中标金额＝投标报价。政策性扣除计算方法见后。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2</w:t>
            </w:r>
          </w:p>
        </w:tc>
        <w:tc>
          <w:tcPr>
            <w:tcW w:w="1638"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技术分</w:t>
            </w:r>
            <w:r>
              <w:rPr>
                <w:rFonts w:hint="eastAsia" w:ascii="Arial" w:hAnsi="Arial" w:cs="Arial"/>
                <w:bCs/>
                <w:color w:val="auto"/>
                <w:szCs w:val="21"/>
                <w:highlight w:val="none"/>
              </w:rPr>
              <w:t>35</w:t>
            </w:r>
            <w:r>
              <w:rPr>
                <w:rFonts w:ascii="Arial" w:hAnsi="Arial" w:cs="Arial"/>
                <w:bCs/>
                <w:color w:val="auto"/>
                <w:szCs w:val="21"/>
                <w:highlight w:val="none"/>
              </w:rPr>
              <w:t>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客观分</w:t>
            </w:r>
          </w:p>
        </w:tc>
        <w:tc>
          <w:tcPr>
            <w:tcW w:w="3889" w:type="dxa"/>
            <w:vAlign w:val="center"/>
          </w:tcPr>
          <w:p>
            <w:pPr>
              <w:wordWrap w:val="0"/>
              <w:rPr>
                <w:rFonts w:ascii="Arial" w:hAnsi="Arial" w:cs="Arial"/>
                <w:color w:val="auto"/>
                <w:szCs w:val="21"/>
                <w:highlight w:val="none"/>
              </w:rPr>
            </w:pPr>
            <w:r>
              <w:rPr>
                <w:rFonts w:hint="eastAsia" w:ascii="Arial" w:hAnsi="Arial" w:cs="Arial"/>
                <w:color w:val="auto"/>
                <w:szCs w:val="21"/>
                <w:highlight w:val="none"/>
              </w:rPr>
              <w:t>投标产品对招标文件技术需求书的响应程度（35分）</w:t>
            </w:r>
          </w:p>
          <w:p>
            <w:pPr>
              <w:wordWrap w:val="0"/>
              <w:rPr>
                <w:rFonts w:ascii="Arial" w:hAnsi="Arial" w:cs="Arial"/>
                <w:color w:val="auto"/>
                <w:szCs w:val="21"/>
                <w:highlight w:val="none"/>
              </w:rPr>
            </w:pPr>
            <w:r>
              <w:rPr>
                <w:rFonts w:hint="eastAsia" w:ascii="Arial" w:hAnsi="Arial" w:cs="Arial"/>
                <w:color w:val="auto"/>
                <w:szCs w:val="21"/>
                <w:highlight w:val="none"/>
              </w:rPr>
              <w:t>一档（0分）：一般条款（未标注“▲”的技术参数）有7项（含）以上负偏离得0分。</w:t>
            </w:r>
          </w:p>
          <w:p>
            <w:pPr>
              <w:wordWrap w:val="0"/>
              <w:rPr>
                <w:rFonts w:ascii="Arial" w:hAnsi="Arial" w:cs="Arial"/>
                <w:color w:val="auto"/>
                <w:szCs w:val="21"/>
                <w:highlight w:val="none"/>
              </w:rPr>
            </w:pPr>
            <w:r>
              <w:rPr>
                <w:rFonts w:hint="eastAsia" w:ascii="Arial" w:hAnsi="Arial" w:cs="Arial"/>
                <w:color w:val="auto"/>
                <w:szCs w:val="21"/>
                <w:highlight w:val="none"/>
              </w:rPr>
              <w:t>二档（5分）：一般条款（未标注“▲”的技术参数）有6项负偏离得5分。</w:t>
            </w:r>
          </w:p>
          <w:p>
            <w:pPr>
              <w:wordWrap w:val="0"/>
              <w:rPr>
                <w:rFonts w:ascii="Arial" w:hAnsi="Arial" w:cs="Arial"/>
                <w:color w:val="auto"/>
                <w:szCs w:val="21"/>
                <w:highlight w:val="none"/>
              </w:rPr>
            </w:pPr>
            <w:r>
              <w:rPr>
                <w:rFonts w:hint="eastAsia" w:ascii="Arial" w:hAnsi="Arial" w:cs="Arial"/>
                <w:color w:val="auto"/>
                <w:szCs w:val="21"/>
                <w:highlight w:val="none"/>
              </w:rPr>
              <w:t>三档（10分）：一般条款（未标注“▲”的技术参数）有5项负偏离得10分。</w:t>
            </w:r>
          </w:p>
          <w:p>
            <w:pPr>
              <w:wordWrap w:val="0"/>
              <w:rPr>
                <w:rFonts w:ascii="Arial" w:hAnsi="Arial" w:cs="Arial"/>
                <w:color w:val="auto"/>
                <w:szCs w:val="21"/>
                <w:highlight w:val="none"/>
              </w:rPr>
            </w:pPr>
            <w:r>
              <w:rPr>
                <w:rFonts w:hint="eastAsia" w:ascii="Arial" w:hAnsi="Arial" w:cs="Arial"/>
                <w:color w:val="auto"/>
                <w:szCs w:val="21"/>
                <w:highlight w:val="none"/>
              </w:rPr>
              <w:t>四档（15分）：一般条款（未标注“▲”的技术参数）有4项负偏离得15分。</w:t>
            </w:r>
          </w:p>
          <w:p>
            <w:pPr>
              <w:wordWrap w:val="0"/>
              <w:rPr>
                <w:rFonts w:ascii="Arial" w:hAnsi="Arial" w:cs="Arial"/>
                <w:color w:val="auto"/>
                <w:szCs w:val="21"/>
                <w:highlight w:val="none"/>
              </w:rPr>
            </w:pPr>
            <w:r>
              <w:rPr>
                <w:rFonts w:hint="eastAsia" w:ascii="Arial" w:hAnsi="Arial" w:cs="Arial"/>
                <w:color w:val="auto"/>
                <w:szCs w:val="21"/>
                <w:highlight w:val="none"/>
              </w:rPr>
              <w:t>五档（20分）：一般条款（未标注“▲”的技术参数）有3项负偏离得20分。</w:t>
            </w:r>
          </w:p>
          <w:p>
            <w:pPr>
              <w:wordWrap w:val="0"/>
              <w:rPr>
                <w:rFonts w:ascii="Arial" w:hAnsi="Arial" w:cs="Arial"/>
                <w:color w:val="auto"/>
                <w:szCs w:val="21"/>
                <w:highlight w:val="none"/>
              </w:rPr>
            </w:pPr>
            <w:r>
              <w:rPr>
                <w:rFonts w:hint="eastAsia" w:ascii="Arial" w:hAnsi="Arial" w:cs="Arial"/>
                <w:color w:val="auto"/>
                <w:szCs w:val="21"/>
                <w:highlight w:val="none"/>
              </w:rPr>
              <w:t>六档（25分）：一般条款（未标注“▲”的技术参数）有2项负偏离得25分。</w:t>
            </w:r>
          </w:p>
          <w:p>
            <w:pPr>
              <w:wordWrap w:val="0"/>
              <w:rPr>
                <w:rFonts w:ascii="Arial" w:hAnsi="Arial" w:cs="Arial"/>
                <w:color w:val="auto"/>
                <w:szCs w:val="21"/>
                <w:highlight w:val="none"/>
              </w:rPr>
            </w:pPr>
            <w:r>
              <w:rPr>
                <w:rFonts w:hint="eastAsia" w:ascii="Arial" w:hAnsi="Arial" w:cs="Arial"/>
                <w:color w:val="auto"/>
                <w:szCs w:val="21"/>
                <w:highlight w:val="none"/>
              </w:rPr>
              <w:t>七档（30分）：一般条款（未标注“▲”的技术参数）有1项负偏离得30分。</w:t>
            </w:r>
          </w:p>
          <w:p>
            <w:pPr>
              <w:wordWrap w:val="0"/>
              <w:rPr>
                <w:rFonts w:ascii="Arial" w:hAnsi="Arial" w:cs="Arial"/>
                <w:color w:val="auto"/>
                <w:szCs w:val="21"/>
                <w:highlight w:val="none"/>
              </w:rPr>
            </w:pPr>
            <w:r>
              <w:rPr>
                <w:rFonts w:hint="eastAsia" w:ascii="Arial" w:hAnsi="Arial" w:cs="Arial"/>
                <w:color w:val="auto"/>
                <w:szCs w:val="21"/>
                <w:highlight w:val="none"/>
              </w:rPr>
              <w:t>八档（35分）：一般条款（未标注“▲”的技术参数）无负偏离得35分。</w:t>
            </w:r>
          </w:p>
        </w:tc>
        <w:tc>
          <w:tcPr>
            <w:tcW w:w="2936" w:type="dxa"/>
            <w:vAlign w:val="center"/>
          </w:tcPr>
          <w:p>
            <w:pPr>
              <w:wordWrap w:val="0"/>
              <w:rPr>
                <w:rFonts w:ascii="Arial" w:hAnsi="Arial" w:cs="Arial"/>
                <w:bCs/>
                <w:color w:val="auto"/>
                <w:szCs w:val="21"/>
                <w:highlight w:val="none"/>
              </w:rPr>
            </w:pPr>
            <w:r>
              <w:rPr>
                <w:rFonts w:ascii="Arial" w:hAnsi="Arial" w:cs="Arial"/>
                <w:color w:val="auto"/>
                <w:szCs w:val="21"/>
                <w:highlight w:val="none"/>
              </w:rPr>
              <w:t>注：供应商须对本招标文件技术要求进行点对点应答。标注“▲”为实质性条款，有1条不满足视为无效投标。</w:t>
            </w:r>
            <w:r>
              <w:rPr>
                <w:rFonts w:ascii="Arial" w:hAnsi="Arial" w:cs="Arial"/>
                <w:b/>
                <w:bCs/>
                <w:color w:val="auto"/>
                <w:sz w:val="22"/>
                <w:szCs w:val="22"/>
                <w:highlight w:val="none"/>
              </w:rPr>
              <w:t>如供应商投标文件对招标文件技术要求响应为无偏离，但经评标委员会认定为负偏离的，评标委员会可给予相应档次定档。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3</w:t>
            </w:r>
          </w:p>
        </w:tc>
        <w:tc>
          <w:tcPr>
            <w:tcW w:w="1638" w:type="dxa"/>
            <w:vAlign w:val="center"/>
          </w:tcPr>
          <w:p>
            <w:pPr>
              <w:rPr>
                <w:rFonts w:ascii="Arial" w:hAnsi="Arial" w:cs="Arial"/>
                <w:bCs/>
                <w:color w:val="auto"/>
                <w:szCs w:val="21"/>
                <w:highlight w:val="none"/>
              </w:rPr>
            </w:pPr>
            <w:r>
              <w:rPr>
                <w:rFonts w:ascii="Arial" w:hAnsi="Arial" w:cs="Arial"/>
                <w:color w:val="auto"/>
                <w:szCs w:val="21"/>
                <w:highlight w:val="none"/>
              </w:rPr>
              <w:t>货物技术性能及方案分</w:t>
            </w:r>
            <w:r>
              <w:rPr>
                <w:rFonts w:hint="eastAsia" w:ascii="Arial" w:hAnsi="Arial" w:cs="Arial"/>
                <w:color w:val="auto"/>
                <w:szCs w:val="21"/>
                <w:highlight w:val="none"/>
              </w:rPr>
              <w:t>5</w:t>
            </w:r>
            <w:r>
              <w:rPr>
                <w:rFonts w:ascii="Arial" w:hAnsi="Arial" w:cs="Arial"/>
                <w:color w:val="auto"/>
                <w:szCs w:val="21"/>
                <w:highlight w:val="none"/>
              </w:rPr>
              <w:t>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主观分</w:t>
            </w:r>
          </w:p>
        </w:tc>
        <w:tc>
          <w:tcPr>
            <w:tcW w:w="3889" w:type="dxa"/>
            <w:vAlign w:val="center"/>
          </w:tcPr>
          <w:p>
            <w:pPr>
              <w:rPr>
                <w:rFonts w:ascii="Arial" w:hAnsi="Arial" w:cs="Arial"/>
                <w:color w:val="auto"/>
                <w:szCs w:val="21"/>
                <w:highlight w:val="none"/>
              </w:rPr>
            </w:pPr>
            <w:r>
              <w:rPr>
                <w:rFonts w:ascii="Arial" w:hAnsi="Arial" w:cs="Arial"/>
                <w:color w:val="auto"/>
                <w:szCs w:val="21"/>
                <w:highlight w:val="none"/>
              </w:rPr>
              <w:t>一档（</w:t>
            </w:r>
            <w:r>
              <w:rPr>
                <w:rFonts w:hint="eastAsia" w:ascii="Arial" w:hAnsi="Arial" w:cs="Arial"/>
                <w:color w:val="auto"/>
                <w:szCs w:val="21"/>
                <w:highlight w:val="none"/>
              </w:rPr>
              <w:t>1</w:t>
            </w:r>
            <w:r>
              <w:rPr>
                <w:rFonts w:ascii="Arial" w:hAnsi="Arial" w:cs="Arial"/>
                <w:color w:val="auto"/>
                <w:szCs w:val="21"/>
                <w:highlight w:val="none"/>
              </w:rPr>
              <w:t>分）：有简单的货物技术性能及方案。</w:t>
            </w:r>
          </w:p>
          <w:p>
            <w:pPr>
              <w:rPr>
                <w:rFonts w:ascii="Arial" w:hAnsi="Arial" w:cs="Arial"/>
                <w:color w:val="auto"/>
                <w:szCs w:val="21"/>
                <w:highlight w:val="none"/>
              </w:rPr>
            </w:pPr>
            <w:r>
              <w:rPr>
                <w:rFonts w:ascii="Arial" w:hAnsi="Arial" w:cs="Arial"/>
                <w:color w:val="auto"/>
                <w:szCs w:val="21"/>
                <w:highlight w:val="none"/>
              </w:rPr>
              <w:t>二档（</w:t>
            </w:r>
            <w:r>
              <w:rPr>
                <w:rFonts w:hint="eastAsia" w:ascii="Arial" w:hAnsi="Arial" w:cs="Arial"/>
                <w:color w:val="auto"/>
                <w:szCs w:val="21"/>
                <w:highlight w:val="none"/>
              </w:rPr>
              <w:t>3</w:t>
            </w:r>
            <w:r>
              <w:rPr>
                <w:rFonts w:ascii="Arial" w:hAnsi="Arial" w:cs="Arial"/>
                <w:color w:val="auto"/>
                <w:szCs w:val="21"/>
                <w:highlight w:val="none"/>
              </w:rPr>
              <w:t>分）：有较详细的货物技术性能及方案，设备配置</w:t>
            </w:r>
            <w:r>
              <w:rPr>
                <w:rFonts w:hint="eastAsia" w:ascii="Arial" w:hAnsi="Arial" w:cs="Arial"/>
                <w:color w:val="auto"/>
                <w:szCs w:val="21"/>
                <w:highlight w:val="none"/>
              </w:rPr>
              <w:t>基本</w:t>
            </w:r>
            <w:r>
              <w:rPr>
                <w:rFonts w:ascii="Arial" w:hAnsi="Arial" w:cs="Arial"/>
                <w:color w:val="auto"/>
                <w:szCs w:val="21"/>
                <w:highlight w:val="none"/>
              </w:rPr>
              <w:t>满足采购需求。</w:t>
            </w:r>
          </w:p>
          <w:p>
            <w:pPr>
              <w:wordWrap w:val="0"/>
              <w:rPr>
                <w:rFonts w:ascii="Arial" w:hAnsi="Arial" w:cs="Arial"/>
                <w:bCs/>
                <w:color w:val="auto"/>
                <w:szCs w:val="21"/>
                <w:highlight w:val="none"/>
              </w:rPr>
            </w:pPr>
            <w:r>
              <w:rPr>
                <w:rFonts w:hint="eastAsia" w:ascii="Arial" w:hAnsi="Arial" w:cs="Arial"/>
                <w:color w:val="auto"/>
                <w:szCs w:val="21"/>
                <w:highlight w:val="none"/>
              </w:rPr>
              <w:t>三</w:t>
            </w:r>
            <w:r>
              <w:rPr>
                <w:rFonts w:ascii="Arial" w:hAnsi="Arial" w:cs="Arial"/>
                <w:color w:val="auto"/>
                <w:szCs w:val="21"/>
                <w:highlight w:val="none"/>
              </w:rPr>
              <w:t>档（</w:t>
            </w:r>
            <w:r>
              <w:rPr>
                <w:rFonts w:hint="eastAsia" w:ascii="Arial" w:hAnsi="Arial" w:cs="Arial"/>
                <w:color w:val="auto"/>
                <w:szCs w:val="21"/>
                <w:highlight w:val="none"/>
              </w:rPr>
              <w:t>5</w:t>
            </w:r>
            <w:r>
              <w:rPr>
                <w:rFonts w:ascii="Arial" w:hAnsi="Arial" w:cs="Arial"/>
                <w:color w:val="auto"/>
                <w:szCs w:val="21"/>
                <w:highlight w:val="none"/>
              </w:rPr>
              <w:t>分）：有详细的货物技术性能及方案，设备配置、设备性能、技术方案均能满足采购需求，描述清晰、详细、具有一定的针对性的，贴合采购人实际使用需求。</w:t>
            </w:r>
          </w:p>
        </w:tc>
        <w:tc>
          <w:tcPr>
            <w:tcW w:w="2936" w:type="dxa"/>
            <w:vAlign w:val="center"/>
          </w:tcPr>
          <w:p>
            <w:pPr>
              <w:wordWrap w:val="0"/>
              <w:rPr>
                <w:rFonts w:ascii="Arial" w:hAnsi="Arial" w:cs="Arial"/>
                <w:bCs/>
                <w:color w:val="auto"/>
                <w:szCs w:val="21"/>
                <w:highlight w:val="none"/>
              </w:rPr>
            </w:pPr>
            <w:r>
              <w:rPr>
                <w:rFonts w:ascii="Arial" w:hAnsi="Arial" w:cs="Arial"/>
                <w:color w:val="auto"/>
                <w:szCs w:val="21"/>
                <w:highlight w:val="none"/>
              </w:rPr>
              <w:t>须提供货物技术性能及方案，未提供的得0分。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4</w:t>
            </w:r>
          </w:p>
        </w:tc>
        <w:tc>
          <w:tcPr>
            <w:tcW w:w="1638" w:type="dxa"/>
            <w:vAlign w:val="center"/>
          </w:tcPr>
          <w:p>
            <w:pPr>
              <w:wordWrap w:val="0"/>
              <w:jc w:val="center"/>
              <w:rPr>
                <w:rFonts w:ascii="Arial" w:hAnsi="Arial" w:cs="Arial"/>
                <w:bCs/>
                <w:color w:val="auto"/>
                <w:szCs w:val="21"/>
                <w:highlight w:val="none"/>
              </w:rPr>
            </w:pPr>
            <w:r>
              <w:rPr>
                <w:rFonts w:hint="eastAsia" w:ascii="Arial" w:hAnsi="Arial" w:cs="Arial"/>
                <w:bCs/>
                <w:color w:val="auto"/>
                <w:szCs w:val="21"/>
                <w:highlight w:val="none"/>
              </w:rPr>
              <w:t>项目实施方案分8分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主观分</w:t>
            </w:r>
          </w:p>
        </w:tc>
        <w:tc>
          <w:tcPr>
            <w:tcW w:w="3889" w:type="dxa"/>
            <w:vAlign w:val="center"/>
          </w:tcPr>
          <w:p>
            <w:pPr>
              <w:wordWrap w:val="0"/>
              <w:rPr>
                <w:rFonts w:ascii="Arial" w:hAnsi="Arial" w:cs="Arial"/>
                <w:color w:val="auto"/>
                <w:szCs w:val="21"/>
                <w:highlight w:val="none"/>
              </w:rPr>
            </w:pPr>
            <w:r>
              <w:rPr>
                <w:rFonts w:hint="eastAsia" w:ascii="Arial" w:hAnsi="Arial" w:cs="Arial"/>
                <w:color w:val="auto"/>
                <w:szCs w:val="21"/>
                <w:highlight w:val="none"/>
              </w:rPr>
              <w:t>一档（2分）：项目实施方案基本符合项目实际，实施方案不够齐全，合理性不够完善，但整体</w:t>
            </w:r>
            <w:r>
              <w:rPr>
                <w:rFonts w:hint="eastAsia" w:ascii="Arial" w:hAnsi="Arial" w:cs="Arial"/>
                <w:bCs/>
                <w:color w:val="auto"/>
                <w:szCs w:val="21"/>
                <w:highlight w:val="none"/>
              </w:rPr>
              <w:t>实施方</w:t>
            </w:r>
            <w:r>
              <w:rPr>
                <w:rFonts w:ascii="Arial" w:hAnsi="Arial" w:cs="Arial"/>
                <w:bCs/>
                <w:color w:val="auto"/>
                <w:szCs w:val="21"/>
                <w:highlight w:val="none"/>
              </w:rPr>
              <w:t>案</w:t>
            </w:r>
            <w:r>
              <w:rPr>
                <w:rFonts w:hint="eastAsia" w:ascii="Arial" w:hAnsi="Arial" w:cs="Arial"/>
                <w:color w:val="auto"/>
                <w:szCs w:val="21"/>
                <w:highlight w:val="none"/>
              </w:rPr>
              <w:t>基本能指导项目完成。</w:t>
            </w:r>
          </w:p>
          <w:p>
            <w:pPr>
              <w:wordWrap w:val="0"/>
              <w:rPr>
                <w:rFonts w:ascii="Arial" w:hAnsi="Arial" w:cs="Arial"/>
                <w:color w:val="auto"/>
                <w:szCs w:val="21"/>
                <w:highlight w:val="none"/>
              </w:rPr>
            </w:pPr>
            <w:r>
              <w:rPr>
                <w:rFonts w:hint="eastAsia" w:ascii="Arial" w:hAnsi="Arial" w:cs="Arial"/>
                <w:color w:val="auto"/>
                <w:szCs w:val="21"/>
                <w:highlight w:val="none"/>
              </w:rPr>
              <w:t>二档（4分）：项目实施方案符合项目实际，实施方案齐全，方法合理、可行，整体实施方案能指导项目完成并确保安全。</w:t>
            </w:r>
          </w:p>
          <w:p>
            <w:pPr>
              <w:wordWrap w:val="0"/>
              <w:rPr>
                <w:rFonts w:ascii="Arial" w:hAnsi="Arial" w:cs="Arial"/>
                <w:bCs/>
                <w:color w:val="auto"/>
                <w:szCs w:val="21"/>
                <w:highlight w:val="none"/>
              </w:rPr>
            </w:pPr>
            <w:r>
              <w:rPr>
                <w:rFonts w:hint="eastAsia" w:ascii="Arial" w:hAnsi="Arial" w:cs="Arial"/>
                <w:color w:val="auto"/>
                <w:szCs w:val="21"/>
                <w:highlight w:val="none"/>
              </w:rPr>
              <w:t>三档（8分）：项目实施方案完全符合项目实际情况，针对性强，</w:t>
            </w:r>
            <w:r>
              <w:rPr>
                <w:rFonts w:hint="eastAsia" w:ascii="Arial" w:hAnsi="Arial" w:cs="Arial"/>
                <w:bCs/>
                <w:color w:val="auto"/>
                <w:szCs w:val="21"/>
                <w:highlight w:val="none"/>
              </w:rPr>
              <w:t>实施方案</w:t>
            </w:r>
            <w:r>
              <w:rPr>
                <w:rFonts w:hint="eastAsia" w:ascii="Arial" w:hAnsi="Arial" w:cs="Arial"/>
                <w:color w:val="auto"/>
                <w:szCs w:val="21"/>
                <w:highlight w:val="none"/>
              </w:rPr>
              <w:t>详尽周密，并包含质量承诺及质量保证措施、工期承诺、技术培训的服务内容和措施等，能确保项目顺利实施完成</w:t>
            </w:r>
            <w:r>
              <w:rPr>
                <w:rFonts w:ascii="Arial" w:hAnsi="Arial" w:cs="Arial"/>
                <w:color w:val="auto"/>
                <w:szCs w:val="21"/>
                <w:highlight w:val="none"/>
              </w:rPr>
              <w:t>。</w:t>
            </w:r>
          </w:p>
        </w:tc>
        <w:tc>
          <w:tcPr>
            <w:tcW w:w="2936" w:type="dxa"/>
            <w:vAlign w:val="center"/>
          </w:tcPr>
          <w:p>
            <w:pPr>
              <w:wordWrap w:val="0"/>
              <w:rPr>
                <w:rFonts w:ascii="Arial" w:hAnsi="Arial" w:cs="Arial"/>
                <w:bCs/>
                <w:color w:val="auto"/>
                <w:szCs w:val="21"/>
                <w:highlight w:val="none"/>
              </w:rPr>
            </w:pPr>
            <w:r>
              <w:rPr>
                <w:rFonts w:ascii="Arial" w:hAnsi="Arial" w:cs="Arial"/>
                <w:color w:val="auto"/>
                <w:szCs w:val="21"/>
                <w:highlight w:val="none"/>
              </w:rPr>
              <w:t>须提供</w:t>
            </w:r>
            <w:r>
              <w:rPr>
                <w:rFonts w:hint="eastAsia" w:ascii="Arial" w:hAnsi="Arial" w:cs="Arial"/>
                <w:color w:val="auto"/>
                <w:szCs w:val="21"/>
                <w:highlight w:val="none"/>
              </w:rPr>
              <w:t>项目实施方案</w:t>
            </w:r>
            <w:r>
              <w:rPr>
                <w:rFonts w:ascii="Arial" w:hAnsi="Arial" w:cs="Arial"/>
                <w:color w:val="auto"/>
                <w:szCs w:val="21"/>
                <w:highlight w:val="none"/>
              </w:rPr>
              <w:t>，未提供的得0分。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5</w:t>
            </w:r>
          </w:p>
        </w:tc>
        <w:tc>
          <w:tcPr>
            <w:tcW w:w="1638"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售后服务方案</w:t>
            </w:r>
          </w:p>
          <w:p>
            <w:pPr>
              <w:wordWrap w:val="0"/>
              <w:jc w:val="center"/>
              <w:rPr>
                <w:rFonts w:ascii="Arial" w:hAnsi="Arial" w:cs="Arial"/>
                <w:bCs/>
                <w:color w:val="auto"/>
                <w:szCs w:val="21"/>
                <w:highlight w:val="none"/>
              </w:rPr>
            </w:pPr>
            <w:r>
              <w:rPr>
                <w:rFonts w:hint="eastAsia" w:ascii="Arial" w:hAnsi="Arial" w:cs="Arial"/>
                <w:bCs/>
                <w:color w:val="auto"/>
                <w:szCs w:val="21"/>
                <w:highlight w:val="none"/>
              </w:rPr>
              <w:t>9</w:t>
            </w:r>
            <w:r>
              <w:rPr>
                <w:rFonts w:ascii="Arial" w:hAnsi="Arial" w:cs="Arial"/>
                <w:bCs/>
                <w:color w:val="auto"/>
                <w:szCs w:val="21"/>
                <w:highlight w:val="none"/>
              </w:rPr>
              <w:t>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主观分</w:t>
            </w:r>
          </w:p>
        </w:tc>
        <w:tc>
          <w:tcPr>
            <w:tcW w:w="3889" w:type="dxa"/>
            <w:vAlign w:val="center"/>
          </w:tcPr>
          <w:p>
            <w:pPr>
              <w:rPr>
                <w:rFonts w:ascii="Arial" w:hAnsi="Arial" w:cs="Arial"/>
                <w:color w:val="auto"/>
                <w:szCs w:val="21"/>
                <w:highlight w:val="none"/>
              </w:rPr>
            </w:pPr>
            <w:r>
              <w:rPr>
                <w:rFonts w:ascii="Arial" w:hAnsi="Arial" w:cs="Arial"/>
                <w:color w:val="auto"/>
                <w:szCs w:val="21"/>
                <w:highlight w:val="none"/>
              </w:rPr>
              <w:t>一档（</w:t>
            </w:r>
            <w:r>
              <w:rPr>
                <w:rFonts w:hint="eastAsia" w:ascii="Arial" w:hAnsi="Arial" w:cs="Arial"/>
                <w:color w:val="auto"/>
                <w:szCs w:val="21"/>
                <w:highlight w:val="none"/>
              </w:rPr>
              <w:t>3</w:t>
            </w:r>
            <w:r>
              <w:rPr>
                <w:rFonts w:ascii="Arial" w:hAnsi="Arial" w:cs="Arial"/>
                <w:color w:val="auto"/>
                <w:szCs w:val="21"/>
                <w:highlight w:val="none"/>
              </w:rPr>
              <w:t>分）：能基本满足招标文件要求，未提出详细的售后服务承诺。</w:t>
            </w:r>
          </w:p>
          <w:p>
            <w:pPr>
              <w:rPr>
                <w:rFonts w:ascii="Arial" w:hAnsi="Arial" w:cs="Arial"/>
                <w:color w:val="auto"/>
                <w:szCs w:val="21"/>
                <w:highlight w:val="none"/>
              </w:rPr>
            </w:pPr>
            <w:r>
              <w:rPr>
                <w:rFonts w:ascii="Arial" w:hAnsi="Arial" w:cs="Arial"/>
                <w:color w:val="auto"/>
                <w:szCs w:val="21"/>
                <w:highlight w:val="none"/>
              </w:rPr>
              <w:t>二档（</w:t>
            </w:r>
            <w:r>
              <w:rPr>
                <w:rFonts w:hint="eastAsia" w:ascii="Arial" w:hAnsi="Arial" w:cs="Arial"/>
                <w:color w:val="auto"/>
                <w:szCs w:val="21"/>
                <w:highlight w:val="none"/>
              </w:rPr>
              <w:t>5</w:t>
            </w:r>
            <w:r>
              <w:rPr>
                <w:rFonts w:ascii="Arial" w:hAnsi="Arial" w:cs="Arial"/>
                <w:color w:val="auto"/>
                <w:szCs w:val="21"/>
                <w:highlight w:val="none"/>
              </w:rPr>
              <w:t xml:space="preserve">分）：售后服务方案有较详细的售后服务承诺，售后服务流程、质量保障优于招标文件的。 </w:t>
            </w:r>
          </w:p>
          <w:p>
            <w:pPr>
              <w:rPr>
                <w:rFonts w:ascii="Arial" w:hAnsi="Arial" w:cs="Arial"/>
                <w:color w:val="auto"/>
                <w:szCs w:val="21"/>
                <w:highlight w:val="none"/>
              </w:rPr>
            </w:pPr>
            <w:r>
              <w:rPr>
                <w:rFonts w:ascii="Arial" w:hAnsi="Arial" w:cs="Arial"/>
                <w:color w:val="auto"/>
                <w:szCs w:val="21"/>
                <w:highlight w:val="none"/>
              </w:rPr>
              <w:t>三档（</w:t>
            </w:r>
            <w:r>
              <w:rPr>
                <w:rFonts w:hint="eastAsia" w:ascii="Arial" w:hAnsi="Arial" w:cs="Arial"/>
                <w:color w:val="auto"/>
                <w:szCs w:val="21"/>
                <w:highlight w:val="none"/>
              </w:rPr>
              <w:t>7</w:t>
            </w:r>
            <w:r>
              <w:rPr>
                <w:rFonts w:ascii="Arial" w:hAnsi="Arial" w:cs="Arial"/>
                <w:color w:val="auto"/>
                <w:szCs w:val="21"/>
                <w:highlight w:val="none"/>
              </w:rPr>
              <w:t>分）：售后服务方案较好，有该项目详细的系统建设的售后服务方案及培训计划，售后服务流程、应急预案、质量保障优于招标文件等。</w:t>
            </w:r>
          </w:p>
          <w:p>
            <w:pPr>
              <w:wordWrap w:val="0"/>
              <w:rPr>
                <w:rFonts w:ascii="Arial" w:hAnsi="Arial" w:cs="Arial"/>
                <w:bCs/>
                <w:color w:val="auto"/>
                <w:szCs w:val="21"/>
                <w:highlight w:val="none"/>
              </w:rPr>
            </w:pPr>
            <w:r>
              <w:rPr>
                <w:rFonts w:ascii="Arial" w:hAnsi="Arial" w:cs="Arial"/>
                <w:color w:val="auto"/>
                <w:szCs w:val="21"/>
                <w:highlight w:val="none"/>
              </w:rPr>
              <w:t>四档（</w:t>
            </w:r>
            <w:r>
              <w:rPr>
                <w:rFonts w:hint="eastAsia" w:ascii="Arial" w:hAnsi="Arial" w:cs="Arial"/>
                <w:color w:val="auto"/>
                <w:szCs w:val="21"/>
                <w:highlight w:val="none"/>
              </w:rPr>
              <w:t>9</w:t>
            </w:r>
            <w:r>
              <w:rPr>
                <w:rFonts w:ascii="Arial" w:hAnsi="Arial" w:cs="Arial"/>
                <w:color w:val="auto"/>
                <w:szCs w:val="21"/>
                <w:highlight w:val="none"/>
              </w:rPr>
              <w:t>分）：售后服务方案良好，有该项目详细的系统建设的售后服务方案及培训计划，售后服务流程、应急预案、质量保障、故障响应时间、质保期</w:t>
            </w:r>
            <w:r>
              <w:rPr>
                <w:rFonts w:hint="eastAsia" w:ascii="Arial" w:hAnsi="Arial" w:cs="Arial"/>
                <w:color w:val="auto"/>
                <w:szCs w:val="21"/>
                <w:highlight w:val="none"/>
              </w:rPr>
              <w:t>限</w:t>
            </w:r>
            <w:r>
              <w:rPr>
                <w:rFonts w:ascii="Arial" w:hAnsi="Arial" w:cs="Arial"/>
                <w:color w:val="auto"/>
                <w:szCs w:val="21"/>
                <w:highlight w:val="none"/>
              </w:rPr>
              <w:t>优于招标文件等。</w:t>
            </w:r>
          </w:p>
        </w:tc>
        <w:tc>
          <w:tcPr>
            <w:tcW w:w="2936" w:type="dxa"/>
            <w:vAlign w:val="center"/>
          </w:tcPr>
          <w:p>
            <w:pPr>
              <w:wordWrap w:val="0"/>
              <w:rPr>
                <w:rFonts w:ascii="Arial" w:hAnsi="Arial" w:cs="Arial"/>
                <w:bCs/>
                <w:color w:val="auto"/>
                <w:szCs w:val="21"/>
                <w:highlight w:val="none"/>
              </w:rPr>
            </w:pPr>
            <w:r>
              <w:rPr>
                <w:rFonts w:ascii="Arial" w:hAnsi="Arial" w:cs="Arial"/>
                <w:color w:val="auto"/>
                <w:szCs w:val="21"/>
                <w:highlight w:val="none"/>
              </w:rPr>
              <w:t>须提供售后服务方案，未提供的得0分。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46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6</w:t>
            </w:r>
          </w:p>
        </w:tc>
        <w:tc>
          <w:tcPr>
            <w:tcW w:w="1638"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安装调试方案</w:t>
            </w:r>
            <w:r>
              <w:rPr>
                <w:rFonts w:hint="eastAsia" w:ascii="Arial" w:hAnsi="Arial" w:cs="Arial"/>
                <w:bCs/>
                <w:color w:val="auto"/>
                <w:szCs w:val="21"/>
                <w:highlight w:val="none"/>
              </w:rPr>
              <w:t>8</w:t>
            </w:r>
            <w:r>
              <w:rPr>
                <w:rFonts w:ascii="Arial" w:hAnsi="Arial" w:cs="Arial"/>
                <w:bCs/>
                <w:color w:val="auto"/>
                <w:szCs w:val="21"/>
                <w:highlight w:val="none"/>
              </w:rPr>
              <w:t>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主观分</w:t>
            </w:r>
          </w:p>
        </w:tc>
        <w:tc>
          <w:tcPr>
            <w:tcW w:w="3889" w:type="dxa"/>
            <w:vAlign w:val="center"/>
          </w:tcPr>
          <w:p>
            <w:pPr>
              <w:rPr>
                <w:rFonts w:ascii="Arial" w:hAnsi="Arial" w:cs="Arial"/>
                <w:color w:val="auto"/>
                <w:szCs w:val="21"/>
                <w:highlight w:val="none"/>
              </w:rPr>
            </w:pPr>
            <w:r>
              <w:rPr>
                <w:rFonts w:ascii="Arial" w:hAnsi="Arial" w:cs="Arial"/>
                <w:color w:val="auto"/>
                <w:szCs w:val="21"/>
                <w:highlight w:val="none"/>
              </w:rPr>
              <w:t>一档（</w:t>
            </w:r>
            <w:r>
              <w:rPr>
                <w:rFonts w:hint="eastAsia" w:ascii="Arial" w:hAnsi="Arial" w:cs="Arial"/>
                <w:color w:val="auto"/>
                <w:szCs w:val="21"/>
                <w:highlight w:val="none"/>
              </w:rPr>
              <w:t>1</w:t>
            </w:r>
            <w:r>
              <w:rPr>
                <w:rFonts w:ascii="Arial" w:hAnsi="Arial" w:cs="Arial"/>
                <w:color w:val="auto"/>
                <w:szCs w:val="21"/>
                <w:highlight w:val="none"/>
              </w:rPr>
              <w:t>分）：提供了安装调试方案。</w:t>
            </w:r>
          </w:p>
          <w:p>
            <w:pPr>
              <w:rPr>
                <w:rFonts w:ascii="Arial" w:hAnsi="Arial" w:cs="Arial"/>
                <w:color w:val="auto"/>
                <w:szCs w:val="21"/>
                <w:highlight w:val="none"/>
              </w:rPr>
            </w:pPr>
            <w:r>
              <w:rPr>
                <w:rFonts w:ascii="Arial" w:hAnsi="Arial" w:cs="Arial"/>
                <w:color w:val="auto"/>
                <w:szCs w:val="21"/>
                <w:highlight w:val="none"/>
              </w:rPr>
              <w:t>二档（</w:t>
            </w:r>
            <w:r>
              <w:rPr>
                <w:rFonts w:hint="eastAsia" w:ascii="Arial" w:hAnsi="Arial" w:cs="Arial"/>
                <w:color w:val="auto"/>
                <w:szCs w:val="21"/>
                <w:highlight w:val="none"/>
              </w:rPr>
              <w:t>3</w:t>
            </w:r>
            <w:r>
              <w:rPr>
                <w:rFonts w:ascii="Arial" w:hAnsi="Arial" w:cs="Arial"/>
                <w:color w:val="auto"/>
                <w:szCs w:val="21"/>
                <w:highlight w:val="none"/>
              </w:rPr>
              <w:t>分）：方案基本可行，较简单，提及的内容较少，只涉及到配送、安装内容。</w:t>
            </w:r>
          </w:p>
          <w:p>
            <w:pPr>
              <w:rPr>
                <w:rFonts w:ascii="Arial" w:hAnsi="Arial" w:cs="Arial"/>
                <w:color w:val="auto"/>
                <w:szCs w:val="21"/>
                <w:highlight w:val="none"/>
              </w:rPr>
            </w:pPr>
            <w:r>
              <w:rPr>
                <w:rFonts w:ascii="Arial" w:hAnsi="Arial" w:cs="Arial"/>
                <w:color w:val="auto"/>
                <w:szCs w:val="21"/>
                <w:highlight w:val="none"/>
              </w:rPr>
              <w:t>三档（</w:t>
            </w:r>
            <w:r>
              <w:rPr>
                <w:rFonts w:hint="eastAsia" w:ascii="Arial" w:hAnsi="Arial" w:cs="Arial"/>
                <w:color w:val="auto"/>
                <w:szCs w:val="21"/>
                <w:highlight w:val="none"/>
              </w:rPr>
              <w:t>5</w:t>
            </w:r>
            <w:r>
              <w:rPr>
                <w:rFonts w:ascii="Arial" w:hAnsi="Arial" w:cs="Arial"/>
                <w:color w:val="auto"/>
                <w:szCs w:val="21"/>
                <w:highlight w:val="none"/>
              </w:rPr>
              <w:t>分）：方案完全满足采购要求，表达清晰完整，提及了安装、配送、调试等内容。</w:t>
            </w:r>
          </w:p>
          <w:p>
            <w:pPr>
              <w:wordWrap w:val="0"/>
              <w:rPr>
                <w:rFonts w:ascii="Arial" w:hAnsi="Arial" w:cs="Arial"/>
                <w:color w:val="auto"/>
                <w:szCs w:val="21"/>
                <w:highlight w:val="none"/>
              </w:rPr>
            </w:pPr>
            <w:r>
              <w:rPr>
                <w:rFonts w:ascii="Arial" w:hAnsi="Arial" w:cs="Arial"/>
                <w:color w:val="auto"/>
                <w:szCs w:val="21"/>
                <w:highlight w:val="none"/>
              </w:rPr>
              <w:t>四档（</w:t>
            </w:r>
            <w:r>
              <w:rPr>
                <w:rFonts w:hint="eastAsia" w:ascii="Arial" w:hAnsi="Arial" w:cs="Arial"/>
                <w:color w:val="auto"/>
                <w:szCs w:val="21"/>
                <w:highlight w:val="none"/>
              </w:rPr>
              <w:t>8</w:t>
            </w:r>
            <w:r>
              <w:rPr>
                <w:rFonts w:ascii="Arial" w:hAnsi="Arial" w:cs="Arial"/>
                <w:color w:val="auto"/>
                <w:szCs w:val="21"/>
                <w:highlight w:val="none"/>
              </w:rPr>
              <w:t>分）：方案完全满足采购要求，表达清晰完整、合理、有效，有针对性，涵盖安装、配送、调试所有内容并贴合采购人实际使用需求。</w:t>
            </w:r>
          </w:p>
        </w:tc>
        <w:tc>
          <w:tcPr>
            <w:tcW w:w="2936" w:type="dxa"/>
            <w:vAlign w:val="center"/>
          </w:tcPr>
          <w:p>
            <w:pPr>
              <w:wordWrap w:val="0"/>
              <w:rPr>
                <w:rFonts w:ascii="Arial" w:hAnsi="Arial" w:cs="Arial"/>
                <w:color w:val="auto"/>
                <w:szCs w:val="21"/>
                <w:highlight w:val="none"/>
              </w:rPr>
            </w:pPr>
            <w:r>
              <w:rPr>
                <w:rFonts w:ascii="Arial" w:hAnsi="Arial" w:cs="Arial"/>
                <w:color w:val="auto"/>
                <w:szCs w:val="21"/>
                <w:highlight w:val="none"/>
              </w:rPr>
              <w:t>须提供安装调试方案，未提供的得0分。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hint="eastAsia" w:ascii="Arial" w:hAnsi="Arial" w:cs="Arial"/>
                <w:bCs/>
                <w:color w:val="auto"/>
                <w:szCs w:val="21"/>
                <w:highlight w:val="none"/>
              </w:rPr>
              <w:t>7</w:t>
            </w:r>
          </w:p>
        </w:tc>
        <w:tc>
          <w:tcPr>
            <w:tcW w:w="1638" w:type="dxa"/>
            <w:vAlign w:val="center"/>
          </w:tcPr>
          <w:p>
            <w:pPr>
              <w:wordWrap w:val="0"/>
              <w:jc w:val="center"/>
              <w:rPr>
                <w:rFonts w:ascii="Arial" w:hAnsi="Arial" w:cs="Arial"/>
                <w:bCs/>
                <w:color w:val="auto"/>
                <w:szCs w:val="21"/>
                <w:highlight w:val="none"/>
              </w:rPr>
            </w:pPr>
            <w:r>
              <w:rPr>
                <w:rFonts w:hint="eastAsia" w:ascii="Arial" w:hAnsi="Arial" w:cs="Arial"/>
                <w:bCs/>
                <w:color w:val="auto"/>
                <w:szCs w:val="21"/>
                <w:highlight w:val="none"/>
              </w:rPr>
              <w:t>企业信誉实力分3分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客观分</w:t>
            </w:r>
          </w:p>
        </w:tc>
        <w:tc>
          <w:tcPr>
            <w:tcW w:w="3889" w:type="dxa"/>
            <w:vAlign w:val="center"/>
          </w:tcPr>
          <w:p>
            <w:pPr>
              <w:wordWrap w:val="0"/>
              <w:rPr>
                <w:rFonts w:ascii="Arial" w:hAnsi="Arial" w:cs="Arial"/>
                <w:color w:val="auto"/>
                <w:szCs w:val="21"/>
                <w:highlight w:val="none"/>
              </w:rPr>
            </w:pPr>
            <w:r>
              <w:rPr>
                <w:rFonts w:hint="eastAsia" w:ascii="Arial" w:hAnsi="Arial" w:cs="Arial"/>
                <w:color w:val="auto"/>
                <w:szCs w:val="21"/>
                <w:highlight w:val="none"/>
              </w:rPr>
              <w:t>投标人具有ISO14001环境管理体系认证证书；ISO45001职业健康安全管理体系认证证书；ISO9001质量管理体系认证证书，每个得1分，满分3分。不提供不得分</w:t>
            </w:r>
          </w:p>
        </w:tc>
        <w:tc>
          <w:tcPr>
            <w:tcW w:w="2936" w:type="dxa"/>
            <w:vAlign w:val="center"/>
          </w:tcPr>
          <w:p>
            <w:pPr>
              <w:wordWrap w:val="0"/>
              <w:jc w:val="center"/>
              <w:rPr>
                <w:rFonts w:ascii="Arial" w:hAnsi="Arial" w:cs="Arial"/>
                <w:color w:val="auto"/>
                <w:szCs w:val="21"/>
                <w:highlight w:val="none"/>
              </w:rPr>
            </w:pPr>
            <w:r>
              <w:rPr>
                <w:rFonts w:hint="eastAsia" w:ascii="Arial" w:hAnsi="Arial" w:cs="Arial"/>
                <w:color w:val="auto"/>
                <w:szCs w:val="21"/>
                <w:highlight w:val="none"/>
              </w:rPr>
              <w:t>提供证书复印件并加盖供应商公章，证书要求均在有效期内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vAlign w:val="center"/>
          </w:tcPr>
          <w:p>
            <w:pPr>
              <w:wordWrap w:val="0"/>
              <w:jc w:val="center"/>
              <w:rPr>
                <w:rFonts w:ascii="Arial" w:hAnsi="Arial" w:cs="Arial"/>
                <w:bCs/>
                <w:color w:val="auto"/>
                <w:szCs w:val="21"/>
                <w:highlight w:val="none"/>
              </w:rPr>
            </w:pPr>
            <w:r>
              <w:rPr>
                <w:rFonts w:hint="eastAsia" w:ascii="Arial" w:hAnsi="Arial" w:cs="Arial"/>
                <w:bCs/>
                <w:color w:val="auto"/>
                <w:szCs w:val="21"/>
                <w:highlight w:val="none"/>
              </w:rPr>
              <w:t>8</w:t>
            </w:r>
          </w:p>
        </w:tc>
        <w:tc>
          <w:tcPr>
            <w:tcW w:w="1638"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政策性加分</w:t>
            </w:r>
          </w:p>
          <w:p>
            <w:pPr>
              <w:wordWrap w:val="0"/>
              <w:jc w:val="center"/>
              <w:rPr>
                <w:rFonts w:ascii="Arial" w:hAnsi="Arial" w:cs="Arial"/>
                <w:bCs/>
                <w:color w:val="auto"/>
                <w:szCs w:val="21"/>
                <w:highlight w:val="none"/>
              </w:rPr>
            </w:pPr>
            <w:r>
              <w:rPr>
                <w:rFonts w:ascii="Arial" w:hAnsi="Arial" w:cs="Arial"/>
                <w:bCs/>
                <w:color w:val="auto"/>
                <w:szCs w:val="21"/>
                <w:highlight w:val="none"/>
              </w:rPr>
              <w:t>2分</w:t>
            </w:r>
          </w:p>
        </w:tc>
        <w:tc>
          <w:tcPr>
            <w:tcW w:w="911" w:type="dxa"/>
            <w:vAlign w:val="center"/>
          </w:tcPr>
          <w:p>
            <w:pPr>
              <w:wordWrap w:val="0"/>
              <w:jc w:val="center"/>
              <w:rPr>
                <w:rFonts w:ascii="Arial" w:hAnsi="Arial" w:cs="Arial"/>
                <w:bCs/>
                <w:color w:val="auto"/>
                <w:szCs w:val="21"/>
                <w:highlight w:val="none"/>
              </w:rPr>
            </w:pPr>
            <w:r>
              <w:rPr>
                <w:rFonts w:ascii="Arial" w:hAnsi="Arial" w:cs="Arial"/>
                <w:bCs/>
                <w:color w:val="auto"/>
                <w:szCs w:val="21"/>
                <w:highlight w:val="none"/>
              </w:rPr>
              <w:t>客观分</w:t>
            </w:r>
          </w:p>
        </w:tc>
        <w:tc>
          <w:tcPr>
            <w:tcW w:w="3889" w:type="dxa"/>
            <w:vAlign w:val="center"/>
          </w:tcPr>
          <w:p>
            <w:pPr>
              <w:wordWrap w:val="0"/>
              <w:rPr>
                <w:rFonts w:ascii="Arial" w:hAnsi="Arial" w:cs="Arial"/>
                <w:color w:val="auto"/>
                <w:szCs w:val="21"/>
                <w:highlight w:val="none"/>
              </w:rPr>
            </w:pPr>
            <w:r>
              <w:rPr>
                <w:rFonts w:ascii="Arial" w:hAnsi="Arial" w:cs="Arial"/>
                <w:color w:val="auto"/>
                <w:szCs w:val="21"/>
                <w:highlight w:val="none"/>
              </w:rPr>
              <w:t>（1）节能产品分（1分）</w:t>
            </w:r>
          </w:p>
          <w:p>
            <w:pPr>
              <w:wordWrap w:val="0"/>
              <w:rPr>
                <w:rFonts w:ascii="Arial" w:hAnsi="Arial" w:cs="Arial"/>
                <w:color w:val="auto"/>
                <w:szCs w:val="21"/>
                <w:highlight w:val="none"/>
              </w:rPr>
            </w:pPr>
            <w:r>
              <w:rPr>
                <w:rFonts w:ascii="Arial" w:hAnsi="Arial" w:cs="Arial"/>
                <w:color w:val="auto"/>
                <w:szCs w:val="21"/>
                <w:highlight w:val="none"/>
              </w:rPr>
              <w:t>供应商投标产品属于</w:t>
            </w:r>
            <w:r>
              <w:rPr>
                <w:rFonts w:ascii="Arial" w:hAnsi="Arial" w:cs="Arial"/>
                <w:color w:val="auto"/>
                <w:highlight w:val="none"/>
              </w:rPr>
              <w:t>节能产品政府采购品目清单</w:t>
            </w:r>
            <w:r>
              <w:rPr>
                <w:rFonts w:ascii="Arial" w:hAnsi="Arial" w:cs="Arial"/>
                <w:color w:val="auto"/>
                <w:szCs w:val="21"/>
                <w:highlight w:val="none"/>
              </w:rPr>
              <w:t>范围内优先采购的，每有一项得0.2分，最多得1分。采购内容中的强制产品不加分。</w:t>
            </w:r>
          </w:p>
          <w:p>
            <w:pPr>
              <w:wordWrap w:val="0"/>
              <w:rPr>
                <w:rFonts w:ascii="Arial" w:hAnsi="Arial" w:cs="Arial"/>
                <w:color w:val="auto"/>
                <w:szCs w:val="21"/>
                <w:highlight w:val="none"/>
              </w:rPr>
            </w:pPr>
            <w:r>
              <w:rPr>
                <w:rFonts w:ascii="Arial" w:hAnsi="Arial" w:cs="Arial"/>
                <w:color w:val="auto"/>
                <w:szCs w:val="21"/>
                <w:highlight w:val="none"/>
              </w:rPr>
              <w:t>（2）环境标志产品分（1分）</w:t>
            </w:r>
          </w:p>
          <w:p>
            <w:pPr>
              <w:wordWrap w:val="0"/>
              <w:rPr>
                <w:rFonts w:ascii="Arial" w:hAnsi="Arial" w:cs="Arial"/>
                <w:color w:val="auto"/>
                <w:szCs w:val="21"/>
                <w:highlight w:val="none"/>
              </w:rPr>
            </w:pPr>
            <w:r>
              <w:rPr>
                <w:rFonts w:ascii="Arial" w:hAnsi="Arial" w:cs="Arial"/>
                <w:color w:val="auto"/>
                <w:szCs w:val="21"/>
                <w:highlight w:val="none"/>
              </w:rPr>
              <w:t>供应商投标产品属于</w:t>
            </w:r>
            <w:r>
              <w:rPr>
                <w:rFonts w:ascii="Arial" w:hAnsi="Arial" w:cs="Arial"/>
                <w:color w:val="auto"/>
                <w:highlight w:val="none"/>
              </w:rPr>
              <w:t>环境标志产品政府采购品目清单</w:t>
            </w:r>
            <w:r>
              <w:rPr>
                <w:rFonts w:ascii="Arial" w:hAnsi="Arial" w:cs="Arial"/>
                <w:color w:val="auto"/>
                <w:szCs w:val="21"/>
                <w:highlight w:val="none"/>
              </w:rPr>
              <w:t>范围内优先采购的，每有一项得0.2分，最多得1分。</w:t>
            </w:r>
          </w:p>
        </w:tc>
        <w:tc>
          <w:tcPr>
            <w:tcW w:w="2936" w:type="dxa"/>
            <w:vAlign w:val="center"/>
          </w:tcPr>
          <w:p>
            <w:pPr>
              <w:wordWrap w:val="0"/>
              <w:rPr>
                <w:rFonts w:ascii="Arial" w:hAnsi="Arial" w:cs="Arial"/>
                <w:color w:val="auto"/>
                <w:szCs w:val="21"/>
                <w:highlight w:val="none"/>
              </w:rPr>
            </w:pPr>
            <w:r>
              <w:rPr>
                <w:rFonts w:ascii="Arial" w:hAnsi="Arial" w:cs="Arial"/>
                <w:color w:val="auto"/>
                <w:szCs w:val="21"/>
                <w:highlight w:val="none"/>
              </w:rPr>
              <w:t>（1）供应商在投标文件中列明属于节能、环境标志产品的投标产品列表。</w:t>
            </w:r>
          </w:p>
          <w:p>
            <w:pPr>
              <w:wordWrap w:val="0"/>
              <w:rPr>
                <w:rFonts w:ascii="Arial" w:hAnsi="Arial" w:cs="Arial"/>
                <w:bCs/>
                <w:color w:val="auto"/>
                <w:szCs w:val="21"/>
                <w:highlight w:val="none"/>
              </w:rPr>
            </w:pPr>
            <w:r>
              <w:rPr>
                <w:rFonts w:ascii="Arial" w:hAnsi="Arial" w:cs="Arial"/>
                <w:color w:val="auto"/>
                <w:szCs w:val="21"/>
                <w:highlight w:val="none"/>
              </w:rPr>
              <w:t>（2）以通过中国政府采购网“节能产品查询”及“环境标志产品查询”结果与供应商所提供的投标产品列表进行比对作为评审依据</w:t>
            </w:r>
            <w:r>
              <w:rPr>
                <w:rFonts w:ascii="Arial" w:hAnsi="Arial" w:cs="Arial"/>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Arial" w:hAnsi="Arial" w:cs="Arial"/>
                <w:color w:val="auto"/>
                <w:szCs w:val="21"/>
                <w:highlight w:val="none"/>
              </w:rPr>
            </w:pPr>
            <w:r>
              <w:rPr>
                <w:rFonts w:hint="eastAsia" w:ascii="Arial" w:hAnsi="Arial" w:cs="Arial"/>
                <w:color w:val="auto"/>
                <w:szCs w:val="21"/>
                <w:highlight w:val="none"/>
              </w:rPr>
              <w:t>9</w:t>
            </w:r>
          </w:p>
        </w:tc>
        <w:tc>
          <w:tcPr>
            <w:tcW w:w="163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Arial" w:hAnsi="Arial" w:cs="Arial"/>
                <w:color w:val="auto"/>
                <w:szCs w:val="21"/>
                <w:highlight w:val="none"/>
              </w:rPr>
            </w:pPr>
            <w:r>
              <w:rPr>
                <w:rFonts w:ascii="Arial" w:hAnsi="Arial" w:cs="Arial"/>
                <w:color w:val="auto"/>
                <w:szCs w:val="21"/>
                <w:highlight w:val="none"/>
              </w:rPr>
              <w:t>综合得分</w:t>
            </w:r>
          </w:p>
        </w:tc>
        <w:tc>
          <w:tcPr>
            <w:tcW w:w="7736" w:type="dxa"/>
            <w:gridSpan w:val="3"/>
            <w:tcBorders>
              <w:top w:val="single" w:color="auto" w:sz="4" w:space="0"/>
              <w:left w:val="single" w:color="auto" w:sz="4" w:space="0"/>
              <w:bottom w:val="single" w:color="auto" w:sz="4" w:space="0"/>
            </w:tcBorders>
            <w:vAlign w:val="center"/>
          </w:tcPr>
          <w:p>
            <w:pPr>
              <w:wordWrap w:val="0"/>
              <w:rPr>
                <w:rFonts w:ascii="Arial" w:hAnsi="Arial" w:cs="Arial"/>
                <w:color w:val="auto"/>
                <w:szCs w:val="21"/>
                <w:highlight w:val="none"/>
              </w:rPr>
            </w:pPr>
            <w:r>
              <w:rPr>
                <w:rFonts w:ascii="Arial" w:hAnsi="Arial" w:cs="Arial"/>
                <w:color w:val="auto"/>
                <w:szCs w:val="21"/>
                <w:highlight w:val="none"/>
              </w:rPr>
              <w:t>=1+2+3+4+5+6</w:t>
            </w:r>
            <w:r>
              <w:rPr>
                <w:rFonts w:hint="eastAsia" w:ascii="Arial" w:hAnsi="Arial" w:cs="Arial"/>
                <w:color w:val="auto"/>
                <w:szCs w:val="21"/>
                <w:highlight w:val="none"/>
              </w:rPr>
              <w:t>+</w:t>
            </w:r>
            <w:r>
              <w:rPr>
                <w:rFonts w:ascii="Arial" w:hAnsi="Arial" w:cs="Arial"/>
                <w:color w:val="auto"/>
                <w:szCs w:val="21"/>
                <w:highlight w:val="none"/>
              </w:rPr>
              <w:t>7</w:t>
            </w:r>
            <w:r>
              <w:rPr>
                <w:rFonts w:hint="eastAsia" w:ascii="Arial" w:hAnsi="Arial" w:cs="Arial"/>
                <w:color w:val="auto"/>
                <w:szCs w:val="21"/>
                <w:highlight w:val="none"/>
              </w:rPr>
              <w:t>+8</w:t>
            </w:r>
            <w:r>
              <w:rPr>
                <w:rFonts w:ascii="Arial" w:hAnsi="Arial" w:cs="Arial"/>
                <w:color w:val="auto"/>
                <w:szCs w:val="21"/>
                <w:highlight w:val="none"/>
              </w:rPr>
              <w:t>（各项评分分值计算保留小数点后两位，小数点后第三位“四舍五入”）</w:t>
            </w:r>
          </w:p>
        </w:tc>
      </w:tr>
    </w:tbl>
    <w:p>
      <w:pPr>
        <w:spacing w:before="120" w:line="320" w:lineRule="atLeast"/>
        <w:outlineLvl w:val="1"/>
        <w:rPr>
          <w:rFonts w:ascii="Arial" w:hAnsi="Arial" w:cs="Arial"/>
          <w:bCs/>
          <w:color w:val="auto"/>
          <w:kern w:val="0"/>
          <w:szCs w:val="21"/>
          <w:highlight w:val="none"/>
        </w:rPr>
      </w:pPr>
      <w:r>
        <w:rPr>
          <w:color w:val="auto"/>
          <w:highlight w:val="none"/>
        </w:rPr>
        <w:br w:type="page"/>
      </w:r>
      <w:r>
        <w:rPr>
          <w:rFonts w:ascii="Arial" w:hAnsi="Arial" w:cs="Arial"/>
          <w:bCs/>
          <w:color w:val="auto"/>
          <w:kern w:val="0"/>
          <w:szCs w:val="21"/>
          <w:highlight w:val="none"/>
        </w:rPr>
        <w:t>（二）政府采购政策应用说明</w:t>
      </w:r>
    </w:p>
    <w:p>
      <w:pPr>
        <w:spacing w:before="120" w:line="320" w:lineRule="atLeast"/>
        <w:ind w:firstLine="422" w:firstLineChars="200"/>
        <w:rPr>
          <w:rFonts w:ascii="Arial" w:hAnsi="Arial" w:cs="Arial"/>
          <w:b/>
          <w:bCs/>
          <w:color w:val="auto"/>
          <w:kern w:val="0"/>
          <w:szCs w:val="21"/>
          <w:highlight w:val="none"/>
        </w:rPr>
      </w:pPr>
      <w:r>
        <w:rPr>
          <w:rFonts w:ascii="Arial" w:hAnsi="Arial" w:cs="Arial"/>
          <w:b/>
          <w:bCs/>
          <w:color w:val="auto"/>
          <w:kern w:val="0"/>
          <w:szCs w:val="21"/>
          <w:highlight w:val="none"/>
        </w:rPr>
        <w:t>1、政策性加分说明</w:t>
      </w:r>
    </w:p>
    <w:p>
      <w:pPr>
        <w:spacing w:before="120" w:line="320" w:lineRule="atLeast"/>
        <w:ind w:firstLine="420" w:firstLineChars="200"/>
        <w:rPr>
          <w:rFonts w:ascii="Arial" w:hAnsi="Arial" w:cs="Arial"/>
          <w:color w:val="auto"/>
          <w:szCs w:val="21"/>
          <w:highlight w:val="none"/>
        </w:rPr>
      </w:pPr>
      <w:r>
        <w:rPr>
          <w:rFonts w:ascii="Arial" w:hAnsi="Arial" w:cs="Arial"/>
          <w:bCs/>
          <w:color w:val="auto"/>
          <w:szCs w:val="21"/>
          <w:highlight w:val="none"/>
        </w:rPr>
        <w:t>（1）</w:t>
      </w:r>
      <w:r>
        <w:rPr>
          <w:rFonts w:ascii="Arial" w:hAnsi="Arial" w:cs="Arial"/>
          <w:color w:val="auto"/>
          <w:szCs w:val="21"/>
          <w:highlight w:val="none"/>
        </w:rPr>
        <w:t>节能产品、环境标志产品</w:t>
      </w:r>
    </w:p>
    <w:p>
      <w:pPr>
        <w:spacing w:before="120" w:line="320" w:lineRule="atLeast"/>
        <w:ind w:firstLine="420" w:firstLineChars="200"/>
        <w:rPr>
          <w:rFonts w:ascii="Arial" w:hAnsi="Arial" w:cs="Arial"/>
          <w:bCs/>
          <w:color w:val="auto"/>
          <w:szCs w:val="21"/>
          <w:highlight w:val="none"/>
        </w:rPr>
      </w:pPr>
      <w:r>
        <w:rPr>
          <w:rFonts w:ascii="Arial" w:hAnsi="Arial" w:cs="Arial"/>
          <w:bCs/>
          <w:color w:val="auto"/>
          <w:szCs w:val="21"/>
          <w:highlight w:val="none"/>
        </w:rPr>
        <w:t>节能、环境标志产品以</w:t>
      </w:r>
      <w:r>
        <w:rPr>
          <w:rFonts w:ascii="Arial" w:hAnsi="Arial" w:cs="Arial"/>
          <w:color w:val="auto"/>
          <w:highlight w:val="none"/>
        </w:rPr>
        <w:t>国家财政部等部门</w:t>
      </w:r>
      <w:r>
        <w:rPr>
          <w:rFonts w:ascii="Arial" w:hAnsi="Arial" w:cs="Arial"/>
          <w:bCs/>
          <w:color w:val="auto"/>
          <w:szCs w:val="21"/>
          <w:highlight w:val="none"/>
        </w:rPr>
        <w:t>颁布的</w:t>
      </w:r>
      <w:r>
        <w:rPr>
          <w:rFonts w:ascii="Arial" w:hAnsi="Arial" w:cs="Arial"/>
          <w:color w:val="auto"/>
          <w:highlight w:val="none"/>
        </w:rPr>
        <w:t>节能产品政府采购品目清单和环境标志产品政府采购品目清单为准</w:t>
      </w:r>
      <w:r>
        <w:rPr>
          <w:rFonts w:ascii="Arial" w:hAnsi="Arial" w:cs="Arial"/>
          <w:bCs/>
          <w:color w:val="auto"/>
          <w:szCs w:val="21"/>
          <w:highlight w:val="none"/>
        </w:rPr>
        <w:t>，</w:t>
      </w:r>
      <w:r>
        <w:rPr>
          <w:rFonts w:ascii="Arial" w:hAnsi="Arial" w:cs="Arial"/>
          <w:color w:val="auto"/>
          <w:szCs w:val="21"/>
          <w:highlight w:val="none"/>
        </w:rPr>
        <w:t>通过中国政府采购网“节能产品查询”及“环境标志产品查询”进行。</w:t>
      </w:r>
    </w:p>
    <w:p>
      <w:pPr>
        <w:spacing w:before="120" w:line="320" w:lineRule="atLeast"/>
        <w:ind w:firstLine="422" w:firstLineChars="200"/>
        <w:rPr>
          <w:rFonts w:ascii="Arial" w:hAnsi="Arial" w:cs="Arial"/>
          <w:b/>
          <w:bCs/>
          <w:color w:val="auto"/>
          <w:kern w:val="0"/>
          <w:szCs w:val="21"/>
          <w:highlight w:val="none"/>
        </w:rPr>
      </w:pPr>
      <w:r>
        <w:rPr>
          <w:rFonts w:ascii="Arial" w:hAnsi="Arial" w:cs="Arial"/>
          <w:b/>
          <w:bCs/>
          <w:color w:val="auto"/>
          <w:kern w:val="0"/>
          <w:szCs w:val="21"/>
          <w:highlight w:val="none"/>
        </w:rPr>
        <w:t>2、政策性扣除计算方法</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供应商符合小型、微型企业、监狱企业或残疾人福利性单位条件的，其投标报价将按相应比例进行扣除，用扣除后的价格参与评审（计算价格分）。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（1）小型、微型企业</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供应商为非联合体的情况下投标报价扣除方式：对小型、微型企业投标报价给予20%的扣除，以扣除后的投标报价参与评审（计算价格分）。</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（2）监狱企业</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根据财政部、司法部关于政府采购支持监狱企业发展有关问题的通知（财库[2014]68号），监狱企业视同小型、微型企业，享受小型、微型企业评审时</w:t>
      </w:r>
      <w:r>
        <w:rPr>
          <w:rFonts w:ascii="Arial" w:hAnsi="Arial" w:cs="Arial"/>
          <w:bCs/>
          <w:color w:val="auto"/>
          <w:szCs w:val="21"/>
          <w:highlight w:val="none"/>
        </w:rPr>
        <w:t>投标</w:t>
      </w:r>
      <w:r>
        <w:rPr>
          <w:rFonts w:ascii="Arial" w:hAnsi="Arial" w:cs="Arial"/>
          <w:color w:val="auto"/>
          <w:szCs w:val="21"/>
          <w:highlight w:val="none"/>
        </w:rPr>
        <w:t>价格扣除20%的政府采购政策。</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（3）残疾人福利性单位</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根据财政部、民政部、中国残疾人联合会三部门发布的关于促进残疾人就业政府采购政策的通知（财库〔2017〕141号），残疾人福利性单位视同小型、微型企业，享受小型、微型企业评标时投标报价扣除20%的政府采购政策。供应商既属于残疾人福利性单位又属于小型、微型企业的，其只能享受投标报价一次性20%的扣除，不重复享受政策。</w:t>
      </w:r>
    </w:p>
    <w:p>
      <w:pPr>
        <w:spacing w:before="120" w:line="320" w:lineRule="atLeast"/>
        <w:ind w:firstLine="420" w:firstLineChars="200"/>
        <w:rPr>
          <w:rFonts w:ascii="Arial" w:hAnsi="Arial" w:cs="Arial"/>
          <w:color w:val="auto"/>
          <w:szCs w:val="21"/>
          <w:highlight w:val="none"/>
        </w:rPr>
      </w:pPr>
      <w:bookmarkStart w:id="98" w:name="_Hlk60654227"/>
      <w:bookmarkStart w:id="99" w:name="_Hlk60651046"/>
      <w:r>
        <w:rPr>
          <w:rFonts w:ascii="Arial" w:hAnsi="Arial" w:cs="Arial"/>
          <w:color w:val="auto"/>
          <w:szCs w:val="21"/>
          <w:highlight w:val="none"/>
        </w:rPr>
        <w:t>（4）联合体投标</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供应商为联合体的情况下投标价格扣除方式：接受大中型企业与小微企业组成联合体的采购项目，对于联合协议约定小微企业的合同份额占到合同总金额 30%以上的，评标时对联合体供应商的报价给予 4%的扣除，用扣除后的价格参加评审。组成联合体的小微企业与联合体内其他企业、分包企业之间不得存在直接控股、管理关系，否则价格不予扣除。</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（5）中标后分包</w:t>
      </w:r>
    </w:p>
    <w:p>
      <w:pPr>
        <w:spacing w:before="120" w:line="320" w:lineRule="atLeast"/>
        <w:ind w:firstLine="420" w:firstLineChars="200"/>
        <w:rPr>
          <w:rFonts w:ascii="Arial" w:hAnsi="Arial" w:cs="Arial"/>
          <w:color w:val="auto"/>
          <w:highlight w:val="none"/>
        </w:rPr>
      </w:pPr>
      <w:r>
        <w:rPr>
          <w:rFonts w:ascii="Arial" w:hAnsi="Arial" w:cs="Arial"/>
          <w:color w:val="auto"/>
          <w:szCs w:val="21"/>
          <w:highlight w:val="none"/>
        </w:rPr>
        <w:t>允许大中型企业向一家或者多家小微企业分包的采购项目，对于分包意向协议约定小微企业的合同份额占到合同总金额 30%以上的，评标时对大中型企业供应商的报价给予4%的扣除，用扣除后的价格参加评审。接受分包的小微企业与分包企业之间不得存在直接控股、管理关系，否则价格不予扣除。</w:t>
      </w:r>
      <w:bookmarkEnd w:id="98"/>
      <w:bookmarkEnd w:id="99"/>
    </w:p>
    <w:p>
      <w:pPr>
        <w:spacing w:before="120" w:line="320" w:lineRule="atLeast"/>
        <w:ind w:firstLine="420" w:firstLineChars="200"/>
        <w:rPr>
          <w:rFonts w:ascii="Arial" w:hAnsi="Arial" w:cs="Arial"/>
          <w:bCs/>
          <w:color w:val="auto"/>
          <w:szCs w:val="21"/>
          <w:highlight w:val="none"/>
        </w:rPr>
      </w:pPr>
      <w:r>
        <w:rPr>
          <w:rFonts w:ascii="Arial" w:hAnsi="Arial" w:cs="Arial"/>
          <w:color w:val="auto"/>
          <w:szCs w:val="21"/>
          <w:highlight w:val="none"/>
        </w:rPr>
        <w:t>3、</w:t>
      </w:r>
      <w:r>
        <w:rPr>
          <w:rFonts w:ascii="Arial" w:hAnsi="Arial" w:cs="Arial"/>
          <w:b/>
          <w:bCs/>
          <w:color w:val="auto"/>
          <w:kern w:val="0"/>
          <w:szCs w:val="21"/>
          <w:highlight w:val="none"/>
        </w:rPr>
        <w:t>符合政府采购政策的相关条件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（1）小型、微型企业</w:t>
      </w:r>
    </w:p>
    <w:p>
      <w:pPr>
        <w:spacing w:before="120" w:line="320" w:lineRule="atLeast"/>
        <w:ind w:firstLine="420" w:firstLineChars="200"/>
        <w:rPr>
          <w:rFonts w:ascii="Arial" w:hAnsi="Arial" w:cs="Arial"/>
          <w:color w:val="auto"/>
          <w:szCs w:val="21"/>
          <w:highlight w:val="none"/>
        </w:rPr>
      </w:pPr>
      <w:bookmarkStart w:id="100" w:name="_Hlk60651069"/>
      <w:r>
        <w:rPr>
          <w:rFonts w:ascii="Arial" w:hAnsi="Arial" w:cs="Arial"/>
          <w:color w:val="auto"/>
          <w:szCs w:val="21"/>
          <w:highlight w:val="none"/>
        </w:rPr>
        <w:t>依照关于印发《政府采购促进中小企业发展管理办法》的通知（财库〔2020〕46号）之规定， 供应商提供的货物、工程或者服务符合下列情形的，享受本办法规定的中小企业扶持政策：</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注：供应商根据中小企业划分标准（《关于印发中小企业划型标准规定的通知》（工信部联企业〔2011〕300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bookmarkEnd w:id="100"/>
    <w:p>
      <w:pPr>
        <w:spacing w:before="120" w:line="320" w:lineRule="atLeast"/>
        <w:ind w:firstLine="420" w:firstLineChars="200"/>
        <w:rPr>
          <w:rFonts w:ascii="Arial" w:hAnsi="Arial" w:cs="Arial"/>
          <w:color w:val="auto"/>
          <w:szCs w:val="21"/>
          <w:highlight w:val="none"/>
        </w:rPr>
      </w:pPr>
      <w:r>
        <w:rPr>
          <w:rFonts w:ascii="Arial" w:hAnsi="Arial" w:cs="Arial"/>
          <w:bCs/>
          <w:color w:val="auto"/>
          <w:szCs w:val="21"/>
          <w:highlight w:val="none"/>
        </w:rPr>
        <w:t>供应商声明为中小企业的，应按招标文件规定在投标文件中提供声明函。</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（2）监狱企业</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依照《财政部 司法部关于政府采购支持监狱企业发展有关问题的通知》（财库〔2014〕68号）之规定，监狱企业应当符合以下条件：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①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②监狱企业参加政府采购活动时，应当提供由省级以上监狱管理局、戒毒管理局（含新疆生产建设兵团）或财政部门出具的属于监狱企业的证明文件，视同小型、微型企业。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注：</w:t>
      </w:r>
      <w:r>
        <w:rPr>
          <w:rFonts w:ascii="Arial" w:hAnsi="Arial" w:cs="Arial"/>
          <w:bCs/>
          <w:color w:val="auto"/>
          <w:szCs w:val="21"/>
          <w:highlight w:val="none"/>
        </w:rPr>
        <w:t>供应商声明为监狱企业的，应按招标文件规定在投标文件中提供相关证明文件。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（3）残疾人福利性单位</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①安置的残疾人占本单位在职职工人数的比例不低于25%（含25%），并且安置的残疾人人数不少于10人（含10人）；</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②依法与安置的每位残疾人签订了一年以上（含一年）的劳动合同或服务协议；</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③为安置的每位残疾人按月足额缴纳了基本养老保险、基本医疗保险、失业保险、工伤保险和生育保险等社会保险费；</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④通过银行等金融机构向安置的每位残疾人，按月支付了不低于单位所在区县适用的经省级人民政府批准的月最低工资标准的工资；</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⑤提供本单位制造的货物、承担的工程或者服务（以下简称产品），或者提供其他残疾人福利性单位制造的货物（不包括使用非残疾人福利性单位注册商标的货物）。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rFonts w:ascii="Arial" w:hAnsi="Arial" w:cs="Arial"/>
          <w:color w:val="auto"/>
          <w:szCs w:val="21"/>
          <w:highlight w:val="none"/>
        </w:rPr>
      </w:pPr>
      <w:r>
        <w:rPr>
          <w:rFonts w:ascii="Arial" w:hAnsi="Arial" w:cs="Arial"/>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rFonts w:ascii="Arial" w:hAnsi="Arial" w:cs="Arial"/>
          <w:bCs/>
          <w:color w:val="auto"/>
          <w:szCs w:val="21"/>
          <w:highlight w:val="none"/>
        </w:rPr>
      </w:pPr>
      <w:r>
        <w:rPr>
          <w:rFonts w:ascii="Arial" w:hAnsi="Arial" w:cs="Arial"/>
          <w:color w:val="auto"/>
          <w:szCs w:val="21"/>
          <w:highlight w:val="none"/>
        </w:rPr>
        <w:t>注：符合条件的残疾人福利性单位在参加政府采购活动时，应当提供《残疾人福利性单位声明函》（格式见第六章），并对声明的真实性负责。</w:t>
      </w:r>
    </w:p>
    <w:p>
      <w:pPr>
        <w:spacing w:line="340" w:lineRule="exact"/>
        <w:ind w:left="-13" w:leftChars="-6" w:firstLine="420" w:firstLineChars="200"/>
        <w:rPr>
          <w:rFonts w:ascii="Arial" w:hAnsi="Arial" w:cs="Arial"/>
          <w:color w:val="auto"/>
          <w:szCs w:val="21"/>
          <w:highlight w:val="none"/>
        </w:rPr>
      </w:pPr>
      <w:r>
        <w:rPr>
          <w:rFonts w:ascii="Arial" w:hAnsi="Arial" w:cs="Arial"/>
          <w:color w:val="auto"/>
          <w:szCs w:val="21"/>
          <w:highlight w:val="none"/>
        </w:rPr>
        <w:br w:type="page"/>
      </w:r>
      <w:r>
        <w:rPr>
          <w:rFonts w:ascii="Arial" w:hAnsi="Arial" w:cs="Arial"/>
          <w:color w:val="auto"/>
          <w:szCs w:val="21"/>
          <w:highlight w:val="none"/>
        </w:rPr>
        <w:t>附表</w:t>
      </w:r>
    </w:p>
    <w:p>
      <w:pPr>
        <w:spacing w:line="528" w:lineRule="exact"/>
        <w:ind w:firstLine="280" w:firstLineChars="100"/>
        <w:jc w:val="center"/>
        <w:rPr>
          <w:rFonts w:ascii="Arial" w:hAnsi="Arial" w:cs="Arial"/>
          <w:color w:val="auto"/>
          <w:sz w:val="28"/>
          <w:szCs w:val="28"/>
          <w:highlight w:val="none"/>
        </w:rPr>
      </w:pPr>
      <w:r>
        <w:rPr>
          <w:rFonts w:ascii="Arial" w:hAnsi="Arial" w:cs="Arial"/>
          <w:color w:val="auto"/>
          <w:sz w:val="28"/>
          <w:szCs w:val="28"/>
          <w:highlight w:val="none"/>
        </w:rPr>
        <w:t>中小微企业划型标准</w:t>
      </w:r>
    </w:p>
    <w:tbl>
      <w:tblPr>
        <w:tblStyle w:val="53"/>
        <w:tblW w:w="0" w:type="auto"/>
        <w:tblInd w:w="250" w:type="dxa"/>
        <w:tblLayout w:type="fixed"/>
        <w:tblCellMar>
          <w:top w:w="0" w:type="dxa"/>
          <w:left w:w="108" w:type="dxa"/>
          <w:bottom w:w="0" w:type="dxa"/>
          <w:right w:w="108" w:type="dxa"/>
        </w:tblCellMar>
      </w:tblPr>
      <w:tblGrid>
        <w:gridCol w:w="1446"/>
        <w:gridCol w:w="1701"/>
        <w:gridCol w:w="1134"/>
        <w:gridCol w:w="1976"/>
        <w:gridCol w:w="1720"/>
        <w:gridCol w:w="1220"/>
      </w:tblGrid>
      <w:tr>
        <w:trPr>
          <w:trHeight w:val="279" w:hRule="atLeast"/>
        </w:trPr>
        <w:tc>
          <w:tcPr>
            <w:tcW w:w="1446"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行业名称</w:t>
            </w:r>
          </w:p>
        </w:tc>
        <w:tc>
          <w:tcPr>
            <w:tcW w:w="1701"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指标名称</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计量单位</w:t>
            </w:r>
          </w:p>
        </w:tc>
        <w:tc>
          <w:tcPr>
            <w:tcW w:w="1976"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中型</w:t>
            </w:r>
          </w:p>
        </w:tc>
        <w:tc>
          <w:tcPr>
            <w:tcW w:w="1720"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小型</w:t>
            </w:r>
          </w:p>
        </w:tc>
        <w:tc>
          <w:tcPr>
            <w:tcW w:w="1220"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微型</w:t>
            </w:r>
          </w:p>
        </w:tc>
      </w:tr>
      <w:tr>
        <w:tblPrEx>
          <w:tblCellMar>
            <w:top w:w="0" w:type="dxa"/>
            <w:left w:w="108" w:type="dxa"/>
            <w:bottom w:w="0" w:type="dxa"/>
            <w:right w:w="108" w:type="dxa"/>
          </w:tblCellMar>
        </w:tblPrEx>
        <w:trPr>
          <w:trHeight w:val="220" w:hRule="atLeast"/>
        </w:trPr>
        <w:tc>
          <w:tcPr>
            <w:tcW w:w="1446"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农、林、牧、渔</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w:t>
            </w:r>
            <w:r>
              <w:rPr>
                <w:rFonts w:hint="eastAsia" w:ascii="Arial" w:hAnsi="Arial" w:cs="Arial"/>
                <w:color w:val="auto"/>
                <w:szCs w:val="21"/>
                <w:highlight w:val="none"/>
              </w:rPr>
              <w:t>≤</w:t>
            </w:r>
            <w:r>
              <w:rPr>
                <w:rFonts w:ascii="Arial" w:hAnsi="Arial" w:cs="Arial"/>
                <w:color w:val="auto"/>
                <w:szCs w:val="21"/>
                <w:highlight w:val="none"/>
              </w:rPr>
              <w:t>Y＜20000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w:t>
            </w:r>
            <w:r>
              <w:rPr>
                <w:rFonts w:hint="eastAsia" w:ascii="Arial" w:hAnsi="Arial" w:cs="Arial"/>
                <w:color w:val="auto"/>
                <w:szCs w:val="21"/>
                <w:highlight w:val="none"/>
              </w:rPr>
              <w:t>≤</w:t>
            </w:r>
            <w:r>
              <w:rPr>
                <w:rFonts w:ascii="Arial" w:hAnsi="Arial" w:cs="Arial"/>
                <w:color w:val="auto"/>
                <w:szCs w:val="21"/>
                <w:highlight w:val="none"/>
              </w:rPr>
              <w:t>Y＜500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Y＜50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工业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X＜1000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w:t>
            </w:r>
            <w:r>
              <w:rPr>
                <w:rFonts w:hint="eastAsia" w:ascii="Arial" w:hAnsi="Arial" w:cs="Arial"/>
                <w:color w:val="auto"/>
                <w:szCs w:val="21"/>
                <w:highlight w:val="none"/>
              </w:rPr>
              <w:t>≤</w:t>
            </w:r>
            <w:r>
              <w:rPr>
                <w:rFonts w:ascii="Arial" w:hAnsi="Arial" w:cs="Arial"/>
                <w:color w:val="auto"/>
                <w:szCs w:val="21"/>
                <w:highlight w:val="none"/>
              </w:rPr>
              <w:t>X＜300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2000</w:t>
            </w:r>
            <w:r>
              <w:rPr>
                <w:rFonts w:hint="eastAsia" w:ascii="Arial" w:hAnsi="Arial" w:cs="Arial"/>
                <w:color w:val="auto"/>
                <w:szCs w:val="21"/>
                <w:highlight w:val="none"/>
              </w:rPr>
              <w:t>≤</w:t>
            </w:r>
            <w:r>
              <w:rPr>
                <w:rFonts w:ascii="Arial" w:hAnsi="Arial" w:cs="Arial"/>
                <w:color w:val="auto"/>
                <w:szCs w:val="21"/>
                <w:highlight w:val="none"/>
              </w:rPr>
              <w:t>Y＜40000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Y＜2000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Y＜300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建筑业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6000</w:t>
            </w:r>
            <w:r>
              <w:rPr>
                <w:rFonts w:hint="eastAsia" w:ascii="Arial" w:hAnsi="Arial" w:cs="Arial"/>
                <w:color w:val="auto"/>
                <w:szCs w:val="21"/>
                <w:highlight w:val="none"/>
              </w:rPr>
              <w:t>≤</w:t>
            </w:r>
            <w:r>
              <w:rPr>
                <w:rFonts w:ascii="Arial" w:hAnsi="Arial" w:cs="Arial"/>
                <w:color w:val="auto"/>
                <w:szCs w:val="21"/>
                <w:highlight w:val="none"/>
              </w:rPr>
              <w:t>Y＜80000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Y＜6000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Y＜300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资产总额（Z）</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5000</w:t>
            </w:r>
            <w:r>
              <w:rPr>
                <w:rFonts w:hint="eastAsia" w:ascii="Arial" w:hAnsi="Arial" w:cs="Arial"/>
                <w:color w:val="auto"/>
                <w:szCs w:val="21"/>
                <w:highlight w:val="none"/>
              </w:rPr>
              <w:t>≤</w:t>
            </w:r>
            <w:r>
              <w:rPr>
                <w:rFonts w:ascii="Arial" w:hAnsi="Arial" w:cs="Arial"/>
                <w:color w:val="auto"/>
                <w:szCs w:val="21"/>
                <w:highlight w:val="none"/>
              </w:rPr>
              <w:t>Z＜80000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Z＜5000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Z＜300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ind w:firstLine="315" w:firstLineChars="150"/>
              <w:rPr>
                <w:rFonts w:ascii="Arial" w:hAnsi="Arial" w:cs="Arial"/>
                <w:color w:val="auto"/>
                <w:szCs w:val="21"/>
                <w:highlight w:val="none"/>
              </w:rPr>
            </w:pPr>
            <w:r>
              <w:rPr>
                <w:rFonts w:ascii="Arial" w:hAnsi="Arial" w:cs="Arial"/>
                <w:color w:val="auto"/>
                <w:szCs w:val="21"/>
                <w:highlight w:val="none"/>
              </w:rPr>
              <w:t>批发业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w:t>
            </w:r>
            <w:r>
              <w:rPr>
                <w:rFonts w:hint="eastAsia" w:ascii="Arial" w:hAnsi="Arial" w:cs="Arial"/>
                <w:color w:val="auto"/>
                <w:szCs w:val="21"/>
                <w:highlight w:val="none"/>
              </w:rPr>
              <w:t>≤</w:t>
            </w:r>
            <w:r>
              <w:rPr>
                <w:rFonts w:ascii="Arial" w:hAnsi="Arial" w:cs="Arial"/>
                <w:color w:val="auto"/>
                <w:szCs w:val="21"/>
                <w:highlight w:val="none"/>
              </w:rPr>
              <w:t>X＜200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w:t>
            </w:r>
            <w:r>
              <w:rPr>
                <w:rFonts w:hint="eastAsia" w:ascii="Arial" w:hAnsi="Arial" w:cs="Arial"/>
                <w:color w:val="auto"/>
                <w:szCs w:val="21"/>
                <w:highlight w:val="none"/>
              </w:rPr>
              <w:t>≤</w:t>
            </w:r>
            <w:r>
              <w:rPr>
                <w:rFonts w:ascii="Arial" w:hAnsi="Arial" w:cs="Arial"/>
                <w:color w:val="auto"/>
                <w:szCs w:val="21"/>
                <w:highlight w:val="none"/>
              </w:rPr>
              <w:t>X＜20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X＜5</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5000</w:t>
            </w:r>
            <w:r>
              <w:rPr>
                <w:rFonts w:hint="eastAsia" w:ascii="Arial" w:hAnsi="Arial" w:cs="Arial"/>
                <w:color w:val="auto"/>
                <w:szCs w:val="21"/>
                <w:highlight w:val="none"/>
              </w:rPr>
              <w:t>≤</w:t>
            </w:r>
            <w:r>
              <w:rPr>
                <w:rFonts w:ascii="Arial" w:hAnsi="Arial" w:cs="Arial"/>
                <w:color w:val="auto"/>
                <w:szCs w:val="21"/>
                <w:highlight w:val="none"/>
              </w:rPr>
              <w:t>Y＜40000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Y＜5000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零售业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X＜50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w:t>
            </w:r>
            <w:r>
              <w:rPr>
                <w:rFonts w:hint="eastAsia" w:ascii="Arial" w:hAnsi="Arial" w:cs="Arial"/>
                <w:color w:val="auto"/>
                <w:szCs w:val="21"/>
                <w:highlight w:val="none"/>
              </w:rPr>
              <w:t>≤</w:t>
            </w:r>
            <w:r>
              <w:rPr>
                <w:rFonts w:ascii="Arial" w:hAnsi="Arial" w:cs="Arial"/>
                <w:color w:val="auto"/>
                <w:szCs w:val="21"/>
                <w:highlight w:val="none"/>
              </w:rPr>
              <w:t>Y＜20000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Y＜500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交通运输业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X＜1000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w:t>
            </w:r>
            <w:r>
              <w:rPr>
                <w:rFonts w:hint="eastAsia" w:ascii="Arial" w:hAnsi="Arial" w:cs="Arial"/>
                <w:color w:val="auto"/>
                <w:szCs w:val="21"/>
                <w:highlight w:val="none"/>
              </w:rPr>
              <w:t>≤</w:t>
            </w:r>
            <w:r>
              <w:rPr>
                <w:rFonts w:ascii="Arial" w:hAnsi="Arial" w:cs="Arial"/>
                <w:color w:val="auto"/>
                <w:szCs w:val="21"/>
                <w:highlight w:val="none"/>
              </w:rPr>
              <w:t>X＜300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3000</w:t>
            </w:r>
            <w:r>
              <w:rPr>
                <w:rFonts w:hint="eastAsia" w:ascii="Arial" w:hAnsi="Arial" w:cs="Arial"/>
                <w:color w:val="auto"/>
                <w:szCs w:val="21"/>
                <w:highlight w:val="none"/>
              </w:rPr>
              <w:t>≤</w:t>
            </w:r>
            <w:r>
              <w:rPr>
                <w:rFonts w:ascii="Arial" w:hAnsi="Arial" w:cs="Arial"/>
                <w:color w:val="auto"/>
                <w:szCs w:val="21"/>
                <w:highlight w:val="none"/>
              </w:rPr>
              <w:t>Y＜30000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w:t>
            </w:r>
            <w:r>
              <w:rPr>
                <w:rFonts w:hint="eastAsia" w:ascii="Arial" w:hAnsi="Arial" w:cs="Arial"/>
                <w:color w:val="auto"/>
                <w:szCs w:val="21"/>
                <w:highlight w:val="none"/>
              </w:rPr>
              <w:t>≤</w:t>
            </w:r>
            <w:r>
              <w:rPr>
                <w:rFonts w:ascii="Arial" w:hAnsi="Arial" w:cs="Arial"/>
                <w:color w:val="auto"/>
                <w:szCs w:val="21"/>
                <w:highlight w:val="none"/>
              </w:rPr>
              <w:t>Y＜3000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Y＜200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仓储业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X＜200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Y＜30000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Y＜1000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邮政业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X＜1000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w:t>
            </w:r>
            <w:r>
              <w:rPr>
                <w:rFonts w:hint="eastAsia" w:ascii="Arial" w:hAnsi="Arial" w:cs="Arial"/>
                <w:color w:val="auto"/>
                <w:szCs w:val="21"/>
                <w:highlight w:val="none"/>
              </w:rPr>
              <w:t>≤</w:t>
            </w:r>
            <w:r>
              <w:rPr>
                <w:rFonts w:ascii="Arial" w:hAnsi="Arial" w:cs="Arial"/>
                <w:color w:val="auto"/>
                <w:szCs w:val="21"/>
                <w:highlight w:val="none"/>
              </w:rPr>
              <w:t>X＜300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X＜20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2000</w:t>
            </w:r>
            <w:r>
              <w:rPr>
                <w:rFonts w:hint="eastAsia" w:ascii="Arial" w:hAnsi="Arial" w:cs="Arial"/>
                <w:color w:val="auto"/>
                <w:szCs w:val="21"/>
                <w:highlight w:val="none"/>
              </w:rPr>
              <w:t>≤</w:t>
            </w:r>
            <w:r>
              <w:rPr>
                <w:rFonts w:ascii="Arial" w:hAnsi="Arial" w:cs="Arial"/>
                <w:color w:val="auto"/>
                <w:szCs w:val="21"/>
                <w:highlight w:val="none"/>
              </w:rPr>
              <w:t>Y＜30000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Y＜2000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住宿业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2000</w:t>
            </w:r>
            <w:r>
              <w:rPr>
                <w:rFonts w:hint="eastAsia" w:ascii="Arial" w:hAnsi="Arial" w:cs="Arial"/>
                <w:color w:val="auto"/>
                <w:szCs w:val="21"/>
                <w:highlight w:val="none"/>
              </w:rPr>
              <w:t>≤</w:t>
            </w:r>
            <w:r>
              <w:rPr>
                <w:rFonts w:ascii="Arial" w:hAnsi="Arial" w:cs="Arial"/>
                <w:color w:val="auto"/>
                <w:szCs w:val="21"/>
                <w:highlight w:val="none"/>
              </w:rPr>
              <w:t>Y＜10000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Y＜2000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餐饮业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2000</w:t>
            </w:r>
            <w:r>
              <w:rPr>
                <w:rFonts w:hint="eastAsia" w:ascii="Arial" w:hAnsi="Arial" w:cs="Arial"/>
                <w:color w:val="auto"/>
                <w:szCs w:val="21"/>
                <w:highlight w:val="none"/>
              </w:rPr>
              <w:t>≤</w:t>
            </w:r>
            <w:r>
              <w:rPr>
                <w:rFonts w:ascii="Arial" w:hAnsi="Arial" w:cs="Arial"/>
                <w:color w:val="auto"/>
                <w:szCs w:val="21"/>
                <w:highlight w:val="none"/>
              </w:rPr>
              <w:t>Y＜10000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Y＜2000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信息传输业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X＜2000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Y＜100000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Y＜1000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软件和信息技术服务业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Y＜10000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w:t>
            </w:r>
            <w:r>
              <w:rPr>
                <w:rFonts w:hint="eastAsia" w:ascii="Arial" w:hAnsi="Arial" w:cs="Arial"/>
                <w:color w:val="auto"/>
                <w:szCs w:val="21"/>
                <w:highlight w:val="none"/>
              </w:rPr>
              <w:t>≤</w:t>
            </w:r>
            <w:r>
              <w:rPr>
                <w:rFonts w:ascii="Arial" w:hAnsi="Arial" w:cs="Arial"/>
                <w:color w:val="auto"/>
                <w:szCs w:val="21"/>
                <w:highlight w:val="none"/>
              </w:rPr>
              <w:t>Y＜1000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Y＜50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房地产开发经营</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Y＜200000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X＜1000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资产总额（Z）</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5000</w:t>
            </w:r>
            <w:r>
              <w:rPr>
                <w:rFonts w:hint="eastAsia" w:ascii="Arial" w:hAnsi="Arial" w:cs="Arial"/>
                <w:color w:val="auto"/>
                <w:szCs w:val="21"/>
                <w:highlight w:val="none"/>
              </w:rPr>
              <w:t>≤</w:t>
            </w:r>
            <w:r>
              <w:rPr>
                <w:rFonts w:ascii="Arial" w:hAnsi="Arial" w:cs="Arial"/>
                <w:color w:val="auto"/>
                <w:szCs w:val="21"/>
                <w:highlight w:val="none"/>
              </w:rPr>
              <w:t>Z＜10000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2000</w:t>
            </w:r>
            <w:r>
              <w:rPr>
                <w:rFonts w:hint="eastAsia" w:ascii="Arial" w:hAnsi="Arial" w:cs="Arial"/>
                <w:color w:val="auto"/>
                <w:szCs w:val="21"/>
                <w:highlight w:val="none"/>
              </w:rPr>
              <w:t>≤</w:t>
            </w:r>
            <w:r>
              <w:rPr>
                <w:rFonts w:ascii="Arial" w:hAnsi="Arial" w:cs="Arial"/>
                <w:color w:val="auto"/>
                <w:szCs w:val="21"/>
                <w:highlight w:val="none"/>
              </w:rPr>
              <w:t>Y＜5000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Y＜2000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物业管理</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300</w:t>
            </w:r>
            <w:r>
              <w:rPr>
                <w:rFonts w:hint="eastAsia" w:ascii="Arial" w:hAnsi="Arial" w:cs="Arial"/>
                <w:color w:val="auto"/>
                <w:szCs w:val="21"/>
                <w:highlight w:val="none"/>
              </w:rPr>
              <w:t>≤</w:t>
            </w:r>
            <w:r>
              <w:rPr>
                <w:rFonts w:ascii="Arial" w:hAnsi="Arial" w:cs="Arial"/>
                <w:color w:val="auto"/>
                <w:szCs w:val="21"/>
                <w:highlight w:val="none"/>
              </w:rPr>
              <w:t>X＜1000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营业收入（Y）</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1000</w:t>
            </w:r>
            <w:r>
              <w:rPr>
                <w:rFonts w:hint="eastAsia" w:ascii="Arial" w:hAnsi="Arial" w:cs="Arial"/>
                <w:color w:val="auto"/>
                <w:szCs w:val="21"/>
                <w:highlight w:val="none"/>
              </w:rPr>
              <w:t>≤</w:t>
            </w:r>
            <w:r>
              <w:rPr>
                <w:rFonts w:ascii="Arial" w:hAnsi="Arial" w:cs="Arial"/>
                <w:color w:val="auto"/>
                <w:szCs w:val="21"/>
                <w:highlight w:val="none"/>
              </w:rPr>
              <w:t>Y＜5000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500</w:t>
            </w:r>
            <w:r>
              <w:rPr>
                <w:rFonts w:hint="eastAsia" w:ascii="Arial" w:hAnsi="Arial" w:cs="Arial"/>
                <w:color w:val="auto"/>
                <w:szCs w:val="21"/>
                <w:highlight w:val="none"/>
              </w:rPr>
              <w:t>≤</w:t>
            </w:r>
            <w:r>
              <w:rPr>
                <w:rFonts w:ascii="Arial" w:hAnsi="Arial" w:cs="Arial"/>
                <w:color w:val="auto"/>
                <w:szCs w:val="21"/>
                <w:highlight w:val="none"/>
              </w:rPr>
              <w:t>Y＜1000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Y＜500</w:t>
            </w:r>
          </w:p>
        </w:tc>
      </w:tr>
      <w:tr>
        <w:tblPrEx>
          <w:tblCellMar>
            <w:top w:w="0" w:type="dxa"/>
            <w:left w:w="108" w:type="dxa"/>
            <w:bottom w:w="0" w:type="dxa"/>
            <w:right w:w="108" w:type="dxa"/>
          </w:tblCellMar>
        </w:tblPrEx>
        <w:trPr>
          <w:trHeight w:val="220" w:hRule="atLeast"/>
        </w:trPr>
        <w:tc>
          <w:tcPr>
            <w:tcW w:w="1446" w:type="dxa"/>
            <w:vMerge w:val="restart"/>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租赁和商务服务业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r>
        <w:tblPrEx>
          <w:tblCellMar>
            <w:top w:w="0" w:type="dxa"/>
            <w:left w:w="108" w:type="dxa"/>
            <w:bottom w:w="0" w:type="dxa"/>
            <w:right w:w="108" w:type="dxa"/>
          </w:tblCellMar>
        </w:tblPrEx>
        <w:trPr>
          <w:trHeight w:val="220" w:hRule="atLeast"/>
        </w:trPr>
        <w:tc>
          <w:tcPr>
            <w:tcW w:w="144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资产总额（Z）</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万元</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8000</w:t>
            </w:r>
            <w:r>
              <w:rPr>
                <w:rFonts w:hint="eastAsia" w:ascii="Arial" w:hAnsi="Arial" w:cs="Arial"/>
                <w:color w:val="auto"/>
                <w:szCs w:val="21"/>
                <w:highlight w:val="none"/>
              </w:rPr>
              <w:t>≤</w:t>
            </w:r>
            <w:r>
              <w:rPr>
                <w:rFonts w:ascii="Arial" w:hAnsi="Arial" w:cs="Arial"/>
                <w:color w:val="auto"/>
                <w:szCs w:val="21"/>
                <w:highlight w:val="none"/>
              </w:rPr>
              <w:t>Z＜120000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Z＜8000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Y＜100</w:t>
            </w:r>
          </w:p>
        </w:tc>
      </w:tr>
      <w:tr>
        <w:tblPrEx>
          <w:tblCellMar>
            <w:top w:w="0" w:type="dxa"/>
            <w:left w:w="108" w:type="dxa"/>
            <w:bottom w:w="0" w:type="dxa"/>
            <w:right w:w="108" w:type="dxa"/>
          </w:tblCellMar>
        </w:tblPrEx>
        <w:trPr>
          <w:trHeight w:val="220" w:hRule="atLeast"/>
        </w:trPr>
        <w:tc>
          <w:tcPr>
            <w:tcW w:w="1446" w:type="dxa"/>
            <w:tcBorders>
              <w:top w:val="nil"/>
              <w:left w:val="single" w:color="auto" w:sz="4" w:space="0"/>
              <w:bottom w:val="single" w:color="auto" w:sz="4" w:space="0"/>
              <w:right w:val="single" w:color="auto" w:sz="4" w:space="0"/>
            </w:tcBorders>
            <w:vAlign w:val="bottom"/>
          </w:tcPr>
          <w:p>
            <w:pPr>
              <w:widowControl/>
              <w:jc w:val="center"/>
              <w:rPr>
                <w:rFonts w:ascii="Arial" w:hAnsi="Arial" w:cs="Arial"/>
                <w:color w:val="auto"/>
                <w:szCs w:val="21"/>
                <w:highlight w:val="none"/>
              </w:rPr>
            </w:pPr>
            <w:r>
              <w:rPr>
                <w:rFonts w:ascii="Arial" w:hAnsi="Arial" w:cs="Arial"/>
                <w:color w:val="auto"/>
                <w:szCs w:val="21"/>
                <w:highlight w:val="none"/>
              </w:rPr>
              <w:t>其他未列明行业</w:t>
            </w:r>
          </w:p>
        </w:tc>
        <w:tc>
          <w:tcPr>
            <w:tcW w:w="1701"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从业人员（X）</w:t>
            </w:r>
          </w:p>
        </w:tc>
        <w:tc>
          <w:tcPr>
            <w:tcW w:w="1134"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人</w:t>
            </w:r>
          </w:p>
        </w:tc>
        <w:tc>
          <w:tcPr>
            <w:tcW w:w="1976"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100</w:t>
            </w:r>
            <w:r>
              <w:rPr>
                <w:rFonts w:hint="eastAsia" w:ascii="Arial" w:hAnsi="Arial" w:cs="Arial"/>
                <w:color w:val="auto"/>
                <w:szCs w:val="21"/>
                <w:highlight w:val="none"/>
              </w:rPr>
              <w:t>≤</w:t>
            </w:r>
            <w:r>
              <w:rPr>
                <w:rFonts w:ascii="Arial" w:hAnsi="Arial" w:cs="Arial"/>
                <w:color w:val="auto"/>
                <w:szCs w:val="21"/>
                <w:highlight w:val="none"/>
              </w:rPr>
              <w:t>X＜300</w:t>
            </w:r>
          </w:p>
        </w:tc>
        <w:tc>
          <w:tcPr>
            <w:tcW w:w="17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10</w:t>
            </w:r>
            <w:r>
              <w:rPr>
                <w:rFonts w:hint="eastAsia" w:ascii="Arial" w:hAnsi="Arial" w:cs="Arial"/>
                <w:color w:val="auto"/>
                <w:szCs w:val="21"/>
                <w:highlight w:val="none"/>
              </w:rPr>
              <w:t>≤</w:t>
            </w:r>
            <w:r>
              <w:rPr>
                <w:rFonts w:ascii="Arial" w:hAnsi="Arial" w:cs="Arial"/>
                <w:color w:val="auto"/>
                <w:szCs w:val="21"/>
                <w:highlight w:val="none"/>
              </w:rPr>
              <w:t>X＜100</w:t>
            </w:r>
          </w:p>
        </w:tc>
        <w:tc>
          <w:tcPr>
            <w:tcW w:w="1220" w:type="dxa"/>
            <w:tcBorders>
              <w:top w:val="nil"/>
              <w:left w:val="nil"/>
              <w:bottom w:val="single" w:color="auto" w:sz="4" w:space="0"/>
              <w:right w:val="single" w:color="auto" w:sz="4" w:space="0"/>
            </w:tcBorders>
            <w:vAlign w:val="center"/>
          </w:tcPr>
          <w:p>
            <w:pPr>
              <w:widowControl/>
              <w:jc w:val="left"/>
              <w:rPr>
                <w:rFonts w:ascii="Arial" w:hAnsi="Arial" w:cs="Arial"/>
                <w:color w:val="auto"/>
                <w:szCs w:val="21"/>
                <w:highlight w:val="none"/>
              </w:rPr>
            </w:pPr>
            <w:r>
              <w:rPr>
                <w:rFonts w:ascii="Arial" w:hAnsi="Arial" w:cs="Arial"/>
                <w:color w:val="auto"/>
                <w:szCs w:val="21"/>
                <w:highlight w:val="none"/>
              </w:rPr>
              <w:t>X＜10</w:t>
            </w:r>
          </w:p>
        </w:tc>
      </w:tr>
    </w:tbl>
    <w:p>
      <w:pPr>
        <w:spacing w:line="360" w:lineRule="auto"/>
        <w:ind w:firstLine="525" w:firstLineChars="250"/>
        <w:rPr>
          <w:rFonts w:ascii="Arial" w:hAnsi="Arial" w:cs="Arial"/>
          <w:color w:val="auto"/>
          <w:szCs w:val="21"/>
          <w:highlight w:val="none"/>
        </w:rPr>
      </w:pPr>
      <w:r>
        <w:rPr>
          <w:rFonts w:ascii="Arial" w:hAnsi="Arial" w:cs="Arial"/>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pacing w:line="360" w:lineRule="auto"/>
        <w:rPr>
          <w:rFonts w:ascii="Arial" w:hAnsi="Arial" w:cs="Arial"/>
          <w:color w:val="auto"/>
          <w:sz w:val="28"/>
          <w:szCs w:val="28"/>
          <w:highlight w:val="none"/>
        </w:rPr>
      </w:pPr>
      <w:r>
        <w:rPr>
          <w:rFonts w:ascii="Arial" w:hAnsi="Arial" w:cs="Arial"/>
          <w:color w:val="auto"/>
          <w:szCs w:val="21"/>
          <w:highlight w:val="none"/>
        </w:rPr>
        <w:br w:type="page"/>
      </w:r>
      <w:bookmarkStart w:id="101" w:name="_Hlk132788258"/>
      <w:r>
        <w:rPr>
          <w:rFonts w:ascii="Arial" w:hAnsi="Arial" w:cs="Arial"/>
          <w:color w:val="auto"/>
          <w:sz w:val="28"/>
          <w:szCs w:val="28"/>
          <w:highlight w:val="none"/>
        </w:rPr>
        <w:t>附：</w:t>
      </w:r>
    </w:p>
    <w:p>
      <w:pPr>
        <w:spacing w:line="360" w:lineRule="auto"/>
        <w:rPr>
          <w:rFonts w:ascii="Arial" w:hAnsi="Arial" w:cs="Arial"/>
          <w:color w:val="auto"/>
          <w:szCs w:val="21"/>
          <w:highlight w:val="none"/>
        </w:rPr>
      </w:pPr>
      <w:r>
        <w:rPr>
          <w:rFonts w:ascii="Arial" w:hAnsi="Arial" w:cs="Arial"/>
          <w:color w:val="auto"/>
          <w:position w:val="-335"/>
          <w:sz w:val="20"/>
          <w:szCs w:val="20"/>
          <w:highlight w:val="none"/>
        </w:rPr>
        <w:drawing>
          <wp:inline distT="0" distB="0" distL="114300" distR="114300">
            <wp:extent cx="5302885" cy="7731760"/>
            <wp:effectExtent l="0" t="0" r="12065"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8"/>
                    <a:stretch>
                      <a:fillRect/>
                    </a:stretch>
                  </pic:blipFill>
                  <pic:spPr>
                    <a:xfrm>
                      <a:off x="0" y="0"/>
                      <a:ext cx="5302885" cy="7731760"/>
                    </a:xfrm>
                    <a:prstGeom prst="rect">
                      <a:avLst/>
                    </a:prstGeom>
                    <a:noFill/>
                    <a:ln>
                      <a:noFill/>
                    </a:ln>
                  </pic:spPr>
                </pic:pic>
              </a:graphicData>
            </a:graphic>
          </wp:inline>
        </w:drawing>
      </w:r>
    </w:p>
    <w:bookmarkEnd w:id="101"/>
    <w:p>
      <w:pPr>
        <w:rPr>
          <w:color w:val="auto"/>
          <w:highlight w:val="none"/>
        </w:rPr>
      </w:pPr>
    </w:p>
    <w:p>
      <w:pPr>
        <w:spacing w:before="120" w:line="320" w:lineRule="atLeast"/>
        <w:rPr>
          <w:rFonts w:ascii="Arial" w:hAnsi="Arial" w:cs="Arial"/>
          <w:bCs/>
          <w:color w:val="auto"/>
          <w:szCs w:val="21"/>
          <w:highlight w:val="none"/>
        </w:rPr>
      </w:pPr>
    </w:p>
    <w:bookmarkEnd w:id="85"/>
    <w:p>
      <w:pPr>
        <w:pStyle w:val="28"/>
        <w:snapToGrid w:val="0"/>
        <w:spacing w:before="120" w:after="120"/>
        <w:jc w:val="center"/>
        <w:outlineLvl w:val="0"/>
        <w:rPr>
          <w:rFonts w:ascii="Arial" w:hAnsi="Arial" w:cs="Arial"/>
          <w:color w:val="auto"/>
          <w:sz w:val="32"/>
          <w:szCs w:val="32"/>
          <w:highlight w:val="none"/>
        </w:rPr>
      </w:pPr>
      <w:r>
        <w:rPr>
          <w:rFonts w:ascii="Arial" w:hAnsi="Arial" w:cs="Arial"/>
          <w:color w:val="auto"/>
          <w:highlight w:val="none"/>
        </w:rPr>
        <w:br w:type="page"/>
      </w:r>
      <w:bookmarkStart w:id="102" w:name="_Toc25902"/>
      <w:r>
        <w:rPr>
          <w:rFonts w:ascii="Arial" w:hAnsi="Arial" w:cs="Arial"/>
          <w:color w:val="auto"/>
          <w:sz w:val="32"/>
          <w:szCs w:val="32"/>
          <w:highlight w:val="none"/>
        </w:rPr>
        <w:t>第五章  合同主要条款格式</w:t>
      </w:r>
      <w:bookmarkEnd w:id="102"/>
    </w:p>
    <w:p>
      <w:pPr>
        <w:spacing w:line="500" w:lineRule="exact"/>
        <w:jc w:val="center"/>
        <w:rPr>
          <w:rFonts w:ascii="Arial" w:hAnsi="Arial" w:cs="Arial"/>
          <w:b/>
          <w:color w:val="auto"/>
          <w:sz w:val="36"/>
          <w:szCs w:val="36"/>
          <w:highlight w:val="none"/>
        </w:rPr>
      </w:pPr>
      <w:r>
        <w:rPr>
          <w:rFonts w:hint="eastAsia" w:ascii="Arial" w:hAnsi="Arial" w:cs="Arial"/>
          <w:b/>
          <w:color w:val="auto"/>
          <w:sz w:val="36"/>
          <w:szCs w:val="36"/>
          <w:highlight w:val="none"/>
        </w:rPr>
        <w:t>桂林医学院附属医院整体搬迁项目空气源热水设备</w:t>
      </w:r>
    </w:p>
    <w:p>
      <w:pPr>
        <w:spacing w:line="500" w:lineRule="exact"/>
        <w:jc w:val="center"/>
        <w:rPr>
          <w:rFonts w:ascii="Arial" w:hAnsi="Arial" w:cs="Arial"/>
          <w:b/>
          <w:color w:val="auto"/>
          <w:sz w:val="36"/>
          <w:szCs w:val="36"/>
          <w:highlight w:val="none"/>
        </w:rPr>
      </w:pPr>
      <w:r>
        <w:rPr>
          <w:rFonts w:hint="eastAsia" w:ascii="Arial" w:hAnsi="Arial" w:cs="Arial"/>
          <w:b/>
          <w:color w:val="auto"/>
          <w:sz w:val="36"/>
          <w:szCs w:val="36"/>
          <w:highlight w:val="none"/>
        </w:rPr>
        <w:t>采购</w:t>
      </w:r>
      <w:r>
        <w:rPr>
          <w:rFonts w:ascii="Arial" w:hAnsi="Arial" w:cs="Arial"/>
          <w:b/>
          <w:color w:val="auto"/>
          <w:sz w:val="36"/>
          <w:szCs w:val="36"/>
          <w:highlight w:val="none"/>
        </w:rPr>
        <w:t>合同</w:t>
      </w:r>
    </w:p>
    <w:p>
      <w:pPr>
        <w:keepNext/>
        <w:keepLines/>
        <w:spacing w:before="260" w:after="140" w:line="500" w:lineRule="exact"/>
        <w:jc w:val="center"/>
        <w:outlineLvl w:val="1"/>
        <w:rPr>
          <w:rFonts w:ascii="Arial" w:hAnsi="Arial" w:eastAsia="仿宋" w:cs="Arial"/>
          <w:color w:val="auto"/>
          <w:kern w:val="0"/>
          <w:sz w:val="32"/>
          <w:szCs w:val="32"/>
          <w:highlight w:val="none"/>
        </w:rPr>
      </w:pPr>
      <w:r>
        <w:rPr>
          <w:rFonts w:ascii="Arial" w:hAnsi="Arial" w:cs="Arial"/>
          <w:color w:val="auto"/>
          <w:kern w:val="0"/>
          <w:szCs w:val="21"/>
          <w:highlight w:val="none"/>
        </w:rPr>
        <w:t>合同编号：中标供应商不填</w:t>
      </w:r>
      <w:r>
        <w:rPr>
          <w:rFonts w:ascii="Arial" w:hAnsi="Arial" w:eastAsia="仿宋" w:cs="Arial"/>
          <w:color w:val="auto"/>
          <w:kern w:val="0"/>
          <w:szCs w:val="21"/>
          <w:highlight w:val="none"/>
        </w:rPr>
        <w:t xml:space="preserve">  </w:t>
      </w:r>
      <w:r>
        <w:rPr>
          <w:rFonts w:ascii="Arial" w:hAnsi="Arial" w:eastAsia="仿宋" w:cs="Arial"/>
          <w:color w:val="auto"/>
          <w:kern w:val="0"/>
          <w:sz w:val="32"/>
          <w:szCs w:val="32"/>
          <w:highlight w:val="none"/>
        </w:rPr>
        <w:t xml:space="preserve">  </w:t>
      </w:r>
    </w:p>
    <w:p>
      <w:pPr>
        <w:keepNext/>
        <w:keepLines/>
        <w:spacing w:before="260" w:after="140" w:line="500" w:lineRule="exact"/>
        <w:outlineLvl w:val="1"/>
        <w:rPr>
          <w:rFonts w:ascii="Arial" w:hAnsi="Arial" w:eastAsia="仿宋" w:cs="Arial"/>
          <w:color w:val="auto"/>
          <w:kern w:val="0"/>
          <w:sz w:val="32"/>
          <w:szCs w:val="32"/>
          <w:highlight w:val="none"/>
        </w:rPr>
      </w:pPr>
      <w:r>
        <w:rPr>
          <w:rFonts w:hint="eastAsia" w:ascii="宋体" w:hAnsi="宋体" w:cs="宋体"/>
          <w:color w:val="auto"/>
          <w:szCs w:val="21"/>
          <w:highlight w:val="none"/>
        </w:rPr>
        <w:t>采购项目名称：</w:t>
      </w:r>
      <w:r>
        <w:rPr>
          <w:rFonts w:ascii="Arial" w:hAnsi="Arial" w:eastAsia="仿宋" w:cs="Arial"/>
          <w:color w:val="auto"/>
          <w:kern w:val="0"/>
          <w:sz w:val="32"/>
          <w:szCs w:val="32"/>
          <w:highlight w:val="none"/>
        </w:rPr>
        <w:t xml:space="preserve">                 </w:t>
      </w:r>
    </w:p>
    <w:p>
      <w:pPr>
        <w:snapToGrid w:val="0"/>
        <w:spacing w:line="360" w:lineRule="exact"/>
        <w:rPr>
          <w:rFonts w:ascii="Arial" w:hAnsi="Arial" w:cs="Arial"/>
          <w:color w:val="auto"/>
          <w:szCs w:val="21"/>
          <w:highlight w:val="none"/>
        </w:rPr>
      </w:pPr>
    </w:p>
    <w:p>
      <w:pPr>
        <w:snapToGrid w:val="0"/>
        <w:spacing w:line="400" w:lineRule="exact"/>
        <w:ind w:right="480"/>
        <w:rPr>
          <w:rFonts w:ascii="Arial" w:hAnsi="Arial" w:cs="Arial"/>
          <w:bCs/>
          <w:color w:val="auto"/>
          <w:szCs w:val="21"/>
          <w:highlight w:val="none"/>
          <w:u w:val="single"/>
        </w:rPr>
      </w:pPr>
      <w:r>
        <w:rPr>
          <w:rFonts w:ascii="Arial" w:hAnsi="Arial" w:cs="Arial"/>
          <w:color w:val="auto"/>
          <w:szCs w:val="21"/>
          <w:highlight w:val="none"/>
        </w:rPr>
        <w:t>采购单位（甲方）：</w:t>
      </w:r>
      <w:r>
        <w:rPr>
          <w:rFonts w:ascii="Arial" w:hAnsi="Arial" w:cs="Arial"/>
          <w:color w:val="auto"/>
          <w:szCs w:val="21"/>
          <w:highlight w:val="none"/>
          <w:u w:val="single"/>
        </w:rPr>
        <w:t>桂林医学院附属医院</w:t>
      </w:r>
      <w:r>
        <w:rPr>
          <w:rFonts w:ascii="Arial" w:hAnsi="Arial" w:cs="Arial"/>
          <w:color w:val="auto"/>
          <w:szCs w:val="21"/>
          <w:highlight w:val="none"/>
        </w:rPr>
        <w:t xml:space="preserve">          采购计划号：</w:t>
      </w:r>
      <w:r>
        <w:rPr>
          <w:rFonts w:ascii="Arial" w:hAnsi="Arial" w:cs="Arial"/>
          <w:color w:val="auto"/>
          <w:szCs w:val="21"/>
          <w:highlight w:val="none"/>
          <w:u w:val="single"/>
        </w:rPr>
        <w:t xml:space="preserve">                   </w:t>
      </w:r>
    </w:p>
    <w:p>
      <w:pPr>
        <w:tabs>
          <w:tab w:val="left" w:pos="8820"/>
        </w:tabs>
        <w:snapToGrid w:val="0"/>
        <w:spacing w:line="360" w:lineRule="auto"/>
        <w:ind w:left="-359" w:leftChars="-171" w:firstLine="359" w:firstLineChars="171"/>
        <w:rPr>
          <w:rFonts w:ascii="Arial" w:hAnsi="Arial" w:cs="Arial"/>
          <w:color w:val="auto"/>
          <w:szCs w:val="21"/>
          <w:highlight w:val="none"/>
        </w:rPr>
      </w:pPr>
      <w:r>
        <w:rPr>
          <w:rFonts w:ascii="Arial" w:hAnsi="Arial" w:cs="Arial"/>
          <w:color w:val="auto"/>
          <w:szCs w:val="21"/>
          <w:highlight w:val="none"/>
        </w:rPr>
        <w:t xml:space="preserve">             </w:t>
      </w:r>
    </w:p>
    <w:p>
      <w:pPr>
        <w:snapToGrid w:val="0"/>
        <w:spacing w:line="360" w:lineRule="auto"/>
        <w:rPr>
          <w:rFonts w:ascii="Arial" w:hAnsi="Arial" w:cs="Arial"/>
          <w:color w:val="auto"/>
          <w:szCs w:val="21"/>
          <w:highlight w:val="none"/>
          <w:u w:val="single"/>
        </w:rPr>
      </w:pPr>
      <w:r>
        <w:rPr>
          <w:rFonts w:ascii="Arial" w:hAnsi="Arial" w:cs="Arial"/>
          <w:color w:val="auto"/>
          <w:szCs w:val="21"/>
          <w:highlight w:val="none"/>
        </w:rPr>
        <w:t>供 应 商（乙方）：</w:t>
      </w:r>
      <w:r>
        <w:rPr>
          <w:rFonts w:ascii="Arial" w:hAnsi="Arial" w:cs="Arial"/>
          <w:color w:val="auto"/>
          <w:szCs w:val="21"/>
          <w:highlight w:val="none"/>
          <w:u w:val="single"/>
        </w:rPr>
        <w:t xml:space="preserve">                  </w:t>
      </w:r>
      <w:r>
        <w:rPr>
          <w:rFonts w:ascii="Arial" w:hAnsi="Arial" w:cs="Arial"/>
          <w:color w:val="auto"/>
          <w:szCs w:val="21"/>
          <w:highlight w:val="none"/>
        </w:rPr>
        <w:t xml:space="preserve">          </w:t>
      </w:r>
      <w:r>
        <w:rPr>
          <w:rFonts w:ascii="Arial" w:hAnsi="Arial" w:cs="Arial"/>
          <w:color w:val="auto"/>
          <w:spacing w:val="28"/>
          <w:szCs w:val="21"/>
          <w:highlight w:val="none"/>
        </w:rPr>
        <w:t>项目编号</w:t>
      </w:r>
      <w:r>
        <w:rPr>
          <w:rFonts w:ascii="Arial" w:hAnsi="Arial" w:cs="Arial"/>
          <w:color w:val="auto"/>
          <w:szCs w:val="21"/>
          <w:highlight w:val="none"/>
        </w:rPr>
        <w:t xml:space="preserve">： </w:t>
      </w:r>
      <w:r>
        <w:rPr>
          <w:rFonts w:ascii="Arial" w:hAnsi="Arial" w:cs="Arial"/>
          <w:color w:val="auto"/>
          <w:szCs w:val="21"/>
          <w:highlight w:val="none"/>
          <w:u w:val="single"/>
        </w:rPr>
        <w:t xml:space="preserve">                  </w:t>
      </w:r>
    </w:p>
    <w:p>
      <w:pPr>
        <w:snapToGrid w:val="0"/>
        <w:spacing w:line="360" w:lineRule="auto"/>
        <w:rPr>
          <w:rFonts w:ascii="Arial" w:hAnsi="Arial" w:cs="Arial"/>
          <w:color w:val="auto"/>
          <w:szCs w:val="21"/>
          <w:highlight w:val="none"/>
        </w:rPr>
      </w:pPr>
    </w:p>
    <w:p>
      <w:pPr>
        <w:snapToGrid w:val="0"/>
        <w:spacing w:line="360" w:lineRule="auto"/>
        <w:rPr>
          <w:rFonts w:ascii="Arial" w:hAnsi="Arial" w:cs="Arial"/>
          <w:color w:val="auto"/>
          <w:szCs w:val="21"/>
          <w:highlight w:val="none"/>
        </w:rPr>
      </w:pPr>
      <w:r>
        <w:rPr>
          <w:rFonts w:ascii="Arial" w:hAnsi="Arial" w:cs="Arial"/>
          <w:color w:val="auto"/>
          <w:szCs w:val="21"/>
          <w:highlight w:val="none"/>
        </w:rPr>
        <w:t>签  订  地  点：</w:t>
      </w:r>
      <w:r>
        <w:rPr>
          <w:rFonts w:ascii="Arial" w:hAnsi="Arial" w:cs="Arial"/>
          <w:color w:val="auto"/>
          <w:szCs w:val="21"/>
          <w:highlight w:val="none"/>
          <w:u w:val="single"/>
        </w:rPr>
        <w:t xml:space="preserve">桂林医学院附属医院 </w:t>
      </w:r>
      <w:r>
        <w:rPr>
          <w:rFonts w:ascii="Arial" w:hAnsi="Arial" w:cs="Arial"/>
          <w:color w:val="auto"/>
          <w:szCs w:val="21"/>
          <w:highlight w:val="none"/>
        </w:rPr>
        <w:t xml:space="preserve">           签 订 时 间; </w:t>
      </w:r>
      <w:r>
        <w:rPr>
          <w:rFonts w:ascii="Arial" w:hAnsi="Arial" w:cs="Arial"/>
          <w:color w:val="auto"/>
          <w:szCs w:val="21"/>
          <w:highlight w:val="none"/>
          <w:u w:val="single"/>
        </w:rPr>
        <w:t xml:space="preserve">                  </w:t>
      </w:r>
      <w:r>
        <w:rPr>
          <w:rFonts w:ascii="Arial" w:hAnsi="Arial" w:cs="Arial"/>
          <w:color w:val="auto"/>
          <w:szCs w:val="21"/>
          <w:highlight w:val="none"/>
        </w:rPr>
        <w:t xml:space="preserve">       </w:t>
      </w:r>
    </w:p>
    <w:p>
      <w:pPr>
        <w:snapToGrid w:val="0"/>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根据《中华人民共和国政府采购法》、《中华人民共和国民法典》等法律、法规规定，按照招投标文件（采购文件）规定条款和中标（成交）供应商承诺，甲乙双方签订本合同。</w:t>
      </w:r>
    </w:p>
    <w:p>
      <w:pPr>
        <w:snapToGrid w:val="0"/>
        <w:spacing w:line="400" w:lineRule="exact"/>
        <w:rPr>
          <w:rFonts w:ascii="Arial" w:hAnsi="Arial" w:cs="Arial"/>
          <w:b/>
          <w:color w:val="auto"/>
          <w:szCs w:val="21"/>
          <w:highlight w:val="none"/>
        </w:rPr>
      </w:pPr>
      <w:r>
        <w:rPr>
          <w:rFonts w:hint="eastAsia" w:ascii="Arial" w:hAnsi="Arial" w:cs="Arial"/>
          <w:b/>
          <w:color w:val="auto"/>
          <w:szCs w:val="21"/>
          <w:highlight w:val="none"/>
        </w:rPr>
        <w:t>一、</w:t>
      </w:r>
      <w:r>
        <w:rPr>
          <w:rFonts w:ascii="Arial" w:hAnsi="Arial" w:cs="Arial"/>
          <w:b/>
          <w:color w:val="auto"/>
          <w:szCs w:val="21"/>
          <w:highlight w:val="none"/>
        </w:rPr>
        <w:t>合同标的</w:t>
      </w:r>
    </w:p>
    <w:p>
      <w:pPr>
        <w:snapToGrid w:val="0"/>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供货一览表：货物名称、品牌、型号、规格、厂家、数量、金额。</w:t>
      </w:r>
    </w:p>
    <w:tbl>
      <w:tblPr>
        <w:tblStyle w:val="53"/>
        <w:tblpPr w:leftFromText="180" w:rightFromText="180" w:vertAnchor="text" w:horzAnchor="page" w:tblpX="1302" w:tblpY="13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3143"/>
        <w:gridCol w:w="1179"/>
        <w:gridCol w:w="568"/>
        <w:gridCol w:w="582"/>
        <w:gridCol w:w="909"/>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41"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产品名称</w:t>
            </w:r>
          </w:p>
        </w:tc>
        <w:tc>
          <w:tcPr>
            <w:tcW w:w="3143"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品牌型号</w:t>
            </w:r>
          </w:p>
        </w:tc>
        <w:tc>
          <w:tcPr>
            <w:tcW w:w="117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生产厂家</w:t>
            </w:r>
          </w:p>
        </w:tc>
        <w:tc>
          <w:tcPr>
            <w:tcW w:w="568"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582"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909"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单价（元）</w:t>
            </w:r>
          </w:p>
        </w:tc>
        <w:tc>
          <w:tcPr>
            <w:tcW w:w="1267" w:type="dxa"/>
            <w:vAlign w:val="center"/>
          </w:tcPr>
          <w:p>
            <w:pPr>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41" w:type="dxa"/>
          </w:tcPr>
          <w:p>
            <w:pPr>
              <w:snapToGrid w:val="0"/>
              <w:spacing w:line="400" w:lineRule="exact"/>
              <w:jc w:val="center"/>
              <w:rPr>
                <w:rFonts w:ascii="宋体" w:hAnsi="宋体" w:cs="宋体"/>
                <w:color w:val="auto"/>
                <w:szCs w:val="21"/>
                <w:highlight w:val="none"/>
              </w:rPr>
            </w:pPr>
          </w:p>
        </w:tc>
        <w:tc>
          <w:tcPr>
            <w:tcW w:w="3143" w:type="dxa"/>
            <w:vAlign w:val="center"/>
          </w:tcPr>
          <w:p>
            <w:pPr>
              <w:snapToGrid w:val="0"/>
              <w:spacing w:line="400" w:lineRule="exact"/>
              <w:jc w:val="center"/>
              <w:rPr>
                <w:rFonts w:ascii="宋体" w:hAnsi="宋体" w:cs="宋体"/>
                <w:color w:val="auto"/>
                <w:szCs w:val="21"/>
                <w:highlight w:val="none"/>
              </w:rPr>
            </w:pPr>
          </w:p>
        </w:tc>
        <w:tc>
          <w:tcPr>
            <w:tcW w:w="1179" w:type="dxa"/>
            <w:vAlign w:val="center"/>
          </w:tcPr>
          <w:p>
            <w:pPr>
              <w:snapToGrid w:val="0"/>
              <w:spacing w:line="400" w:lineRule="exact"/>
              <w:jc w:val="center"/>
              <w:rPr>
                <w:rFonts w:ascii="宋体" w:hAnsi="宋体" w:cs="宋体"/>
                <w:color w:val="auto"/>
                <w:szCs w:val="21"/>
                <w:highlight w:val="none"/>
              </w:rPr>
            </w:pPr>
          </w:p>
        </w:tc>
        <w:tc>
          <w:tcPr>
            <w:tcW w:w="568" w:type="dxa"/>
            <w:vAlign w:val="center"/>
          </w:tcPr>
          <w:p>
            <w:pPr>
              <w:snapToGrid w:val="0"/>
              <w:spacing w:line="400" w:lineRule="exact"/>
              <w:jc w:val="center"/>
              <w:rPr>
                <w:rFonts w:ascii="宋体" w:hAnsi="宋体" w:cs="宋体"/>
                <w:color w:val="auto"/>
                <w:szCs w:val="21"/>
                <w:highlight w:val="none"/>
              </w:rPr>
            </w:pPr>
          </w:p>
        </w:tc>
        <w:tc>
          <w:tcPr>
            <w:tcW w:w="582" w:type="dxa"/>
            <w:vAlign w:val="center"/>
          </w:tcPr>
          <w:p>
            <w:pPr>
              <w:snapToGrid w:val="0"/>
              <w:spacing w:line="400" w:lineRule="exact"/>
              <w:jc w:val="center"/>
              <w:rPr>
                <w:rFonts w:ascii="宋体" w:hAnsi="宋体" w:cs="宋体"/>
                <w:color w:val="auto"/>
                <w:szCs w:val="21"/>
                <w:highlight w:val="none"/>
              </w:rPr>
            </w:pPr>
          </w:p>
        </w:tc>
        <w:tc>
          <w:tcPr>
            <w:tcW w:w="909" w:type="dxa"/>
            <w:vAlign w:val="center"/>
          </w:tcPr>
          <w:p>
            <w:pPr>
              <w:snapToGrid w:val="0"/>
              <w:spacing w:line="400" w:lineRule="exact"/>
              <w:jc w:val="center"/>
              <w:rPr>
                <w:rFonts w:ascii="宋体" w:hAnsi="宋体" w:cs="宋体"/>
                <w:color w:val="auto"/>
                <w:szCs w:val="21"/>
                <w:highlight w:val="none"/>
              </w:rPr>
            </w:pPr>
          </w:p>
        </w:tc>
        <w:tc>
          <w:tcPr>
            <w:tcW w:w="1267" w:type="dxa"/>
            <w:vAlign w:val="center"/>
          </w:tcPr>
          <w:p>
            <w:pPr>
              <w:snapToGrid w:val="0"/>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89" w:type="dxa"/>
            <w:gridSpan w:val="7"/>
          </w:tcPr>
          <w:p>
            <w:pPr>
              <w:snapToGrid w:val="0"/>
              <w:spacing w:line="400" w:lineRule="exact"/>
              <w:rPr>
                <w:rFonts w:ascii="宋体" w:hAnsi="宋体" w:cs="宋体"/>
                <w:color w:val="auto"/>
                <w:szCs w:val="21"/>
                <w:highlight w:val="none"/>
                <w:shd w:val="clear" w:color="auto" w:fill="FFFFFF"/>
              </w:rPr>
            </w:pPr>
            <w:r>
              <w:rPr>
                <w:rFonts w:hint="eastAsia" w:ascii="宋体" w:hAnsi="宋体" w:cs="宋体"/>
                <w:bCs/>
                <w:color w:val="auto"/>
                <w:szCs w:val="21"/>
                <w:highlight w:val="none"/>
              </w:rPr>
              <w:t>合计金额人民币（大写）：</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小写：</w:t>
            </w:r>
            <w:r>
              <w:rPr>
                <w:rFonts w:hint="eastAsia" w:ascii="宋体" w:hAnsi="宋体" w:cs="宋体"/>
                <w:color w:val="auto"/>
                <w:szCs w:val="21"/>
                <w:highlight w:val="none"/>
                <w:shd w:val="clear" w:color="auto" w:fill="FFFFFF"/>
              </w:rPr>
              <w:t xml:space="preserve">¥ </w:t>
            </w:r>
            <w:r>
              <w:rPr>
                <w:rFonts w:hint="eastAsia" w:ascii="宋体" w:hAnsi="宋体" w:cs="宋体"/>
                <w:color w:val="auto"/>
                <w:szCs w:val="21"/>
                <w:highlight w:val="none"/>
                <w:u w:val="single"/>
                <w:shd w:val="clear" w:color="auto" w:fill="FFFFFF"/>
              </w:rPr>
              <w:t xml:space="preserve">            元</w:t>
            </w:r>
            <w:r>
              <w:rPr>
                <w:rFonts w:hint="eastAsia" w:ascii="宋体" w:hAnsi="宋体" w:cs="宋体"/>
                <w:color w:val="auto"/>
                <w:szCs w:val="21"/>
                <w:highlight w:val="none"/>
                <w:shd w:val="clear" w:color="auto" w:fill="FFFFFF"/>
              </w:rPr>
              <w:t xml:space="preserve">  </w:t>
            </w:r>
          </w:p>
          <w:p>
            <w:pPr>
              <w:spacing w:line="400" w:lineRule="exact"/>
              <w:rPr>
                <w:rFonts w:ascii="宋体" w:hAnsi="宋体" w:cs="宋体"/>
                <w:color w:val="auto"/>
                <w:szCs w:val="21"/>
                <w:highlight w:val="none"/>
              </w:rPr>
            </w:pPr>
            <w:r>
              <w:rPr>
                <w:rFonts w:hint="eastAsia" w:ascii="Arial" w:hAnsi="Arial" w:cs="Arial"/>
                <w:color w:val="auto"/>
                <w:szCs w:val="21"/>
                <w:highlight w:val="none"/>
              </w:rPr>
              <w:t>（合计金额包含本次采购货物、货物随配标准附件、机组安装的辅助设备和材料、专用工具、包装、运输、运抵指定交货地点、装卸、现场安装调试检验、技术/培训及技术资料的各种费用和售后服务、税金及其他所有成本费用的总和。</w:t>
            </w:r>
            <w:r>
              <w:rPr>
                <w:rFonts w:ascii="Arial" w:hAnsi="Arial" w:cs="Arial"/>
                <w:color w:val="auto"/>
                <w:szCs w:val="21"/>
                <w:highlight w:val="none"/>
              </w:rPr>
              <w:t>对于本文件中明确列明必须报价的货物或服务，</w:t>
            </w:r>
            <w:r>
              <w:rPr>
                <w:rFonts w:hint="eastAsia" w:ascii="Arial" w:hAnsi="Arial" w:cs="Arial"/>
                <w:color w:val="auto"/>
                <w:szCs w:val="21"/>
                <w:highlight w:val="none"/>
              </w:rPr>
              <w:t>乙方</w:t>
            </w:r>
            <w:r>
              <w:rPr>
                <w:rFonts w:ascii="Arial" w:hAnsi="Arial" w:cs="Arial"/>
                <w:color w:val="auto"/>
                <w:szCs w:val="21"/>
                <w:highlight w:val="none"/>
              </w:rPr>
              <w:t>应分别报价。对于本文件中未列明，而</w:t>
            </w:r>
            <w:r>
              <w:rPr>
                <w:rFonts w:hint="eastAsia" w:ascii="Arial" w:hAnsi="Arial" w:cs="Arial"/>
                <w:color w:val="auto"/>
                <w:szCs w:val="21"/>
                <w:highlight w:val="none"/>
              </w:rPr>
              <w:t>乙方</w:t>
            </w:r>
            <w:r>
              <w:rPr>
                <w:rFonts w:ascii="Arial" w:hAnsi="Arial" w:cs="Arial"/>
                <w:color w:val="auto"/>
                <w:szCs w:val="21"/>
                <w:highlight w:val="none"/>
              </w:rPr>
              <w:t>认为必需的费用也需列入总报价。在合同实施时，</w:t>
            </w:r>
            <w:r>
              <w:rPr>
                <w:rFonts w:hint="eastAsia" w:ascii="Arial" w:hAnsi="Arial" w:cs="Arial"/>
                <w:color w:val="auto"/>
                <w:szCs w:val="21"/>
                <w:highlight w:val="none"/>
              </w:rPr>
              <w:t>甲方</w:t>
            </w:r>
            <w:r>
              <w:rPr>
                <w:rFonts w:ascii="Arial" w:hAnsi="Arial" w:cs="Arial"/>
                <w:color w:val="auto"/>
                <w:szCs w:val="21"/>
                <w:highlight w:val="none"/>
              </w:rPr>
              <w:t>将不予支付</w:t>
            </w:r>
            <w:r>
              <w:rPr>
                <w:rFonts w:hint="eastAsia" w:ascii="Arial" w:hAnsi="Arial" w:cs="Arial"/>
                <w:color w:val="auto"/>
                <w:szCs w:val="21"/>
                <w:highlight w:val="none"/>
              </w:rPr>
              <w:t>乙方</w:t>
            </w:r>
            <w:r>
              <w:rPr>
                <w:rFonts w:ascii="Arial" w:hAnsi="Arial" w:cs="Arial"/>
                <w:color w:val="auto"/>
                <w:szCs w:val="21"/>
                <w:highlight w:val="none"/>
              </w:rPr>
              <w:t>没有列入的项目费用，并认为此项目的费用已包括在投标总报价中。</w:t>
            </w:r>
            <w:r>
              <w:rPr>
                <w:rFonts w:hint="eastAsia" w:ascii="Arial" w:hAnsi="Arial" w:cs="Arial"/>
                <w:color w:val="auto"/>
                <w:szCs w:val="21"/>
                <w:highlight w:val="none"/>
              </w:rPr>
              <w:t>如招标文件另有规定的，从其规定）（本项目为交钥匙工程）</w:t>
            </w:r>
          </w:p>
        </w:tc>
      </w:tr>
    </w:tbl>
    <w:p>
      <w:pPr>
        <w:spacing w:line="400" w:lineRule="exact"/>
        <w:rPr>
          <w:rFonts w:ascii="Arial" w:hAnsi="Arial" w:cs="Arial"/>
          <w:b/>
          <w:color w:val="auto"/>
          <w:szCs w:val="21"/>
          <w:highlight w:val="none"/>
        </w:rPr>
      </w:pPr>
      <w:r>
        <w:rPr>
          <w:rFonts w:ascii="Arial" w:hAnsi="Arial" w:cs="Arial"/>
          <w:b/>
          <w:color w:val="auto"/>
          <w:szCs w:val="21"/>
          <w:highlight w:val="none"/>
        </w:rPr>
        <w:t>二、付款条件及期限：</w:t>
      </w:r>
    </w:p>
    <w:p>
      <w:pPr>
        <w:tabs>
          <w:tab w:val="left" w:pos="3150"/>
        </w:tabs>
        <w:snapToGrid w:val="0"/>
        <w:spacing w:line="400" w:lineRule="exact"/>
        <w:rPr>
          <w:rFonts w:ascii="Arial" w:hAnsi="Arial" w:cs="Arial"/>
          <w:color w:val="auto"/>
          <w:szCs w:val="21"/>
          <w:highlight w:val="none"/>
        </w:rPr>
      </w:pPr>
      <w:r>
        <w:rPr>
          <w:rFonts w:hint="eastAsia" w:ascii="Arial" w:hAnsi="Arial" w:cs="Arial"/>
          <w:color w:val="auto"/>
          <w:szCs w:val="21"/>
          <w:highlight w:val="none"/>
        </w:rPr>
        <w:t>1.</w:t>
      </w:r>
      <w:r>
        <w:rPr>
          <w:rFonts w:ascii="Arial" w:hAnsi="Arial" w:cs="Arial"/>
          <w:color w:val="auto"/>
          <w:szCs w:val="21"/>
          <w:highlight w:val="none"/>
        </w:rPr>
        <w:t>货物安装调试完成，验收合格后，乙方开具全额税务发票，甲方在验收合格并无故障运行，走院内付款流程，转账支付合同款的95%（无息），可采用汇票、云信、供应链、信用证等付款方式。合同款的5%在设备正常使用满</w:t>
      </w:r>
      <w:r>
        <w:rPr>
          <w:rFonts w:hint="eastAsia" w:ascii="Arial" w:hAnsi="Arial" w:cs="Arial"/>
          <w:color w:val="auto"/>
          <w:szCs w:val="21"/>
          <w:highlight w:val="none"/>
        </w:rPr>
        <w:t>两</w:t>
      </w:r>
      <w:r>
        <w:rPr>
          <w:rFonts w:ascii="Arial" w:hAnsi="Arial" w:cs="Arial"/>
          <w:color w:val="auto"/>
          <w:szCs w:val="21"/>
          <w:highlight w:val="none"/>
        </w:rPr>
        <w:t>年后三个月内转账支付（无息）。</w:t>
      </w:r>
      <w:r>
        <w:rPr>
          <w:rFonts w:hint="eastAsia" w:ascii="Arial" w:hAnsi="Arial" w:cs="Arial"/>
          <w:color w:val="auto"/>
          <w:szCs w:val="21"/>
          <w:highlight w:val="none"/>
        </w:rPr>
        <w:t>甲方</w:t>
      </w:r>
      <w:r>
        <w:rPr>
          <w:rFonts w:ascii="Arial" w:hAnsi="Arial" w:cs="Arial"/>
          <w:color w:val="auto"/>
          <w:szCs w:val="21"/>
          <w:highlight w:val="none"/>
        </w:rPr>
        <w:t>付款前，</w:t>
      </w:r>
      <w:r>
        <w:rPr>
          <w:rFonts w:hint="eastAsia" w:ascii="Arial" w:hAnsi="Arial" w:cs="Arial"/>
          <w:color w:val="auto"/>
          <w:szCs w:val="21"/>
          <w:highlight w:val="none"/>
        </w:rPr>
        <w:t>乙方</w:t>
      </w:r>
      <w:r>
        <w:rPr>
          <w:rFonts w:ascii="Arial" w:hAnsi="Arial" w:cs="Arial"/>
          <w:color w:val="auto"/>
          <w:szCs w:val="21"/>
          <w:highlight w:val="none"/>
        </w:rPr>
        <w:t>未按上述要求开具符合</w:t>
      </w:r>
      <w:r>
        <w:rPr>
          <w:rFonts w:hint="eastAsia" w:ascii="Arial" w:hAnsi="Arial" w:cs="Arial"/>
          <w:color w:val="auto"/>
          <w:szCs w:val="21"/>
          <w:highlight w:val="none"/>
        </w:rPr>
        <w:t>甲方</w:t>
      </w:r>
      <w:r>
        <w:rPr>
          <w:rFonts w:ascii="Arial" w:hAnsi="Arial" w:cs="Arial"/>
          <w:color w:val="auto"/>
          <w:szCs w:val="21"/>
          <w:highlight w:val="none"/>
        </w:rPr>
        <w:t>要求的正规财务票据的，</w:t>
      </w:r>
      <w:r>
        <w:rPr>
          <w:rFonts w:hint="eastAsia" w:ascii="Arial" w:hAnsi="Arial" w:cs="Arial"/>
          <w:color w:val="auto"/>
          <w:szCs w:val="21"/>
          <w:highlight w:val="none"/>
        </w:rPr>
        <w:t>甲方</w:t>
      </w:r>
      <w:r>
        <w:rPr>
          <w:rFonts w:ascii="Arial" w:hAnsi="Arial" w:cs="Arial"/>
          <w:color w:val="auto"/>
          <w:szCs w:val="21"/>
          <w:highlight w:val="none"/>
        </w:rPr>
        <w:t>有权暂缓或拒付款项且不构成违约。</w:t>
      </w:r>
    </w:p>
    <w:p>
      <w:pPr>
        <w:snapToGrid w:val="0"/>
        <w:spacing w:line="400" w:lineRule="exact"/>
        <w:rPr>
          <w:rFonts w:ascii="Arial" w:hAnsi="Arial" w:cs="Arial"/>
          <w:color w:val="auto"/>
          <w:szCs w:val="21"/>
          <w:highlight w:val="none"/>
        </w:rPr>
      </w:pPr>
      <w:r>
        <w:rPr>
          <w:rFonts w:hint="eastAsia" w:ascii="Arial" w:hAnsi="Arial" w:cs="Arial"/>
          <w:color w:val="auto"/>
          <w:szCs w:val="21"/>
          <w:highlight w:val="none"/>
        </w:rPr>
        <w:t>2.</w:t>
      </w:r>
      <w:r>
        <w:rPr>
          <w:rFonts w:ascii="Arial" w:hAnsi="Arial" w:cs="Arial"/>
          <w:color w:val="auto"/>
          <w:szCs w:val="21"/>
          <w:highlight w:val="none"/>
        </w:rPr>
        <w:t>票据要求：</w:t>
      </w:r>
      <w:r>
        <w:rPr>
          <w:rFonts w:hint="eastAsia" w:ascii="Arial" w:hAnsi="Arial" w:cs="Arial"/>
          <w:color w:val="auto"/>
          <w:szCs w:val="21"/>
          <w:highlight w:val="none"/>
        </w:rPr>
        <w:t>乙方</w:t>
      </w:r>
      <w:r>
        <w:rPr>
          <w:rFonts w:ascii="Arial" w:hAnsi="Arial" w:cs="Arial"/>
          <w:color w:val="auto"/>
          <w:szCs w:val="21"/>
          <w:highlight w:val="none"/>
        </w:rPr>
        <w:t>必须按照</w:t>
      </w:r>
      <w:r>
        <w:rPr>
          <w:rFonts w:hint="eastAsia" w:ascii="Arial" w:hAnsi="Arial" w:cs="Arial"/>
          <w:color w:val="auto"/>
          <w:szCs w:val="21"/>
          <w:highlight w:val="none"/>
        </w:rPr>
        <w:t>甲方</w:t>
      </w:r>
      <w:r>
        <w:rPr>
          <w:rFonts w:ascii="Arial" w:hAnsi="Arial" w:cs="Arial"/>
          <w:color w:val="auto"/>
          <w:szCs w:val="21"/>
          <w:highlight w:val="none"/>
        </w:rPr>
        <w:t>要求提供真实、有效、合法的正式税务发票。一旦发现</w:t>
      </w:r>
      <w:r>
        <w:rPr>
          <w:rFonts w:hint="eastAsia" w:ascii="Arial" w:hAnsi="Arial" w:cs="Arial"/>
          <w:color w:val="auto"/>
          <w:szCs w:val="21"/>
          <w:highlight w:val="none"/>
        </w:rPr>
        <w:t>乙方</w:t>
      </w:r>
      <w:r>
        <w:rPr>
          <w:rFonts w:ascii="Arial" w:hAnsi="Arial" w:cs="Arial"/>
          <w:color w:val="auto"/>
          <w:szCs w:val="21"/>
          <w:highlight w:val="none"/>
        </w:rPr>
        <w:t>提供虚假税务发票，除须向</w:t>
      </w:r>
      <w:r>
        <w:rPr>
          <w:rFonts w:hint="eastAsia" w:ascii="Arial" w:hAnsi="Arial" w:cs="Arial"/>
          <w:color w:val="auto"/>
          <w:szCs w:val="21"/>
          <w:highlight w:val="none"/>
        </w:rPr>
        <w:t>甲方</w:t>
      </w:r>
      <w:r>
        <w:rPr>
          <w:rFonts w:ascii="Arial" w:hAnsi="Arial" w:cs="Arial"/>
          <w:color w:val="auto"/>
          <w:szCs w:val="21"/>
          <w:highlight w:val="none"/>
        </w:rPr>
        <w:t>补开合法的税务发票外，须赔偿</w:t>
      </w:r>
      <w:r>
        <w:rPr>
          <w:rFonts w:hint="eastAsia" w:ascii="Arial" w:hAnsi="Arial" w:cs="Arial"/>
          <w:color w:val="auto"/>
          <w:szCs w:val="21"/>
          <w:highlight w:val="none"/>
        </w:rPr>
        <w:t>甲方</w:t>
      </w:r>
      <w:r>
        <w:rPr>
          <w:rFonts w:ascii="Arial" w:hAnsi="Arial" w:cs="Arial"/>
          <w:color w:val="auto"/>
          <w:szCs w:val="21"/>
          <w:highlight w:val="none"/>
        </w:rPr>
        <w:t>发票票面金额一倍的违约金，且</w:t>
      </w:r>
      <w:r>
        <w:rPr>
          <w:rFonts w:hint="eastAsia" w:ascii="Arial" w:hAnsi="Arial" w:cs="Arial"/>
          <w:color w:val="auto"/>
          <w:szCs w:val="21"/>
          <w:highlight w:val="none"/>
        </w:rPr>
        <w:t>甲方</w:t>
      </w:r>
      <w:r>
        <w:rPr>
          <w:rFonts w:ascii="Arial" w:hAnsi="Arial" w:cs="Arial"/>
          <w:color w:val="auto"/>
          <w:szCs w:val="21"/>
          <w:highlight w:val="none"/>
        </w:rPr>
        <w:t>有权终止合同，</w:t>
      </w:r>
      <w:r>
        <w:rPr>
          <w:rFonts w:hint="eastAsia" w:ascii="Arial" w:hAnsi="Arial" w:cs="Arial"/>
          <w:color w:val="auto"/>
          <w:szCs w:val="21"/>
          <w:highlight w:val="none"/>
        </w:rPr>
        <w:t>乙方</w:t>
      </w:r>
      <w:r>
        <w:rPr>
          <w:rFonts w:ascii="Arial" w:hAnsi="Arial" w:cs="Arial"/>
          <w:color w:val="auto"/>
          <w:szCs w:val="21"/>
          <w:highlight w:val="none"/>
        </w:rPr>
        <w:t>不得提出异议，因终止合同而产生的一切损失均由</w:t>
      </w:r>
      <w:r>
        <w:rPr>
          <w:rFonts w:hint="eastAsia" w:ascii="Arial" w:hAnsi="Arial" w:cs="Arial"/>
          <w:color w:val="auto"/>
          <w:szCs w:val="21"/>
          <w:highlight w:val="none"/>
        </w:rPr>
        <w:t>乙方</w:t>
      </w:r>
      <w:r>
        <w:rPr>
          <w:rFonts w:ascii="Arial" w:hAnsi="Arial" w:cs="Arial"/>
          <w:color w:val="auto"/>
          <w:szCs w:val="21"/>
          <w:highlight w:val="none"/>
        </w:rPr>
        <w:t>承担。</w:t>
      </w:r>
    </w:p>
    <w:p>
      <w:pPr>
        <w:spacing w:line="400" w:lineRule="exact"/>
        <w:rPr>
          <w:rFonts w:ascii="Arial" w:hAnsi="Arial" w:cs="Arial"/>
          <w:b/>
          <w:color w:val="auto"/>
          <w:szCs w:val="21"/>
          <w:highlight w:val="none"/>
        </w:rPr>
      </w:pPr>
      <w:r>
        <w:rPr>
          <w:rFonts w:ascii="Arial" w:hAnsi="Arial" w:cs="Arial"/>
          <w:b/>
          <w:color w:val="auto"/>
          <w:szCs w:val="21"/>
          <w:highlight w:val="none"/>
        </w:rPr>
        <w:t>三、货物包装、发运及运输</w:t>
      </w:r>
    </w:p>
    <w:p>
      <w:pPr>
        <w:snapToGrid w:val="0"/>
        <w:spacing w:line="400" w:lineRule="exact"/>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乙方应在货物发运前对其进行满足于运输距离、防潮、防震、防锈和防破损装卸要求的包装，以保证货物安全无损的输到达甲方指定地点。</w:t>
      </w:r>
    </w:p>
    <w:p>
      <w:pPr>
        <w:snapToGrid w:val="0"/>
        <w:spacing w:line="400" w:lineRule="exact"/>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w:t>
      </w:r>
      <w:r>
        <w:rPr>
          <w:rFonts w:ascii="Arial" w:hAnsi="Arial" w:cs="Arial"/>
          <w:color w:val="auto"/>
          <w:szCs w:val="21"/>
          <w:highlight w:val="none"/>
        </w:rPr>
        <w:t>使用说明书、质量检验证明书、随配附件和工具以及配置清单等一并附于货物内交付甲方。</w:t>
      </w:r>
    </w:p>
    <w:p>
      <w:pPr>
        <w:snapToGrid w:val="0"/>
        <w:spacing w:line="400" w:lineRule="exact"/>
        <w:rPr>
          <w:rFonts w:ascii="Arial" w:hAnsi="Arial" w:cs="Arial"/>
          <w:color w:val="auto"/>
          <w:szCs w:val="21"/>
          <w:highlight w:val="none"/>
        </w:rPr>
      </w:pPr>
      <w:r>
        <w:rPr>
          <w:rFonts w:ascii="Arial" w:hAnsi="Arial" w:cs="Arial"/>
          <w:color w:val="auto"/>
          <w:szCs w:val="21"/>
          <w:highlight w:val="none"/>
        </w:rPr>
        <w:t>3</w:t>
      </w:r>
      <w:r>
        <w:rPr>
          <w:rFonts w:hint="eastAsia" w:ascii="Arial" w:hAnsi="Arial" w:cs="Arial"/>
          <w:color w:val="auto"/>
          <w:szCs w:val="21"/>
          <w:highlight w:val="none"/>
        </w:rPr>
        <w:t>.</w:t>
      </w:r>
      <w:r>
        <w:rPr>
          <w:rFonts w:ascii="Arial" w:hAnsi="Arial" w:cs="Arial"/>
          <w:color w:val="auto"/>
          <w:szCs w:val="21"/>
          <w:highlight w:val="none"/>
        </w:rPr>
        <w:t>乙方负责将货物安全运送到甲方指定地点，并负责清理回收甲方抛弃的相关大件包装, 不另收任何费用。货到甲方前48小时，由乙方通知甲方，但在验收前甲方原则上不负责接收货物。</w:t>
      </w:r>
    </w:p>
    <w:p>
      <w:pPr>
        <w:spacing w:line="400" w:lineRule="exact"/>
        <w:rPr>
          <w:rFonts w:ascii="Arial" w:hAnsi="Arial" w:cs="Arial"/>
          <w:b/>
          <w:color w:val="auto"/>
          <w:szCs w:val="21"/>
          <w:highlight w:val="none"/>
        </w:rPr>
      </w:pPr>
      <w:r>
        <w:rPr>
          <w:rFonts w:ascii="Arial" w:hAnsi="Arial" w:cs="Arial"/>
          <w:b/>
          <w:color w:val="auto"/>
          <w:szCs w:val="21"/>
          <w:highlight w:val="none"/>
        </w:rPr>
        <w:t>四、质量要求</w:t>
      </w:r>
    </w:p>
    <w:p>
      <w:pPr>
        <w:snapToGrid w:val="0"/>
        <w:spacing w:line="400" w:lineRule="exact"/>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乙方应按规定的货物性能、技术要求、质量标准向甲方提供未经使用的全新产品。</w:t>
      </w:r>
    </w:p>
    <w:p>
      <w:pPr>
        <w:tabs>
          <w:tab w:val="left" w:pos="1020"/>
        </w:tabs>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w:t>
      </w:r>
      <w:r>
        <w:rPr>
          <w:rFonts w:ascii="Arial" w:hAnsi="Arial" w:cs="Arial"/>
          <w:color w:val="auto"/>
          <w:szCs w:val="21"/>
          <w:highlight w:val="none"/>
        </w:rPr>
        <w:t>乙方提供货物的质量保证期为自交货物验收合格之日起至</w:t>
      </w:r>
      <w:r>
        <w:rPr>
          <w:rFonts w:ascii="Arial" w:hAnsi="Arial" w:cs="Arial"/>
          <w:color w:val="auto"/>
          <w:szCs w:val="21"/>
          <w:highlight w:val="none"/>
          <w:u w:val="single"/>
        </w:rPr>
        <w:t xml:space="preserve">     </w:t>
      </w:r>
      <w:r>
        <w:rPr>
          <w:rFonts w:ascii="Arial" w:hAnsi="Arial" w:cs="Arial"/>
          <w:color w:val="auto"/>
          <w:szCs w:val="21"/>
          <w:highlight w:val="none"/>
        </w:rPr>
        <w:t>个月止（按投标文件中生产厂家或授权代理商承诺的最长保修期为准）。在质保期内因货物本身的质量问题发生故障，乙方应负责免费修理和无条件更换, 并按售后服务承诺书（附件），延长保修期。</w:t>
      </w:r>
    </w:p>
    <w:p>
      <w:pPr>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3</w:t>
      </w:r>
      <w:r>
        <w:rPr>
          <w:rFonts w:hint="eastAsia" w:ascii="Arial" w:hAnsi="Arial" w:cs="Arial"/>
          <w:color w:val="auto"/>
          <w:szCs w:val="21"/>
          <w:highlight w:val="none"/>
        </w:rPr>
        <w:t>.</w:t>
      </w:r>
      <w:r>
        <w:rPr>
          <w:rFonts w:ascii="Arial" w:hAnsi="Arial" w:cs="Arial"/>
          <w:color w:val="auto"/>
          <w:szCs w:val="21"/>
          <w:highlight w:val="none"/>
        </w:rPr>
        <w:t>保修期内，如在使用过程中发生质量问题，乙方在接到甲方通知后按承诺的时间（     小时/天）内到达甲方现场处理。乙方未在承诺时间内到达处理，每次扣除合同款的1%，总金额不超过合同款的5%，否则按本合同第</w:t>
      </w:r>
      <w:r>
        <w:rPr>
          <w:rFonts w:hint="eastAsia" w:ascii="Arial" w:hAnsi="Arial" w:cs="Arial"/>
          <w:color w:val="auto"/>
          <w:szCs w:val="21"/>
          <w:highlight w:val="none"/>
        </w:rPr>
        <w:t>九</w:t>
      </w:r>
      <w:r>
        <w:rPr>
          <w:rFonts w:ascii="Arial" w:hAnsi="Arial" w:cs="Arial"/>
          <w:color w:val="auto"/>
          <w:szCs w:val="21"/>
          <w:highlight w:val="none"/>
        </w:rPr>
        <w:t>条第2款追究法律责任。</w:t>
      </w:r>
    </w:p>
    <w:p>
      <w:pPr>
        <w:spacing w:line="400" w:lineRule="exact"/>
        <w:rPr>
          <w:rFonts w:ascii="Arial" w:hAnsi="Arial" w:cs="Arial"/>
          <w:b/>
          <w:color w:val="auto"/>
          <w:szCs w:val="21"/>
          <w:highlight w:val="none"/>
        </w:rPr>
      </w:pPr>
      <w:r>
        <w:rPr>
          <w:rFonts w:ascii="Arial" w:hAnsi="Arial" w:cs="Arial"/>
          <w:b/>
          <w:color w:val="auto"/>
          <w:szCs w:val="21"/>
          <w:highlight w:val="none"/>
        </w:rPr>
        <w:t>五、货物的验收</w:t>
      </w:r>
    </w:p>
    <w:p>
      <w:pPr>
        <w:tabs>
          <w:tab w:val="left" w:pos="1020"/>
        </w:tabs>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乙方交货前应对产品作出全面检查和对验收文件进行整理列出配置清单，作为甲方收货验收和使用的技术条件依据，检验的结果应随货物交甲方。</w:t>
      </w:r>
    </w:p>
    <w:p>
      <w:pPr>
        <w:tabs>
          <w:tab w:val="left" w:pos="1020"/>
        </w:tabs>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w:t>
      </w:r>
      <w:r>
        <w:rPr>
          <w:rFonts w:ascii="Arial" w:hAnsi="Arial" w:cs="Arial"/>
          <w:color w:val="auto"/>
          <w:szCs w:val="21"/>
          <w:highlight w:val="none"/>
        </w:rPr>
        <w:t>甲方对乙方所交货物依照国家有关标准及配置清单进行现场验收，全部货物及附随配件、软件全部清点无误且能达到技术要求的给予签收，验收不合格不予签收，后果由乙方负责。安装调试完毕，达到验收合格标准的时间最长不超过</w:t>
      </w:r>
      <w:r>
        <w:rPr>
          <w:color w:val="auto"/>
          <w:highlight w:val="none"/>
          <w:u w:val="single"/>
        </w:rPr>
        <w:t>10</w:t>
      </w:r>
      <w:r>
        <w:rPr>
          <w:rFonts w:ascii="Arial" w:hAnsi="Arial" w:cs="Arial"/>
          <w:color w:val="auto"/>
          <w:szCs w:val="21"/>
          <w:highlight w:val="none"/>
          <w:u w:val="single"/>
        </w:rPr>
        <w:t xml:space="preserve"> </w:t>
      </w:r>
      <w:r>
        <w:rPr>
          <w:rFonts w:ascii="Arial" w:hAnsi="Arial" w:cs="Arial"/>
          <w:color w:val="auto"/>
          <w:szCs w:val="21"/>
          <w:highlight w:val="none"/>
        </w:rPr>
        <w:t>天，超过此期限者，视为验收不合格，甲方有权拒绝付款，并要求乙方承当由此造成的损失。</w:t>
      </w:r>
    </w:p>
    <w:p>
      <w:pPr>
        <w:spacing w:line="400" w:lineRule="exact"/>
        <w:rPr>
          <w:rFonts w:ascii="Arial" w:hAnsi="Arial" w:cs="Arial"/>
          <w:color w:val="auto"/>
          <w:szCs w:val="21"/>
          <w:highlight w:val="none"/>
        </w:rPr>
      </w:pPr>
      <w:r>
        <w:rPr>
          <w:rFonts w:ascii="Arial" w:hAnsi="Arial" w:cs="Arial"/>
          <w:color w:val="auto"/>
          <w:szCs w:val="21"/>
          <w:highlight w:val="none"/>
        </w:rPr>
        <w:t>3</w:t>
      </w:r>
      <w:r>
        <w:rPr>
          <w:rFonts w:hint="eastAsia" w:ascii="Arial" w:hAnsi="Arial" w:cs="Arial"/>
          <w:color w:val="auto"/>
          <w:szCs w:val="21"/>
          <w:highlight w:val="none"/>
        </w:rPr>
        <w:t>.</w:t>
      </w:r>
      <w:r>
        <w:rPr>
          <w:rFonts w:ascii="Arial" w:hAnsi="Arial" w:cs="Arial"/>
          <w:color w:val="auto"/>
          <w:szCs w:val="21"/>
          <w:highlight w:val="none"/>
        </w:rPr>
        <w:t>乙方应在货到指定地点安装、调试完毕，确保正常使用，并按甲方通知时间配合验收。</w:t>
      </w:r>
    </w:p>
    <w:p>
      <w:pPr>
        <w:spacing w:line="400" w:lineRule="exact"/>
        <w:rPr>
          <w:rFonts w:ascii="Arial" w:hAnsi="Arial" w:cs="Arial"/>
          <w:b/>
          <w:color w:val="auto"/>
          <w:szCs w:val="21"/>
          <w:highlight w:val="none"/>
        </w:rPr>
      </w:pPr>
      <w:r>
        <w:rPr>
          <w:rFonts w:ascii="Arial" w:hAnsi="Arial" w:cs="Arial"/>
          <w:b/>
          <w:color w:val="auto"/>
          <w:szCs w:val="21"/>
          <w:highlight w:val="none"/>
        </w:rPr>
        <w:t>六、交货期及交货方式</w:t>
      </w:r>
    </w:p>
    <w:p>
      <w:pPr>
        <w:spacing w:line="400" w:lineRule="exact"/>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交货期：</w:t>
      </w:r>
      <w:r>
        <w:rPr>
          <w:rFonts w:hint="eastAsia" w:ascii="Arial" w:hAnsi="Arial" w:cs="Arial"/>
          <w:color w:val="auto"/>
          <w:szCs w:val="21"/>
          <w:highlight w:val="none"/>
          <w:u w:val="single"/>
        </w:rPr>
        <w:t>自签订合同之日起     天内交货并安装完毕交付使用</w:t>
      </w:r>
      <w:r>
        <w:rPr>
          <w:rFonts w:hint="eastAsia" w:ascii="Arial" w:hAnsi="Arial" w:cs="Arial"/>
          <w:color w:val="auto"/>
          <w:kern w:val="0"/>
          <w:szCs w:val="21"/>
          <w:highlight w:val="none"/>
          <w:u w:val="single"/>
        </w:rPr>
        <w:t>。</w:t>
      </w:r>
    </w:p>
    <w:p>
      <w:pPr>
        <w:pStyle w:val="19"/>
        <w:spacing w:line="400" w:lineRule="exact"/>
        <w:rPr>
          <w:rFonts w:ascii="Arial" w:hAnsi="Arial" w:cs="Arial"/>
          <w:color w:val="auto"/>
          <w:highlight w:val="none"/>
        </w:rPr>
      </w:pPr>
      <w:r>
        <w:rPr>
          <w:rFonts w:ascii="Arial" w:hAnsi="Arial" w:cs="Arial"/>
          <w:color w:val="auto"/>
          <w:szCs w:val="21"/>
          <w:highlight w:val="none"/>
        </w:rPr>
        <w:t>2</w:t>
      </w:r>
      <w:r>
        <w:rPr>
          <w:rFonts w:hint="eastAsia" w:ascii="Arial" w:hAnsi="Arial" w:cs="Arial"/>
          <w:color w:val="auto"/>
          <w:szCs w:val="21"/>
          <w:highlight w:val="none"/>
        </w:rPr>
        <w:t>.</w:t>
      </w:r>
      <w:r>
        <w:rPr>
          <w:rFonts w:ascii="Arial" w:hAnsi="Arial" w:cs="Arial"/>
          <w:color w:val="auto"/>
          <w:szCs w:val="21"/>
          <w:highlight w:val="none"/>
        </w:rPr>
        <w:t>交货方式：现场免费安装调试、培训、</w:t>
      </w:r>
      <w:r>
        <w:rPr>
          <w:rFonts w:ascii="Arial" w:hAnsi="Arial" w:cs="Arial"/>
          <w:color w:val="auto"/>
          <w:highlight w:val="none"/>
        </w:rPr>
        <w:t>全部货物及附随配件、软件全部清点无误且</w:t>
      </w:r>
      <w:r>
        <w:rPr>
          <w:rFonts w:ascii="Arial" w:hAnsi="Arial" w:cs="Arial"/>
          <w:color w:val="auto"/>
          <w:szCs w:val="21"/>
          <w:highlight w:val="none"/>
        </w:rPr>
        <w:t>正常使用，</w:t>
      </w:r>
      <w:r>
        <w:rPr>
          <w:rFonts w:ascii="Arial" w:hAnsi="Arial" w:cs="Arial"/>
          <w:color w:val="auto"/>
          <w:highlight w:val="none"/>
        </w:rPr>
        <w:t>达到甲方使用功能要求，</w:t>
      </w:r>
      <w:r>
        <w:rPr>
          <w:rFonts w:ascii="Arial" w:hAnsi="Arial" w:cs="Arial"/>
          <w:color w:val="auto"/>
          <w:szCs w:val="21"/>
          <w:highlight w:val="none"/>
        </w:rPr>
        <w:t>验收合格；</w:t>
      </w:r>
    </w:p>
    <w:p>
      <w:pPr>
        <w:spacing w:line="400" w:lineRule="exact"/>
        <w:rPr>
          <w:rFonts w:ascii="Arial" w:hAnsi="Arial" w:cs="Arial"/>
          <w:color w:val="auto"/>
          <w:szCs w:val="21"/>
          <w:highlight w:val="none"/>
        </w:rPr>
      </w:pPr>
      <w:r>
        <w:rPr>
          <w:rFonts w:ascii="Arial" w:hAnsi="Arial" w:cs="Arial"/>
          <w:color w:val="auto"/>
          <w:szCs w:val="21"/>
          <w:highlight w:val="none"/>
        </w:rPr>
        <w:t>3</w:t>
      </w:r>
      <w:r>
        <w:rPr>
          <w:rFonts w:hint="eastAsia" w:ascii="Arial" w:hAnsi="Arial" w:cs="Arial"/>
          <w:color w:val="auto"/>
          <w:szCs w:val="21"/>
          <w:highlight w:val="none"/>
        </w:rPr>
        <w:t>.</w:t>
      </w:r>
      <w:r>
        <w:rPr>
          <w:rFonts w:ascii="Arial" w:hAnsi="Arial" w:cs="Arial"/>
          <w:color w:val="auto"/>
          <w:szCs w:val="21"/>
          <w:highlight w:val="none"/>
        </w:rPr>
        <w:t>交货地点：</w:t>
      </w:r>
      <w:r>
        <w:rPr>
          <w:rFonts w:ascii="Arial" w:hAnsi="Arial" w:cs="Arial"/>
          <w:color w:val="auto"/>
          <w:szCs w:val="21"/>
          <w:highlight w:val="none"/>
          <w:u w:val="single"/>
        </w:rPr>
        <w:t>甲方指定地点。</w:t>
      </w:r>
    </w:p>
    <w:p>
      <w:pPr>
        <w:spacing w:line="400" w:lineRule="exact"/>
        <w:rPr>
          <w:rFonts w:ascii="Arial" w:hAnsi="Arial" w:cs="Arial"/>
          <w:b/>
          <w:color w:val="auto"/>
          <w:szCs w:val="21"/>
          <w:highlight w:val="none"/>
        </w:rPr>
      </w:pPr>
      <w:r>
        <w:rPr>
          <w:rFonts w:ascii="Arial" w:hAnsi="Arial" w:cs="Arial"/>
          <w:b/>
          <w:color w:val="auto"/>
          <w:szCs w:val="21"/>
          <w:highlight w:val="none"/>
        </w:rPr>
        <w:t>七、售后服务条款</w:t>
      </w:r>
    </w:p>
    <w:p>
      <w:pPr>
        <w:spacing w:line="400" w:lineRule="exact"/>
        <w:ind w:left="210" w:hanging="210" w:hangingChars="100"/>
        <w:rPr>
          <w:rFonts w:ascii="Arial" w:hAnsi="Arial" w:cs="Arial"/>
          <w:color w:val="auto"/>
          <w:szCs w:val="21"/>
          <w:highlight w:val="none"/>
        </w:rPr>
      </w:pPr>
      <w:r>
        <w:rPr>
          <w:rFonts w:ascii="Arial" w:hAnsi="Arial" w:cs="Arial"/>
          <w:color w:val="auto"/>
          <w:kern w:val="0"/>
          <w:szCs w:val="21"/>
          <w:highlight w:val="none"/>
        </w:rPr>
        <w:t>1</w:t>
      </w:r>
      <w:r>
        <w:rPr>
          <w:rFonts w:hint="eastAsia" w:ascii="Arial" w:hAnsi="Arial" w:cs="Arial"/>
          <w:color w:val="auto"/>
          <w:kern w:val="0"/>
          <w:szCs w:val="21"/>
          <w:highlight w:val="none"/>
        </w:rPr>
        <w:t>.</w:t>
      </w:r>
      <w:r>
        <w:rPr>
          <w:rFonts w:ascii="Arial" w:hAnsi="Arial" w:cs="Arial"/>
          <w:color w:val="auto"/>
          <w:kern w:val="0"/>
          <w:szCs w:val="21"/>
          <w:highlight w:val="none"/>
        </w:rPr>
        <w:t>交钥匙工程：本项目为交钥匙项目。</w:t>
      </w:r>
      <w:r>
        <w:rPr>
          <w:rFonts w:ascii="Arial" w:hAnsi="Arial" w:cs="Arial"/>
          <w:color w:val="auto"/>
          <w:szCs w:val="21"/>
          <w:highlight w:val="none"/>
        </w:rPr>
        <w:t>乙方负责产品的安装调试及人员培训。</w:t>
      </w:r>
      <w:r>
        <w:rPr>
          <w:rFonts w:ascii="Arial" w:hAnsi="Arial" w:cs="Arial"/>
          <w:color w:val="auto"/>
          <w:kern w:val="0"/>
          <w:szCs w:val="21"/>
          <w:highlight w:val="none"/>
        </w:rPr>
        <w:t>在保修期内，乙方必须保证甲方能够合法应用该器械/服务，并办理相关证件、手续，产生的费用包含在合同/协议价格中。在此过程中，甲方应当提供必要支持。若可能出现的后续证件、手续，乙方必须提供办理的流程及方法。</w:t>
      </w:r>
    </w:p>
    <w:p>
      <w:pPr>
        <w:widowControl/>
        <w:shd w:val="clear" w:color="auto" w:fill="FFFFFF"/>
        <w:spacing w:line="400" w:lineRule="exact"/>
        <w:ind w:left="315" w:hanging="315" w:hangingChars="150"/>
        <w:jc w:val="left"/>
        <w:rPr>
          <w:rFonts w:ascii="Arial" w:hAnsi="Arial" w:cs="Arial"/>
          <w:color w:val="auto"/>
          <w:kern w:val="0"/>
          <w:szCs w:val="21"/>
          <w:highlight w:val="none"/>
        </w:rPr>
      </w:pPr>
      <w:r>
        <w:rPr>
          <w:rFonts w:ascii="Arial" w:hAnsi="Arial" w:cs="Arial"/>
          <w:color w:val="auto"/>
          <w:kern w:val="0"/>
          <w:szCs w:val="21"/>
          <w:highlight w:val="none"/>
        </w:rPr>
        <w:t>2</w:t>
      </w:r>
      <w:r>
        <w:rPr>
          <w:rFonts w:hint="eastAsia" w:ascii="Arial" w:hAnsi="Arial" w:cs="Arial"/>
          <w:color w:val="auto"/>
          <w:kern w:val="0"/>
          <w:szCs w:val="21"/>
          <w:highlight w:val="none"/>
        </w:rPr>
        <w:t>.</w:t>
      </w:r>
      <w:r>
        <w:rPr>
          <w:rFonts w:ascii="Arial" w:hAnsi="Arial" w:cs="Arial"/>
          <w:color w:val="auto"/>
          <w:kern w:val="0"/>
          <w:szCs w:val="21"/>
          <w:highlight w:val="none"/>
        </w:rPr>
        <w:t>易损零配件和专机专用试剂耗材价格表：本项目合同/协议中，应附易损零配件和专机专用试剂耗材价格表。</w:t>
      </w:r>
    </w:p>
    <w:p>
      <w:pPr>
        <w:widowControl/>
        <w:shd w:val="clear" w:color="auto" w:fill="FFFFFF"/>
        <w:spacing w:line="400" w:lineRule="exact"/>
        <w:ind w:left="315" w:hanging="315" w:hangingChars="150"/>
        <w:jc w:val="left"/>
        <w:rPr>
          <w:rFonts w:ascii="Arial" w:hAnsi="Arial" w:cs="Arial"/>
          <w:color w:val="auto"/>
          <w:kern w:val="0"/>
          <w:szCs w:val="21"/>
          <w:highlight w:val="none"/>
        </w:rPr>
      </w:pPr>
      <w:r>
        <w:rPr>
          <w:rFonts w:ascii="Arial" w:hAnsi="Arial" w:cs="Arial"/>
          <w:color w:val="auto"/>
          <w:kern w:val="0"/>
          <w:szCs w:val="21"/>
          <w:highlight w:val="none"/>
        </w:rPr>
        <w:t>3</w:t>
      </w:r>
      <w:r>
        <w:rPr>
          <w:rFonts w:hint="eastAsia" w:ascii="Arial" w:hAnsi="Arial" w:cs="Arial"/>
          <w:color w:val="auto"/>
          <w:kern w:val="0"/>
          <w:szCs w:val="21"/>
          <w:highlight w:val="none"/>
        </w:rPr>
        <w:t>.</w:t>
      </w:r>
      <w:r>
        <w:rPr>
          <w:rFonts w:ascii="Arial" w:hAnsi="Arial" w:cs="Arial"/>
          <w:color w:val="auto"/>
          <w:kern w:val="0"/>
          <w:szCs w:val="21"/>
          <w:highlight w:val="none"/>
        </w:rPr>
        <w:t>维修技术支持：乙方一次性免费提供维护手册、维修手册、软件备份、故障代码表、备件清单等维护维修必需的材料和信息，否则不予验收。保修期外，无偿提供维修密码及软件在该项目中的使用权，按合同约定价格提供零部件，以及快速响应的技术支持。</w:t>
      </w:r>
      <w:r>
        <w:rPr>
          <w:rFonts w:ascii="Arial" w:hAnsi="Arial" w:cs="Arial"/>
          <w:color w:val="auto"/>
          <w:szCs w:val="21"/>
          <w:highlight w:val="none"/>
        </w:rPr>
        <w:t>保修期外，如在使用过程中发生质量问题，乙方在接到甲方通知后在</w:t>
      </w:r>
      <w:r>
        <w:rPr>
          <w:rFonts w:ascii="Arial" w:hAnsi="Arial" w:cs="Arial"/>
          <w:color w:val="auto"/>
          <w:szCs w:val="21"/>
          <w:highlight w:val="none"/>
          <w:u w:val="single"/>
        </w:rPr>
        <w:t xml:space="preserve">        </w:t>
      </w:r>
      <w:r>
        <w:rPr>
          <w:rFonts w:ascii="Arial" w:hAnsi="Arial" w:cs="Arial"/>
          <w:color w:val="auto"/>
          <w:szCs w:val="21"/>
          <w:highlight w:val="none"/>
        </w:rPr>
        <w:t>小时/天内到达甲方现场处理。</w:t>
      </w:r>
    </w:p>
    <w:p>
      <w:pPr>
        <w:widowControl/>
        <w:shd w:val="clear" w:color="auto" w:fill="FFFFFF"/>
        <w:spacing w:line="400" w:lineRule="exact"/>
        <w:ind w:left="315" w:hanging="315" w:hangingChars="150"/>
        <w:jc w:val="left"/>
        <w:rPr>
          <w:rFonts w:ascii="Arial" w:hAnsi="Arial" w:cs="Arial"/>
          <w:color w:val="auto"/>
          <w:kern w:val="0"/>
          <w:szCs w:val="21"/>
          <w:highlight w:val="none"/>
        </w:rPr>
      </w:pPr>
      <w:r>
        <w:rPr>
          <w:rFonts w:ascii="Arial" w:hAnsi="Arial" w:cs="Arial"/>
          <w:color w:val="auto"/>
          <w:kern w:val="0"/>
          <w:szCs w:val="21"/>
          <w:highlight w:val="none"/>
        </w:rPr>
        <w:t>4</w:t>
      </w:r>
      <w:r>
        <w:rPr>
          <w:rFonts w:hint="eastAsia" w:ascii="Arial" w:hAnsi="Arial" w:cs="Arial"/>
          <w:color w:val="auto"/>
          <w:kern w:val="0"/>
          <w:szCs w:val="21"/>
          <w:highlight w:val="none"/>
        </w:rPr>
        <w:t>.</w:t>
      </w:r>
      <w:r>
        <w:rPr>
          <w:rFonts w:ascii="Arial" w:hAnsi="Arial" w:cs="Arial"/>
          <w:color w:val="auto"/>
          <w:kern w:val="0"/>
          <w:szCs w:val="21"/>
          <w:highlight w:val="none"/>
        </w:rPr>
        <w:t>乙方无偿保证甲方获得合同约定范围内所有软件功能，终生单机软件使用权。不得限制硬件配件采购，并在甲方自主更换配件后，无偿帮助甲方恢复原有的软件及系统，使甲方能够正常使用该器械/设备、项目。</w:t>
      </w:r>
    </w:p>
    <w:p>
      <w:pPr>
        <w:widowControl/>
        <w:shd w:val="clear" w:color="auto" w:fill="FFFFFF"/>
        <w:spacing w:line="400" w:lineRule="exact"/>
        <w:jc w:val="left"/>
        <w:rPr>
          <w:rFonts w:ascii="Arial" w:hAnsi="Arial" w:cs="Arial"/>
          <w:color w:val="auto"/>
          <w:kern w:val="0"/>
          <w:szCs w:val="21"/>
          <w:highlight w:val="none"/>
        </w:rPr>
      </w:pPr>
      <w:r>
        <w:rPr>
          <w:rFonts w:ascii="Arial" w:hAnsi="Arial" w:cs="Arial"/>
          <w:color w:val="auto"/>
          <w:kern w:val="0"/>
          <w:szCs w:val="21"/>
          <w:highlight w:val="none"/>
        </w:rPr>
        <w:t>5</w:t>
      </w:r>
      <w:r>
        <w:rPr>
          <w:rFonts w:hint="eastAsia" w:ascii="Arial" w:hAnsi="Arial" w:cs="Arial"/>
          <w:color w:val="auto"/>
          <w:kern w:val="0"/>
          <w:szCs w:val="21"/>
          <w:highlight w:val="none"/>
        </w:rPr>
        <w:t>.</w:t>
      </w:r>
      <w:r>
        <w:rPr>
          <w:rFonts w:ascii="Arial" w:hAnsi="Arial" w:cs="Arial"/>
          <w:color w:val="auto"/>
          <w:kern w:val="0"/>
          <w:szCs w:val="21"/>
          <w:highlight w:val="none"/>
        </w:rPr>
        <w:t>乙方承诺保修期内，按国家相关规定，执行保养及预防性维护，并提供报告。</w:t>
      </w:r>
    </w:p>
    <w:p>
      <w:pPr>
        <w:spacing w:line="400" w:lineRule="exact"/>
        <w:rPr>
          <w:rFonts w:ascii="Arial" w:hAnsi="Arial" w:cs="Arial"/>
          <w:color w:val="auto"/>
          <w:szCs w:val="21"/>
          <w:highlight w:val="none"/>
        </w:rPr>
      </w:pPr>
      <w:r>
        <w:rPr>
          <w:rFonts w:ascii="Arial" w:hAnsi="Arial" w:cs="Arial"/>
          <w:color w:val="auto"/>
          <w:szCs w:val="21"/>
          <w:highlight w:val="none"/>
        </w:rPr>
        <w:t>6</w:t>
      </w:r>
      <w:r>
        <w:rPr>
          <w:rFonts w:hint="eastAsia" w:ascii="Arial" w:hAnsi="Arial" w:cs="Arial"/>
          <w:color w:val="auto"/>
          <w:szCs w:val="21"/>
          <w:highlight w:val="none"/>
        </w:rPr>
        <w:t>.</w:t>
      </w:r>
      <w:r>
        <w:rPr>
          <w:rFonts w:ascii="Arial" w:hAnsi="Arial" w:cs="Arial"/>
          <w:color w:val="auto"/>
          <w:szCs w:val="21"/>
          <w:highlight w:val="none"/>
        </w:rPr>
        <w:t>在设备规定的使用期限内，乙方必须保证配件供应。并承诺过保修期后的维修及配件更换不需预付款，按照医院正常付款流程办理。</w:t>
      </w:r>
    </w:p>
    <w:p>
      <w:pPr>
        <w:spacing w:line="400" w:lineRule="exact"/>
        <w:rPr>
          <w:rFonts w:ascii="Arial" w:hAnsi="Arial" w:cs="Arial"/>
          <w:color w:val="auto"/>
          <w:szCs w:val="21"/>
          <w:highlight w:val="none"/>
        </w:rPr>
      </w:pPr>
      <w:r>
        <w:rPr>
          <w:rFonts w:ascii="Arial" w:hAnsi="Arial" w:cs="Arial"/>
          <w:color w:val="auto"/>
          <w:szCs w:val="21"/>
          <w:highlight w:val="none"/>
        </w:rPr>
        <w:t>7</w:t>
      </w:r>
      <w:r>
        <w:rPr>
          <w:rFonts w:hint="eastAsia" w:ascii="Arial" w:hAnsi="Arial" w:cs="Arial"/>
          <w:color w:val="auto"/>
          <w:szCs w:val="21"/>
          <w:highlight w:val="none"/>
        </w:rPr>
        <w:t>.</w:t>
      </w:r>
      <w:r>
        <w:rPr>
          <w:rFonts w:ascii="Arial" w:hAnsi="Arial" w:cs="Arial"/>
          <w:color w:val="auto"/>
          <w:szCs w:val="21"/>
          <w:highlight w:val="none"/>
        </w:rPr>
        <w:t>保修期外维修应同样提供不收取费用的咨询服务，需上门维修的不收取维修费，仅收取材料费。</w:t>
      </w:r>
    </w:p>
    <w:p>
      <w:pPr>
        <w:spacing w:line="400" w:lineRule="exact"/>
        <w:rPr>
          <w:rFonts w:ascii="Arial" w:hAnsi="Arial" w:cs="Arial"/>
          <w:color w:val="auto"/>
          <w:szCs w:val="21"/>
          <w:highlight w:val="none"/>
        </w:rPr>
      </w:pPr>
      <w:r>
        <w:rPr>
          <w:rFonts w:ascii="Arial" w:hAnsi="Arial" w:cs="Arial"/>
          <w:color w:val="auto"/>
          <w:szCs w:val="21"/>
          <w:highlight w:val="none"/>
        </w:rPr>
        <w:t>8</w:t>
      </w:r>
      <w:r>
        <w:rPr>
          <w:rFonts w:hint="eastAsia" w:ascii="Arial" w:hAnsi="Arial" w:cs="Arial"/>
          <w:color w:val="auto"/>
          <w:szCs w:val="21"/>
          <w:highlight w:val="none"/>
        </w:rPr>
        <w:t>.</w:t>
      </w:r>
      <w:r>
        <w:rPr>
          <w:rFonts w:ascii="Arial" w:hAnsi="Arial" w:cs="Arial"/>
          <w:color w:val="auto"/>
          <w:szCs w:val="21"/>
          <w:highlight w:val="none"/>
        </w:rPr>
        <w:t>其他售后服务条款，详见售后服务承诺书。</w:t>
      </w:r>
    </w:p>
    <w:p>
      <w:pPr>
        <w:spacing w:line="400" w:lineRule="exact"/>
        <w:rPr>
          <w:rFonts w:ascii="宋体" w:hAnsi="宋体" w:cs="宋体"/>
          <w:color w:val="auto"/>
          <w:szCs w:val="21"/>
          <w:highlight w:val="none"/>
        </w:rPr>
      </w:pPr>
      <w:r>
        <w:rPr>
          <w:rFonts w:ascii="Arial" w:hAnsi="Arial" w:cs="Arial"/>
          <w:color w:val="auto"/>
          <w:szCs w:val="21"/>
          <w:highlight w:val="none"/>
        </w:rPr>
        <w:t>9</w:t>
      </w:r>
      <w:r>
        <w:rPr>
          <w:rFonts w:hint="eastAsia" w:ascii="Arial" w:hAnsi="Arial" w:cs="Arial"/>
          <w:color w:val="auto"/>
          <w:szCs w:val="21"/>
          <w:highlight w:val="none"/>
        </w:rPr>
        <w:t>.</w:t>
      </w:r>
      <w:r>
        <w:rPr>
          <w:rFonts w:ascii="Arial" w:hAnsi="Arial" w:cs="Arial"/>
          <w:color w:val="auto"/>
          <w:szCs w:val="21"/>
          <w:highlight w:val="none"/>
        </w:rPr>
        <w:t>售后服务承诺书原</w:t>
      </w:r>
      <w:r>
        <w:rPr>
          <w:rFonts w:hint="eastAsia" w:ascii="宋体" w:hAnsi="宋体" w:cs="宋体"/>
          <w:color w:val="auto"/>
          <w:szCs w:val="21"/>
          <w:highlight w:val="none"/>
        </w:rPr>
        <w:t>则上须有生产厂家或省级（含省级）以上代理商的盖章。</w:t>
      </w:r>
    </w:p>
    <w:p>
      <w:pPr>
        <w:pStyle w:val="19"/>
        <w:spacing w:line="400" w:lineRule="exact"/>
        <w:rPr>
          <w:rFonts w:ascii="Arial" w:hAnsi="Arial" w:cs="Arial"/>
          <w:b/>
          <w:color w:val="auto"/>
          <w:szCs w:val="21"/>
          <w:highlight w:val="none"/>
        </w:rPr>
      </w:pPr>
      <w:r>
        <w:rPr>
          <w:rFonts w:ascii="Arial" w:hAnsi="Arial" w:cs="Arial"/>
          <w:b/>
          <w:color w:val="auto"/>
          <w:szCs w:val="21"/>
          <w:highlight w:val="none"/>
        </w:rPr>
        <w:t>八、争议解决</w:t>
      </w:r>
    </w:p>
    <w:p>
      <w:pPr>
        <w:spacing w:line="400" w:lineRule="exact"/>
        <w:ind w:firstLine="420" w:firstLineChars="200"/>
        <w:rPr>
          <w:rFonts w:ascii="Arial" w:hAnsi="Arial" w:cs="Arial"/>
          <w:b/>
          <w:color w:val="auto"/>
          <w:szCs w:val="21"/>
          <w:highlight w:val="none"/>
        </w:rPr>
      </w:pPr>
      <w:r>
        <w:rPr>
          <w:rFonts w:ascii="Arial" w:hAnsi="Arial" w:cs="Arial"/>
          <w:color w:val="auto"/>
          <w:highlight w:val="none"/>
        </w:rPr>
        <w:t>本合同履行期间发生争议的，由甲方住所地人民法院管辖</w:t>
      </w:r>
      <w:r>
        <w:rPr>
          <w:rFonts w:hint="eastAsia" w:ascii="Arial" w:hAnsi="Arial" w:cs="Arial"/>
          <w:color w:val="auto"/>
          <w:highlight w:val="none"/>
        </w:rPr>
        <w:t>。</w:t>
      </w:r>
    </w:p>
    <w:p>
      <w:pPr>
        <w:spacing w:line="400" w:lineRule="exact"/>
        <w:rPr>
          <w:rFonts w:ascii="Arial" w:hAnsi="Arial" w:cs="Arial"/>
          <w:b/>
          <w:color w:val="auto"/>
          <w:szCs w:val="21"/>
          <w:highlight w:val="none"/>
        </w:rPr>
      </w:pPr>
      <w:r>
        <w:rPr>
          <w:rFonts w:ascii="Arial" w:hAnsi="Arial" w:cs="Arial"/>
          <w:b/>
          <w:color w:val="auto"/>
          <w:szCs w:val="21"/>
          <w:highlight w:val="none"/>
        </w:rPr>
        <w:t>九、违约责任：</w:t>
      </w:r>
    </w:p>
    <w:p>
      <w:pPr>
        <w:spacing w:line="400" w:lineRule="exact"/>
        <w:rPr>
          <w:rFonts w:ascii="Arial" w:hAnsi="Arial" w:cs="Arial"/>
          <w:color w:val="auto"/>
          <w:szCs w:val="21"/>
          <w:highlight w:val="none"/>
        </w:rPr>
      </w:pPr>
      <w:r>
        <w:rPr>
          <w:rFonts w:ascii="Arial" w:hAnsi="Arial" w:cs="Arial"/>
          <w:color w:val="auto"/>
          <w:szCs w:val="21"/>
          <w:highlight w:val="none"/>
        </w:rPr>
        <w:t>1</w:t>
      </w:r>
      <w:r>
        <w:rPr>
          <w:rFonts w:hint="eastAsia" w:ascii="Arial" w:hAnsi="Arial" w:cs="Arial"/>
          <w:color w:val="auto"/>
          <w:szCs w:val="21"/>
          <w:highlight w:val="none"/>
        </w:rPr>
        <w:t>.</w:t>
      </w:r>
      <w:r>
        <w:rPr>
          <w:rFonts w:ascii="Arial" w:hAnsi="Arial" w:cs="Arial"/>
          <w:color w:val="auto"/>
          <w:szCs w:val="21"/>
          <w:highlight w:val="none"/>
        </w:rPr>
        <w:t>乙方逾期交货或甲方无正当理由拒收的，违约方每天按合同标的</w:t>
      </w:r>
      <w:r>
        <w:rPr>
          <w:rFonts w:ascii="Arial" w:hAnsi="Arial" w:cs="Arial"/>
          <w:color w:val="auto"/>
          <w:szCs w:val="21"/>
          <w:highlight w:val="none"/>
          <w:u w:val="single"/>
        </w:rPr>
        <w:t>0.3%</w:t>
      </w:r>
      <w:r>
        <w:rPr>
          <w:rFonts w:ascii="Arial" w:hAnsi="Arial" w:cs="Arial"/>
          <w:color w:val="auto"/>
          <w:szCs w:val="21"/>
          <w:highlight w:val="none"/>
        </w:rPr>
        <w:t>支付违约金。</w:t>
      </w:r>
    </w:p>
    <w:p>
      <w:pPr>
        <w:spacing w:line="400" w:lineRule="exact"/>
        <w:ind w:left="315" w:hanging="315" w:hangingChars="150"/>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w:t>
      </w:r>
      <w:r>
        <w:rPr>
          <w:rFonts w:ascii="Arial" w:hAnsi="Arial" w:cs="Arial"/>
          <w:color w:val="auto"/>
          <w:szCs w:val="21"/>
          <w:highlight w:val="none"/>
        </w:rPr>
        <w:t>乙方逾期超过10天仍不能交货的，甲方可解除双方的供货合同，并有权要求乙方承担违约责任，造成甲方损失的，由乙方负责赔偿，赔偿范围包括但不限于直接损失、逾期损失，以及维权产生的相关费用（包括</w:t>
      </w:r>
      <w:r>
        <w:rPr>
          <w:rFonts w:ascii="Arial" w:hAnsi="Arial" w:cs="Arial"/>
          <w:color w:val="auto"/>
          <w:highlight w:val="none"/>
        </w:rPr>
        <w:t>但不限于：律师费、案件受理费、保全费、保单保函保险费、交通费、误工费、鉴定评估费等</w:t>
      </w:r>
      <w:r>
        <w:rPr>
          <w:rFonts w:ascii="Arial" w:hAnsi="Arial" w:cs="Arial"/>
          <w:color w:val="auto"/>
          <w:szCs w:val="21"/>
          <w:highlight w:val="none"/>
        </w:rPr>
        <w:t>）</w:t>
      </w:r>
    </w:p>
    <w:p>
      <w:pPr>
        <w:pStyle w:val="19"/>
        <w:spacing w:line="400" w:lineRule="exact"/>
        <w:ind w:left="210" w:hanging="210" w:hangingChars="100"/>
        <w:rPr>
          <w:rFonts w:ascii="Arial" w:hAnsi="Arial" w:cs="Arial"/>
          <w:color w:val="auto"/>
          <w:highlight w:val="none"/>
        </w:rPr>
      </w:pPr>
      <w:r>
        <w:rPr>
          <w:rFonts w:hint="eastAsia" w:ascii="Arial" w:hAnsi="Arial" w:cs="Arial"/>
          <w:color w:val="auto"/>
          <w:szCs w:val="21"/>
          <w:highlight w:val="none"/>
        </w:rPr>
        <w:t>3.</w:t>
      </w:r>
      <w:r>
        <w:rPr>
          <w:rFonts w:ascii="Arial" w:hAnsi="Arial" w:cs="Arial"/>
          <w:color w:val="auto"/>
          <w:szCs w:val="21"/>
          <w:highlight w:val="none"/>
        </w:rPr>
        <w:t>乙方提供的</w:t>
      </w:r>
      <w:r>
        <w:rPr>
          <w:rFonts w:hint="eastAsia" w:ascii="Arial" w:hAnsi="Arial" w:cs="Arial"/>
          <w:color w:val="auto"/>
          <w:szCs w:val="21"/>
          <w:highlight w:val="none"/>
        </w:rPr>
        <w:t>投标</w:t>
      </w:r>
      <w:r>
        <w:rPr>
          <w:rFonts w:ascii="Arial" w:hAnsi="Arial" w:cs="Arial"/>
          <w:color w:val="auto"/>
          <w:szCs w:val="21"/>
          <w:highlight w:val="none"/>
        </w:rPr>
        <w:t>文件如有虚假，视为乙方根本性违约，甲方有权单方面解除合同，乙方应向甲方支付合同总额30%的违约金，并承担由此造成甲方的全部损失。</w:t>
      </w:r>
    </w:p>
    <w:p>
      <w:pPr>
        <w:pStyle w:val="19"/>
        <w:spacing w:line="400" w:lineRule="exact"/>
        <w:ind w:left="210" w:hanging="210" w:hangingChars="100"/>
        <w:rPr>
          <w:rFonts w:ascii="Arial" w:hAnsi="Arial" w:cs="Arial"/>
          <w:color w:val="auto"/>
          <w:highlight w:val="none"/>
        </w:rPr>
      </w:pPr>
      <w:r>
        <w:rPr>
          <w:rFonts w:hint="eastAsia" w:ascii="Arial" w:hAnsi="Arial" w:cs="Arial"/>
          <w:color w:val="auto"/>
          <w:highlight w:val="none"/>
        </w:rPr>
        <w:t>4.</w:t>
      </w:r>
      <w:r>
        <w:rPr>
          <w:rFonts w:ascii="Arial" w:hAnsi="Arial" w:cs="Arial"/>
          <w:color w:val="auto"/>
          <w:highlight w:val="none"/>
        </w:rPr>
        <w:t>乙方提供的货物不符合本合同第四条质量要求的，甲方有权要求乙方无条件换货或者退货，甲方换货的，相关的运费及损失由乙方承担；甲方退货的，乙方应在甲方发出退货通知之日起三日内，将所收取的款项全额予以退回，乙方应向甲方支付合同总额30%的违约金，并承担由此造成甲方的全部损失。</w:t>
      </w:r>
    </w:p>
    <w:p>
      <w:pPr>
        <w:pStyle w:val="19"/>
        <w:spacing w:line="400" w:lineRule="exact"/>
        <w:ind w:left="210" w:hanging="210" w:hangingChars="100"/>
        <w:rPr>
          <w:rFonts w:ascii="Arial" w:hAnsi="Arial" w:cs="Arial"/>
          <w:color w:val="auto"/>
          <w:highlight w:val="none"/>
        </w:rPr>
      </w:pPr>
      <w:r>
        <w:rPr>
          <w:rFonts w:hint="eastAsia" w:ascii="Arial" w:hAnsi="Arial" w:cs="Arial"/>
          <w:color w:val="auto"/>
          <w:highlight w:val="none"/>
        </w:rPr>
        <w:t>5.</w:t>
      </w:r>
      <w:r>
        <w:rPr>
          <w:rFonts w:ascii="Arial" w:hAnsi="Arial" w:cs="Arial"/>
          <w:color w:val="auto"/>
          <w:highlight w:val="none"/>
        </w:rPr>
        <w:t>乙方不能按本合同第五条货物的验收要求交付验收的，甲方有权解除合同，乙方应向甲方支付合同总额30%的违约金，并承担由此造成甲方的全部损失。</w:t>
      </w:r>
    </w:p>
    <w:p>
      <w:pPr>
        <w:pStyle w:val="19"/>
        <w:spacing w:line="400" w:lineRule="exact"/>
        <w:ind w:left="315" w:hanging="315" w:hangingChars="150"/>
        <w:rPr>
          <w:rFonts w:ascii="Arial" w:hAnsi="Arial" w:cs="Arial"/>
          <w:color w:val="auto"/>
          <w:szCs w:val="21"/>
          <w:highlight w:val="none"/>
        </w:rPr>
      </w:pPr>
      <w:r>
        <w:rPr>
          <w:rFonts w:ascii="Arial" w:hAnsi="Arial" w:cs="Arial"/>
          <w:color w:val="auto"/>
          <w:highlight w:val="none"/>
        </w:rPr>
        <w:t>6</w:t>
      </w:r>
      <w:r>
        <w:rPr>
          <w:rFonts w:hint="eastAsia" w:ascii="Arial" w:hAnsi="Arial" w:cs="Arial"/>
          <w:color w:val="auto"/>
          <w:highlight w:val="none"/>
        </w:rPr>
        <w:t>.</w:t>
      </w:r>
      <w:r>
        <w:rPr>
          <w:rFonts w:ascii="Arial" w:hAnsi="Arial" w:cs="Arial"/>
          <w:color w:val="auto"/>
          <w:highlight w:val="none"/>
        </w:rPr>
        <w:t>乙方未履行约定售后维修维护责任，每发生一次应按合同价款1%支付违约金，该违约金甲方有权直接从未付货款中抵扣；乙方累计发生5次，或者造成甲方无法正常使用或声誉受损的严重后果的，甲方有权解除合同，乙方应向甲方支付合同总额30%的违约金，并承担由此造成甲方的全部损失。乙方应向甲方支付合同总额30%的违约金，并承担由此造成甲方的全部损失，</w:t>
      </w:r>
      <w:r>
        <w:rPr>
          <w:rFonts w:ascii="Arial" w:hAnsi="Arial" w:cs="Arial"/>
          <w:color w:val="auto"/>
          <w:szCs w:val="21"/>
          <w:highlight w:val="none"/>
        </w:rPr>
        <w:t>并追究乙方相关法律责任。</w:t>
      </w:r>
    </w:p>
    <w:p>
      <w:pPr>
        <w:spacing w:line="400" w:lineRule="exact"/>
        <w:rPr>
          <w:rFonts w:ascii="Arial" w:hAnsi="Arial" w:cs="Arial"/>
          <w:b/>
          <w:color w:val="auto"/>
          <w:szCs w:val="21"/>
          <w:highlight w:val="none"/>
        </w:rPr>
      </w:pPr>
      <w:r>
        <w:rPr>
          <w:rFonts w:ascii="Arial" w:hAnsi="Arial" w:cs="Arial"/>
          <w:b/>
          <w:color w:val="auto"/>
          <w:szCs w:val="21"/>
          <w:highlight w:val="none"/>
        </w:rPr>
        <w:t>十、本合同记载地址视为送达地址，送达地址变更需采用书面形式。</w:t>
      </w:r>
    </w:p>
    <w:p>
      <w:pPr>
        <w:spacing w:line="400" w:lineRule="exact"/>
        <w:ind w:firstLine="422" w:firstLineChars="200"/>
        <w:rPr>
          <w:rFonts w:ascii="Arial" w:hAnsi="Arial" w:cs="Arial"/>
          <w:b/>
          <w:color w:val="auto"/>
          <w:szCs w:val="21"/>
          <w:highlight w:val="none"/>
        </w:rPr>
      </w:pPr>
      <w:r>
        <w:rPr>
          <w:rFonts w:ascii="Arial" w:hAnsi="Arial" w:cs="Arial"/>
          <w:b/>
          <w:color w:val="auto"/>
          <w:szCs w:val="21"/>
          <w:highlight w:val="none"/>
        </w:rPr>
        <w:t>本合</w:t>
      </w:r>
      <w:r>
        <w:rPr>
          <w:rFonts w:hint="eastAsia" w:ascii="Arial" w:hAnsi="Arial" w:cs="Arial"/>
          <w:b/>
          <w:color w:val="auto"/>
          <w:szCs w:val="21"/>
          <w:highlight w:val="none"/>
        </w:rPr>
        <w:t>同</w:t>
      </w:r>
      <w:r>
        <w:rPr>
          <w:rFonts w:ascii="Arial" w:hAnsi="Arial" w:cs="Arial"/>
          <w:b/>
          <w:color w:val="auto"/>
          <w:szCs w:val="21"/>
          <w:highlight w:val="none"/>
        </w:rPr>
        <w:t>尾部及《医疗卫生机构医药产品廉洁购销合同》载明的乙方地址及联系人用于接收往来函件及诉讼法律文书，且适用于因本合同履行相关的一切纠纷处理程序（如仲裁、诉讼、执行等）的送达。如有变更，乙方需以书面方式通知甲方，未书面通知变更的，凡向合同记载地址或联系方式、联系人发送的文件及信息，无论是否实际收到，均视为有效送达 。</w:t>
      </w:r>
    </w:p>
    <w:p>
      <w:pPr>
        <w:spacing w:line="400" w:lineRule="exact"/>
        <w:ind w:left="422" w:hanging="422" w:hangingChars="200"/>
        <w:rPr>
          <w:rFonts w:ascii="Arial" w:hAnsi="Arial" w:cs="Arial"/>
          <w:b/>
          <w:color w:val="auto"/>
          <w:szCs w:val="21"/>
          <w:highlight w:val="none"/>
        </w:rPr>
      </w:pPr>
      <w:r>
        <w:rPr>
          <w:rFonts w:ascii="Arial" w:hAnsi="Arial" w:cs="Arial"/>
          <w:b/>
          <w:color w:val="auto"/>
          <w:szCs w:val="21"/>
          <w:highlight w:val="none"/>
        </w:rPr>
        <w:t>十一、本合同一式七份，甲方执伍份，乙方执一份，代理机构执一份。本合同经甲乙双方签字盖章后生效，补充协议含售后服务承诺书等，与本合同具有同等法律效力。如甲乙双方合同条款内容不一致者，以在甲方存档者为正本。</w:t>
      </w:r>
    </w:p>
    <w:p>
      <w:pPr>
        <w:spacing w:line="400" w:lineRule="exact"/>
        <w:rPr>
          <w:rFonts w:ascii="Arial" w:hAnsi="Arial" w:cs="Arial"/>
          <w:b/>
          <w:color w:val="auto"/>
          <w:szCs w:val="21"/>
          <w:highlight w:val="none"/>
        </w:rPr>
      </w:pPr>
      <w:r>
        <w:rPr>
          <w:rFonts w:ascii="Arial" w:hAnsi="Arial" w:cs="Arial"/>
          <w:b/>
          <w:color w:val="auto"/>
          <w:szCs w:val="21"/>
          <w:highlight w:val="none"/>
        </w:rPr>
        <w:t>十二、本合同如有未尽事宜，甲乙双方另行协商。</w:t>
      </w:r>
    </w:p>
    <w:p>
      <w:pPr>
        <w:spacing w:line="400" w:lineRule="exact"/>
        <w:rPr>
          <w:rFonts w:ascii="Arial" w:hAnsi="Arial" w:eastAsia="仿宋" w:cs="Arial"/>
          <w:color w:val="auto"/>
          <w:sz w:val="24"/>
          <w:highlight w:val="none"/>
        </w:rPr>
      </w:pPr>
      <w:r>
        <w:rPr>
          <w:rFonts w:ascii="Arial" w:hAnsi="Arial" w:cs="Arial"/>
          <w:b/>
          <w:color w:val="auto"/>
          <w:szCs w:val="21"/>
          <w:highlight w:val="none"/>
        </w:rPr>
        <w:t>十三、附件：（</w:t>
      </w:r>
      <w:r>
        <w:rPr>
          <w:rFonts w:ascii="Arial" w:hAnsi="Arial" w:cs="Arial"/>
          <w:b/>
          <w:bCs/>
          <w:color w:val="auto"/>
          <w:szCs w:val="21"/>
          <w:highlight w:val="none"/>
        </w:rPr>
        <w:t>设备（系统）必须提供配置清单</w:t>
      </w:r>
      <w:r>
        <w:rPr>
          <w:rFonts w:ascii="Arial" w:hAnsi="Arial" w:cs="Arial"/>
          <w:b/>
          <w:color w:val="auto"/>
          <w:szCs w:val="21"/>
          <w:highlight w:val="none"/>
        </w:rPr>
        <w:t>）</w:t>
      </w:r>
    </w:p>
    <w:p>
      <w:pPr>
        <w:snapToGrid w:val="0"/>
        <w:spacing w:line="400" w:lineRule="exact"/>
        <w:rPr>
          <w:rFonts w:ascii="Arial" w:hAnsi="Arial" w:cs="Arial"/>
          <w:b/>
          <w:bCs/>
          <w:color w:val="auto"/>
          <w:szCs w:val="21"/>
          <w:highlight w:val="none"/>
        </w:rPr>
      </w:pPr>
      <w:r>
        <w:rPr>
          <w:rFonts w:ascii="Arial" w:hAnsi="Arial" w:cs="Arial"/>
          <w:b/>
          <w:bCs/>
          <w:color w:val="auto"/>
          <w:szCs w:val="21"/>
          <w:highlight w:val="none"/>
        </w:rPr>
        <w:t>附件1：本</w:t>
      </w:r>
      <w:bookmarkStart w:id="103" w:name="_Hlk137656809"/>
      <w:r>
        <w:rPr>
          <w:rFonts w:ascii="Arial" w:hAnsi="Arial" w:cs="Arial"/>
          <w:b/>
          <w:bCs/>
          <w:color w:val="auto"/>
          <w:szCs w:val="21"/>
          <w:highlight w:val="none"/>
        </w:rPr>
        <w:t>设备（系统）配置清单</w:t>
      </w:r>
      <w:bookmarkEnd w:id="103"/>
    </w:p>
    <w:tbl>
      <w:tblPr>
        <w:tblStyle w:val="53"/>
        <w:tblW w:w="0" w:type="auto"/>
        <w:tblInd w:w="-2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418"/>
        <w:gridCol w:w="2205"/>
        <w:gridCol w:w="810"/>
        <w:gridCol w:w="1020"/>
        <w:gridCol w:w="772"/>
        <w:gridCol w:w="1943"/>
        <w:gridCol w:w="8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部件编号</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名称</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highlight w:val="none"/>
              </w:rPr>
              <w:t>规格型号</w:t>
            </w: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单位</w:t>
            </w:r>
          </w:p>
        </w:tc>
        <w:tc>
          <w:tcPr>
            <w:tcW w:w="7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数量</w:t>
            </w:r>
          </w:p>
        </w:tc>
        <w:tc>
          <w:tcPr>
            <w:tcW w:w="19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分项价格（元）</w:t>
            </w:r>
          </w:p>
        </w:tc>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Arial" w:hAnsi="Arial" w:cs="Arial"/>
                <w:b/>
                <w:bCs/>
                <w:color w:val="auto"/>
                <w:szCs w:val="21"/>
                <w:highlight w:val="none"/>
              </w:rPr>
            </w:pPr>
            <w:r>
              <w:rPr>
                <w:rFonts w:ascii="Arial" w:hAnsi="Arial" w:cs="Arial"/>
                <w:b/>
                <w:bCs/>
                <w:color w:val="auto"/>
                <w:szCs w:val="21"/>
                <w:highlight w:val="none"/>
              </w:rPr>
              <w:t>1</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7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19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2" w:firstLineChars="200"/>
              <w:jc w:val="center"/>
              <w:rPr>
                <w:rFonts w:ascii="Arial" w:hAnsi="Arial" w:cs="Arial"/>
                <w:b/>
                <w:bCs/>
                <w:color w:val="auto"/>
                <w:szCs w:val="21"/>
                <w:highlight w:val="none"/>
              </w:rPr>
            </w:pPr>
          </w:p>
        </w:tc>
      </w:tr>
    </w:tbl>
    <w:p>
      <w:pPr>
        <w:spacing w:line="400" w:lineRule="exact"/>
        <w:rPr>
          <w:rFonts w:ascii="Arial" w:hAnsi="Arial" w:cs="Arial"/>
          <w:b/>
          <w:color w:val="auto"/>
          <w:szCs w:val="21"/>
          <w:highlight w:val="none"/>
        </w:rPr>
      </w:pPr>
      <w:r>
        <w:rPr>
          <w:rFonts w:ascii="Arial" w:hAnsi="Arial" w:cs="Arial"/>
          <w:b/>
          <w:color w:val="auto"/>
          <w:szCs w:val="21"/>
          <w:highlight w:val="none"/>
        </w:rPr>
        <w:t>附件</w:t>
      </w:r>
      <w:r>
        <w:rPr>
          <w:rFonts w:hint="eastAsia" w:ascii="Arial" w:hAnsi="Arial" w:cs="Arial"/>
          <w:b/>
          <w:color w:val="auto"/>
          <w:szCs w:val="21"/>
          <w:highlight w:val="none"/>
        </w:rPr>
        <w:t>2</w:t>
      </w:r>
      <w:r>
        <w:rPr>
          <w:rFonts w:ascii="Arial" w:hAnsi="Arial" w:cs="Arial"/>
          <w:b/>
          <w:color w:val="auto"/>
          <w:szCs w:val="21"/>
          <w:highlight w:val="none"/>
        </w:rPr>
        <w:t>：售后服务承诺书[</w:t>
      </w:r>
      <w:r>
        <w:rPr>
          <w:rFonts w:ascii="Arial" w:hAnsi="Arial" w:cs="Arial"/>
          <w:color w:val="auto"/>
          <w:kern w:val="0"/>
          <w:szCs w:val="21"/>
          <w:highlight w:val="none"/>
        </w:rPr>
        <w:t>原则上须有生产厂家或省级（含省级）以上代理商的盖章]</w:t>
      </w:r>
      <w:r>
        <w:rPr>
          <w:rFonts w:ascii="Arial" w:hAnsi="Arial" w:cs="Arial"/>
          <w:b/>
          <w:color w:val="auto"/>
          <w:szCs w:val="21"/>
          <w:highlight w:val="none"/>
        </w:rPr>
        <w:t>。</w:t>
      </w:r>
    </w:p>
    <w:p>
      <w:pPr>
        <w:snapToGrid w:val="0"/>
        <w:spacing w:line="400" w:lineRule="exact"/>
        <w:rPr>
          <w:rFonts w:ascii="Arial" w:hAnsi="Arial" w:cs="Arial"/>
          <w:strike/>
          <w:color w:val="auto"/>
          <w:sz w:val="24"/>
          <w:highlight w:val="none"/>
        </w:rPr>
      </w:pPr>
      <w:r>
        <w:rPr>
          <w:rFonts w:ascii="Arial" w:hAnsi="Arial" w:cs="Arial"/>
          <w:b/>
          <w:color w:val="auto"/>
          <w:szCs w:val="21"/>
          <w:highlight w:val="none"/>
        </w:rPr>
        <w:t>附件</w:t>
      </w:r>
      <w:r>
        <w:rPr>
          <w:rFonts w:hint="eastAsia" w:ascii="Arial" w:hAnsi="Arial" w:cs="Arial"/>
          <w:b/>
          <w:color w:val="auto"/>
          <w:szCs w:val="21"/>
          <w:highlight w:val="none"/>
        </w:rPr>
        <w:t>3</w:t>
      </w:r>
      <w:r>
        <w:rPr>
          <w:rFonts w:ascii="Arial" w:hAnsi="Arial" w:cs="Arial"/>
          <w:b/>
          <w:color w:val="auto"/>
          <w:szCs w:val="21"/>
          <w:highlight w:val="none"/>
        </w:rPr>
        <w:t>：供应商的营业执照、</w:t>
      </w:r>
      <w:r>
        <w:rPr>
          <w:rFonts w:hint="eastAsia" w:ascii="Arial" w:hAnsi="Arial" w:cs="Arial"/>
          <w:b/>
          <w:color w:val="auto"/>
          <w:szCs w:val="21"/>
          <w:highlight w:val="none"/>
        </w:rPr>
        <w:t>资质证书等材料</w:t>
      </w:r>
    </w:p>
    <w:p>
      <w:pPr>
        <w:spacing w:after="120"/>
        <w:rPr>
          <w:rFonts w:ascii="Arial" w:hAnsi="Arial" w:eastAsia="等线" w:cs="Arial"/>
          <w:color w:val="auto"/>
          <w:kern w:val="0"/>
          <w:sz w:val="20"/>
          <w:szCs w:val="20"/>
          <w:highlight w:val="none"/>
        </w:rPr>
      </w:pPr>
    </w:p>
    <w:tbl>
      <w:tblPr>
        <w:tblStyle w:val="5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4516" w:type="dxa"/>
            <w:vAlign w:val="center"/>
          </w:tcPr>
          <w:p>
            <w:pPr>
              <w:snapToGrid w:val="0"/>
              <w:spacing w:line="400" w:lineRule="exact"/>
              <w:rPr>
                <w:rFonts w:ascii="Arial" w:hAnsi="Arial" w:cs="Arial"/>
                <w:color w:val="auto"/>
                <w:szCs w:val="21"/>
                <w:highlight w:val="none"/>
              </w:rPr>
            </w:pPr>
            <w:r>
              <w:rPr>
                <w:rFonts w:ascii="Arial" w:hAnsi="Arial" w:cs="Arial"/>
                <w:color w:val="auto"/>
                <w:szCs w:val="21"/>
                <w:highlight w:val="none"/>
              </w:rPr>
              <w:t>甲方（章）</w:t>
            </w:r>
            <w:r>
              <w:rPr>
                <w:rFonts w:hint="eastAsia" w:ascii="Arial" w:hAnsi="Arial" w:cs="Arial"/>
                <w:color w:val="auto"/>
                <w:szCs w:val="21"/>
                <w:highlight w:val="none"/>
              </w:rPr>
              <w:t>：</w:t>
            </w:r>
            <w:r>
              <w:rPr>
                <w:rFonts w:ascii="Arial" w:hAnsi="Arial" w:cs="Arial"/>
                <w:color w:val="auto"/>
                <w:szCs w:val="21"/>
                <w:highlight w:val="none"/>
              </w:rPr>
              <w:t xml:space="preserve">桂林医学院附属医院 </w:t>
            </w:r>
          </w:p>
          <w:p>
            <w:pPr>
              <w:snapToGrid w:val="0"/>
              <w:spacing w:line="400" w:lineRule="exact"/>
              <w:rPr>
                <w:rFonts w:ascii="Arial" w:hAnsi="Arial" w:cs="Arial"/>
                <w:color w:val="auto"/>
                <w:szCs w:val="21"/>
                <w:highlight w:val="none"/>
              </w:rPr>
            </w:pPr>
            <w:r>
              <w:rPr>
                <w:rFonts w:ascii="Arial" w:hAnsi="Arial" w:cs="Arial"/>
                <w:color w:val="auto"/>
                <w:szCs w:val="21"/>
                <w:highlight w:val="none"/>
              </w:rPr>
              <w:t xml:space="preserve"> </w:t>
            </w:r>
          </w:p>
          <w:p>
            <w:pPr>
              <w:snapToGrid w:val="0"/>
              <w:spacing w:line="400" w:lineRule="exact"/>
              <w:ind w:firstLine="2310" w:firstLineChars="1100"/>
              <w:rPr>
                <w:rFonts w:ascii="Arial" w:hAnsi="Arial" w:cs="Arial"/>
                <w:color w:val="auto"/>
                <w:szCs w:val="21"/>
                <w:highlight w:val="none"/>
              </w:rPr>
            </w:pPr>
            <w:r>
              <w:rPr>
                <w:rFonts w:ascii="Arial" w:hAnsi="Arial" w:cs="Arial"/>
                <w:color w:val="auto"/>
                <w:szCs w:val="21"/>
                <w:highlight w:val="none"/>
              </w:rPr>
              <w:t xml:space="preserve"> 年    月    日</w:t>
            </w:r>
          </w:p>
        </w:tc>
        <w:tc>
          <w:tcPr>
            <w:tcW w:w="4592" w:type="dxa"/>
            <w:vAlign w:val="center"/>
          </w:tcPr>
          <w:p>
            <w:pPr>
              <w:snapToGrid w:val="0"/>
              <w:spacing w:line="400" w:lineRule="exact"/>
              <w:rPr>
                <w:rFonts w:ascii="Arial" w:hAnsi="Arial" w:cs="Arial"/>
                <w:color w:val="auto"/>
                <w:szCs w:val="21"/>
                <w:highlight w:val="none"/>
              </w:rPr>
            </w:pPr>
            <w:r>
              <w:rPr>
                <w:rFonts w:ascii="Arial" w:hAnsi="Arial" w:cs="Arial"/>
                <w:color w:val="auto"/>
                <w:szCs w:val="21"/>
                <w:highlight w:val="none"/>
              </w:rPr>
              <w:t>乙方（章）</w:t>
            </w:r>
            <w:r>
              <w:rPr>
                <w:rFonts w:hint="eastAsia" w:ascii="Arial" w:hAnsi="Arial" w:cs="Arial"/>
                <w:color w:val="auto"/>
                <w:szCs w:val="21"/>
                <w:highlight w:val="none"/>
              </w:rPr>
              <w:t>：</w:t>
            </w:r>
            <w:r>
              <w:rPr>
                <w:rFonts w:ascii="Arial" w:hAnsi="Arial" w:cs="Arial"/>
                <w:color w:val="auto"/>
                <w:szCs w:val="21"/>
                <w:highlight w:val="none"/>
              </w:rPr>
              <w:t xml:space="preserve">  </w:t>
            </w:r>
          </w:p>
          <w:p>
            <w:pPr>
              <w:snapToGrid w:val="0"/>
              <w:spacing w:line="400" w:lineRule="exact"/>
              <w:rPr>
                <w:rFonts w:ascii="Arial" w:hAnsi="Arial" w:cs="Arial"/>
                <w:color w:val="auto"/>
                <w:szCs w:val="21"/>
                <w:highlight w:val="none"/>
              </w:rPr>
            </w:pPr>
            <w:r>
              <w:rPr>
                <w:rFonts w:ascii="Arial" w:hAnsi="Arial" w:cs="Arial"/>
                <w:color w:val="auto"/>
                <w:szCs w:val="21"/>
                <w:highlight w:val="none"/>
              </w:rPr>
              <w:t xml:space="preserve">   </w:t>
            </w:r>
          </w:p>
          <w:p>
            <w:pPr>
              <w:snapToGrid w:val="0"/>
              <w:spacing w:line="400" w:lineRule="exact"/>
              <w:ind w:firstLine="2520" w:firstLineChars="1200"/>
              <w:rPr>
                <w:rFonts w:ascii="Arial" w:hAnsi="Arial" w:cs="Arial"/>
                <w:color w:val="auto"/>
                <w:szCs w:val="21"/>
                <w:highlight w:val="none"/>
              </w:rPr>
            </w:pPr>
            <w:r>
              <w:rPr>
                <w:rFonts w:ascii="Arial" w:hAnsi="Arial" w:cs="Arial"/>
                <w:color w:val="auto"/>
                <w:szCs w:val="21"/>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单位地址：桂林市秀峰区乐群路15号</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法定代表人：</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委托代理人：</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电话：0773-2802050招标办</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电子邮箱：</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开户银行：</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账号：</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邮政编码：</w:t>
            </w:r>
          </w:p>
        </w:tc>
        <w:tc>
          <w:tcPr>
            <w:tcW w:w="4592" w:type="dxa"/>
            <w:vAlign w:val="center"/>
          </w:tcPr>
          <w:p>
            <w:pPr>
              <w:snapToGrid w:val="0"/>
              <w:spacing w:before="120" w:beforeLines="50" w:after="120" w:afterLines="50"/>
              <w:rPr>
                <w:rFonts w:ascii="Arial" w:hAnsi="Arial" w:cs="Arial"/>
                <w:color w:val="auto"/>
                <w:szCs w:val="21"/>
                <w:highlight w:val="none"/>
              </w:rPr>
            </w:pPr>
            <w:r>
              <w:rPr>
                <w:rFonts w:ascii="Arial" w:hAnsi="Arial" w:cs="Arial"/>
                <w:color w:val="auto"/>
                <w:szCs w:val="21"/>
                <w:highlight w:val="none"/>
              </w:rPr>
              <w:t>邮政编码：</w:t>
            </w:r>
          </w:p>
        </w:tc>
      </w:tr>
    </w:tbl>
    <w:p>
      <w:pPr>
        <w:rPr>
          <w:rFonts w:ascii="Arial" w:hAnsi="Arial" w:cs="Arial"/>
          <w:color w:val="auto"/>
          <w:highlight w:val="none"/>
        </w:rPr>
      </w:pPr>
    </w:p>
    <w:p>
      <w:pPr>
        <w:spacing w:line="400" w:lineRule="exact"/>
        <w:jc w:val="center"/>
        <w:rPr>
          <w:rFonts w:ascii="Arial" w:hAnsi="Arial" w:cs="Arial"/>
          <w:b/>
          <w:color w:val="auto"/>
          <w:sz w:val="36"/>
          <w:szCs w:val="36"/>
          <w:highlight w:val="none"/>
        </w:rPr>
      </w:pPr>
      <w:r>
        <w:rPr>
          <w:rFonts w:ascii="Arial" w:hAnsi="Arial" w:cs="Arial"/>
          <w:b/>
          <w:color w:val="auto"/>
          <w:szCs w:val="21"/>
          <w:highlight w:val="none"/>
        </w:rPr>
        <w:br w:type="page"/>
      </w:r>
      <w:r>
        <w:rPr>
          <w:rFonts w:ascii="Arial" w:hAnsi="Arial" w:cs="Arial"/>
          <w:b/>
          <w:color w:val="auto"/>
          <w:sz w:val="36"/>
          <w:szCs w:val="36"/>
          <w:highlight w:val="none"/>
        </w:rPr>
        <w:t>医疗卫生机构医药产品廉洁购销合同</w:t>
      </w:r>
    </w:p>
    <w:p>
      <w:pPr>
        <w:spacing w:line="400" w:lineRule="exact"/>
        <w:rPr>
          <w:rFonts w:ascii="Arial" w:hAnsi="Arial" w:cs="Arial"/>
          <w:b/>
          <w:color w:val="auto"/>
          <w:sz w:val="24"/>
          <w:highlight w:val="none"/>
        </w:rPr>
      </w:pPr>
    </w:p>
    <w:p>
      <w:pPr>
        <w:spacing w:line="400" w:lineRule="exact"/>
        <w:rPr>
          <w:rFonts w:ascii="Arial" w:hAnsi="Arial" w:cs="Arial"/>
          <w:b/>
          <w:color w:val="auto"/>
          <w:szCs w:val="21"/>
          <w:highlight w:val="none"/>
        </w:rPr>
      </w:pPr>
      <w:r>
        <w:rPr>
          <w:rFonts w:ascii="Arial" w:hAnsi="Arial" w:cs="Arial"/>
          <w:b/>
          <w:color w:val="auto"/>
          <w:szCs w:val="21"/>
          <w:highlight w:val="none"/>
        </w:rPr>
        <w:t>甲方（医疗卫生机构）：桂林医学院附属医院</w:t>
      </w:r>
    </w:p>
    <w:p>
      <w:pPr>
        <w:spacing w:line="400" w:lineRule="exact"/>
        <w:rPr>
          <w:rFonts w:ascii="Arial" w:hAnsi="Arial" w:cs="Arial"/>
          <w:b/>
          <w:color w:val="auto"/>
          <w:szCs w:val="21"/>
          <w:highlight w:val="none"/>
        </w:rPr>
      </w:pPr>
      <w:r>
        <w:rPr>
          <w:rFonts w:ascii="Arial" w:hAnsi="Arial" w:cs="Arial"/>
          <w:b/>
          <w:color w:val="auto"/>
          <w:szCs w:val="21"/>
          <w:highlight w:val="none"/>
        </w:rPr>
        <w:t>乙方（医药生产经营企业及其代理人）：</w:t>
      </w:r>
    </w:p>
    <w:p>
      <w:pPr>
        <w:spacing w:line="400" w:lineRule="exact"/>
        <w:ind w:firstLine="420" w:firstLineChars="200"/>
        <w:rPr>
          <w:rFonts w:ascii="Arial" w:hAnsi="Arial" w:cs="Arial"/>
          <w:color w:val="auto"/>
          <w:szCs w:val="21"/>
          <w:highlight w:val="none"/>
        </w:rPr>
      </w:pPr>
      <w:r>
        <w:rPr>
          <w:rFonts w:ascii="Arial" w:hAnsi="Arial" w:cs="Arial"/>
          <w:color w:val="auto"/>
          <w:szCs w:val="21"/>
          <w:highlight w:val="none"/>
        </w:rPr>
        <w:t>为进一步加强医疗卫生行风建设，规范医疗卫生机构医药购销行为，有效防范商业贿赂行为，营造公平交易、诚实守信的购销环境，经甲、乙双方协商，同意签订本合同，并共同遵守：</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一、甲乙双方按照《</w:t>
      </w:r>
      <w:r>
        <w:rPr>
          <w:rFonts w:hint="eastAsia" w:ascii="Arial" w:hAnsi="Arial" w:cs="Arial"/>
          <w:color w:val="auto"/>
          <w:szCs w:val="21"/>
          <w:highlight w:val="none"/>
        </w:rPr>
        <w:t>中华人民共和国民法典》</w:t>
      </w:r>
      <w:r>
        <w:rPr>
          <w:rFonts w:ascii="Arial" w:hAnsi="Arial" w:cs="Arial"/>
          <w:color w:val="auto"/>
          <w:szCs w:val="21"/>
          <w:highlight w:val="none"/>
        </w:rPr>
        <w:t>及医药产品购销合同约定购销药品、医用设备、医用耗材试剂等医药产品。</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二、甲方应当严格执行医药产品购销合同验收、入库制度，对采购医药产品及发票进行查验，不得违反有关规定合同外采购、违价采购或从非规定渠道采购。</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四、严禁甲方工作人员利用任何途径和方式，为乙方统计医师个人及临床科室有关医药产品用量信息，或为乙方统计提供便利。</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五、乙方不得以回扣、宴请等方式影响甲方工作人员采购或使用医药产品的选择权，不得在学术活动中提供旅游、超标准支付食宿费用。</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六、乙方指定</w:t>
      </w:r>
      <w:r>
        <w:rPr>
          <w:rFonts w:ascii="Arial" w:hAnsi="Arial" w:cs="Arial"/>
          <w:color w:val="auto"/>
          <w:szCs w:val="21"/>
          <w:highlight w:val="none"/>
          <w:u w:val="single"/>
        </w:rPr>
        <w:t xml:space="preserve">                  </w:t>
      </w:r>
      <w:r>
        <w:rPr>
          <w:rFonts w:ascii="Arial" w:hAnsi="Arial" w:cs="Arial"/>
          <w:color w:val="auto"/>
          <w:szCs w:val="21"/>
          <w:highlight w:val="none"/>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七、乙方如违反本合同，一经发现，甲方有权终止购销合同，并向有关卫生计生行政部门报告。如乙方被列入商业贿赂不良记录，则按照《国家卫生计生委关于建立医药购销领域商业贿赂不良记录的规定》（国卫法制发[2013]50号）相关规定处理。</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八、本合同作为医药产品购销合同的重要组成部分，与购销合同一并执行，具有同等的法律效力。</w:t>
      </w:r>
    </w:p>
    <w:p>
      <w:pPr>
        <w:spacing w:line="400" w:lineRule="exact"/>
        <w:ind w:firstLine="430" w:firstLineChars="205"/>
        <w:rPr>
          <w:rFonts w:ascii="Arial" w:hAnsi="Arial" w:cs="Arial"/>
          <w:color w:val="auto"/>
          <w:szCs w:val="21"/>
          <w:highlight w:val="none"/>
        </w:rPr>
      </w:pPr>
      <w:r>
        <w:rPr>
          <w:rFonts w:ascii="Arial" w:hAnsi="Arial" w:cs="Arial"/>
          <w:color w:val="auto"/>
          <w:szCs w:val="21"/>
          <w:highlight w:val="none"/>
        </w:rPr>
        <w:t>九、本合同一式七份，甲方执伍份，乙方执一份，代理机构执一份，并从签订之日起生效。</w:t>
      </w:r>
    </w:p>
    <w:p>
      <w:pPr>
        <w:spacing w:line="400" w:lineRule="exact"/>
        <w:rPr>
          <w:rFonts w:ascii="Arial" w:hAnsi="Arial" w:cs="Arial"/>
          <w:b/>
          <w:color w:val="auto"/>
          <w:szCs w:val="21"/>
          <w:highlight w:val="none"/>
        </w:rPr>
      </w:pPr>
      <w:r>
        <w:rPr>
          <w:rFonts w:ascii="Arial" w:hAnsi="Arial" w:cs="Arial"/>
          <w:b/>
          <w:color w:val="auto"/>
          <w:szCs w:val="21"/>
          <w:highlight w:val="none"/>
        </w:rPr>
        <w:t>甲方（盖章）：桂林医学院附属医院                         乙方（盖章）：</w:t>
      </w:r>
    </w:p>
    <w:p>
      <w:pPr>
        <w:spacing w:line="400" w:lineRule="exact"/>
        <w:rPr>
          <w:rFonts w:ascii="Arial" w:hAnsi="Arial" w:cs="Arial"/>
          <w:b/>
          <w:color w:val="auto"/>
          <w:szCs w:val="21"/>
          <w:highlight w:val="none"/>
        </w:rPr>
      </w:pPr>
      <w:r>
        <w:rPr>
          <w:rFonts w:ascii="Arial" w:hAnsi="Arial" w:cs="Arial"/>
          <w:b/>
          <w:color w:val="auto"/>
          <w:szCs w:val="21"/>
          <w:highlight w:val="none"/>
        </w:rPr>
        <w:t>法定代表人（负责人）：                                   法定代表人（负责人）：</w:t>
      </w:r>
    </w:p>
    <w:p>
      <w:pPr>
        <w:spacing w:line="400" w:lineRule="exact"/>
        <w:rPr>
          <w:rFonts w:ascii="Arial" w:hAnsi="Arial" w:cs="Arial"/>
          <w:b/>
          <w:color w:val="auto"/>
          <w:szCs w:val="21"/>
          <w:highlight w:val="none"/>
          <w:u w:val="single"/>
        </w:rPr>
      </w:pPr>
      <w:r>
        <w:rPr>
          <w:rFonts w:ascii="Arial" w:hAnsi="Arial" w:cs="Arial"/>
          <w:b/>
          <w:color w:val="auto"/>
          <w:szCs w:val="21"/>
          <w:highlight w:val="none"/>
        </w:rPr>
        <w:t xml:space="preserve">经办人签名：  </w:t>
      </w:r>
      <w:r>
        <w:rPr>
          <w:rFonts w:hint="eastAsia" w:ascii="Arial" w:hAnsi="Arial" w:cs="Arial"/>
          <w:b/>
          <w:color w:val="auto"/>
          <w:szCs w:val="21"/>
          <w:highlight w:val="none"/>
        </w:rPr>
        <w:t xml:space="preserve">                                           </w:t>
      </w:r>
      <w:r>
        <w:rPr>
          <w:rFonts w:ascii="Arial" w:hAnsi="Arial" w:cs="Arial"/>
          <w:b/>
          <w:color w:val="auto"/>
          <w:szCs w:val="21"/>
          <w:highlight w:val="none"/>
        </w:rPr>
        <w:t>经办人签名：</w:t>
      </w:r>
    </w:p>
    <w:p>
      <w:pPr>
        <w:spacing w:line="400" w:lineRule="exact"/>
        <w:rPr>
          <w:rFonts w:ascii="Arial" w:hAnsi="Arial" w:cs="Arial"/>
          <w:b/>
          <w:color w:val="auto"/>
          <w:szCs w:val="21"/>
          <w:highlight w:val="none"/>
        </w:rPr>
      </w:pPr>
      <w:r>
        <w:rPr>
          <w:rFonts w:ascii="Arial" w:hAnsi="Arial" w:cs="Arial"/>
          <w:b/>
          <w:color w:val="auto"/>
          <w:szCs w:val="21"/>
          <w:highlight w:val="none"/>
        </w:rPr>
        <w:t>年   月   日</w:t>
      </w:r>
      <w:r>
        <w:rPr>
          <w:rFonts w:hint="eastAsia" w:ascii="Arial" w:hAnsi="Arial" w:cs="Arial"/>
          <w:b/>
          <w:color w:val="auto"/>
          <w:szCs w:val="21"/>
          <w:highlight w:val="none"/>
        </w:rPr>
        <w:t xml:space="preserve">                       </w:t>
      </w:r>
      <w:r>
        <w:rPr>
          <w:rFonts w:ascii="Arial" w:hAnsi="Arial" w:cs="Arial"/>
          <w:b/>
          <w:color w:val="auto"/>
          <w:szCs w:val="21"/>
          <w:highlight w:val="none"/>
        </w:rPr>
        <w:t xml:space="preserve">   </w:t>
      </w:r>
      <w:r>
        <w:rPr>
          <w:rFonts w:hint="eastAsia" w:ascii="Arial" w:hAnsi="Arial" w:cs="Arial"/>
          <w:b/>
          <w:color w:val="auto"/>
          <w:szCs w:val="21"/>
          <w:highlight w:val="none"/>
        </w:rPr>
        <w:t xml:space="preserve">                  </w:t>
      </w:r>
      <w:r>
        <w:rPr>
          <w:rFonts w:ascii="Arial" w:hAnsi="Arial" w:cs="Arial"/>
          <w:b/>
          <w:color w:val="auto"/>
          <w:szCs w:val="21"/>
          <w:highlight w:val="none"/>
        </w:rPr>
        <w:t xml:space="preserve"> 年   月   日</w:t>
      </w:r>
    </w:p>
    <w:p>
      <w:pPr>
        <w:snapToGrid w:val="0"/>
        <w:spacing w:line="360" w:lineRule="auto"/>
        <w:jc w:val="left"/>
        <w:rPr>
          <w:rFonts w:ascii="Arial" w:hAnsi="Arial" w:cs="Arial"/>
          <w:b/>
          <w:color w:val="auto"/>
          <w:sz w:val="36"/>
          <w:szCs w:val="36"/>
          <w:highlight w:val="none"/>
        </w:rPr>
      </w:pPr>
    </w:p>
    <w:p>
      <w:pPr>
        <w:rPr>
          <w:rFonts w:ascii="Arial" w:hAnsi="Arial" w:cs="Arial"/>
          <w:color w:val="auto"/>
          <w:highlight w:val="none"/>
        </w:rPr>
      </w:pPr>
    </w:p>
    <w:p>
      <w:pPr>
        <w:widowControl/>
        <w:jc w:val="left"/>
        <w:rPr>
          <w:rFonts w:ascii="Arial" w:hAnsi="Arial" w:eastAsia="仿宋" w:cs="Arial"/>
          <w:color w:val="auto"/>
          <w:szCs w:val="21"/>
          <w:highlight w:val="none"/>
          <w:u w:val="single"/>
        </w:rPr>
      </w:pPr>
    </w:p>
    <w:p>
      <w:pPr>
        <w:widowControl/>
        <w:jc w:val="left"/>
        <w:rPr>
          <w:rFonts w:ascii="Arial" w:hAnsi="Arial" w:cs="Arial"/>
          <w:b/>
          <w:bCs/>
          <w:color w:val="auto"/>
          <w:szCs w:val="21"/>
          <w:highlight w:val="none"/>
        </w:rPr>
      </w:pPr>
      <w:r>
        <w:rPr>
          <w:rFonts w:ascii="Arial" w:hAnsi="Arial" w:cs="Arial"/>
          <w:color w:val="auto"/>
          <w:highlight w:val="none"/>
        </w:rPr>
        <w:br w:type="page"/>
      </w:r>
      <w:bookmarkStart w:id="104" w:name="_Hlk77607667"/>
    </w:p>
    <w:bookmarkEnd w:id="104"/>
    <w:p>
      <w:pPr>
        <w:pStyle w:val="22"/>
        <w:ind w:firstLine="0" w:firstLineChars="0"/>
        <w:rPr>
          <w:rFonts w:ascii="Arial" w:hAnsi="Arial" w:eastAsia="宋体" w:cs="Arial"/>
          <w:color w:val="auto"/>
          <w:highlight w:val="none"/>
        </w:rPr>
      </w:pPr>
    </w:p>
    <w:p>
      <w:pPr>
        <w:pStyle w:val="28"/>
        <w:snapToGrid w:val="0"/>
        <w:spacing w:before="120" w:after="120" w:line="320" w:lineRule="exact"/>
        <w:jc w:val="center"/>
        <w:outlineLvl w:val="0"/>
        <w:rPr>
          <w:rFonts w:ascii="Arial" w:hAnsi="Arial" w:cs="Arial"/>
          <w:color w:val="auto"/>
          <w:sz w:val="32"/>
          <w:szCs w:val="32"/>
          <w:highlight w:val="none"/>
        </w:rPr>
      </w:pPr>
      <w:bookmarkStart w:id="105" w:name="_Toc21747"/>
      <w:r>
        <w:rPr>
          <w:rFonts w:ascii="Arial" w:hAnsi="Arial" w:cs="Arial"/>
          <w:color w:val="auto"/>
          <w:sz w:val="32"/>
          <w:szCs w:val="32"/>
          <w:highlight w:val="none"/>
        </w:rPr>
        <w:t>第六章  投标文件格式</w:t>
      </w:r>
      <w:bookmarkEnd w:id="105"/>
    </w:p>
    <w:p>
      <w:pPr>
        <w:rPr>
          <w:rFonts w:ascii="Arial" w:hAnsi="Arial" w:cs="Arial"/>
          <w:color w:val="auto"/>
          <w:sz w:val="28"/>
          <w:szCs w:val="28"/>
          <w:highlight w:val="none"/>
        </w:rPr>
      </w:pPr>
    </w:p>
    <w:p>
      <w:pPr>
        <w:rPr>
          <w:rFonts w:ascii="Arial" w:hAnsi="Arial" w:cs="Arial"/>
          <w:color w:val="auto"/>
          <w:sz w:val="28"/>
          <w:szCs w:val="28"/>
          <w:highlight w:val="none"/>
        </w:rPr>
      </w:pPr>
    </w:p>
    <w:p>
      <w:pPr>
        <w:spacing w:line="500" w:lineRule="exact"/>
        <w:ind w:firstLine="560" w:firstLineChars="200"/>
        <w:rPr>
          <w:rFonts w:ascii="Arial" w:hAnsi="Arial" w:cs="Arial"/>
          <w:color w:val="auto"/>
          <w:sz w:val="28"/>
          <w:szCs w:val="28"/>
          <w:highlight w:val="none"/>
        </w:rPr>
      </w:pPr>
      <w:bookmarkStart w:id="106" w:name="_Hlk19114175"/>
      <w:r>
        <w:rPr>
          <w:rFonts w:ascii="Arial" w:hAnsi="Arial" w:cs="Arial"/>
          <w:color w:val="auto"/>
          <w:sz w:val="28"/>
          <w:szCs w:val="28"/>
          <w:highlight w:val="none"/>
        </w:rPr>
        <w:t>注：本章标注“必须提供”的，应按要求必须提供；有签字、盖章要求的应按要求签字、盖章。未标注“必须提供”的，供应商可自行决定是否提供。</w:t>
      </w:r>
    </w:p>
    <w:bookmarkEnd w:id="106"/>
    <w:p>
      <w:pPr>
        <w:spacing w:line="500" w:lineRule="exact"/>
        <w:ind w:firstLine="480" w:firstLineChars="200"/>
        <w:rPr>
          <w:rFonts w:ascii="Arial" w:hAnsi="Arial" w:cs="Arial"/>
          <w:color w:val="auto"/>
          <w:sz w:val="24"/>
          <w:highlight w:val="none"/>
        </w:rPr>
      </w:pPr>
    </w:p>
    <w:p>
      <w:pPr>
        <w:spacing w:line="500" w:lineRule="exact"/>
        <w:ind w:firstLine="480" w:firstLineChars="200"/>
        <w:rPr>
          <w:rFonts w:ascii="Arial" w:hAnsi="Arial" w:cs="Arial"/>
          <w:bCs/>
          <w:color w:val="auto"/>
          <w:sz w:val="24"/>
          <w:highlight w:val="none"/>
        </w:rPr>
      </w:pPr>
      <w:r>
        <w:rPr>
          <w:rFonts w:ascii="Arial" w:hAnsi="Arial" w:cs="Arial"/>
          <w:color w:val="auto"/>
          <w:sz w:val="24"/>
          <w:highlight w:val="none"/>
        </w:rPr>
        <w:br w:type="page"/>
      </w:r>
      <w:bookmarkEnd w:id="0"/>
      <w:bookmarkEnd w:id="1"/>
      <w:r>
        <w:rPr>
          <w:rFonts w:ascii="Arial" w:hAnsi="Arial" w:cs="Arial"/>
          <w:bCs/>
          <w:color w:val="auto"/>
          <w:sz w:val="24"/>
          <w:highlight w:val="none"/>
        </w:rPr>
        <w:t>一、投标文件第1个密封袋的包装封面参考格式：</w:t>
      </w:r>
    </w:p>
    <w:p>
      <w:pPr>
        <w:rPr>
          <w:rFonts w:ascii="Arial" w:hAnsi="Arial" w:cs="Arial"/>
          <w:color w:val="auto"/>
          <w:highlight w:val="none"/>
        </w:rPr>
      </w:pPr>
    </w:p>
    <w:p>
      <w:pPr>
        <w:snapToGrid w:val="0"/>
        <w:spacing w:before="120" w:beforeLines="50" w:after="50" w:line="440" w:lineRule="exact"/>
        <w:jc w:val="center"/>
        <w:rPr>
          <w:rFonts w:ascii="Arial" w:hAnsi="Arial" w:cs="Arial"/>
          <w:bCs/>
          <w:color w:val="auto"/>
          <w:sz w:val="24"/>
          <w:highlight w:val="none"/>
        </w:rPr>
      </w:pPr>
    </w:p>
    <w:p>
      <w:pPr>
        <w:snapToGrid w:val="0"/>
        <w:spacing w:before="120" w:beforeLines="50" w:after="50" w:line="440" w:lineRule="exact"/>
        <w:jc w:val="center"/>
        <w:rPr>
          <w:rFonts w:ascii="Arial" w:hAnsi="Arial" w:cs="Arial"/>
          <w:b/>
          <w:bCs/>
          <w:color w:val="auto"/>
          <w:sz w:val="44"/>
          <w:szCs w:val="44"/>
          <w:highlight w:val="none"/>
        </w:rPr>
      </w:pPr>
      <w:r>
        <w:rPr>
          <w:rFonts w:ascii="Arial" w:hAnsi="Arial" w:cs="Arial"/>
          <w:b/>
          <w:bCs/>
          <w:color w:val="auto"/>
          <w:sz w:val="44"/>
          <w:szCs w:val="44"/>
          <w:highlight w:val="none"/>
        </w:rPr>
        <w:t>投 标 文 件</w:t>
      </w:r>
    </w:p>
    <w:p>
      <w:pPr>
        <w:snapToGrid w:val="0"/>
        <w:spacing w:before="120" w:beforeLines="50" w:after="50" w:line="440" w:lineRule="exact"/>
        <w:rPr>
          <w:rFonts w:ascii="Arial" w:hAnsi="Arial" w:cs="Arial"/>
          <w:bCs/>
          <w:color w:val="auto"/>
          <w:sz w:val="24"/>
          <w:highlight w:val="none"/>
        </w:rPr>
      </w:pPr>
    </w:p>
    <w:p>
      <w:pPr>
        <w:snapToGrid w:val="0"/>
        <w:spacing w:before="120" w:beforeLines="50" w:after="50" w:line="440" w:lineRule="exact"/>
        <w:ind w:firstLine="720" w:firstLineChars="300"/>
        <w:rPr>
          <w:rFonts w:ascii="Arial" w:hAnsi="Arial" w:cs="Arial"/>
          <w:bCs/>
          <w:color w:val="auto"/>
          <w:sz w:val="24"/>
          <w:highlight w:val="none"/>
        </w:rPr>
      </w:pPr>
      <w:r>
        <w:rPr>
          <w:rFonts w:ascii="Arial" w:hAnsi="Arial" w:cs="Arial"/>
          <w:bCs/>
          <w:color w:val="auto"/>
          <w:sz w:val="24"/>
          <w:highlight w:val="none"/>
        </w:rPr>
        <w:t xml:space="preserve">项目名称： </w:t>
      </w:r>
    </w:p>
    <w:p>
      <w:pPr>
        <w:snapToGrid w:val="0"/>
        <w:spacing w:before="120" w:beforeLines="50" w:after="50" w:line="440" w:lineRule="exact"/>
        <w:ind w:firstLine="720" w:firstLineChars="300"/>
        <w:rPr>
          <w:rFonts w:ascii="Arial" w:hAnsi="Arial" w:cs="Arial"/>
          <w:bCs/>
          <w:color w:val="auto"/>
          <w:sz w:val="24"/>
          <w:highlight w:val="none"/>
        </w:rPr>
      </w:pPr>
      <w:r>
        <w:rPr>
          <w:rFonts w:ascii="Arial" w:hAnsi="Arial" w:cs="Arial"/>
          <w:bCs/>
          <w:color w:val="auto"/>
          <w:sz w:val="24"/>
          <w:highlight w:val="none"/>
        </w:rPr>
        <w:t xml:space="preserve">项目编号： </w:t>
      </w:r>
    </w:p>
    <w:p>
      <w:pPr>
        <w:snapToGrid w:val="0"/>
        <w:spacing w:before="120" w:beforeLines="50" w:after="50" w:line="440" w:lineRule="exact"/>
        <w:ind w:firstLine="720" w:firstLineChars="300"/>
        <w:rPr>
          <w:rFonts w:ascii="Arial" w:hAnsi="Arial" w:cs="Arial"/>
          <w:bCs/>
          <w:color w:val="auto"/>
          <w:sz w:val="24"/>
          <w:highlight w:val="none"/>
        </w:rPr>
      </w:pPr>
      <w:r>
        <w:rPr>
          <w:rFonts w:ascii="Arial" w:hAnsi="Arial" w:cs="Arial"/>
          <w:bCs/>
          <w:color w:val="auto"/>
          <w:sz w:val="24"/>
          <w:highlight w:val="none"/>
        </w:rPr>
        <w:t>分标号：（若无留空或写“/”）</w:t>
      </w:r>
    </w:p>
    <w:p>
      <w:pPr>
        <w:pStyle w:val="7"/>
        <w:snapToGrid w:val="0"/>
        <w:spacing w:before="50" w:after="50" w:line="440" w:lineRule="exact"/>
        <w:ind w:left="718" w:leftChars="342" w:firstLine="0"/>
        <w:rPr>
          <w:rFonts w:ascii="Arial" w:hAnsi="Arial" w:cs="Arial"/>
          <w:bCs/>
          <w:color w:val="auto"/>
          <w:sz w:val="24"/>
          <w:highlight w:val="none"/>
        </w:rPr>
      </w:pPr>
      <w:r>
        <w:rPr>
          <w:rFonts w:ascii="Arial" w:hAnsi="Arial" w:cs="Arial"/>
          <w:bCs/>
          <w:color w:val="auto"/>
          <w:sz w:val="24"/>
          <w:szCs w:val="24"/>
          <w:highlight w:val="none"/>
        </w:rPr>
        <w:t>投标文件名称：第一册</w:t>
      </w:r>
      <w:r>
        <w:rPr>
          <w:rFonts w:ascii="Arial" w:hAnsi="Arial" w:cs="Arial"/>
          <w:bCs/>
          <w:color w:val="auto"/>
          <w:sz w:val="24"/>
          <w:highlight w:val="none"/>
        </w:rPr>
        <w:t>资格审查文件、第二册</w:t>
      </w:r>
      <w:r>
        <w:rPr>
          <w:rFonts w:ascii="Arial" w:hAnsi="Arial" w:cs="Arial"/>
          <w:bCs/>
          <w:color w:val="auto"/>
          <w:sz w:val="24"/>
          <w:szCs w:val="24"/>
          <w:highlight w:val="none"/>
        </w:rPr>
        <w:t>商务技术报价文件</w:t>
      </w:r>
    </w:p>
    <w:p>
      <w:pPr>
        <w:pStyle w:val="22"/>
        <w:ind w:left="559" w:leftChars="133" w:hanging="280" w:hangingChars="100"/>
        <w:rPr>
          <w:rFonts w:ascii="Arial" w:hAnsi="Arial" w:eastAsia="宋体" w:cs="Arial"/>
          <w:bCs/>
          <w:color w:val="auto"/>
          <w:sz w:val="28"/>
          <w:szCs w:val="28"/>
          <w:highlight w:val="none"/>
        </w:rPr>
      </w:pPr>
      <w:bookmarkStart w:id="107" w:name="_Toc4932_WPSOffice_Level2"/>
      <w:bookmarkStart w:id="108" w:name="_Toc20319_WPSOffice_Level2"/>
    </w:p>
    <w:p>
      <w:pPr>
        <w:pStyle w:val="22"/>
        <w:ind w:left="559" w:leftChars="133" w:hanging="280" w:hangingChars="100"/>
        <w:rPr>
          <w:rFonts w:ascii="Arial" w:hAnsi="Arial" w:eastAsia="宋体" w:cs="Arial"/>
          <w:bCs/>
          <w:color w:val="auto"/>
          <w:sz w:val="28"/>
          <w:szCs w:val="28"/>
          <w:highlight w:val="none"/>
        </w:rPr>
      </w:pPr>
    </w:p>
    <w:p>
      <w:pPr>
        <w:pStyle w:val="22"/>
        <w:ind w:left="559" w:leftChars="133" w:hanging="280" w:hangingChars="100"/>
        <w:rPr>
          <w:rFonts w:ascii="Arial" w:hAnsi="Arial" w:eastAsia="宋体" w:cs="Arial"/>
          <w:bCs/>
          <w:color w:val="auto"/>
          <w:sz w:val="28"/>
          <w:szCs w:val="28"/>
          <w:highlight w:val="none"/>
        </w:rPr>
      </w:pPr>
    </w:p>
    <w:bookmarkEnd w:id="107"/>
    <w:bookmarkEnd w:id="108"/>
    <w:p>
      <w:pPr>
        <w:pStyle w:val="22"/>
        <w:spacing w:line="360" w:lineRule="auto"/>
        <w:ind w:firstLine="480" w:firstLineChars="200"/>
        <w:rPr>
          <w:rFonts w:ascii="Arial" w:hAnsi="Arial" w:eastAsia="宋体" w:cs="Arial"/>
          <w:bCs/>
          <w:color w:val="auto"/>
          <w:sz w:val="28"/>
          <w:szCs w:val="28"/>
          <w:highlight w:val="none"/>
        </w:rPr>
      </w:pPr>
      <w:r>
        <w:rPr>
          <w:rFonts w:ascii="Arial" w:hAnsi="Arial" w:eastAsia="宋体" w:cs="Arial"/>
          <w:bCs/>
          <w:color w:val="auto"/>
          <w:sz w:val="24"/>
          <w:szCs w:val="24"/>
          <w:highlight w:val="none"/>
        </w:rPr>
        <w:t>供应商[公章(CA签章)]</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pStyle w:val="22"/>
        <w:spacing w:line="360" w:lineRule="auto"/>
        <w:ind w:left="519" w:leftChars="247" w:firstLine="0" w:firstLineChars="0"/>
        <w:rPr>
          <w:rFonts w:ascii="Arial" w:hAnsi="Arial" w:eastAsia="宋体" w:cs="Arial"/>
          <w:color w:val="auto"/>
          <w:sz w:val="28"/>
          <w:szCs w:val="28"/>
          <w:highlight w:val="none"/>
          <w:u w:val="single"/>
        </w:rPr>
      </w:pPr>
      <w:r>
        <w:rPr>
          <w:rFonts w:ascii="Arial" w:hAnsi="Arial" w:eastAsia="宋体" w:cs="Arial"/>
          <w:bCs/>
          <w:color w:val="auto"/>
          <w:sz w:val="24"/>
          <w:szCs w:val="24"/>
          <w:highlight w:val="none"/>
        </w:rPr>
        <w:t>法定代表人或相应的委托代理人签字[或盖章(CA签章)]</w:t>
      </w:r>
      <w:r>
        <w:rPr>
          <w:rFonts w:ascii="Arial" w:hAnsi="Arial" w:eastAsia="宋体" w:cs="Arial"/>
          <w:color w:val="auto"/>
          <w:sz w:val="28"/>
          <w:szCs w:val="28"/>
          <w:highlight w:val="none"/>
        </w:rPr>
        <w:t>：</w:t>
      </w:r>
      <w:r>
        <w:rPr>
          <w:rFonts w:ascii="Arial" w:hAnsi="Arial" w:eastAsia="宋体" w:cs="Arial"/>
          <w:color w:val="auto"/>
          <w:sz w:val="28"/>
          <w:szCs w:val="28"/>
          <w:highlight w:val="none"/>
          <w:u w:val="single"/>
        </w:rPr>
        <w:t xml:space="preserve">              </w:t>
      </w:r>
    </w:p>
    <w:p>
      <w:pPr>
        <w:pStyle w:val="22"/>
        <w:spacing w:line="360" w:lineRule="auto"/>
        <w:ind w:left="479" w:leftChars="228" w:firstLine="0" w:firstLineChars="0"/>
        <w:rPr>
          <w:rFonts w:ascii="Arial" w:hAnsi="Arial" w:eastAsia="宋体" w:cs="Arial"/>
          <w:bCs/>
          <w:color w:val="auto"/>
          <w:sz w:val="28"/>
          <w:szCs w:val="28"/>
          <w:highlight w:val="none"/>
          <w:u w:val="single"/>
        </w:rPr>
      </w:pPr>
      <w:r>
        <w:rPr>
          <w:rFonts w:ascii="Arial" w:hAnsi="Arial" w:eastAsia="宋体" w:cs="Arial"/>
          <w:bCs/>
          <w:color w:val="auto"/>
          <w:sz w:val="24"/>
          <w:szCs w:val="24"/>
          <w:highlight w:val="none"/>
        </w:rPr>
        <w:t>联系电话</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pStyle w:val="22"/>
        <w:spacing w:line="360" w:lineRule="auto"/>
        <w:ind w:left="479" w:leftChars="228" w:firstLine="0" w:firstLineChars="0"/>
        <w:rPr>
          <w:rFonts w:ascii="Arial" w:hAnsi="Arial" w:eastAsia="宋体" w:cs="Arial"/>
          <w:bCs/>
          <w:color w:val="auto"/>
          <w:sz w:val="24"/>
          <w:szCs w:val="24"/>
          <w:highlight w:val="none"/>
        </w:rPr>
      </w:pPr>
      <w:bookmarkStart w:id="109" w:name="_Toc15933_WPSOffice_Level2"/>
      <w:bookmarkStart w:id="110" w:name="_Toc26465_WPSOffice_Level2"/>
      <w:r>
        <w:rPr>
          <w:rFonts w:ascii="Arial" w:hAnsi="Arial" w:eastAsia="宋体" w:cs="Arial"/>
          <w:bCs/>
          <w:color w:val="auto"/>
          <w:sz w:val="24"/>
          <w:szCs w:val="24"/>
          <w:highlight w:val="none"/>
        </w:rPr>
        <w:t>日期：</w:t>
      </w:r>
      <w:r>
        <w:rPr>
          <w:rFonts w:ascii="Arial" w:hAnsi="Arial" w:eastAsia="宋体" w:cs="Arial"/>
          <w:bCs/>
          <w:color w:val="auto"/>
          <w:sz w:val="28"/>
          <w:szCs w:val="28"/>
          <w:highlight w:val="none"/>
          <w:u w:val="single"/>
        </w:rPr>
        <w:t xml:space="preserve">      </w:t>
      </w:r>
      <w:r>
        <w:rPr>
          <w:rFonts w:ascii="Arial" w:hAnsi="Arial" w:eastAsia="宋体" w:cs="Arial"/>
          <w:bCs/>
          <w:color w:val="auto"/>
          <w:sz w:val="24"/>
          <w:szCs w:val="24"/>
          <w:highlight w:val="none"/>
        </w:rPr>
        <w:t>年</w:t>
      </w:r>
      <w:r>
        <w:rPr>
          <w:rFonts w:ascii="Arial" w:hAnsi="Arial" w:eastAsia="宋体" w:cs="Arial"/>
          <w:bCs/>
          <w:color w:val="auto"/>
          <w:sz w:val="28"/>
          <w:szCs w:val="28"/>
          <w:highlight w:val="none"/>
          <w:u w:val="single"/>
        </w:rPr>
        <w:t xml:space="preserve">      </w:t>
      </w:r>
      <w:r>
        <w:rPr>
          <w:rFonts w:ascii="Arial" w:hAnsi="Arial" w:eastAsia="宋体" w:cs="Arial"/>
          <w:bCs/>
          <w:color w:val="auto"/>
          <w:sz w:val="24"/>
          <w:szCs w:val="24"/>
          <w:highlight w:val="none"/>
        </w:rPr>
        <w:t>月</w:t>
      </w:r>
      <w:r>
        <w:rPr>
          <w:rFonts w:ascii="Arial" w:hAnsi="Arial" w:eastAsia="宋体" w:cs="Arial"/>
          <w:bCs/>
          <w:color w:val="auto"/>
          <w:sz w:val="28"/>
          <w:szCs w:val="28"/>
          <w:highlight w:val="none"/>
          <w:u w:val="single"/>
        </w:rPr>
        <w:t xml:space="preserve">      </w:t>
      </w:r>
      <w:r>
        <w:rPr>
          <w:rFonts w:ascii="Arial" w:hAnsi="Arial" w:eastAsia="宋体" w:cs="Arial"/>
          <w:bCs/>
          <w:color w:val="auto"/>
          <w:sz w:val="24"/>
          <w:szCs w:val="24"/>
          <w:highlight w:val="none"/>
        </w:rPr>
        <w:t>日</w:t>
      </w:r>
      <w:bookmarkEnd w:id="109"/>
      <w:bookmarkEnd w:id="110"/>
    </w:p>
    <w:p>
      <w:pPr>
        <w:pStyle w:val="7"/>
        <w:snapToGrid w:val="0"/>
        <w:spacing w:before="50" w:after="50" w:line="360" w:lineRule="auto"/>
        <w:ind w:left="718" w:leftChars="342" w:firstLine="0"/>
        <w:rPr>
          <w:rFonts w:ascii="Arial" w:hAnsi="Arial" w:cs="Arial"/>
          <w:bCs/>
          <w:color w:val="auto"/>
          <w:sz w:val="24"/>
          <w:highlight w:val="none"/>
        </w:rPr>
      </w:pPr>
    </w:p>
    <w:p>
      <w:pPr>
        <w:snapToGrid w:val="0"/>
        <w:spacing w:before="120" w:beforeLines="50" w:after="50" w:line="440" w:lineRule="exact"/>
        <w:jc w:val="left"/>
        <w:outlineLvl w:val="1"/>
        <w:rPr>
          <w:rFonts w:ascii="Arial" w:hAnsi="Arial" w:cs="Arial"/>
          <w:bCs/>
          <w:color w:val="auto"/>
          <w:sz w:val="24"/>
          <w:highlight w:val="none"/>
        </w:rPr>
      </w:pPr>
      <w:r>
        <w:rPr>
          <w:rFonts w:ascii="Arial" w:hAnsi="Arial" w:cs="Arial"/>
          <w:color w:val="auto"/>
          <w:sz w:val="24"/>
          <w:highlight w:val="none"/>
        </w:rPr>
        <w:br w:type="page"/>
      </w:r>
      <w:r>
        <w:rPr>
          <w:rFonts w:ascii="Arial" w:hAnsi="Arial" w:cs="Arial"/>
          <w:bCs/>
          <w:color w:val="auto"/>
          <w:sz w:val="24"/>
          <w:highlight w:val="none"/>
        </w:rPr>
        <w:t xml:space="preserve">1．投标文件第一册封面参考格式： </w:t>
      </w:r>
    </w:p>
    <w:p>
      <w:pPr>
        <w:snapToGrid w:val="0"/>
        <w:spacing w:before="120" w:beforeLines="50" w:after="50" w:line="360" w:lineRule="exact"/>
        <w:rPr>
          <w:rFonts w:ascii="Arial" w:hAnsi="Arial" w:cs="Arial"/>
          <w:color w:val="auto"/>
          <w:sz w:val="24"/>
          <w:highlight w:val="none"/>
        </w:rPr>
      </w:pPr>
    </w:p>
    <w:p>
      <w:pPr>
        <w:snapToGrid w:val="0"/>
        <w:spacing w:before="120" w:beforeLines="50" w:after="50" w:line="360" w:lineRule="exact"/>
        <w:jc w:val="center"/>
        <w:rPr>
          <w:rFonts w:ascii="Arial" w:hAnsi="Arial" w:cs="Arial"/>
          <w:bCs/>
          <w:color w:val="auto"/>
          <w:sz w:val="24"/>
          <w:highlight w:val="none"/>
        </w:rPr>
      </w:pPr>
    </w:p>
    <w:p>
      <w:pPr>
        <w:pStyle w:val="28"/>
        <w:rPr>
          <w:rFonts w:ascii="Arial" w:hAnsi="Arial" w:cs="Arial"/>
          <w:color w:val="auto"/>
          <w:highlight w:val="none"/>
        </w:rPr>
      </w:pPr>
    </w:p>
    <w:p>
      <w:pPr>
        <w:snapToGrid w:val="0"/>
        <w:spacing w:before="120" w:beforeLines="50" w:after="50" w:line="360" w:lineRule="exact"/>
        <w:jc w:val="center"/>
        <w:rPr>
          <w:rFonts w:ascii="Arial" w:hAnsi="Arial" w:cs="Arial"/>
          <w:b/>
          <w:bCs/>
          <w:color w:val="auto"/>
          <w:sz w:val="44"/>
          <w:szCs w:val="44"/>
          <w:highlight w:val="none"/>
        </w:rPr>
      </w:pPr>
      <w:r>
        <w:rPr>
          <w:rFonts w:ascii="Arial" w:hAnsi="Arial" w:cs="Arial"/>
          <w:b/>
          <w:bCs/>
          <w:color w:val="auto"/>
          <w:sz w:val="44"/>
          <w:szCs w:val="44"/>
          <w:highlight w:val="none"/>
        </w:rPr>
        <w:t>投标文件</w:t>
      </w:r>
    </w:p>
    <w:p>
      <w:pPr>
        <w:snapToGrid w:val="0"/>
        <w:spacing w:before="120" w:beforeLines="50" w:after="50" w:line="360" w:lineRule="exact"/>
        <w:jc w:val="center"/>
        <w:rPr>
          <w:rFonts w:ascii="Arial" w:hAnsi="Arial" w:cs="Arial"/>
          <w:b/>
          <w:bCs/>
          <w:color w:val="auto"/>
          <w:sz w:val="44"/>
          <w:szCs w:val="44"/>
          <w:highlight w:val="none"/>
        </w:rPr>
      </w:pPr>
    </w:p>
    <w:p>
      <w:pPr>
        <w:snapToGrid w:val="0"/>
        <w:spacing w:before="120" w:beforeLines="50" w:after="50" w:line="360" w:lineRule="exact"/>
        <w:jc w:val="center"/>
        <w:rPr>
          <w:rFonts w:ascii="Arial" w:hAnsi="Arial" w:cs="Arial"/>
          <w:b/>
          <w:bCs/>
          <w:color w:val="auto"/>
          <w:sz w:val="44"/>
          <w:szCs w:val="44"/>
          <w:highlight w:val="none"/>
        </w:rPr>
      </w:pPr>
    </w:p>
    <w:p>
      <w:pPr>
        <w:snapToGrid w:val="0"/>
        <w:spacing w:before="120" w:beforeLines="50" w:after="50" w:line="360" w:lineRule="exact"/>
        <w:jc w:val="center"/>
        <w:rPr>
          <w:rFonts w:ascii="Arial" w:hAnsi="Arial" w:cs="Arial"/>
          <w:b/>
          <w:bCs/>
          <w:color w:val="auto"/>
          <w:sz w:val="44"/>
          <w:szCs w:val="44"/>
          <w:highlight w:val="none"/>
        </w:rPr>
      </w:pPr>
      <w:r>
        <w:rPr>
          <w:rFonts w:ascii="Arial" w:hAnsi="Arial" w:cs="Arial"/>
          <w:b/>
          <w:bCs/>
          <w:color w:val="auto"/>
          <w:sz w:val="44"/>
          <w:szCs w:val="44"/>
          <w:highlight w:val="none"/>
        </w:rPr>
        <w:t>第一册  资格审查文件</w:t>
      </w: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 xml:space="preserve">项目名称： </w:t>
      </w: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项目编号：</w:t>
      </w: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分标号：（若无留空或写“/”）</w:t>
      </w:r>
    </w:p>
    <w:p>
      <w:pPr>
        <w:pStyle w:val="22"/>
        <w:spacing w:line="360" w:lineRule="auto"/>
        <w:ind w:firstLine="0" w:firstLineChars="0"/>
        <w:rPr>
          <w:rFonts w:ascii="Arial" w:hAnsi="Arial" w:eastAsia="宋体" w:cs="Arial"/>
          <w:bCs/>
          <w:color w:val="auto"/>
          <w:sz w:val="24"/>
          <w:szCs w:val="24"/>
          <w:highlight w:val="none"/>
        </w:rPr>
      </w:pPr>
    </w:p>
    <w:p>
      <w:pPr>
        <w:pStyle w:val="22"/>
        <w:spacing w:line="360" w:lineRule="auto"/>
        <w:ind w:firstLine="480" w:firstLineChars="200"/>
        <w:rPr>
          <w:rFonts w:ascii="Arial" w:hAnsi="Arial" w:eastAsia="宋体" w:cs="Arial"/>
          <w:bCs/>
          <w:color w:val="auto"/>
          <w:sz w:val="28"/>
          <w:szCs w:val="28"/>
          <w:highlight w:val="none"/>
        </w:rPr>
      </w:pPr>
      <w:r>
        <w:rPr>
          <w:rFonts w:ascii="Arial" w:hAnsi="Arial" w:eastAsia="宋体" w:cs="Arial"/>
          <w:bCs/>
          <w:color w:val="auto"/>
          <w:sz w:val="24"/>
          <w:szCs w:val="24"/>
          <w:highlight w:val="none"/>
        </w:rPr>
        <w:t>供应商[公章(CA签章)]</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pStyle w:val="22"/>
        <w:spacing w:line="360" w:lineRule="auto"/>
        <w:ind w:left="519" w:leftChars="247" w:firstLine="0" w:firstLineChars="0"/>
        <w:rPr>
          <w:rFonts w:ascii="Arial" w:hAnsi="Arial" w:eastAsia="宋体" w:cs="Arial"/>
          <w:color w:val="auto"/>
          <w:sz w:val="28"/>
          <w:szCs w:val="28"/>
          <w:highlight w:val="none"/>
          <w:u w:val="single"/>
        </w:rPr>
      </w:pPr>
      <w:r>
        <w:rPr>
          <w:rFonts w:ascii="Arial" w:hAnsi="Arial" w:eastAsia="宋体" w:cs="Arial"/>
          <w:bCs/>
          <w:color w:val="auto"/>
          <w:sz w:val="24"/>
          <w:szCs w:val="24"/>
          <w:highlight w:val="none"/>
        </w:rPr>
        <w:t>法定代表人或相应的委托代理人签字[或盖章(CA签章)]</w:t>
      </w:r>
      <w:r>
        <w:rPr>
          <w:rFonts w:ascii="Arial" w:hAnsi="Arial" w:eastAsia="宋体" w:cs="Arial"/>
          <w:color w:val="auto"/>
          <w:sz w:val="28"/>
          <w:szCs w:val="28"/>
          <w:highlight w:val="none"/>
        </w:rPr>
        <w:t>：</w:t>
      </w:r>
      <w:r>
        <w:rPr>
          <w:rFonts w:ascii="Arial" w:hAnsi="Arial" w:eastAsia="宋体" w:cs="Arial"/>
          <w:color w:val="auto"/>
          <w:sz w:val="28"/>
          <w:szCs w:val="28"/>
          <w:highlight w:val="none"/>
          <w:u w:val="single"/>
        </w:rPr>
        <w:t xml:space="preserve">              </w:t>
      </w:r>
    </w:p>
    <w:p>
      <w:pPr>
        <w:pStyle w:val="22"/>
        <w:spacing w:line="360" w:lineRule="auto"/>
        <w:ind w:left="479" w:leftChars="228" w:firstLine="0" w:firstLineChars="0"/>
        <w:rPr>
          <w:rFonts w:ascii="Arial" w:hAnsi="Arial" w:eastAsia="宋体" w:cs="Arial"/>
          <w:bCs/>
          <w:color w:val="auto"/>
          <w:sz w:val="28"/>
          <w:szCs w:val="28"/>
          <w:highlight w:val="none"/>
          <w:u w:val="single"/>
        </w:rPr>
      </w:pPr>
      <w:r>
        <w:rPr>
          <w:rFonts w:ascii="Arial" w:hAnsi="Arial" w:eastAsia="宋体" w:cs="Arial"/>
          <w:bCs/>
          <w:color w:val="auto"/>
          <w:sz w:val="24"/>
          <w:szCs w:val="24"/>
          <w:highlight w:val="none"/>
        </w:rPr>
        <w:t>联系电话</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snapToGrid w:val="0"/>
        <w:spacing w:before="120" w:beforeLines="50" w:after="50" w:line="360" w:lineRule="exact"/>
        <w:jc w:val="center"/>
        <w:rPr>
          <w:rFonts w:ascii="Arial" w:hAnsi="Arial" w:cs="Arial"/>
          <w:color w:val="auto"/>
          <w:sz w:val="24"/>
          <w:highlight w:val="none"/>
        </w:rPr>
      </w:pPr>
      <w:r>
        <w:rPr>
          <w:rFonts w:ascii="Arial" w:hAnsi="Arial" w:cs="Arial"/>
          <w:bCs/>
          <w:color w:val="auto"/>
          <w:sz w:val="24"/>
          <w:highlight w:val="none"/>
        </w:rPr>
        <w:t>日期：</w:t>
      </w:r>
      <w:r>
        <w:rPr>
          <w:rFonts w:ascii="Arial" w:hAnsi="Arial" w:cs="Arial"/>
          <w:bCs/>
          <w:color w:val="auto"/>
          <w:sz w:val="28"/>
          <w:szCs w:val="28"/>
          <w:highlight w:val="none"/>
          <w:u w:val="single"/>
        </w:rPr>
        <w:t xml:space="preserve">      </w:t>
      </w:r>
      <w:r>
        <w:rPr>
          <w:rFonts w:ascii="Arial" w:hAnsi="Arial" w:cs="Arial"/>
          <w:bCs/>
          <w:color w:val="auto"/>
          <w:sz w:val="24"/>
          <w:highlight w:val="none"/>
        </w:rPr>
        <w:t>年</w:t>
      </w:r>
      <w:r>
        <w:rPr>
          <w:rFonts w:ascii="Arial" w:hAnsi="Arial" w:cs="Arial"/>
          <w:bCs/>
          <w:color w:val="auto"/>
          <w:sz w:val="28"/>
          <w:szCs w:val="28"/>
          <w:highlight w:val="none"/>
          <w:u w:val="single"/>
        </w:rPr>
        <w:t xml:space="preserve">      </w:t>
      </w:r>
      <w:r>
        <w:rPr>
          <w:rFonts w:ascii="Arial" w:hAnsi="Arial" w:cs="Arial"/>
          <w:bCs/>
          <w:color w:val="auto"/>
          <w:sz w:val="24"/>
          <w:highlight w:val="none"/>
        </w:rPr>
        <w:t>月</w:t>
      </w:r>
      <w:r>
        <w:rPr>
          <w:rFonts w:ascii="Arial" w:hAnsi="Arial" w:cs="Arial"/>
          <w:bCs/>
          <w:color w:val="auto"/>
          <w:sz w:val="28"/>
          <w:szCs w:val="28"/>
          <w:highlight w:val="none"/>
          <w:u w:val="single"/>
        </w:rPr>
        <w:t xml:space="preserve">      </w:t>
      </w:r>
      <w:r>
        <w:rPr>
          <w:rFonts w:ascii="Arial" w:hAnsi="Arial" w:cs="Arial"/>
          <w:bCs/>
          <w:color w:val="auto"/>
          <w:sz w:val="24"/>
          <w:highlight w:val="none"/>
        </w:rPr>
        <w:t>日</w:t>
      </w:r>
    </w:p>
    <w:p>
      <w:pPr>
        <w:rPr>
          <w:rFonts w:ascii="Arial" w:hAnsi="Arial" w:cs="Arial"/>
          <w:color w:val="auto"/>
          <w:highlight w:val="none"/>
        </w:rPr>
      </w:pPr>
      <w:bookmarkStart w:id="111" w:name="_Toc254970557"/>
      <w:bookmarkStart w:id="112" w:name="_Toc254970698"/>
      <w:r>
        <w:rPr>
          <w:rFonts w:ascii="Arial" w:hAnsi="Arial" w:cs="Arial"/>
          <w:color w:val="auto"/>
          <w:highlight w:val="none"/>
        </w:rPr>
        <w:br w:type="page"/>
      </w:r>
      <w:bookmarkEnd w:id="111"/>
      <w:bookmarkEnd w:id="112"/>
      <w:r>
        <w:rPr>
          <w:rFonts w:ascii="Arial" w:hAnsi="Arial" w:cs="Arial"/>
          <w:b/>
          <w:bCs/>
          <w:color w:val="auto"/>
          <w:highlight w:val="none"/>
        </w:rPr>
        <w:t xml:space="preserve"> </w:t>
      </w:r>
    </w:p>
    <w:p>
      <w:pPr>
        <w:snapToGrid w:val="0"/>
        <w:spacing w:before="50" w:after="50" w:line="440" w:lineRule="exact"/>
        <w:ind w:firstLine="138" w:firstLineChars="49"/>
        <w:jc w:val="center"/>
        <w:rPr>
          <w:rFonts w:ascii="Arial" w:hAnsi="Arial" w:cs="Arial"/>
          <w:b/>
          <w:color w:val="auto"/>
          <w:sz w:val="28"/>
          <w:szCs w:val="28"/>
          <w:highlight w:val="none"/>
        </w:rPr>
      </w:pPr>
      <w:r>
        <w:rPr>
          <w:rFonts w:ascii="Arial" w:hAnsi="Arial" w:cs="Arial"/>
          <w:b/>
          <w:color w:val="auto"/>
          <w:sz w:val="28"/>
          <w:szCs w:val="28"/>
          <w:highlight w:val="none"/>
        </w:rPr>
        <w:t>目录</w:t>
      </w:r>
    </w:p>
    <w:p>
      <w:pPr>
        <w:snapToGrid w:val="0"/>
        <w:spacing w:before="50" w:after="50" w:line="440" w:lineRule="exact"/>
        <w:ind w:firstLine="118" w:firstLineChars="49"/>
        <w:jc w:val="center"/>
        <w:rPr>
          <w:rFonts w:ascii="Arial" w:hAnsi="Arial" w:cs="Arial"/>
          <w:b/>
          <w:color w:val="auto"/>
          <w:sz w:val="24"/>
          <w:highlight w:val="none"/>
        </w:rPr>
      </w:pPr>
      <w:r>
        <w:rPr>
          <w:rFonts w:ascii="Arial" w:hAnsi="Arial" w:cs="Arial"/>
          <w:b/>
          <w:color w:val="auto"/>
          <w:sz w:val="24"/>
          <w:highlight w:val="none"/>
        </w:rPr>
        <w:t>（应有页码）</w:t>
      </w:r>
    </w:p>
    <w:p>
      <w:pPr>
        <w:snapToGrid w:val="0"/>
        <w:spacing w:before="50" w:after="50" w:line="440" w:lineRule="exact"/>
        <w:ind w:firstLine="118" w:firstLineChars="49"/>
        <w:jc w:val="center"/>
        <w:rPr>
          <w:rFonts w:ascii="Arial" w:hAnsi="Arial" w:cs="Arial"/>
          <w:b/>
          <w:color w:val="auto"/>
          <w:sz w:val="24"/>
          <w:highlight w:val="none"/>
        </w:rPr>
      </w:pPr>
      <w:r>
        <w:rPr>
          <w:rFonts w:ascii="Arial" w:hAnsi="Arial" w:cs="Arial"/>
          <w:b/>
          <w:color w:val="auto"/>
          <w:sz w:val="24"/>
          <w:highlight w:val="none"/>
        </w:rPr>
        <w:br w:type="page"/>
      </w:r>
    </w:p>
    <w:p>
      <w:pPr>
        <w:snapToGrid w:val="0"/>
        <w:spacing w:before="50" w:after="50" w:line="440" w:lineRule="exact"/>
        <w:jc w:val="left"/>
        <w:rPr>
          <w:rFonts w:ascii="Arial" w:hAnsi="Arial" w:cs="Arial"/>
          <w:b/>
          <w:color w:val="auto"/>
          <w:szCs w:val="21"/>
          <w:highlight w:val="none"/>
        </w:rPr>
      </w:pPr>
      <w:bookmarkStart w:id="113" w:name="_Hlk19114217"/>
      <w:r>
        <w:rPr>
          <w:rFonts w:ascii="Arial" w:hAnsi="Arial" w:cs="Arial"/>
          <w:b/>
          <w:color w:val="auto"/>
          <w:szCs w:val="21"/>
          <w:highlight w:val="none"/>
        </w:rPr>
        <w:t>1．投标声明书格式（必须提供）：</w:t>
      </w:r>
    </w:p>
    <w:p>
      <w:pPr>
        <w:snapToGrid w:val="0"/>
        <w:spacing w:before="120" w:beforeLines="50" w:after="50" w:line="360" w:lineRule="exact"/>
        <w:jc w:val="center"/>
        <w:rPr>
          <w:rFonts w:ascii="Arial" w:hAnsi="Arial" w:cs="Arial"/>
          <w:b/>
          <w:color w:val="auto"/>
          <w:szCs w:val="21"/>
          <w:highlight w:val="none"/>
        </w:rPr>
      </w:pPr>
    </w:p>
    <w:p>
      <w:pPr>
        <w:snapToGrid w:val="0"/>
        <w:spacing w:before="120" w:beforeLines="50" w:after="50" w:line="360" w:lineRule="exact"/>
        <w:jc w:val="center"/>
        <w:rPr>
          <w:rFonts w:ascii="Arial" w:hAnsi="Arial" w:cs="Arial"/>
          <w:b/>
          <w:color w:val="auto"/>
          <w:szCs w:val="21"/>
          <w:highlight w:val="none"/>
        </w:rPr>
      </w:pPr>
      <w:r>
        <w:rPr>
          <w:rFonts w:ascii="Arial" w:hAnsi="Arial" w:cs="Arial"/>
          <w:b/>
          <w:color w:val="auto"/>
          <w:szCs w:val="21"/>
          <w:highlight w:val="none"/>
        </w:rPr>
        <w:t>投标声明书</w:t>
      </w:r>
    </w:p>
    <w:p>
      <w:pPr>
        <w:snapToGrid w:val="0"/>
        <w:spacing w:before="120" w:beforeLines="50" w:after="50" w:line="360" w:lineRule="exact"/>
        <w:jc w:val="center"/>
        <w:rPr>
          <w:rFonts w:ascii="Arial" w:hAnsi="Arial" w:cs="Arial"/>
          <w:color w:val="auto"/>
          <w:szCs w:val="21"/>
          <w:highlight w:val="none"/>
        </w:rPr>
      </w:pPr>
    </w:p>
    <w:p>
      <w:pPr>
        <w:snapToGrid w:val="0"/>
        <w:spacing w:before="120" w:beforeLines="50" w:after="50" w:line="360" w:lineRule="exact"/>
        <w:rPr>
          <w:rFonts w:ascii="Arial" w:hAnsi="Arial" w:cs="Arial"/>
          <w:color w:val="auto"/>
          <w:szCs w:val="21"/>
          <w:highlight w:val="none"/>
        </w:rPr>
      </w:pPr>
      <w:r>
        <w:rPr>
          <w:rFonts w:ascii="Arial" w:hAnsi="Arial" w:cs="Arial"/>
          <w:color w:val="auto"/>
          <w:szCs w:val="21"/>
          <w:highlight w:val="none"/>
        </w:rPr>
        <w:t>致：</w:t>
      </w:r>
      <w:r>
        <w:rPr>
          <w:rFonts w:ascii="Arial" w:hAnsi="Arial" w:cs="Arial"/>
          <w:i/>
          <w:iCs/>
          <w:color w:val="auto"/>
          <w:szCs w:val="21"/>
          <w:highlight w:val="none"/>
          <w:u w:val="single"/>
        </w:rPr>
        <w:t>（采购人名称）</w:t>
      </w:r>
      <w:r>
        <w:rPr>
          <w:rFonts w:ascii="Arial" w:hAnsi="Arial" w:cs="Arial"/>
          <w:color w:val="auto"/>
          <w:szCs w:val="21"/>
          <w:highlight w:val="none"/>
        </w:rPr>
        <w:t>：</w:t>
      </w:r>
    </w:p>
    <w:p>
      <w:pPr>
        <w:snapToGrid w:val="0"/>
        <w:spacing w:before="120" w:beforeLines="50" w:after="50" w:line="360" w:lineRule="exact"/>
        <w:ind w:firstLine="630" w:firstLineChars="300"/>
        <w:rPr>
          <w:rFonts w:ascii="Arial" w:hAnsi="Arial" w:cs="Arial"/>
          <w:color w:val="auto"/>
          <w:szCs w:val="21"/>
          <w:highlight w:val="none"/>
        </w:rPr>
      </w:pPr>
      <w:r>
        <w:rPr>
          <w:rFonts w:ascii="Arial" w:hAnsi="Arial" w:cs="Arial"/>
          <w:i/>
          <w:iCs/>
          <w:color w:val="auto"/>
          <w:szCs w:val="21"/>
          <w:highlight w:val="none"/>
          <w:u w:val="single"/>
        </w:rPr>
        <w:t>（供应商名称）</w:t>
      </w:r>
      <w:r>
        <w:rPr>
          <w:rFonts w:ascii="Arial" w:hAnsi="Arial" w:cs="Arial"/>
          <w:color w:val="auto"/>
          <w:szCs w:val="21"/>
          <w:highlight w:val="none"/>
        </w:rPr>
        <w:t>系中华人民共和国合法企业，</w:t>
      </w:r>
      <w:r>
        <w:rPr>
          <w:rFonts w:ascii="Arial" w:hAnsi="Arial" w:cs="Arial"/>
          <w:color w:val="auto"/>
          <w:szCs w:val="21"/>
          <w:highlight w:val="none"/>
          <w:u w:val="single"/>
        </w:rPr>
        <w:t xml:space="preserve"> </w:t>
      </w:r>
      <w:r>
        <w:rPr>
          <w:rFonts w:ascii="Arial" w:hAnsi="Arial" w:cs="Arial"/>
          <w:i/>
          <w:iCs/>
          <w:color w:val="auto"/>
          <w:szCs w:val="21"/>
          <w:highlight w:val="none"/>
          <w:u w:val="single"/>
        </w:rPr>
        <w:t xml:space="preserve"> （经营地址）</w:t>
      </w:r>
      <w:r>
        <w:rPr>
          <w:rFonts w:ascii="Arial" w:hAnsi="Arial" w:cs="Arial"/>
          <w:color w:val="auto"/>
          <w:szCs w:val="21"/>
          <w:highlight w:val="none"/>
        </w:rPr>
        <w:t>。</w:t>
      </w:r>
    </w:p>
    <w:p>
      <w:pPr>
        <w:snapToGrid w:val="0"/>
        <w:spacing w:before="120" w:beforeLines="50" w:after="50" w:line="360" w:lineRule="exact"/>
        <w:ind w:firstLine="645"/>
        <w:rPr>
          <w:rFonts w:ascii="Arial" w:hAnsi="Arial" w:cs="Arial"/>
          <w:color w:val="auto"/>
          <w:szCs w:val="21"/>
          <w:highlight w:val="none"/>
        </w:rPr>
      </w:pPr>
      <w:r>
        <w:rPr>
          <w:rFonts w:ascii="Arial" w:hAnsi="Arial" w:cs="Arial"/>
          <w:color w:val="auto"/>
          <w:szCs w:val="21"/>
          <w:highlight w:val="none"/>
        </w:rPr>
        <w:t>我</w:t>
      </w:r>
      <w:r>
        <w:rPr>
          <w:rFonts w:ascii="Arial" w:hAnsi="Arial" w:cs="Arial"/>
          <w:i/>
          <w:iCs/>
          <w:color w:val="auto"/>
          <w:szCs w:val="21"/>
          <w:highlight w:val="none"/>
          <w:u w:val="single"/>
        </w:rPr>
        <w:t xml:space="preserve">（姓名） </w:t>
      </w:r>
      <w:r>
        <w:rPr>
          <w:rFonts w:ascii="Arial" w:hAnsi="Arial" w:cs="Arial"/>
          <w:color w:val="auto"/>
          <w:szCs w:val="21"/>
          <w:highlight w:val="none"/>
        </w:rPr>
        <w:t>系</w:t>
      </w:r>
      <w:r>
        <w:rPr>
          <w:rFonts w:ascii="Arial" w:hAnsi="Arial" w:cs="Arial"/>
          <w:i/>
          <w:iCs/>
          <w:color w:val="auto"/>
          <w:szCs w:val="21"/>
          <w:highlight w:val="none"/>
          <w:u w:val="single"/>
        </w:rPr>
        <w:t>（供应商名称）</w:t>
      </w:r>
      <w:r>
        <w:rPr>
          <w:rFonts w:ascii="Arial" w:hAnsi="Arial" w:cs="Arial"/>
          <w:color w:val="auto"/>
          <w:szCs w:val="21"/>
          <w:highlight w:val="none"/>
        </w:rPr>
        <w:t xml:space="preserve">的法定代表人，我方愿意参加贵方组织的 </w:t>
      </w:r>
      <w:r>
        <w:rPr>
          <w:rFonts w:ascii="Arial" w:hAnsi="Arial" w:cs="Arial"/>
          <w:i/>
          <w:iCs/>
          <w:color w:val="auto"/>
          <w:szCs w:val="21"/>
          <w:highlight w:val="none"/>
          <w:u w:val="single"/>
        </w:rPr>
        <w:t xml:space="preserve">（项目名称） </w:t>
      </w:r>
      <w:r>
        <w:rPr>
          <w:rFonts w:ascii="Arial" w:hAnsi="Arial" w:cs="Arial"/>
          <w:color w:val="auto"/>
          <w:szCs w:val="21"/>
          <w:highlight w:val="none"/>
        </w:rPr>
        <w:t>项目的投标，为便于贵方公正、择优地确定中标供应商及其投标产品和服务，我方就本次投标有关事项郑重声明如下：</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（1）我方向贵方提交的所有投标文件、资料都是准确的和真实的。</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4）我方及本人承诺在参加本政府采购项目活动前三年内，在经营活动中没有重大违法记录及不良信用记录。重大违法记录是指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（5）我方承诺具有履行本项目合同所必需的设备和专业技术能力。</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6）我方承诺未被列入失信被执行人、重大税收违法失信主体、政府采购严重违法失信行为记录名单，如我方提供的声明不实，则接受本次投标作为否决投标的处理，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（7）我方承诺中标后按规定缴纳代理服务费。</w:t>
      </w:r>
    </w:p>
    <w:p>
      <w:pPr>
        <w:snapToGrid w:val="0"/>
        <w:spacing w:before="120" w:beforeLines="50" w:line="360" w:lineRule="exact"/>
        <w:ind w:firstLine="420" w:firstLineChars="200"/>
        <w:rPr>
          <w:rFonts w:ascii="Arial" w:hAnsi="Arial" w:cs="Arial"/>
          <w:color w:val="auto"/>
          <w:szCs w:val="21"/>
          <w:highlight w:val="none"/>
        </w:rPr>
      </w:pPr>
      <w:r>
        <w:rPr>
          <w:rFonts w:ascii="Arial" w:hAnsi="Arial" w:cs="Arial"/>
          <w:color w:val="auto"/>
          <w:szCs w:val="21"/>
          <w:highlight w:val="none"/>
        </w:rPr>
        <w:t>我方对以上声明负全部法律责任。如有虚假或隐瞒，我方愿意承担一切后果，并不再寻求任何旨在减轻或免除法律责任的辩解。</w:t>
      </w:r>
    </w:p>
    <w:bookmarkEnd w:id="113"/>
    <w:p>
      <w:pPr>
        <w:snapToGrid w:val="0"/>
        <w:spacing w:before="120" w:beforeLines="50" w:line="360" w:lineRule="exact"/>
        <w:ind w:firstLine="420" w:firstLineChars="200"/>
        <w:rPr>
          <w:rFonts w:ascii="Arial" w:hAnsi="Arial" w:cs="Arial"/>
          <w:color w:val="auto"/>
          <w:szCs w:val="21"/>
          <w:highlight w:val="none"/>
        </w:rPr>
      </w:pPr>
    </w:p>
    <w:p>
      <w:pPr>
        <w:snapToGrid w:val="0"/>
        <w:spacing w:before="120" w:beforeLines="50" w:line="360" w:lineRule="exact"/>
        <w:ind w:firstLine="3509" w:firstLineChars="1671"/>
        <w:rPr>
          <w:rFonts w:ascii="Arial" w:hAnsi="Arial" w:cs="Arial"/>
          <w:color w:val="auto"/>
          <w:szCs w:val="21"/>
          <w:highlight w:val="none"/>
          <w:u w:val="single"/>
        </w:rPr>
      </w:pPr>
      <w:r>
        <w:rPr>
          <w:rFonts w:ascii="Arial" w:hAnsi="Arial" w:cs="Arial"/>
          <w:color w:val="auto"/>
          <w:szCs w:val="21"/>
          <w:highlight w:val="none"/>
        </w:rPr>
        <w:t>法定代表人签字或个人CA签章：</w:t>
      </w:r>
    </w:p>
    <w:p>
      <w:pPr>
        <w:snapToGrid w:val="0"/>
        <w:spacing w:before="120" w:beforeLines="50" w:after="50" w:line="360" w:lineRule="exact"/>
        <w:ind w:firstLine="3570" w:firstLineChars="1700"/>
        <w:rPr>
          <w:rFonts w:ascii="Arial" w:hAnsi="Arial" w:cs="Arial"/>
          <w:color w:val="auto"/>
          <w:szCs w:val="21"/>
          <w:highlight w:val="none"/>
          <w:u w:val="single"/>
        </w:rPr>
      </w:pPr>
      <w:r>
        <w:rPr>
          <w:rFonts w:ascii="Arial" w:hAnsi="Arial" w:cs="Arial"/>
          <w:color w:val="auto"/>
          <w:szCs w:val="21"/>
          <w:highlight w:val="none"/>
        </w:rPr>
        <w:t>供应商公章（CA签章）：</w:t>
      </w:r>
      <w:r>
        <w:rPr>
          <w:rFonts w:ascii="Arial" w:hAnsi="Arial" w:cs="Arial"/>
          <w:color w:val="auto"/>
          <w:szCs w:val="21"/>
          <w:highlight w:val="none"/>
          <w:u w:val="single"/>
        </w:rPr>
        <w:t xml:space="preserve">       </w:t>
      </w:r>
    </w:p>
    <w:p>
      <w:pPr>
        <w:snapToGrid w:val="0"/>
        <w:spacing w:before="120" w:beforeLines="50" w:after="50" w:line="360" w:lineRule="exact"/>
        <w:ind w:firstLine="3990" w:firstLineChars="1900"/>
        <w:rPr>
          <w:rFonts w:ascii="Arial" w:hAnsi="Arial" w:cs="Arial"/>
          <w:color w:val="auto"/>
          <w:szCs w:val="21"/>
          <w:highlight w:val="none"/>
        </w:rPr>
      </w:pPr>
      <w:r>
        <w:rPr>
          <w:rFonts w:ascii="Arial" w:hAnsi="Arial" w:cs="Arial"/>
          <w:color w:val="auto"/>
          <w:szCs w:val="21"/>
          <w:highlight w:val="none"/>
        </w:rPr>
        <w:t xml:space="preserve">  年月日</w:t>
      </w:r>
    </w:p>
    <w:p>
      <w:pPr>
        <w:snapToGrid w:val="0"/>
        <w:spacing w:before="120" w:beforeLines="50" w:after="50" w:line="288" w:lineRule="auto"/>
        <w:rPr>
          <w:rFonts w:ascii="Arial" w:hAnsi="Arial" w:cs="Arial"/>
          <w:color w:val="auto"/>
          <w:szCs w:val="21"/>
          <w:highlight w:val="none"/>
        </w:rPr>
      </w:pPr>
      <w:r>
        <w:rPr>
          <w:rFonts w:ascii="Arial" w:hAnsi="Arial" w:cs="Arial"/>
          <w:color w:val="auto"/>
          <w:szCs w:val="21"/>
          <w:highlight w:val="none"/>
        </w:rPr>
        <w:br w:type="page"/>
      </w:r>
      <w:r>
        <w:rPr>
          <w:rFonts w:ascii="Arial" w:hAnsi="Arial" w:cs="Arial"/>
          <w:color w:val="auto"/>
          <w:szCs w:val="21"/>
          <w:highlight w:val="none"/>
        </w:rPr>
        <w:t>2．供应商有效的“营业执照”或“事业单位法人证书”或“自然人的身份证明”副本复印件（加盖供应商CA签章）。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r>
        <w:rPr>
          <w:rFonts w:ascii="Arial" w:hAnsi="Arial" w:cs="Arial"/>
          <w:b/>
          <w:color w:val="auto"/>
          <w:szCs w:val="21"/>
          <w:highlight w:val="none"/>
        </w:rPr>
        <w:t>（必须提供）</w:t>
      </w:r>
    </w:p>
    <w:p>
      <w:pPr>
        <w:snapToGrid w:val="0"/>
        <w:spacing w:before="120" w:beforeLines="50" w:after="50" w:line="288" w:lineRule="auto"/>
        <w:rPr>
          <w:rFonts w:ascii="Arial" w:hAnsi="Arial" w:cs="Arial"/>
          <w:color w:val="auto"/>
          <w:sz w:val="18"/>
          <w:szCs w:val="18"/>
          <w:highlight w:val="none"/>
        </w:rPr>
      </w:pPr>
    </w:p>
    <w:p>
      <w:pPr>
        <w:snapToGrid w:val="0"/>
        <w:spacing w:before="120" w:beforeLines="50" w:after="50" w:line="288" w:lineRule="auto"/>
        <w:rPr>
          <w:rFonts w:ascii="Arial" w:hAnsi="Arial" w:cs="Arial"/>
          <w:b/>
          <w:color w:val="auto"/>
          <w:szCs w:val="21"/>
          <w:highlight w:val="none"/>
        </w:rPr>
      </w:pPr>
      <w:r>
        <w:rPr>
          <w:rFonts w:ascii="Arial" w:hAnsi="Arial" w:cs="Arial"/>
          <w:color w:val="auto"/>
          <w:szCs w:val="21"/>
          <w:highlight w:val="none"/>
        </w:rPr>
        <w:t>3．财务状况报告（表）复印件或银行出具的资信证明复印件。</w:t>
      </w:r>
      <w:r>
        <w:rPr>
          <w:rFonts w:ascii="Arial" w:hAnsi="Arial" w:cs="Arial"/>
          <w:color w:val="auto"/>
          <w:highlight w:val="none"/>
        </w:rPr>
        <w:t>对于从取得营业执照时间起到截标时间为止不足1年的供应商，只需提交</w:t>
      </w:r>
      <w:r>
        <w:rPr>
          <w:rFonts w:ascii="Arial" w:hAnsi="Arial" w:cs="Arial"/>
          <w:color w:val="auto"/>
          <w:szCs w:val="21"/>
          <w:highlight w:val="none"/>
        </w:rPr>
        <w:t>截标时间前一个月的财务状况报告（表）复印件。（按“评标方法及评标标准” “资格审查表”规定提供）。（加盖供应商CA签章）。</w:t>
      </w:r>
      <w:r>
        <w:rPr>
          <w:rFonts w:ascii="Arial" w:hAnsi="Arial" w:cs="Arial"/>
          <w:b/>
          <w:color w:val="auto"/>
          <w:szCs w:val="21"/>
          <w:highlight w:val="none"/>
        </w:rPr>
        <w:t>（必须提供）</w:t>
      </w:r>
    </w:p>
    <w:p>
      <w:pPr>
        <w:snapToGrid w:val="0"/>
        <w:spacing w:before="120" w:beforeLines="50" w:after="50" w:line="288" w:lineRule="auto"/>
        <w:rPr>
          <w:rFonts w:ascii="Arial" w:hAnsi="Arial" w:cs="Arial"/>
          <w:color w:val="auto"/>
          <w:szCs w:val="21"/>
          <w:highlight w:val="none"/>
        </w:rPr>
      </w:pPr>
    </w:p>
    <w:p>
      <w:pPr>
        <w:snapToGrid w:val="0"/>
        <w:spacing w:before="120" w:beforeLines="50" w:after="50" w:line="288" w:lineRule="auto"/>
        <w:rPr>
          <w:rFonts w:ascii="Arial" w:hAnsi="Arial" w:cs="Arial"/>
          <w:color w:val="auto"/>
          <w:highlight w:val="none"/>
        </w:rPr>
      </w:pPr>
      <w:r>
        <w:rPr>
          <w:rFonts w:ascii="Arial" w:hAnsi="Arial" w:cs="Arial"/>
          <w:color w:val="auto"/>
          <w:highlight w:val="none"/>
        </w:rPr>
        <w:t>4．依法缴纳税费证明和社会保险缴纳证明材料。供应商成立不足1个月的，无须提供缴纳税费证明及社保缴费证明。依法免税或不需要缴纳社会保障资金的供应商，须提供相应文件证明其依法免税或不需要缴纳社会保障资金。</w:t>
      </w:r>
      <w:r>
        <w:rPr>
          <w:rFonts w:ascii="Arial" w:hAnsi="Arial" w:cs="Arial"/>
          <w:color w:val="auto"/>
          <w:szCs w:val="21"/>
          <w:highlight w:val="none"/>
        </w:rPr>
        <w:t>（按“评标方法及评标标准” “资格审查表”规定提供）（加盖供应商CA签章）。</w:t>
      </w:r>
      <w:r>
        <w:rPr>
          <w:rFonts w:ascii="Arial" w:hAnsi="Arial" w:cs="Arial"/>
          <w:b/>
          <w:color w:val="auto"/>
          <w:szCs w:val="21"/>
          <w:highlight w:val="none"/>
        </w:rPr>
        <w:t>（必须提供）</w:t>
      </w:r>
    </w:p>
    <w:p>
      <w:pPr>
        <w:snapToGrid w:val="0"/>
        <w:spacing w:before="120" w:beforeLines="50" w:after="50" w:line="288" w:lineRule="auto"/>
        <w:rPr>
          <w:rFonts w:ascii="Arial" w:hAnsi="Arial" w:cs="Arial"/>
          <w:color w:val="auto"/>
          <w:szCs w:val="21"/>
          <w:highlight w:val="none"/>
        </w:rPr>
      </w:pPr>
    </w:p>
    <w:p>
      <w:pPr>
        <w:snapToGrid w:val="0"/>
        <w:spacing w:before="50" w:after="120" w:afterLines="50" w:line="288" w:lineRule="auto"/>
        <w:jc w:val="left"/>
        <w:rPr>
          <w:rFonts w:ascii="Arial" w:hAnsi="Arial" w:cs="Arial"/>
          <w:b/>
          <w:color w:val="auto"/>
          <w:szCs w:val="21"/>
          <w:highlight w:val="none"/>
        </w:rPr>
      </w:pPr>
      <w:r>
        <w:rPr>
          <w:rFonts w:ascii="Arial" w:hAnsi="Arial" w:cs="Arial"/>
          <w:color w:val="auto"/>
          <w:szCs w:val="21"/>
          <w:highlight w:val="none"/>
        </w:rPr>
        <w:t>5．具备法律、行政法规规定的其他要求的证明材料</w:t>
      </w:r>
      <w:r>
        <w:rPr>
          <w:rFonts w:ascii="Arial" w:hAnsi="Arial" w:cs="Arial"/>
          <w:color w:val="auto"/>
          <w:highlight w:val="none"/>
        </w:rPr>
        <w:t>（</w:t>
      </w:r>
      <w:r>
        <w:rPr>
          <w:rFonts w:ascii="Arial" w:hAnsi="Arial" w:cs="Arial"/>
          <w:color w:val="auto"/>
          <w:szCs w:val="21"/>
          <w:highlight w:val="none"/>
        </w:rPr>
        <w:t>按“评标方法及评标标准” “资格性检查表”规定提供</w:t>
      </w:r>
      <w:r>
        <w:rPr>
          <w:rFonts w:ascii="Arial" w:hAnsi="Arial" w:cs="Arial"/>
          <w:color w:val="auto"/>
          <w:highlight w:val="none"/>
        </w:rPr>
        <w:t>）。</w:t>
      </w:r>
      <w:r>
        <w:rPr>
          <w:rFonts w:ascii="Arial" w:hAnsi="Arial" w:cs="Arial"/>
          <w:b/>
          <w:color w:val="auto"/>
          <w:szCs w:val="21"/>
          <w:highlight w:val="none"/>
        </w:rPr>
        <w:t>（如招标文件有要求，则必须提供）</w:t>
      </w:r>
    </w:p>
    <w:p>
      <w:pPr>
        <w:snapToGrid w:val="0"/>
        <w:spacing w:before="50" w:after="120" w:afterLines="50" w:line="288" w:lineRule="auto"/>
        <w:jc w:val="left"/>
        <w:rPr>
          <w:rFonts w:ascii="Arial" w:hAnsi="Arial" w:cs="Arial"/>
          <w:color w:val="auto"/>
          <w:highlight w:val="none"/>
        </w:rPr>
      </w:pPr>
    </w:p>
    <w:p>
      <w:pPr>
        <w:snapToGrid w:val="0"/>
        <w:spacing w:before="50" w:after="120" w:afterLines="50" w:line="288" w:lineRule="auto"/>
        <w:jc w:val="left"/>
        <w:rPr>
          <w:rFonts w:ascii="Arial" w:hAnsi="Arial" w:cs="Arial"/>
          <w:color w:val="auto"/>
          <w:szCs w:val="21"/>
          <w:highlight w:val="none"/>
        </w:rPr>
      </w:pPr>
    </w:p>
    <w:p>
      <w:pPr>
        <w:snapToGrid w:val="0"/>
        <w:spacing w:before="50" w:after="120" w:afterLines="50" w:line="440" w:lineRule="exact"/>
        <w:jc w:val="left"/>
        <w:rPr>
          <w:b/>
          <w:bCs/>
          <w:color w:val="auto"/>
          <w:szCs w:val="21"/>
          <w:highlight w:val="none"/>
        </w:rPr>
      </w:pPr>
      <w:bookmarkStart w:id="114" w:name="_Hlk19115874"/>
      <w:bookmarkStart w:id="115" w:name="_Hlk132792497"/>
      <w:r>
        <w:rPr>
          <w:color w:val="auto"/>
          <w:szCs w:val="21"/>
          <w:highlight w:val="none"/>
        </w:rPr>
        <w:t>6．</w:t>
      </w:r>
      <w:r>
        <w:rPr>
          <w:rFonts w:hint="eastAsia"/>
          <w:color w:val="auto"/>
          <w:szCs w:val="21"/>
          <w:highlight w:val="none"/>
        </w:rPr>
        <w:t>满足供应商特定资格条件的其他证明材料加盖供应商CA签章（按“评标方法及评标标准” “资格性检查表”“ 供应商应符合的特定资格条件”规定提供）。</w:t>
      </w:r>
      <w:r>
        <w:rPr>
          <w:rFonts w:hint="eastAsia"/>
          <w:b/>
          <w:bCs/>
          <w:color w:val="auto"/>
          <w:szCs w:val="21"/>
          <w:highlight w:val="none"/>
        </w:rPr>
        <w:t>（如招标文件有要求，则必须提供）</w:t>
      </w:r>
    </w:p>
    <w:bookmarkEnd w:id="114"/>
    <w:bookmarkEnd w:id="115"/>
    <w:p>
      <w:pPr>
        <w:snapToGrid w:val="0"/>
        <w:spacing w:before="50" w:after="120" w:afterLines="50" w:line="288" w:lineRule="auto"/>
        <w:jc w:val="left"/>
        <w:rPr>
          <w:rFonts w:ascii="Arial" w:hAnsi="Arial" w:cs="Arial"/>
          <w:b/>
          <w:bCs/>
          <w:color w:val="auto"/>
          <w:szCs w:val="21"/>
          <w:highlight w:val="none"/>
        </w:rPr>
      </w:pPr>
    </w:p>
    <w:p>
      <w:pPr>
        <w:snapToGrid w:val="0"/>
        <w:spacing w:before="50" w:after="120" w:afterLines="50" w:line="288" w:lineRule="auto"/>
        <w:jc w:val="left"/>
        <w:rPr>
          <w:rFonts w:ascii="Arial" w:hAnsi="Arial" w:cs="Arial"/>
          <w:color w:val="auto"/>
          <w:szCs w:val="21"/>
          <w:highlight w:val="none"/>
        </w:rPr>
      </w:pPr>
    </w:p>
    <w:p>
      <w:pPr>
        <w:snapToGrid w:val="0"/>
        <w:spacing w:before="50" w:after="120" w:afterLines="50" w:line="288" w:lineRule="auto"/>
        <w:jc w:val="left"/>
        <w:rPr>
          <w:rFonts w:ascii="Arial" w:hAnsi="Arial" w:cs="Arial"/>
          <w:color w:val="auto"/>
          <w:szCs w:val="21"/>
          <w:highlight w:val="none"/>
        </w:rPr>
      </w:pPr>
    </w:p>
    <w:p>
      <w:pPr>
        <w:snapToGrid w:val="0"/>
        <w:spacing w:before="50" w:after="120" w:afterLines="50" w:line="288" w:lineRule="auto"/>
        <w:jc w:val="left"/>
        <w:rPr>
          <w:rFonts w:ascii="Arial" w:hAnsi="Arial" w:cs="Arial"/>
          <w:b/>
          <w:color w:val="auto"/>
          <w:szCs w:val="21"/>
          <w:highlight w:val="none"/>
        </w:rPr>
      </w:pPr>
      <w:r>
        <w:rPr>
          <w:rFonts w:ascii="Arial" w:hAnsi="Arial" w:cs="Arial"/>
          <w:color w:val="auto"/>
          <w:szCs w:val="21"/>
          <w:highlight w:val="none"/>
        </w:rPr>
        <w:br w:type="page"/>
      </w:r>
      <w:r>
        <w:rPr>
          <w:rFonts w:hint="eastAsia" w:ascii="Arial" w:hAnsi="Arial" w:cs="Arial"/>
          <w:color w:val="auto"/>
          <w:szCs w:val="21"/>
          <w:highlight w:val="none"/>
        </w:rPr>
        <w:t>7</w:t>
      </w:r>
      <w:r>
        <w:rPr>
          <w:rFonts w:ascii="Arial" w:hAnsi="Arial" w:cs="Arial"/>
          <w:color w:val="auto"/>
          <w:szCs w:val="21"/>
          <w:highlight w:val="none"/>
        </w:rPr>
        <w:t>．</w:t>
      </w:r>
      <w:r>
        <w:rPr>
          <w:rFonts w:ascii="Arial" w:hAnsi="Arial" w:cs="Arial"/>
          <w:color w:val="auto"/>
          <w:highlight w:val="none"/>
        </w:rPr>
        <w:t>满足供应商特定资格条件的其他证明材料</w:t>
      </w:r>
      <w:r>
        <w:rPr>
          <w:rFonts w:ascii="Arial" w:hAnsi="Arial" w:cs="Arial"/>
          <w:color w:val="auto"/>
          <w:szCs w:val="21"/>
          <w:highlight w:val="none"/>
        </w:rPr>
        <w:t>加盖供应商CA签章</w:t>
      </w:r>
      <w:r>
        <w:rPr>
          <w:rFonts w:ascii="Arial" w:hAnsi="Arial" w:cs="Arial"/>
          <w:color w:val="auto"/>
          <w:highlight w:val="none"/>
        </w:rPr>
        <w:t>（</w:t>
      </w:r>
      <w:r>
        <w:rPr>
          <w:rFonts w:ascii="Arial" w:hAnsi="Arial" w:cs="Arial"/>
          <w:color w:val="auto"/>
          <w:szCs w:val="21"/>
          <w:highlight w:val="none"/>
        </w:rPr>
        <w:t>按“评标方法及评标标准” “资格性检查表”“</w:t>
      </w:r>
      <w:r>
        <w:rPr>
          <w:rFonts w:ascii="Arial" w:hAnsi="Arial" w:cs="Arial"/>
          <w:color w:val="auto"/>
          <w:szCs w:val="21"/>
          <w:highlight w:val="none"/>
          <w:lang w:val="zh-CN"/>
        </w:rPr>
        <w:t xml:space="preserve"> 供应商应符合的</w:t>
      </w:r>
      <w:r>
        <w:rPr>
          <w:rFonts w:ascii="Arial" w:hAnsi="Arial" w:cs="Arial"/>
          <w:color w:val="auto"/>
          <w:szCs w:val="21"/>
          <w:highlight w:val="none"/>
        </w:rPr>
        <w:t>特定资格条件”规定提供</w:t>
      </w:r>
      <w:r>
        <w:rPr>
          <w:rFonts w:ascii="Arial" w:hAnsi="Arial" w:cs="Arial"/>
          <w:color w:val="auto"/>
          <w:highlight w:val="none"/>
        </w:rPr>
        <w:t>）。</w:t>
      </w:r>
      <w:r>
        <w:rPr>
          <w:rFonts w:ascii="Arial" w:hAnsi="Arial" w:cs="Arial"/>
          <w:b/>
          <w:color w:val="auto"/>
          <w:szCs w:val="21"/>
          <w:highlight w:val="none"/>
        </w:rPr>
        <w:t>（如招标文件有要求，则必须提供）</w:t>
      </w:r>
    </w:p>
    <w:p>
      <w:pPr>
        <w:snapToGrid w:val="0"/>
        <w:spacing w:before="50" w:after="120" w:afterLines="50" w:line="360" w:lineRule="auto"/>
        <w:jc w:val="left"/>
        <w:rPr>
          <w:rFonts w:ascii="Arial" w:hAnsi="Arial" w:cs="Arial"/>
          <w:color w:val="auto"/>
          <w:szCs w:val="21"/>
          <w:highlight w:val="none"/>
        </w:rPr>
      </w:pPr>
      <w:r>
        <w:rPr>
          <w:rFonts w:ascii="Arial" w:hAnsi="Arial" w:cs="Arial"/>
          <w:color w:val="auto"/>
          <w:szCs w:val="21"/>
          <w:highlight w:val="none"/>
        </w:rPr>
        <w:t>7.1投标人直接控股股东信息表</w:t>
      </w:r>
    </w:p>
    <w:tbl>
      <w:tblPr>
        <w:tblStyle w:val="53"/>
        <w:tblW w:w="0" w:type="auto"/>
        <w:tblInd w:w="0" w:type="dxa"/>
        <w:tblLayout w:type="fixed"/>
        <w:tblCellMar>
          <w:top w:w="0" w:type="dxa"/>
          <w:left w:w="0" w:type="dxa"/>
          <w:bottom w:w="0" w:type="dxa"/>
          <w:right w:w="0" w:type="dxa"/>
        </w:tblCellMar>
      </w:tblPr>
      <w:tblGrid>
        <w:gridCol w:w="828"/>
        <w:gridCol w:w="2269"/>
        <w:gridCol w:w="1239"/>
        <w:gridCol w:w="3722"/>
        <w:gridCol w:w="1418"/>
      </w:tblGrid>
      <w:tr>
        <w:tblPrEx>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序号</w:t>
            </w:r>
          </w:p>
        </w:tc>
        <w:tc>
          <w:tcPr>
            <w:tcW w:w="226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出资比例</w:t>
            </w:r>
          </w:p>
        </w:tc>
        <w:tc>
          <w:tcPr>
            <w:tcW w:w="3722"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1</w:t>
            </w:r>
          </w:p>
        </w:tc>
        <w:tc>
          <w:tcPr>
            <w:tcW w:w="226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23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722"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2</w:t>
            </w:r>
          </w:p>
        </w:tc>
        <w:tc>
          <w:tcPr>
            <w:tcW w:w="226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23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722"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3</w:t>
            </w:r>
          </w:p>
        </w:tc>
        <w:tc>
          <w:tcPr>
            <w:tcW w:w="226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23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722"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w:t>
            </w:r>
          </w:p>
        </w:tc>
        <w:tc>
          <w:tcPr>
            <w:tcW w:w="226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23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722"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bl>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注：</w:t>
      </w:r>
    </w:p>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3.供应商不存在直接控股股东的，则填“无”。</w:t>
      </w:r>
    </w:p>
    <w:p>
      <w:pPr>
        <w:snapToGrid w:val="0"/>
        <w:spacing w:line="360" w:lineRule="auto"/>
        <w:jc w:val="left"/>
        <w:rPr>
          <w:rFonts w:ascii="Arial" w:hAnsi="Arial" w:cs="Arial"/>
          <w:color w:val="auto"/>
          <w:szCs w:val="21"/>
          <w:highlight w:val="none"/>
        </w:rPr>
      </w:pPr>
    </w:p>
    <w:p>
      <w:pPr>
        <w:snapToGrid w:val="0"/>
        <w:spacing w:line="360" w:lineRule="auto"/>
        <w:jc w:val="left"/>
        <w:rPr>
          <w:rFonts w:ascii="Arial" w:hAnsi="Arial" w:cs="Arial"/>
          <w:color w:val="auto"/>
          <w:szCs w:val="21"/>
          <w:highlight w:val="none"/>
        </w:rPr>
      </w:pPr>
    </w:p>
    <w:p>
      <w:pPr>
        <w:snapToGrid w:val="0"/>
        <w:spacing w:line="360" w:lineRule="auto"/>
        <w:jc w:val="left"/>
        <w:rPr>
          <w:rFonts w:ascii="Arial" w:hAnsi="Arial" w:cs="Arial"/>
          <w:color w:val="auto"/>
          <w:szCs w:val="21"/>
          <w:highlight w:val="none"/>
        </w:rPr>
      </w:pPr>
    </w:p>
    <w:p>
      <w:pPr>
        <w:snapToGrid w:val="0"/>
        <w:spacing w:line="360" w:lineRule="auto"/>
        <w:jc w:val="left"/>
        <w:rPr>
          <w:rFonts w:ascii="Arial" w:hAnsi="Arial" w:cs="Arial"/>
          <w:color w:val="auto"/>
          <w:szCs w:val="21"/>
          <w:highlight w:val="none"/>
        </w:rPr>
      </w:pPr>
    </w:p>
    <w:p>
      <w:pPr>
        <w:snapToGrid w:val="0"/>
        <w:spacing w:line="360" w:lineRule="auto"/>
        <w:jc w:val="left"/>
        <w:rPr>
          <w:rFonts w:ascii="Arial" w:hAnsi="Arial" w:cs="Arial"/>
          <w:color w:val="auto"/>
          <w:szCs w:val="21"/>
          <w:highlight w:val="none"/>
        </w:rPr>
      </w:pPr>
    </w:p>
    <w:p>
      <w:pPr>
        <w:snapToGrid w:val="0"/>
        <w:spacing w:line="360" w:lineRule="auto"/>
        <w:ind w:firstLine="4410" w:firstLineChars="2100"/>
        <w:rPr>
          <w:rFonts w:ascii="Arial" w:hAnsi="Arial" w:cs="Arial"/>
          <w:color w:val="auto"/>
          <w:szCs w:val="21"/>
          <w:highlight w:val="none"/>
        </w:rPr>
      </w:pPr>
      <w:r>
        <w:rPr>
          <w:rFonts w:ascii="Arial" w:hAnsi="Arial" w:cs="Arial"/>
          <w:color w:val="auto"/>
          <w:szCs w:val="21"/>
          <w:highlight w:val="none"/>
        </w:rPr>
        <w:t>供应商名称(电子签章)：</w:t>
      </w:r>
    </w:p>
    <w:p>
      <w:pPr>
        <w:snapToGrid w:val="0"/>
        <w:spacing w:line="360" w:lineRule="auto"/>
        <w:ind w:firstLine="4515" w:firstLineChars="2150"/>
        <w:rPr>
          <w:rFonts w:ascii="Arial" w:hAnsi="Arial" w:cs="Arial"/>
          <w:color w:val="auto"/>
          <w:szCs w:val="21"/>
          <w:highlight w:val="none"/>
        </w:rPr>
      </w:pPr>
      <w:r>
        <w:rPr>
          <w:rFonts w:ascii="Arial" w:hAnsi="Arial" w:cs="Arial"/>
          <w:color w:val="auto"/>
          <w:szCs w:val="21"/>
          <w:highlight w:val="none"/>
        </w:rPr>
        <w:t>日期：  年  月   日</w:t>
      </w:r>
    </w:p>
    <w:p>
      <w:pPr>
        <w:snapToGrid w:val="0"/>
        <w:jc w:val="center"/>
        <w:rPr>
          <w:rFonts w:ascii="Arial" w:hAnsi="Arial" w:cs="Arial"/>
          <w:b/>
          <w:color w:val="auto"/>
          <w:sz w:val="28"/>
          <w:szCs w:val="28"/>
          <w:highlight w:val="none"/>
        </w:rPr>
      </w:pPr>
      <w:r>
        <w:rPr>
          <w:rFonts w:ascii="Arial" w:hAnsi="Arial" w:cs="Arial"/>
          <w:b/>
          <w:color w:val="auto"/>
          <w:sz w:val="28"/>
          <w:szCs w:val="28"/>
          <w:highlight w:val="none"/>
        </w:rPr>
        <w:br w:type="page"/>
      </w:r>
    </w:p>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7.2投标人直接管理关系信息表</w:t>
      </w:r>
    </w:p>
    <w:tbl>
      <w:tblPr>
        <w:tblStyle w:val="53"/>
        <w:tblW w:w="0" w:type="auto"/>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r>
        <w:tblPrEx>
          <w:shd w:val="clear" w:color="auto" w:fill="FBFBFB"/>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r>
              <w:rPr>
                <w:rFonts w:ascii="Arial" w:hAnsi="Arial" w:cs="Arial"/>
                <w:color w:val="auto"/>
                <w:szCs w:val="21"/>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spacing w:line="360" w:lineRule="auto"/>
              <w:jc w:val="center"/>
              <w:rPr>
                <w:rFonts w:ascii="Arial" w:hAnsi="Arial" w:cs="Arial"/>
                <w:color w:val="auto"/>
                <w:szCs w:val="21"/>
                <w:highlight w:val="none"/>
              </w:rPr>
            </w:pPr>
          </w:p>
        </w:tc>
      </w:tr>
    </w:tbl>
    <w:p>
      <w:pPr>
        <w:snapToGrid w:val="0"/>
        <w:spacing w:line="360" w:lineRule="auto"/>
        <w:jc w:val="left"/>
        <w:rPr>
          <w:rFonts w:ascii="Arial" w:hAnsi="Arial" w:cs="Arial"/>
          <w:color w:val="auto"/>
          <w:szCs w:val="21"/>
          <w:highlight w:val="none"/>
        </w:rPr>
      </w:pPr>
      <w:r>
        <w:rPr>
          <w:rFonts w:ascii="Arial" w:hAnsi="Arial" w:cs="Arial"/>
          <w:color w:val="auto"/>
          <w:szCs w:val="21"/>
          <w:highlight w:val="none"/>
        </w:rPr>
        <w:t>注：</w:t>
      </w:r>
    </w:p>
    <w:p>
      <w:pPr>
        <w:snapToGrid w:val="0"/>
        <w:spacing w:line="360" w:lineRule="auto"/>
        <w:ind w:firstLine="420" w:firstLineChars="200"/>
        <w:jc w:val="left"/>
        <w:rPr>
          <w:rFonts w:ascii="Arial" w:hAnsi="Arial" w:cs="Arial"/>
          <w:color w:val="auto"/>
          <w:szCs w:val="21"/>
          <w:highlight w:val="none"/>
        </w:rPr>
      </w:pPr>
      <w:r>
        <w:rPr>
          <w:rFonts w:ascii="Arial" w:hAnsi="Arial" w:cs="Arial"/>
          <w:color w:val="auto"/>
          <w:szCs w:val="21"/>
          <w:highlight w:val="none"/>
        </w:rPr>
        <w:t>1.管理关系：是指不具有出资持股关系的其他单位之间存在的管理与被管理关系，如一些上下级关系的事业单位和团体组织。</w:t>
      </w:r>
    </w:p>
    <w:p>
      <w:pPr>
        <w:snapToGrid w:val="0"/>
        <w:spacing w:line="360" w:lineRule="auto"/>
        <w:ind w:firstLine="420" w:firstLineChars="200"/>
        <w:jc w:val="left"/>
        <w:rPr>
          <w:rFonts w:ascii="Arial" w:hAnsi="Arial" w:cs="Arial"/>
          <w:color w:val="auto"/>
          <w:szCs w:val="21"/>
          <w:highlight w:val="none"/>
        </w:rPr>
      </w:pPr>
      <w:r>
        <w:rPr>
          <w:rFonts w:ascii="Arial" w:hAnsi="Arial" w:cs="Arial"/>
          <w:color w:val="auto"/>
          <w:szCs w:val="21"/>
          <w:highlight w:val="none"/>
        </w:rPr>
        <w:t>2.本表所指的管理关系仅限于直接管理关系，不包括间接的管理关系。</w:t>
      </w:r>
    </w:p>
    <w:p>
      <w:pPr>
        <w:snapToGrid w:val="0"/>
        <w:spacing w:line="360" w:lineRule="auto"/>
        <w:ind w:firstLine="420" w:firstLineChars="200"/>
        <w:jc w:val="left"/>
        <w:rPr>
          <w:rFonts w:ascii="Arial" w:hAnsi="Arial" w:cs="Arial"/>
          <w:color w:val="auto"/>
          <w:szCs w:val="21"/>
          <w:highlight w:val="none"/>
        </w:rPr>
      </w:pPr>
      <w:r>
        <w:rPr>
          <w:rFonts w:ascii="Arial" w:hAnsi="Arial" w:cs="Arial"/>
          <w:color w:val="auto"/>
          <w:szCs w:val="21"/>
          <w:highlight w:val="none"/>
        </w:rPr>
        <w:t>3.供应商不存在直接管理关系的，则填“无”。</w:t>
      </w:r>
    </w:p>
    <w:p>
      <w:pPr>
        <w:snapToGrid w:val="0"/>
        <w:spacing w:line="360" w:lineRule="auto"/>
        <w:jc w:val="left"/>
        <w:rPr>
          <w:rFonts w:ascii="Arial" w:hAnsi="Arial" w:cs="Arial"/>
          <w:color w:val="auto"/>
          <w:szCs w:val="21"/>
          <w:highlight w:val="none"/>
        </w:rPr>
      </w:pPr>
    </w:p>
    <w:p>
      <w:pPr>
        <w:snapToGrid w:val="0"/>
        <w:spacing w:line="360" w:lineRule="auto"/>
        <w:jc w:val="left"/>
        <w:rPr>
          <w:rFonts w:ascii="Arial" w:hAnsi="Arial" w:cs="Arial"/>
          <w:color w:val="auto"/>
          <w:szCs w:val="21"/>
          <w:highlight w:val="none"/>
        </w:rPr>
      </w:pPr>
    </w:p>
    <w:p>
      <w:pPr>
        <w:snapToGrid w:val="0"/>
        <w:spacing w:line="360" w:lineRule="auto"/>
        <w:ind w:firstLine="4410" w:firstLineChars="2100"/>
        <w:rPr>
          <w:rFonts w:ascii="Arial" w:hAnsi="Arial" w:cs="Arial"/>
          <w:color w:val="auto"/>
          <w:szCs w:val="21"/>
          <w:highlight w:val="none"/>
        </w:rPr>
      </w:pPr>
      <w:r>
        <w:rPr>
          <w:rFonts w:ascii="Arial" w:hAnsi="Arial" w:cs="Arial"/>
          <w:color w:val="auto"/>
          <w:szCs w:val="21"/>
          <w:highlight w:val="none"/>
        </w:rPr>
        <w:t>供应商名称(电子签章)：</w:t>
      </w:r>
    </w:p>
    <w:p>
      <w:pPr>
        <w:snapToGrid w:val="0"/>
        <w:spacing w:line="360" w:lineRule="auto"/>
        <w:ind w:firstLine="4515" w:firstLineChars="2150"/>
        <w:rPr>
          <w:rFonts w:ascii="Arial" w:hAnsi="Arial" w:cs="Arial"/>
          <w:color w:val="auto"/>
          <w:szCs w:val="21"/>
          <w:highlight w:val="none"/>
        </w:rPr>
      </w:pPr>
      <w:r>
        <w:rPr>
          <w:rFonts w:ascii="Arial" w:hAnsi="Arial" w:cs="Arial"/>
          <w:color w:val="auto"/>
          <w:szCs w:val="21"/>
          <w:highlight w:val="none"/>
        </w:rPr>
        <w:t>日期：  年  月   日</w:t>
      </w:r>
    </w:p>
    <w:p>
      <w:pPr>
        <w:snapToGrid w:val="0"/>
        <w:spacing w:before="50" w:after="120" w:afterLines="50" w:line="440" w:lineRule="exact"/>
        <w:jc w:val="left"/>
        <w:rPr>
          <w:rFonts w:ascii="Arial" w:hAnsi="Arial" w:cs="Arial"/>
          <w:color w:val="auto"/>
          <w:szCs w:val="21"/>
          <w:highlight w:val="none"/>
        </w:rPr>
      </w:pPr>
    </w:p>
    <w:p>
      <w:pPr>
        <w:snapToGrid w:val="0"/>
        <w:spacing w:before="120" w:beforeLines="50" w:after="50" w:line="360" w:lineRule="exact"/>
        <w:rPr>
          <w:rFonts w:ascii="Arial" w:hAnsi="Arial" w:cs="Arial"/>
          <w:color w:val="auto"/>
          <w:szCs w:val="21"/>
          <w:highlight w:val="none"/>
        </w:rPr>
      </w:pPr>
    </w:p>
    <w:p>
      <w:pPr>
        <w:snapToGrid w:val="0"/>
        <w:spacing w:before="50" w:after="120" w:afterLines="50"/>
        <w:jc w:val="left"/>
        <w:rPr>
          <w:color w:val="auto"/>
          <w:szCs w:val="21"/>
          <w:highlight w:val="none"/>
        </w:rPr>
      </w:pPr>
      <w:bookmarkStart w:id="116" w:name="_Hlk93048232"/>
      <w:r>
        <w:rPr>
          <w:color w:val="auto"/>
          <w:szCs w:val="21"/>
          <w:highlight w:val="none"/>
        </w:rPr>
        <w:t>8．供应商认为应当要提交的</w:t>
      </w:r>
      <w:r>
        <w:rPr>
          <w:rFonts w:hint="eastAsia"/>
          <w:color w:val="auto"/>
          <w:szCs w:val="21"/>
          <w:highlight w:val="none"/>
        </w:rPr>
        <w:t>其他</w:t>
      </w:r>
      <w:r>
        <w:rPr>
          <w:color w:val="auto"/>
          <w:szCs w:val="21"/>
          <w:highlight w:val="none"/>
        </w:rPr>
        <w:t>资格证明材料。</w:t>
      </w:r>
      <w:r>
        <w:rPr>
          <w:bCs/>
          <w:color w:val="auto"/>
          <w:sz w:val="24"/>
          <w:highlight w:val="none"/>
        </w:rPr>
        <w:t xml:space="preserve"> </w:t>
      </w:r>
    </w:p>
    <w:p>
      <w:pPr>
        <w:snapToGrid w:val="0"/>
        <w:spacing w:before="120" w:beforeLines="50" w:after="50" w:line="440" w:lineRule="exact"/>
        <w:jc w:val="left"/>
        <w:outlineLvl w:val="1"/>
        <w:rPr>
          <w:rFonts w:ascii="Arial" w:hAnsi="Arial" w:cs="Arial"/>
          <w:bCs/>
          <w:color w:val="auto"/>
          <w:sz w:val="24"/>
          <w:highlight w:val="none"/>
        </w:rPr>
      </w:pPr>
      <w:r>
        <w:rPr>
          <w:rFonts w:ascii="Arial" w:hAnsi="Arial" w:cs="Arial"/>
          <w:color w:val="auto"/>
          <w:szCs w:val="21"/>
          <w:highlight w:val="none"/>
        </w:rPr>
        <w:br w:type="page"/>
      </w:r>
      <w:bookmarkEnd w:id="116"/>
      <w:r>
        <w:rPr>
          <w:rFonts w:ascii="Arial" w:hAnsi="Arial" w:cs="Arial"/>
          <w:bCs/>
          <w:color w:val="auto"/>
          <w:sz w:val="24"/>
          <w:highlight w:val="none"/>
        </w:rPr>
        <w:t xml:space="preserve">2．投标文件第二册封面参考格式： </w:t>
      </w:r>
    </w:p>
    <w:p>
      <w:pPr>
        <w:snapToGrid w:val="0"/>
        <w:spacing w:before="50" w:after="120" w:afterLines="50" w:line="400" w:lineRule="exact"/>
        <w:jc w:val="left"/>
        <w:rPr>
          <w:rFonts w:ascii="Arial" w:hAnsi="Arial" w:cs="Arial"/>
          <w:bCs/>
          <w:color w:val="auto"/>
          <w:sz w:val="24"/>
          <w:highlight w:val="none"/>
        </w:rPr>
      </w:pPr>
    </w:p>
    <w:p>
      <w:pPr>
        <w:snapToGrid w:val="0"/>
        <w:spacing w:before="120" w:beforeLines="50" w:after="50" w:line="360" w:lineRule="exact"/>
        <w:rPr>
          <w:rFonts w:ascii="Arial" w:hAnsi="Arial" w:cs="Arial"/>
          <w:color w:val="auto"/>
          <w:sz w:val="24"/>
          <w:highlight w:val="none"/>
        </w:rPr>
      </w:pPr>
    </w:p>
    <w:p>
      <w:pPr>
        <w:snapToGrid w:val="0"/>
        <w:spacing w:before="120" w:beforeLines="50" w:after="50" w:line="360" w:lineRule="exact"/>
        <w:jc w:val="center"/>
        <w:rPr>
          <w:rFonts w:ascii="Arial" w:hAnsi="Arial" w:cs="Arial"/>
          <w:bCs/>
          <w:color w:val="auto"/>
          <w:sz w:val="24"/>
          <w:highlight w:val="none"/>
        </w:rPr>
      </w:pPr>
    </w:p>
    <w:p>
      <w:pPr>
        <w:pStyle w:val="28"/>
        <w:rPr>
          <w:rFonts w:ascii="Arial" w:hAnsi="Arial" w:cs="Arial"/>
          <w:color w:val="auto"/>
          <w:highlight w:val="none"/>
        </w:rPr>
      </w:pPr>
    </w:p>
    <w:p>
      <w:pPr>
        <w:snapToGrid w:val="0"/>
        <w:spacing w:before="120" w:beforeLines="50" w:after="50" w:line="360" w:lineRule="exact"/>
        <w:jc w:val="center"/>
        <w:rPr>
          <w:rFonts w:ascii="Arial" w:hAnsi="Arial" w:cs="Arial"/>
          <w:b/>
          <w:bCs/>
          <w:color w:val="auto"/>
          <w:sz w:val="44"/>
          <w:szCs w:val="44"/>
          <w:highlight w:val="none"/>
        </w:rPr>
      </w:pPr>
      <w:r>
        <w:rPr>
          <w:rFonts w:ascii="Arial" w:hAnsi="Arial" w:cs="Arial"/>
          <w:b/>
          <w:bCs/>
          <w:color w:val="auto"/>
          <w:sz w:val="44"/>
          <w:szCs w:val="44"/>
          <w:highlight w:val="none"/>
        </w:rPr>
        <w:t>投标文件</w:t>
      </w:r>
    </w:p>
    <w:p>
      <w:pPr>
        <w:snapToGrid w:val="0"/>
        <w:spacing w:before="120" w:beforeLines="50" w:after="50" w:line="360" w:lineRule="exact"/>
        <w:jc w:val="center"/>
        <w:rPr>
          <w:rFonts w:ascii="Arial" w:hAnsi="Arial" w:cs="Arial"/>
          <w:b/>
          <w:bCs/>
          <w:color w:val="auto"/>
          <w:sz w:val="44"/>
          <w:szCs w:val="44"/>
          <w:highlight w:val="none"/>
        </w:rPr>
      </w:pPr>
    </w:p>
    <w:p>
      <w:pPr>
        <w:snapToGrid w:val="0"/>
        <w:spacing w:before="120" w:beforeLines="50" w:after="50" w:line="360" w:lineRule="exact"/>
        <w:jc w:val="center"/>
        <w:rPr>
          <w:rFonts w:ascii="Arial" w:hAnsi="Arial" w:cs="Arial"/>
          <w:b/>
          <w:bCs/>
          <w:color w:val="auto"/>
          <w:sz w:val="44"/>
          <w:szCs w:val="44"/>
          <w:highlight w:val="none"/>
        </w:rPr>
      </w:pPr>
    </w:p>
    <w:p>
      <w:pPr>
        <w:snapToGrid w:val="0"/>
        <w:spacing w:before="120" w:beforeLines="50" w:after="50" w:line="360" w:lineRule="exact"/>
        <w:jc w:val="center"/>
        <w:rPr>
          <w:rFonts w:ascii="Arial" w:hAnsi="Arial" w:cs="Arial"/>
          <w:b/>
          <w:bCs/>
          <w:color w:val="auto"/>
          <w:sz w:val="44"/>
          <w:szCs w:val="44"/>
          <w:highlight w:val="none"/>
        </w:rPr>
      </w:pPr>
      <w:r>
        <w:rPr>
          <w:rFonts w:ascii="Arial" w:hAnsi="Arial" w:cs="Arial"/>
          <w:b/>
          <w:bCs/>
          <w:color w:val="auto"/>
          <w:sz w:val="44"/>
          <w:szCs w:val="44"/>
          <w:highlight w:val="none"/>
        </w:rPr>
        <w:t>第二册  商务技术报价文件</w:t>
      </w: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rPr>
          <w:rFonts w:ascii="Arial" w:hAnsi="Arial" w:cs="Arial"/>
          <w:bCs/>
          <w:color w:val="auto"/>
          <w:sz w:val="24"/>
          <w:highlight w:val="none"/>
        </w:rPr>
      </w:pP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 xml:space="preserve">项目名称： </w:t>
      </w: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项目编号：</w:t>
      </w: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分标号：（若无留空或写“/”）</w:t>
      </w:r>
    </w:p>
    <w:p>
      <w:pPr>
        <w:pStyle w:val="22"/>
        <w:spacing w:line="360" w:lineRule="auto"/>
        <w:ind w:firstLine="480" w:firstLineChars="200"/>
        <w:rPr>
          <w:rFonts w:ascii="Arial" w:hAnsi="Arial" w:eastAsia="宋体" w:cs="Arial"/>
          <w:bCs/>
          <w:color w:val="auto"/>
          <w:sz w:val="24"/>
          <w:szCs w:val="24"/>
          <w:highlight w:val="none"/>
        </w:rPr>
      </w:pPr>
    </w:p>
    <w:p>
      <w:pPr>
        <w:pStyle w:val="22"/>
        <w:spacing w:line="360" w:lineRule="auto"/>
        <w:ind w:firstLine="480" w:firstLineChars="200"/>
        <w:rPr>
          <w:rFonts w:ascii="Arial" w:hAnsi="Arial" w:eastAsia="宋体" w:cs="Arial"/>
          <w:bCs/>
          <w:color w:val="auto"/>
          <w:sz w:val="28"/>
          <w:szCs w:val="28"/>
          <w:highlight w:val="none"/>
        </w:rPr>
      </w:pPr>
      <w:r>
        <w:rPr>
          <w:rFonts w:ascii="Arial" w:hAnsi="Arial" w:eastAsia="宋体" w:cs="Arial"/>
          <w:bCs/>
          <w:color w:val="auto"/>
          <w:sz w:val="24"/>
          <w:szCs w:val="24"/>
          <w:highlight w:val="none"/>
        </w:rPr>
        <w:t>供应商[公章(CA签章)]</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pStyle w:val="22"/>
        <w:spacing w:line="360" w:lineRule="auto"/>
        <w:ind w:left="519" w:leftChars="247" w:firstLine="0" w:firstLineChars="0"/>
        <w:rPr>
          <w:rFonts w:ascii="Arial" w:hAnsi="Arial" w:eastAsia="宋体" w:cs="Arial"/>
          <w:color w:val="auto"/>
          <w:sz w:val="28"/>
          <w:szCs w:val="28"/>
          <w:highlight w:val="none"/>
          <w:u w:val="single"/>
        </w:rPr>
      </w:pPr>
      <w:r>
        <w:rPr>
          <w:rFonts w:ascii="Arial" w:hAnsi="Arial" w:eastAsia="宋体" w:cs="Arial"/>
          <w:bCs/>
          <w:color w:val="auto"/>
          <w:sz w:val="24"/>
          <w:szCs w:val="24"/>
          <w:highlight w:val="none"/>
        </w:rPr>
        <w:t>法定代表人或相应的委托代理人签字[或盖章(CA签章)]</w:t>
      </w:r>
      <w:r>
        <w:rPr>
          <w:rFonts w:ascii="Arial" w:hAnsi="Arial" w:eastAsia="宋体" w:cs="Arial"/>
          <w:color w:val="auto"/>
          <w:sz w:val="28"/>
          <w:szCs w:val="28"/>
          <w:highlight w:val="none"/>
        </w:rPr>
        <w:t>：</w:t>
      </w:r>
      <w:r>
        <w:rPr>
          <w:rFonts w:ascii="Arial" w:hAnsi="Arial" w:eastAsia="宋体" w:cs="Arial"/>
          <w:color w:val="auto"/>
          <w:sz w:val="28"/>
          <w:szCs w:val="28"/>
          <w:highlight w:val="none"/>
          <w:u w:val="single"/>
        </w:rPr>
        <w:t xml:space="preserve">              </w:t>
      </w:r>
    </w:p>
    <w:p>
      <w:pPr>
        <w:pStyle w:val="22"/>
        <w:spacing w:line="360" w:lineRule="auto"/>
        <w:ind w:left="479" w:leftChars="228" w:firstLine="0" w:firstLineChars="0"/>
        <w:rPr>
          <w:rFonts w:ascii="Arial" w:hAnsi="Arial" w:eastAsia="宋体" w:cs="Arial"/>
          <w:bCs/>
          <w:color w:val="auto"/>
          <w:sz w:val="28"/>
          <w:szCs w:val="28"/>
          <w:highlight w:val="none"/>
          <w:u w:val="single"/>
        </w:rPr>
      </w:pPr>
      <w:r>
        <w:rPr>
          <w:rFonts w:ascii="Arial" w:hAnsi="Arial" w:eastAsia="宋体" w:cs="Arial"/>
          <w:bCs/>
          <w:color w:val="auto"/>
          <w:sz w:val="24"/>
          <w:szCs w:val="24"/>
          <w:highlight w:val="none"/>
        </w:rPr>
        <w:t>联系电话</w:t>
      </w:r>
      <w:r>
        <w:rPr>
          <w:rFonts w:ascii="Arial" w:hAnsi="Arial" w:eastAsia="宋体" w:cs="Arial"/>
          <w:bCs/>
          <w:color w:val="auto"/>
          <w:sz w:val="28"/>
          <w:szCs w:val="28"/>
          <w:highlight w:val="none"/>
        </w:rPr>
        <w:t>：</w:t>
      </w:r>
      <w:r>
        <w:rPr>
          <w:rFonts w:ascii="Arial" w:hAnsi="Arial" w:eastAsia="宋体" w:cs="Arial"/>
          <w:bCs/>
          <w:color w:val="auto"/>
          <w:sz w:val="28"/>
          <w:szCs w:val="28"/>
          <w:highlight w:val="none"/>
          <w:u w:val="single"/>
        </w:rPr>
        <w:t xml:space="preserve">                                                </w:t>
      </w:r>
    </w:p>
    <w:p>
      <w:pPr>
        <w:snapToGrid w:val="0"/>
        <w:spacing w:before="120" w:beforeLines="50" w:after="50" w:line="360" w:lineRule="exact"/>
        <w:ind w:firstLine="720" w:firstLineChars="300"/>
        <w:rPr>
          <w:rFonts w:ascii="Arial" w:hAnsi="Arial" w:cs="Arial"/>
          <w:bCs/>
          <w:color w:val="auto"/>
          <w:sz w:val="24"/>
          <w:highlight w:val="none"/>
        </w:rPr>
      </w:pPr>
      <w:r>
        <w:rPr>
          <w:rFonts w:ascii="Arial" w:hAnsi="Arial" w:cs="Arial"/>
          <w:bCs/>
          <w:color w:val="auto"/>
          <w:sz w:val="24"/>
          <w:highlight w:val="none"/>
        </w:rPr>
        <w:t>日期：</w:t>
      </w:r>
      <w:r>
        <w:rPr>
          <w:rFonts w:ascii="Arial" w:hAnsi="Arial" w:cs="Arial"/>
          <w:bCs/>
          <w:color w:val="auto"/>
          <w:sz w:val="28"/>
          <w:szCs w:val="28"/>
          <w:highlight w:val="none"/>
          <w:u w:val="single"/>
        </w:rPr>
        <w:t xml:space="preserve">      </w:t>
      </w:r>
      <w:r>
        <w:rPr>
          <w:rFonts w:ascii="Arial" w:hAnsi="Arial" w:cs="Arial"/>
          <w:bCs/>
          <w:color w:val="auto"/>
          <w:sz w:val="24"/>
          <w:highlight w:val="none"/>
        </w:rPr>
        <w:t>年</w:t>
      </w:r>
      <w:r>
        <w:rPr>
          <w:rFonts w:ascii="Arial" w:hAnsi="Arial" w:cs="Arial"/>
          <w:bCs/>
          <w:color w:val="auto"/>
          <w:sz w:val="28"/>
          <w:szCs w:val="28"/>
          <w:highlight w:val="none"/>
          <w:u w:val="single"/>
        </w:rPr>
        <w:t xml:space="preserve">      </w:t>
      </w:r>
      <w:r>
        <w:rPr>
          <w:rFonts w:ascii="Arial" w:hAnsi="Arial" w:cs="Arial"/>
          <w:bCs/>
          <w:color w:val="auto"/>
          <w:sz w:val="24"/>
          <w:highlight w:val="none"/>
        </w:rPr>
        <w:t>月</w:t>
      </w:r>
      <w:r>
        <w:rPr>
          <w:rFonts w:ascii="Arial" w:hAnsi="Arial" w:cs="Arial"/>
          <w:bCs/>
          <w:color w:val="auto"/>
          <w:sz w:val="28"/>
          <w:szCs w:val="28"/>
          <w:highlight w:val="none"/>
          <w:u w:val="single"/>
        </w:rPr>
        <w:t xml:space="preserve">      </w:t>
      </w:r>
      <w:r>
        <w:rPr>
          <w:rFonts w:ascii="Arial" w:hAnsi="Arial" w:cs="Arial"/>
          <w:bCs/>
          <w:color w:val="auto"/>
          <w:sz w:val="24"/>
          <w:highlight w:val="none"/>
        </w:rPr>
        <w:t>日</w:t>
      </w:r>
    </w:p>
    <w:p>
      <w:pPr>
        <w:pStyle w:val="7"/>
        <w:snapToGrid w:val="0"/>
        <w:spacing w:before="50" w:after="50" w:line="360" w:lineRule="exact"/>
        <w:ind w:firstLine="960" w:firstLineChars="400"/>
        <w:rPr>
          <w:rFonts w:ascii="Arial" w:hAnsi="Arial" w:cs="Arial"/>
          <w:bCs/>
          <w:color w:val="auto"/>
          <w:sz w:val="24"/>
          <w:szCs w:val="24"/>
          <w:highlight w:val="none"/>
        </w:rPr>
      </w:pPr>
    </w:p>
    <w:p>
      <w:pPr>
        <w:rPr>
          <w:rFonts w:ascii="Arial" w:hAnsi="Arial" w:cs="Arial"/>
          <w:color w:val="auto"/>
          <w:highlight w:val="none"/>
        </w:rPr>
      </w:pPr>
      <w:r>
        <w:rPr>
          <w:rFonts w:ascii="Arial" w:hAnsi="Arial" w:cs="Arial"/>
          <w:color w:val="auto"/>
          <w:highlight w:val="none"/>
        </w:rPr>
        <w:br w:type="page"/>
      </w:r>
    </w:p>
    <w:p>
      <w:pPr>
        <w:snapToGrid w:val="0"/>
        <w:spacing w:before="50" w:after="50" w:line="440" w:lineRule="exact"/>
        <w:ind w:firstLine="138" w:firstLineChars="49"/>
        <w:jc w:val="center"/>
        <w:rPr>
          <w:rFonts w:ascii="Arial" w:hAnsi="Arial" w:cs="Arial"/>
          <w:b/>
          <w:color w:val="auto"/>
          <w:sz w:val="28"/>
          <w:szCs w:val="28"/>
          <w:highlight w:val="none"/>
        </w:rPr>
      </w:pPr>
      <w:r>
        <w:rPr>
          <w:rFonts w:ascii="Arial" w:hAnsi="Arial" w:cs="Arial"/>
          <w:b/>
          <w:color w:val="auto"/>
          <w:sz w:val="28"/>
          <w:szCs w:val="28"/>
          <w:highlight w:val="none"/>
        </w:rPr>
        <w:t>目录</w:t>
      </w:r>
    </w:p>
    <w:p>
      <w:pPr>
        <w:snapToGrid w:val="0"/>
        <w:spacing w:before="50" w:after="50" w:line="440" w:lineRule="exact"/>
        <w:ind w:firstLine="118" w:firstLineChars="49"/>
        <w:jc w:val="center"/>
        <w:rPr>
          <w:rFonts w:ascii="Arial" w:hAnsi="Arial" w:cs="Arial"/>
          <w:b/>
          <w:color w:val="auto"/>
          <w:sz w:val="24"/>
          <w:highlight w:val="none"/>
        </w:rPr>
      </w:pPr>
      <w:r>
        <w:rPr>
          <w:rFonts w:ascii="Arial" w:hAnsi="Arial" w:cs="Arial"/>
          <w:b/>
          <w:color w:val="auto"/>
          <w:sz w:val="24"/>
          <w:highlight w:val="none"/>
        </w:rPr>
        <w:t>（应有页码）</w:t>
      </w:r>
    </w:p>
    <w:p>
      <w:pPr>
        <w:rPr>
          <w:rFonts w:ascii="Arial" w:hAnsi="Arial" w:cs="Arial"/>
          <w:b/>
          <w:color w:val="auto"/>
          <w:szCs w:val="21"/>
          <w:highlight w:val="none"/>
        </w:rPr>
      </w:pPr>
      <w:r>
        <w:rPr>
          <w:rFonts w:ascii="Arial" w:hAnsi="Arial" w:cs="Arial"/>
          <w:color w:val="auto"/>
          <w:highlight w:val="none"/>
        </w:rPr>
        <w:br w:type="page"/>
      </w:r>
      <w:bookmarkStart w:id="117" w:name="_Toc462223472"/>
      <w:bookmarkStart w:id="118" w:name="_Toc462320613"/>
      <w:bookmarkStart w:id="119" w:name="_Toc455309222"/>
      <w:bookmarkStart w:id="120" w:name="_Hlk19114325"/>
      <w:r>
        <w:rPr>
          <w:rFonts w:ascii="Arial" w:hAnsi="Arial" w:cs="Arial"/>
          <w:color w:val="auto"/>
          <w:szCs w:val="21"/>
          <w:highlight w:val="none"/>
        </w:rPr>
        <w:t>1．法定代表人身份证明</w:t>
      </w:r>
      <w:r>
        <w:rPr>
          <w:rFonts w:ascii="Arial" w:hAnsi="Arial" w:cs="Arial"/>
          <w:b/>
          <w:color w:val="auto"/>
          <w:szCs w:val="21"/>
          <w:highlight w:val="none"/>
        </w:rPr>
        <w:t>（无授权代表时必须提供）：</w:t>
      </w:r>
    </w:p>
    <w:p>
      <w:pPr>
        <w:snapToGrid w:val="0"/>
        <w:spacing w:before="120" w:beforeLines="50" w:after="50" w:line="440" w:lineRule="exact"/>
        <w:jc w:val="center"/>
        <w:rPr>
          <w:rFonts w:ascii="Arial" w:hAnsi="Arial" w:cs="Arial"/>
          <w:color w:val="auto"/>
          <w:szCs w:val="21"/>
          <w:highlight w:val="none"/>
        </w:rPr>
      </w:pPr>
    </w:p>
    <w:p>
      <w:pPr>
        <w:snapToGrid w:val="0"/>
        <w:spacing w:before="120" w:beforeLines="50" w:after="50" w:line="440" w:lineRule="exact"/>
        <w:jc w:val="center"/>
        <w:rPr>
          <w:rFonts w:ascii="Arial" w:hAnsi="Arial" w:cs="Arial"/>
          <w:b/>
          <w:color w:val="auto"/>
          <w:szCs w:val="21"/>
          <w:highlight w:val="none"/>
        </w:rPr>
      </w:pPr>
      <w:r>
        <w:rPr>
          <w:rFonts w:ascii="Arial" w:hAnsi="Arial" w:cs="Arial"/>
          <w:b/>
          <w:color w:val="auto"/>
          <w:szCs w:val="21"/>
          <w:highlight w:val="none"/>
        </w:rPr>
        <w:t>法定代表人身份证明</w:t>
      </w:r>
      <w:bookmarkEnd w:id="117"/>
      <w:bookmarkEnd w:id="118"/>
      <w:bookmarkEnd w:id="119"/>
    </w:p>
    <w:p>
      <w:pPr>
        <w:spacing w:line="360" w:lineRule="auto"/>
        <w:rPr>
          <w:rFonts w:ascii="Arial" w:hAnsi="Arial" w:cs="Arial"/>
          <w:color w:val="auto"/>
          <w:highlight w:val="none"/>
        </w:rPr>
      </w:pPr>
    </w:p>
    <w:p>
      <w:pPr>
        <w:spacing w:line="540" w:lineRule="exact"/>
        <w:rPr>
          <w:rFonts w:ascii="Arial" w:hAnsi="Arial" w:cs="Arial"/>
          <w:color w:val="auto"/>
          <w:szCs w:val="21"/>
          <w:highlight w:val="none"/>
        </w:rPr>
      </w:pPr>
      <w:r>
        <w:rPr>
          <w:rFonts w:ascii="Arial" w:hAnsi="Arial" w:cs="Arial"/>
          <w:color w:val="auto"/>
          <w:szCs w:val="21"/>
          <w:highlight w:val="none"/>
        </w:rPr>
        <w:t xml:space="preserve">供应商名称： </w:t>
      </w:r>
      <w:r>
        <w:rPr>
          <w:rFonts w:ascii="Arial" w:hAnsi="Arial" w:cs="Arial"/>
          <w:color w:val="auto"/>
          <w:szCs w:val="21"/>
          <w:highlight w:val="none"/>
          <w:u w:val="single"/>
        </w:rPr>
        <w:t xml:space="preserve">               </w:t>
      </w:r>
    </w:p>
    <w:p>
      <w:pPr>
        <w:spacing w:line="540" w:lineRule="exact"/>
        <w:rPr>
          <w:rFonts w:ascii="Arial" w:hAnsi="Arial" w:cs="Arial"/>
          <w:color w:val="auto"/>
          <w:szCs w:val="21"/>
          <w:highlight w:val="none"/>
        </w:rPr>
      </w:pPr>
      <w:r>
        <w:rPr>
          <w:rFonts w:ascii="Arial" w:hAnsi="Arial" w:cs="Arial"/>
          <w:color w:val="auto"/>
          <w:szCs w:val="21"/>
          <w:highlight w:val="none"/>
        </w:rPr>
        <w:t>单位性质：</w:t>
      </w:r>
      <w:r>
        <w:rPr>
          <w:rFonts w:ascii="Arial" w:hAnsi="Arial" w:cs="Arial"/>
          <w:color w:val="auto"/>
          <w:szCs w:val="21"/>
          <w:highlight w:val="none"/>
          <w:u w:val="single"/>
        </w:rPr>
        <w:t xml:space="preserve">               </w:t>
      </w:r>
    </w:p>
    <w:p>
      <w:pPr>
        <w:spacing w:line="540" w:lineRule="exact"/>
        <w:rPr>
          <w:rFonts w:ascii="Arial" w:hAnsi="Arial" w:cs="Arial"/>
          <w:color w:val="auto"/>
          <w:szCs w:val="21"/>
          <w:highlight w:val="none"/>
        </w:rPr>
      </w:pPr>
      <w:r>
        <w:rPr>
          <w:rFonts w:ascii="Arial" w:hAnsi="Arial" w:cs="Arial"/>
          <w:color w:val="auto"/>
          <w:szCs w:val="21"/>
          <w:highlight w:val="none"/>
        </w:rPr>
        <w:t>地址：</w:t>
      </w:r>
      <w:r>
        <w:rPr>
          <w:rFonts w:ascii="Arial" w:hAnsi="Arial" w:cs="Arial"/>
          <w:color w:val="auto"/>
          <w:szCs w:val="21"/>
          <w:highlight w:val="none"/>
          <w:u w:val="single"/>
        </w:rPr>
        <w:t xml:space="preserve">                     </w:t>
      </w:r>
    </w:p>
    <w:p>
      <w:pPr>
        <w:spacing w:line="540" w:lineRule="exact"/>
        <w:rPr>
          <w:rFonts w:ascii="Arial" w:hAnsi="Arial" w:cs="Arial"/>
          <w:color w:val="auto"/>
          <w:szCs w:val="21"/>
          <w:highlight w:val="none"/>
          <w:u w:val="single"/>
        </w:rPr>
      </w:pPr>
      <w:r>
        <w:rPr>
          <w:rFonts w:ascii="Arial" w:hAnsi="Arial" w:cs="Arial"/>
          <w:color w:val="auto"/>
          <w:szCs w:val="21"/>
          <w:highlight w:val="none"/>
        </w:rPr>
        <w:t>成立时间：</w:t>
      </w:r>
      <w:r>
        <w:rPr>
          <w:rFonts w:ascii="Arial" w:hAnsi="Arial" w:cs="Arial"/>
          <w:color w:val="auto"/>
          <w:szCs w:val="21"/>
          <w:highlight w:val="none"/>
          <w:u w:val="single"/>
        </w:rPr>
        <w:t>年      月     日</w:t>
      </w:r>
    </w:p>
    <w:p>
      <w:pPr>
        <w:spacing w:line="540" w:lineRule="exact"/>
        <w:rPr>
          <w:rFonts w:ascii="Arial" w:hAnsi="Arial" w:cs="Arial"/>
          <w:color w:val="auto"/>
          <w:szCs w:val="21"/>
          <w:highlight w:val="none"/>
        </w:rPr>
      </w:pPr>
      <w:r>
        <w:rPr>
          <w:rFonts w:ascii="Arial" w:hAnsi="Arial" w:cs="Arial"/>
          <w:color w:val="auto"/>
          <w:szCs w:val="21"/>
          <w:highlight w:val="none"/>
        </w:rPr>
        <w:t>经营期限：</w:t>
      </w:r>
    </w:p>
    <w:p>
      <w:pPr>
        <w:spacing w:line="540" w:lineRule="exact"/>
        <w:rPr>
          <w:rFonts w:ascii="Arial" w:hAnsi="Arial" w:cs="Arial"/>
          <w:color w:val="auto"/>
          <w:szCs w:val="21"/>
          <w:highlight w:val="none"/>
        </w:rPr>
      </w:pPr>
      <w:r>
        <w:rPr>
          <w:rFonts w:ascii="Arial" w:hAnsi="Arial" w:cs="Arial"/>
          <w:color w:val="auto"/>
          <w:szCs w:val="21"/>
          <w:highlight w:val="none"/>
        </w:rPr>
        <w:t xml:space="preserve">姓名：；          性别：  </w:t>
      </w:r>
    </w:p>
    <w:p>
      <w:pPr>
        <w:spacing w:line="540" w:lineRule="exact"/>
        <w:rPr>
          <w:rFonts w:ascii="Arial" w:hAnsi="Arial" w:cs="Arial"/>
          <w:color w:val="auto"/>
          <w:szCs w:val="21"/>
          <w:highlight w:val="none"/>
        </w:rPr>
      </w:pPr>
      <w:r>
        <w:rPr>
          <w:rFonts w:ascii="Arial" w:hAnsi="Arial" w:cs="Arial"/>
          <w:color w:val="auto"/>
          <w:szCs w:val="21"/>
          <w:highlight w:val="none"/>
        </w:rPr>
        <w:t>年龄：；    职务：；    身份证：</w:t>
      </w:r>
    </w:p>
    <w:p>
      <w:pPr>
        <w:spacing w:line="540" w:lineRule="exact"/>
        <w:rPr>
          <w:rFonts w:ascii="Arial" w:hAnsi="Arial" w:cs="Arial"/>
          <w:color w:val="auto"/>
          <w:szCs w:val="21"/>
          <w:highlight w:val="none"/>
        </w:rPr>
      </w:pPr>
      <w:r>
        <w:rPr>
          <w:rFonts w:ascii="Arial" w:hAnsi="Arial" w:cs="Arial"/>
          <w:color w:val="auto"/>
          <w:szCs w:val="21"/>
          <w:highlight w:val="none"/>
        </w:rPr>
        <w:t>系</w:t>
      </w:r>
      <w:r>
        <w:rPr>
          <w:rFonts w:ascii="Arial" w:hAnsi="Arial" w:cs="Arial"/>
          <w:color w:val="auto"/>
          <w:szCs w:val="21"/>
          <w:highlight w:val="none"/>
          <w:u w:val="single"/>
        </w:rPr>
        <w:t>（ 供应商名称）</w:t>
      </w:r>
      <w:r>
        <w:rPr>
          <w:rFonts w:ascii="Arial" w:hAnsi="Arial" w:cs="Arial"/>
          <w:color w:val="auto"/>
          <w:szCs w:val="21"/>
          <w:highlight w:val="none"/>
        </w:rPr>
        <w:t>的法定代表人。</w:t>
      </w:r>
    </w:p>
    <w:p>
      <w:pPr>
        <w:spacing w:line="540" w:lineRule="exact"/>
        <w:rPr>
          <w:rFonts w:ascii="Arial" w:hAnsi="Arial" w:cs="Arial"/>
          <w:color w:val="auto"/>
          <w:szCs w:val="21"/>
          <w:highlight w:val="none"/>
        </w:rPr>
      </w:pPr>
    </w:p>
    <w:p>
      <w:pPr>
        <w:spacing w:line="540" w:lineRule="exact"/>
        <w:ind w:firstLine="420" w:firstLineChars="200"/>
        <w:rPr>
          <w:rFonts w:ascii="Arial" w:hAnsi="Arial" w:cs="Arial"/>
          <w:color w:val="auto"/>
          <w:szCs w:val="21"/>
          <w:highlight w:val="none"/>
        </w:rPr>
      </w:pPr>
      <w:r>
        <w:rPr>
          <w:rFonts w:ascii="Arial" w:hAnsi="Arial" w:cs="Arial"/>
          <w:color w:val="auto"/>
          <w:szCs w:val="21"/>
          <w:highlight w:val="none"/>
        </w:rPr>
        <w:t>特此证明。</w:t>
      </w:r>
    </w:p>
    <w:p>
      <w:pPr>
        <w:spacing w:line="360" w:lineRule="auto"/>
        <w:ind w:firstLine="4830" w:firstLineChars="2300"/>
        <w:rPr>
          <w:rFonts w:ascii="Arial" w:hAnsi="Arial" w:cs="Arial"/>
          <w:color w:val="auto"/>
          <w:szCs w:val="21"/>
          <w:highlight w:val="none"/>
        </w:rPr>
      </w:pPr>
      <w:r>
        <w:rPr>
          <w:rFonts w:ascii="Arial" w:hAnsi="Arial" w:cs="Arial"/>
          <w:color w:val="auto"/>
          <w:szCs w:val="21"/>
          <w:highlight w:val="none"/>
        </w:rPr>
        <w:t>供应商公章（CA签章）：</w:t>
      </w:r>
      <w:r>
        <w:rPr>
          <w:rFonts w:ascii="Arial" w:hAnsi="Arial" w:cs="Arial"/>
          <w:color w:val="auto"/>
          <w:szCs w:val="21"/>
          <w:highlight w:val="none"/>
          <w:u w:val="single"/>
        </w:rPr>
        <w:t xml:space="preserve"> </w:t>
      </w:r>
    </w:p>
    <w:p>
      <w:pPr>
        <w:spacing w:line="360" w:lineRule="auto"/>
        <w:jc w:val="center"/>
        <w:rPr>
          <w:rFonts w:ascii="Arial" w:hAnsi="Arial" w:cs="Arial"/>
          <w:color w:val="auto"/>
          <w:szCs w:val="21"/>
          <w:highlight w:val="none"/>
        </w:rPr>
      </w:pPr>
      <w:r>
        <w:rPr>
          <w:rFonts w:ascii="Arial" w:hAnsi="Arial" w:cs="Arial"/>
          <w:color w:val="auto"/>
          <w:szCs w:val="21"/>
          <w:highlight w:val="none"/>
        </w:rPr>
        <w:t xml:space="preserve">年  月  日 </w:t>
      </w:r>
    </w:p>
    <w:p>
      <w:pPr>
        <w:spacing w:line="360" w:lineRule="auto"/>
        <w:ind w:firstLine="420" w:firstLineChars="200"/>
        <w:rPr>
          <w:rFonts w:ascii="Arial" w:hAnsi="Arial" w:cs="Arial"/>
          <w:color w:val="auto"/>
          <w:szCs w:val="21"/>
          <w:highlight w:val="none"/>
        </w:rPr>
      </w:pPr>
    </w:p>
    <w:p>
      <w:pPr>
        <w:spacing w:line="360" w:lineRule="auto"/>
        <w:rPr>
          <w:rFonts w:ascii="Arial" w:hAnsi="Arial" w:cs="Arial"/>
          <w:color w:val="auto"/>
          <w:szCs w:val="21"/>
          <w:highlight w:val="none"/>
        </w:rPr>
      </w:pPr>
      <w:r>
        <w:rPr>
          <w:rFonts w:ascii="Arial" w:hAnsi="Arial" w:cs="Arial"/>
          <w:color w:val="auto"/>
          <w:szCs w:val="21"/>
          <w:highlight w:val="none"/>
        </w:rPr>
        <w:t>附件：法定代表人身份证复印件</w:t>
      </w:r>
    </w:p>
    <w:p>
      <w:pPr>
        <w:spacing w:line="360" w:lineRule="auto"/>
        <w:rPr>
          <w:rFonts w:ascii="Arial" w:hAnsi="Arial" w:cs="Arial"/>
          <w:color w:val="auto"/>
          <w:szCs w:val="21"/>
          <w:highlight w:val="none"/>
        </w:rPr>
      </w:pPr>
    </w:p>
    <w:p>
      <w:pPr>
        <w:spacing w:line="360" w:lineRule="auto"/>
        <w:rPr>
          <w:rFonts w:ascii="Arial" w:hAnsi="Arial" w:cs="Arial"/>
          <w:color w:val="auto"/>
          <w:highlight w:val="none"/>
        </w:rPr>
      </w:pPr>
      <w:r>
        <w:rPr>
          <w:rFonts w:ascii="Arial" w:hAnsi="Arial" w:cs="Arial"/>
          <w:color w:val="auto"/>
          <w:highlight w:val="none"/>
        </w:rPr>
        <w:t>注：法定代表人亲自出席开标会议时，须随身携带本“法定代表人身份证明”原件一份以及身份证原件，以备核查。</w:t>
      </w:r>
    </w:p>
    <w:bookmarkEnd w:id="120"/>
    <w:p>
      <w:pPr>
        <w:snapToGrid w:val="0"/>
        <w:spacing w:before="120" w:beforeLines="50" w:after="50" w:line="360" w:lineRule="exact"/>
        <w:rPr>
          <w:rFonts w:ascii="Arial" w:hAnsi="Arial" w:cs="Arial"/>
          <w:b/>
          <w:color w:val="auto"/>
          <w:szCs w:val="21"/>
          <w:highlight w:val="none"/>
        </w:rPr>
      </w:pPr>
      <w:r>
        <w:rPr>
          <w:rFonts w:ascii="Arial" w:hAnsi="Arial" w:cs="Arial"/>
          <w:b/>
          <w:color w:val="auto"/>
          <w:szCs w:val="21"/>
          <w:highlight w:val="none"/>
        </w:rPr>
        <w:br w:type="page"/>
      </w:r>
      <w:r>
        <w:rPr>
          <w:rFonts w:ascii="Arial" w:hAnsi="Arial" w:cs="Arial"/>
          <w:b/>
          <w:color w:val="auto"/>
          <w:szCs w:val="21"/>
          <w:highlight w:val="none"/>
        </w:rPr>
        <w:t>1．授权委托书（有授权代表时必须提供）：</w:t>
      </w:r>
    </w:p>
    <w:p>
      <w:pPr>
        <w:snapToGrid w:val="0"/>
        <w:spacing w:before="120" w:beforeLines="50" w:after="50" w:line="440" w:lineRule="exact"/>
        <w:jc w:val="center"/>
        <w:rPr>
          <w:rFonts w:ascii="Arial" w:hAnsi="Arial" w:cs="Arial"/>
          <w:b/>
          <w:color w:val="auto"/>
          <w:szCs w:val="21"/>
          <w:highlight w:val="none"/>
        </w:rPr>
      </w:pPr>
    </w:p>
    <w:p>
      <w:pPr>
        <w:snapToGrid w:val="0"/>
        <w:spacing w:before="120" w:beforeLines="50" w:after="50" w:line="440" w:lineRule="exact"/>
        <w:jc w:val="center"/>
        <w:rPr>
          <w:rFonts w:ascii="Arial" w:hAnsi="Arial" w:cs="Arial"/>
          <w:b/>
          <w:color w:val="auto"/>
          <w:szCs w:val="21"/>
          <w:highlight w:val="none"/>
        </w:rPr>
      </w:pPr>
      <w:r>
        <w:rPr>
          <w:rFonts w:ascii="Arial" w:hAnsi="Arial" w:cs="Arial"/>
          <w:b/>
          <w:color w:val="auto"/>
          <w:szCs w:val="21"/>
          <w:highlight w:val="none"/>
        </w:rPr>
        <w:t>法定代表人授权委托书</w:t>
      </w:r>
    </w:p>
    <w:p>
      <w:pPr>
        <w:snapToGrid w:val="0"/>
        <w:spacing w:before="120" w:beforeLines="50" w:after="50" w:line="440" w:lineRule="exact"/>
        <w:rPr>
          <w:rFonts w:ascii="Arial" w:hAnsi="Arial" w:cs="Arial"/>
          <w:b/>
          <w:bCs/>
          <w:color w:val="auto"/>
          <w:szCs w:val="21"/>
          <w:highlight w:val="none"/>
        </w:rPr>
      </w:pPr>
      <w:r>
        <w:rPr>
          <w:rFonts w:ascii="Arial" w:hAnsi="Arial" w:cs="Arial"/>
          <w:bCs/>
          <w:color w:val="auto"/>
          <w:szCs w:val="21"/>
          <w:highlight w:val="none"/>
        </w:rPr>
        <w:t>致：</w:t>
      </w:r>
      <w:r>
        <w:rPr>
          <w:rFonts w:ascii="Arial" w:hAnsi="Arial" w:cs="Arial"/>
          <w:i/>
          <w:iCs/>
          <w:color w:val="auto"/>
          <w:szCs w:val="21"/>
          <w:highlight w:val="none"/>
          <w:u w:val="single"/>
        </w:rPr>
        <w:t>（采购人名称）</w:t>
      </w:r>
      <w:r>
        <w:rPr>
          <w:rFonts w:ascii="Arial" w:hAnsi="Arial" w:cs="Arial"/>
          <w:color w:val="auto"/>
          <w:szCs w:val="21"/>
          <w:highlight w:val="none"/>
        </w:rPr>
        <w:t>：</w:t>
      </w:r>
    </w:p>
    <w:p>
      <w:pPr>
        <w:snapToGrid w:val="0"/>
        <w:spacing w:before="120" w:beforeLines="50" w:after="50" w:line="440" w:lineRule="exact"/>
        <w:ind w:firstLine="420" w:firstLineChars="200"/>
        <w:rPr>
          <w:rFonts w:ascii="Arial" w:hAnsi="Arial" w:cs="Arial"/>
          <w:color w:val="auto"/>
          <w:szCs w:val="21"/>
          <w:highlight w:val="none"/>
        </w:rPr>
      </w:pPr>
      <w:r>
        <w:rPr>
          <w:rFonts w:ascii="Arial" w:hAnsi="Arial" w:cs="Arial"/>
          <w:color w:val="auto"/>
          <w:szCs w:val="21"/>
          <w:highlight w:val="none"/>
        </w:rPr>
        <w:t>我__</w:t>
      </w:r>
      <w:r>
        <w:rPr>
          <w:rFonts w:ascii="Arial" w:hAnsi="Arial" w:cs="Arial"/>
          <w:i/>
          <w:iCs/>
          <w:color w:val="auto"/>
          <w:szCs w:val="21"/>
          <w:highlight w:val="none"/>
          <w:u w:val="single"/>
        </w:rPr>
        <w:t>（法定代表人姓名）</w:t>
      </w:r>
      <w:r>
        <w:rPr>
          <w:rFonts w:ascii="Arial" w:hAnsi="Arial" w:cs="Arial"/>
          <w:color w:val="auto"/>
          <w:szCs w:val="21"/>
          <w:highlight w:val="none"/>
        </w:rPr>
        <w:t>_系_</w:t>
      </w:r>
      <w:r>
        <w:rPr>
          <w:rFonts w:ascii="Arial" w:hAnsi="Arial" w:cs="Arial"/>
          <w:i/>
          <w:iCs/>
          <w:color w:val="auto"/>
          <w:szCs w:val="21"/>
          <w:highlight w:val="none"/>
          <w:u w:val="single"/>
        </w:rPr>
        <w:t>（供应商名称）</w:t>
      </w:r>
      <w:r>
        <w:rPr>
          <w:rFonts w:ascii="Arial" w:hAnsi="Arial" w:cs="Arial"/>
          <w:color w:val="auto"/>
          <w:szCs w:val="21"/>
          <w:highlight w:val="none"/>
        </w:rPr>
        <w:t>_的法定代表人，现授权委托本单位在职职工（姓名）以我方的名义参加</w:t>
      </w:r>
      <w:r>
        <w:rPr>
          <w:rFonts w:ascii="Arial" w:hAnsi="Arial" w:cs="Arial"/>
          <w:color w:val="auto"/>
          <w:szCs w:val="21"/>
          <w:highlight w:val="none"/>
          <w:u w:val="single"/>
        </w:rPr>
        <w:t xml:space="preserve"> </w:t>
      </w:r>
      <w:r>
        <w:rPr>
          <w:rFonts w:ascii="Arial" w:hAnsi="Arial" w:cs="Arial"/>
          <w:i/>
          <w:iCs/>
          <w:color w:val="auto"/>
          <w:szCs w:val="21"/>
          <w:highlight w:val="none"/>
          <w:u w:val="single"/>
        </w:rPr>
        <w:t>（项目名称）</w:t>
      </w:r>
      <w:r>
        <w:rPr>
          <w:rFonts w:ascii="Arial" w:hAnsi="Arial" w:cs="Arial"/>
          <w:color w:val="auto"/>
          <w:szCs w:val="21"/>
          <w:highlight w:val="none"/>
          <w:u w:val="single"/>
        </w:rPr>
        <w:t xml:space="preserve"> </w:t>
      </w:r>
      <w:r>
        <w:rPr>
          <w:rFonts w:ascii="Arial" w:hAnsi="Arial" w:cs="Arial"/>
          <w:color w:val="auto"/>
          <w:szCs w:val="21"/>
          <w:highlight w:val="none"/>
        </w:rPr>
        <w:t>项目的投标活动，并代表我方全权办理针对上述项目的投标、开标、评标、签约等具体事务和签署相关文件。</w:t>
      </w:r>
    </w:p>
    <w:p>
      <w:pPr>
        <w:snapToGrid w:val="0"/>
        <w:spacing w:before="120" w:beforeLines="50" w:after="50" w:line="440" w:lineRule="exact"/>
        <w:rPr>
          <w:rFonts w:ascii="Arial" w:hAnsi="Arial" w:cs="Arial"/>
          <w:color w:val="auto"/>
          <w:szCs w:val="21"/>
          <w:highlight w:val="none"/>
        </w:rPr>
      </w:pPr>
      <w:r>
        <w:rPr>
          <w:rFonts w:ascii="Arial" w:hAnsi="Arial" w:cs="Arial"/>
          <w:color w:val="auto"/>
          <w:szCs w:val="21"/>
          <w:highlight w:val="none"/>
        </w:rPr>
        <w:t>我方对被授权人的签名事项负全部责任。</w:t>
      </w:r>
    </w:p>
    <w:p>
      <w:pPr>
        <w:snapToGrid w:val="0"/>
        <w:spacing w:before="120" w:beforeLines="50" w:after="50" w:line="440" w:lineRule="exact"/>
        <w:ind w:firstLine="480"/>
        <w:rPr>
          <w:rFonts w:ascii="Arial" w:hAnsi="Arial" w:cs="Arial"/>
          <w:color w:val="auto"/>
          <w:szCs w:val="21"/>
          <w:highlight w:val="none"/>
        </w:rPr>
      </w:pPr>
      <w:r>
        <w:rPr>
          <w:rFonts w:ascii="Arial" w:hAnsi="Arial" w:cs="Arial"/>
          <w:color w:val="auto"/>
          <w:szCs w:val="21"/>
          <w:highlight w:val="none"/>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rFonts w:ascii="Arial" w:hAnsi="Arial" w:cs="Arial"/>
          <w:color w:val="auto"/>
          <w:szCs w:val="21"/>
          <w:highlight w:val="none"/>
        </w:rPr>
      </w:pPr>
      <w:r>
        <w:rPr>
          <w:rFonts w:ascii="Arial" w:hAnsi="Arial" w:cs="Arial"/>
          <w:color w:val="auto"/>
          <w:szCs w:val="21"/>
          <w:highlight w:val="none"/>
        </w:rPr>
        <w:t>被授权人无转委托权，特此委托。</w:t>
      </w:r>
    </w:p>
    <w:p>
      <w:pPr>
        <w:snapToGrid w:val="0"/>
        <w:spacing w:before="120" w:beforeLines="50" w:after="50" w:line="440" w:lineRule="exact"/>
        <w:rPr>
          <w:rFonts w:ascii="Arial" w:hAnsi="Arial" w:cs="Arial"/>
          <w:color w:val="auto"/>
          <w:szCs w:val="21"/>
          <w:highlight w:val="none"/>
          <w:u w:val="single"/>
        </w:rPr>
      </w:pPr>
      <w:r>
        <w:rPr>
          <w:rFonts w:ascii="Arial" w:hAnsi="Arial" w:cs="Arial"/>
          <w:color w:val="auto"/>
          <w:szCs w:val="21"/>
          <w:highlight w:val="none"/>
        </w:rPr>
        <w:t>被授权人签字或个人CA签章：  法定代表人签字或个人CA签章：</w:t>
      </w:r>
    </w:p>
    <w:p>
      <w:pPr>
        <w:snapToGrid w:val="0"/>
        <w:spacing w:before="120" w:beforeLines="50" w:after="50" w:line="440" w:lineRule="exact"/>
        <w:rPr>
          <w:rFonts w:ascii="Arial" w:hAnsi="Arial" w:cs="Arial"/>
          <w:color w:val="auto"/>
          <w:szCs w:val="21"/>
          <w:highlight w:val="none"/>
        </w:rPr>
      </w:pPr>
      <w:r>
        <w:rPr>
          <w:rFonts w:ascii="Arial" w:hAnsi="Arial" w:cs="Arial"/>
          <w:color w:val="auto"/>
          <w:szCs w:val="21"/>
          <w:highlight w:val="none"/>
        </w:rPr>
        <w:t>职务：职务：</w:t>
      </w:r>
      <w:r>
        <w:rPr>
          <w:rFonts w:ascii="Arial" w:hAnsi="Arial" w:cs="Arial"/>
          <w:color w:val="auto"/>
          <w:szCs w:val="21"/>
          <w:highlight w:val="none"/>
          <w:u w:val="single"/>
        </w:rPr>
        <w:t xml:space="preserve">               </w:t>
      </w:r>
    </w:p>
    <w:p>
      <w:pPr>
        <w:snapToGrid w:val="0"/>
        <w:spacing w:before="120" w:beforeLines="50" w:after="50" w:line="440" w:lineRule="exact"/>
        <w:rPr>
          <w:rFonts w:ascii="Arial" w:hAnsi="Arial" w:cs="Arial"/>
          <w:color w:val="auto"/>
          <w:szCs w:val="21"/>
          <w:highlight w:val="none"/>
        </w:rPr>
      </w:pPr>
      <w:r>
        <w:rPr>
          <w:rFonts w:ascii="Arial" w:hAnsi="Arial" w:cs="Arial"/>
          <w:color w:val="auto"/>
          <w:szCs w:val="21"/>
          <w:highlight w:val="none"/>
        </w:rPr>
        <w:t>被授权人身份证号码：</w:t>
      </w:r>
      <w:r>
        <w:rPr>
          <w:rFonts w:ascii="Arial" w:hAnsi="Arial" w:cs="Arial"/>
          <w:color w:val="auto"/>
          <w:szCs w:val="21"/>
          <w:highlight w:val="none"/>
          <w:u w:val="single"/>
        </w:rPr>
        <w:t xml:space="preserve">               </w:t>
      </w:r>
      <w:r>
        <w:rPr>
          <w:rFonts w:ascii="Arial" w:hAnsi="Arial" w:cs="Arial"/>
          <w:color w:val="auto"/>
          <w:szCs w:val="21"/>
          <w:highlight w:val="none"/>
        </w:rPr>
        <w:t xml:space="preserve">                   授权人身份证号码：</w:t>
      </w:r>
      <w:r>
        <w:rPr>
          <w:rFonts w:ascii="Arial" w:hAnsi="Arial" w:cs="Arial"/>
          <w:color w:val="auto"/>
          <w:szCs w:val="21"/>
          <w:highlight w:val="none"/>
          <w:u w:val="single"/>
        </w:rPr>
        <w:t xml:space="preserve">               </w:t>
      </w:r>
    </w:p>
    <w:p>
      <w:pPr>
        <w:snapToGrid w:val="0"/>
        <w:spacing w:before="120" w:beforeLines="50" w:after="50" w:line="440" w:lineRule="exact"/>
        <w:rPr>
          <w:rFonts w:ascii="Arial" w:hAnsi="Arial" w:cs="Arial"/>
          <w:color w:val="auto"/>
          <w:szCs w:val="21"/>
          <w:highlight w:val="none"/>
        </w:rPr>
      </w:pPr>
      <w:r>
        <w:rPr>
          <w:rFonts w:ascii="Arial" w:hAnsi="Arial" w:cs="Arial"/>
          <w:color w:val="auto"/>
          <w:szCs w:val="21"/>
          <w:highlight w:val="none"/>
        </w:rPr>
        <w:t>被授权人邮箱：</w:t>
      </w:r>
    </w:p>
    <w:p>
      <w:pPr>
        <w:snapToGrid w:val="0"/>
        <w:spacing w:before="120" w:beforeLines="50" w:after="50" w:line="440" w:lineRule="exact"/>
        <w:ind w:firstLine="5670" w:firstLineChars="2700"/>
        <w:rPr>
          <w:rFonts w:ascii="Arial" w:hAnsi="Arial" w:cs="Arial"/>
          <w:color w:val="auto"/>
          <w:szCs w:val="21"/>
          <w:highlight w:val="none"/>
        </w:rPr>
      </w:pPr>
    </w:p>
    <w:p>
      <w:pPr>
        <w:snapToGrid w:val="0"/>
        <w:spacing w:before="120" w:beforeLines="50" w:after="50" w:line="440" w:lineRule="exact"/>
        <w:ind w:firstLine="5670" w:firstLineChars="2700"/>
        <w:rPr>
          <w:rFonts w:ascii="Arial" w:hAnsi="Arial" w:cs="Arial"/>
          <w:color w:val="auto"/>
          <w:szCs w:val="21"/>
          <w:highlight w:val="none"/>
        </w:rPr>
      </w:pPr>
      <w:r>
        <w:rPr>
          <w:rFonts w:ascii="Arial" w:hAnsi="Arial" w:cs="Arial"/>
          <w:color w:val="auto"/>
          <w:szCs w:val="21"/>
          <w:highlight w:val="none"/>
        </w:rPr>
        <w:t>供应商公章（CA签章）：</w:t>
      </w:r>
      <w:r>
        <w:rPr>
          <w:rFonts w:ascii="Arial" w:hAnsi="Arial" w:cs="Arial"/>
          <w:color w:val="auto"/>
          <w:szCs w:val="21"/>
          <w:highlight w:val="none"/>
          <w:u w:val="single"/>
        </w:rPr>
        <w:t xml:space="preserve"> </w:t>
      </w:r>
    </w:p>
    <w:p>
      <w:pPr>
        <w:snapToGrid w:val="0"/>
        <w:spacing w:before="120" w:beforeLines="50" w:after="50" w:line="440" w:lineRule="exact"/>
        <w:jc w:val="center"/>
        <w:rPr>
          <w:rFonts w:ascii="Arial" w:hAnsi="Arial" w:cs="Arial"/>
          <w:color w:val="auto"/>
          <w:szCs w:val="21"/>
          <w:highlight w:val="none"/>
        </w:rPr>
      </w:pPr>
      <w:r>
        <w:rPr>
          <w:rFonts w:ascii="Arial" w:hAnsi="Arial" w:cs="Arial"/>
          <w:color w:val="auto"/>
          <w:szCs w:val="21"/>
          <w:highlight w:val="none"/>
        </w:rPr>
        <w:t>年月日</w:t>
      </w:r>
    </w:p>
    <w:p>
      <w:pPr>
        <w:spacing w:line="360" w:lineRule="auto"/>
        <w:rPr>
          <w:rFonts w:ascii="Arial" w:hAnsi="Arial" w:cs="Arial"/>
          <w:color w:val="auto"/>
          <w:szCs w:val="21"/>
          <w:highlight w:val="none"/>
        </w:rPr>
      </w:pPr>
      <w:r>
        <w:rPr>
          <w:rFonts w:ascii="Arial" w:hAnsi="Arial" w:cs="Arial"/>
          <w:color w:val="auto"/>
          <w:szCs w:val="21"/>
          <w:highlight w:val="none"/>
        </w:rPr>
        <w:t>附件：法定代表人身份证复印件及授权代表身份证复印件</w:t>
      </w:r>
    </w:p>
    <w:p>
      <w:pPr>
        <w:spacing w:line="360" w:lineRule="auto"/>
        <w:rPr>
          <w:rFonts w:ascii="Arial" w:hAnsi="Arial" w:cs="Arial"/>
          <w:color w:val="auto"/>
          <w:highlight w:val="none"/>
        </w:rPr>
      </w:pPr>
    </w:p>
    <w:p>
      <w:pPr>
        <w:spacing w:line="360" w:lineRule="auto"/>
        <w:rPr>
          <w:rFonts w:ascii="Arial" w:hAnsi="Arial" w:cs="Arial"/>
          <w:color w:val="auto"/>
          <w:highlight w:val="none"/>
        </w:rPr>
      </w:pPr>
      <w:r>
        <w:rPr>
          <w:rFonts w:ascii="Arial" w:hAnsi="Arial" w:cs="Arial"/>
          <w:color w:val="auto"/>
          <w:highlight w:val="none"/>
        </w:rPr>
        <w:t>注：授权代表出席开标会议时，须随身携带本“法定代表人授权委托书”原件一份以及本人身份证原件，以备核查。</w:t>
      </w:r>
    </w:p>
    <w:p>
      <w:pPr>
        <w:snapToGrid w:val="0"/>
        <w:spacing w:before="120" w:beforeLines="50" w:after="50" w:line="440" w:lineRule="exact"/>
        <w:jc w:val="center"/>
        <w:outlineLvl w:val="1"/>
        <w:rPr>
          <w:rFonts w:ascii="Arial" w:hAnsi="Arial" w:cs="Arial"/>
          <w:bCs/>
          <w:color w:val="auto"/>
          <w:sz w:val="24"/>
          <w:highlight w:val="none"/>
        </w:rPr>
      </w:pPr>
      <w:r>
        <w:rPr>
          <w:rFonts w:ascii="Arial" w:hAnsi="Arial" w:cs="Arial"/>
          <w:bCs/>
          <w:color w:val="auto"/>
          <w:sz w:val="24"/>
          <w:highlight w:val="none"/>
        </w:rPr>
        <w:br w:type="page"/>
      </w:r>
      <w:r>
        <w:rPr>
          <w:rFonts w:ascii="Arial" w:hAnsi="Arial" w:cs="Arial"/>
          <w:bCs/>
          <w:color w:val="auto"/>
          <w:sz w:val="24"/>
          <w:highlight w:val="none"/>
        </w:rPr>
        <w:t>第一部分 商务文件</w:t>
      </w:r>
    </w:p>
    <w:p>
      <w:pPr>
        <w:jc w:val="center"/>
        <w:rPr>
          <w:rFonts w:ascii="Arial" w:hAnsi="Arial" w:cs="Arial"/>
          <w:bCs/>
          <w:color w:val="auto"/>
          <w:sz w:val="24"/>
          <w:highlight w:val="none"/>
        </w:rPr>
      </w:pPr>
      <w:r>
        <w:rPr>
          <w:rFonts w:ascii="Arial" w:hAnsi="Arial" w:cs="Arial"/>
          <w:color w:val="auto"/>
          <w:highlight w:val="none"/>
        </w:rPr>
        <w:t>（本商务文件除标注“必须提供”的部分外，其余部分供应商可自行编写，也可参照下述提纲编写）</w:t>
      </w:r>
    </w:p>
    <w:p>
      <w:pPr>
        <w:snapToGrid w:val="0"/>
        <w:spacing w:before="50" w:after="120" w:afterLines="50" w:line="440" w:lineRule="exact"/>
        <w:jc w:val="left"/>
        <w:rPr>
          <w:rFonts w:ascii="Arial" w:hAnsi="Arial" w:cs="Arial"/>
          <w:color w:val="auto"/>
          <w:szCs w:val="21"/>
          <w:highlight w:val="none"/>
        </w:rPr>
      </w:pPr>
    </w:p>
    <w:p>
      <w:pPr>
        <w:snapToGrid w:val="0"/>
        <w:spacing w:before="50" w:after="120" w:afterLines="50" w:line="440" w:lineRule="exact"/>
        <w:jc w:val="left"/>
        <w:rPr>
          <w:rFonts w:ascii="Arial" w:hAnsi="Arial" w:cs="Arial"/>
          <w:color w:val="auto"/>
          <w:szCs w:val="21"/>
          <w:highlight w:val="none"/>
        </w:rPr>
      </w:pPr>
      <w:r>
        <w:rPr>
          <w:rFonts w:ascii="Arial" w:hAnsi="Arial" w:cs="Arial"/>
          <w:color w:val="auto"/>
          <w:szCs w:val="21"/>
          <w:highlight w:val="none"/>
        </w:rPr>
        <w:t>1．对本项目第二章《项目采购需求》“本项目商务要求”的响应偏离表</w:t>
      </w:r>
      <w:r>
        <w:rPr>
          <w:rFonts w:ascii="Arial" w:hAnsi="Arial" w:cs="Arial"/>
          <w:b/>
          <w:color w:val="auto"/>
          <w:szCs w:val="21"/>
          <w:highlight w:val="none"/>
        </w:rPr>
        <w:t>（</w:t>
      </w:r>
      <w:r>
        <w:rPr>
          <w:rFonts w:ascii="Arial" w:hAnsi="Arial" w:cs="Arial"/>
          <w:b/>
          <w:color w:val="auto"/>
          <w:highlight w:val="none"/>
        </w:rPr>
        <w:t>必须提供</w:t>
      </w:r>
      <w:r>
        <w:rPr>
          <w:rFonts w:ascii="Arial" w:hAnsi="Arial" w:cs="Arial"/>
          <w:b/>
          <w:color w:val="auto"/>
          <w:szCs w:val="21"/>
          <w:highlight w:val="none"/>
        </w:rPr>
        <w:t>）</w:t>
      </w:r>
      <w:r>
        <w:rPr>
          <w:rFonts w:ascii="Arial" w:hAnsi="Arial" w:cs="Arial"/>
          <w:color w:val="auto"/>
          <w:szCs w:val="21"/>
          <w:highlight w:val="none"/>
        </w:rPr>
        <w:t>：</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2122"/>
        <w:gridCol w:w="4657"/>
        <w:gridCol w:w="13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序号</w:t>
            </w:r>
          </w:p>
        </w:tc>
        <w:tc>
          <w:tcPr>
            <w:tcW w:w="21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招标文件的商务要求</w:t>
            </w:r>
          </w:p>
        </w:tc>
        <w:tc>
          <w:tcPr>
            <w:tcW w:w="46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投标文件响应内容（可注明所在页码）</w:t>
            </w:r>
          </w:p>
        </w:tc>
        <w:tc>
          <w:tcPr>
            <w:tcW w:w="13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highlight w:val="none"/>
              </w:rPr>
              <w:t>偏离</w:t>
            </w:r>
            <w:r>
              <w:rPr>
                <w:rFonts w:ascii="Arial" w:hAnsi="Arial" w:cs="Arial"/>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exac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21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46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exac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21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46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exac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212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w:t>
            </w:r>
          </w:p>
        </w:tc>
        <w:tc>
          <w:tcPr>
            <w:tcW w:w="46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bl>
    <w:p>
      <w:pPr>
        <w:pStyle w:val="28"/>
        <w:tabs>
          <w:tab w:val="left" w:pos="2127"/>
        </w:tabs>
        <w:spacing w:line="340" w:lineRule="exact"/>
        <w:ind w:firstLine="420" w:firstLineChars="200"/>
        <w:jc w:val="left"/>
        <w:rPr>
          <w:rFonts w:ascii="Arial" w:hAnsi="Arial" w:cs="Arial"/>
          <w:color w:val="auto"/>
          <w:highlight w:val="none"/>
        </w:rPr>
      </w:pPr>
      <w:r>
        <w:rPr>
          <w:rFonts w:ascii="Arial" w:hAnsi="Arial" w:cs="Arial"/>
          <w:color w:val="auto"/>
          <w:highlight w:val="none"/>
        </w:rPr>
        <w:t>注：（1）本表应对招标文件第二章《项目采购需求》中所列商务要求进行响应；</w:t>
      </w:r>
    </w:p>
    <w:p>
      <w:pPr>
        <w:pStyle w:val="28"/>
        <w:tabs>
          <w:tab w:val="left" w:pos="2127"/>
        </w:tabs>
        <w:spacing w:line="340" w:lineRule="exact"/>
        <w:ind w:firstLine="420" w:firstLineChars="200"/>
        <w:jc w:val="left"/>
        <w:rPr>
          <w:rFonts w:ascii="Arial" w:hAnsi="Arial" w:cs="Arial"/>
          <w:color w:val="auto"/>
          <w:highlight w:val="none"/>
        </w:rPr>
      </w:pPr>
      <w:bookmarkStart w:id="121" w:name="_Hlk19049081"/>
      <w:r>
        <w:rPr>
          <w:rFonts w:ascii="Arial" w:hAnsi="Arial" w:cs="Arial"/>
          <w:color w:val="auto"/>
          <w:highlight w:val="none"/>
        </w:rPr>
        <w:t>（2）本表内容必须如实填写，并根据响应情况在“偏离说明”栏填写正偏离或负偏离及原因，完全符合的填写“无偏离”。填写“无偏离”时，如相应条款在投标文件其他部分描述明确不满足招标文件要求时，评标委员会将按不满足要求进行评审。</w:t>
      </w:r>
    </w:p>
    <w:bookmarkEnd w:id="121"/>
    <w:p>
      <w:pPr>
        <w:pStyle w:val="28"/>
        <w:tabs>
          <w:tab w:val="left" w:pos="2127"/>
        </w:tabs>
        <w:spacing w:line="340" w:lineRule="exact"/>
        <w:ind w:firstLine="420" w:firstLineChars="200"/>
        <w:jc w:val="left"/>
        <w:rPr>
          <w:rFonts w:ascii="Arial" w:hAnsi="Arial" w:cs="Arial"/>
          <w:color w:val="auto"/>
          <w:highlight w:val="none"/>
        </w:rPr>
      </w:pPr>
      <w:r>
        <w:rPr>
          <w:rFonts w:ascii="Arial" w:hAnsi="Arial" w:cs="Arial"/>
          <w:color w:val="auto"/>
          <w:highlight w:val="none"/>
        </w:rPr>
        <w:t>（3）本表可扩展。</w:t>
      </w:r>
    </w:p>
    <w:p>
      <w:pPr>
        <w:snapToGrid w:val="0"/>
        <w:spacing w:before="50" w:after="50"/>
        <w:rPr>
          <w:rFonts w:ascii="Arial" w:hAnsi="Arial" w:cs="Arial"/>
          <w:color w:val="auto"/>
          <w:spacing w:val="20"/>
          <w:szCs w:val="21"/>
          <w:highlight w:val="none"/>
          <w:u w:val="single"/>
        </w:rPr>
      </w:pPr>
      <w:r>
        <w:rPr>
          <w:rFonts w:ascii="Arial" w:hAnsi="Arial" w:cs="Arial"/>
          <w:color w:val="auto"/>
          <w:highlight w:val="none"/>
        </w:rPr>
        <w:t>法定代表人或授权代表签字或</w:t>
      </w:r>
      <w:r>
        <w:rPr>
          <w:rFonts w:ascii="Arial" w:hAnsi="Arial" w:cs="Arial"/>
          <w:color w:val="auto"/>
          <w:szCs w:val="21"/>
          <w:highlight w:val="none"/>
        </w:rPr>
        <w:t>个人CA签章</w:t>
      </w:r>
      <w:r>
        <w:rPr>
          <w:rFonts w:ascii="Arial" w:hAnsi="Arial" w:cs="Arial"/>
          <w:color w:val="auto"/>
          <w:spacing w:val="20"/>
          <w:szCs w:val="21"/>
          <w:highlight w:val="none"/>
        </w:rPr>
        <w:t>：</w:t>
      </w:r>
      <w:r>
        <w:rPr>
          <w:rFonts w:ascii="Arial" w:hAnsi="Arial" w:cs="Arial"/>
          <w:color w:val="auto"/>
          <w:spacing w:val="20"/>
          <w:szCs w:val="21"/>
          <w:highlight w:val="none"/>
          <w:u w:val="single"/>
        </w:rPr>
        <w:t xml:space="preserve">                 </w:t>
      </w:r>
    </w:p>
    <w:p>
      <w:pPr>
        <w:snapToGrid w:val="0"/>
        <w:spacing w:before="50" w:after="120" w:afterLines="50"/>
        <w:jc w:val="left"/>
        <w:rPr>
          <w:rFonts w:ascii="Arial" w:hAnsi="Arial" w:cs="Arial"/>
          <w:color w:val="auto"/>
          <w:spacing w:val="20"/>
          <w:szCs w:val="21"/>
          <w:highlight w:val="none"/>
        </w:rPr>
      </w:pPr>
      <w:r>
        <w:rPr>
          <w:rFonts w:ascii="Arial" w:hAnsi="Arial" w:cs="Arial"/>
          <w:color w:val="auto"/>
          <w:spacing w:val="20"/>
          <w:szCs w:val="21"/>
          <w:highlight w:val="none"/>
        </w:rPr>
        <w:t>供应商公章</w:t>
      </w:r>
      <w:r>
        <w:rPr>
          <w:rFonts w:ascii="Arial" w:hAnsi="Arial" w:cs="Arial"/>
          <w:color w:val="auto"/>
          <w:szCs w:val="21"/>
          <w:highlight w:val="none"/>
        </w:rPr>
        <w:t>（CA签章）</w:t>
      </w:r>
      <w:r>
        <w:rPr>
          <w:rFonts w:ascii="Arial" w:hAnsi="Arial" w:cs="Arial"/>
          <w:color w:val="auto"/>
          <w:spacing w:val="20"/>
          <w:szCs w:val="21"/>
          <w:highlight w:val="none"/>
        </w:rPr>
        <w:t>：</w:t>
      </w:r>
    </w:p>
    <w:p>
      <w:pPr>
        <w:snapToGrid w:val="0"/>
        <w:spacing w:before="50" w:after="120" w:afterLines="50"/>
        <w:jc w:val="left"/>
        <w:rPr>
          <w:rFonts w:ascii="Arial" w:hAnsi="Arial" w:cs="Arial"/>
          <w:strike/>
          <w:color w:val="auto"/>
          <w:szCs w:val="21"/>
          <w:highlight w:val="none"/>
        </w:rPr>
      </w:pPr>
      <w:r>
        <w:rPr>
          <w:rFonts w:ascii="Arial" w:hAnsi="Arial" w:cs="Arial"/>
          <w:color w:val="auto"/>
          <w:spacing w:val="20"/>
          <w:szCs w:val="21"/>
          <w:highlight w:val="none"/>
        </w:rPr>
        <w:t>日  期：</w:t>
      </w:r>
    </w:p>
    <w:p>
      <w:pPr>
        <w:snapToGrid w:val="0"/>
        <w:spacing w:before="50" w:after="120" w:afterLines="50" w:line="440" w:lineRule="exact"/>
        <w:jc w:val="left"/>
        <w:rPr>
          <w:rFonts w:ascii="Arial" w:hAnsi="Arial" w:cs="Arial"/>
          <w:strike/>
          <w:color w:val="auto"/>
          <w:szCs w:val="21"/>
          <w:highlight w:val="none"/>
        </w:rPr>
      </w:pPr>
      <w:r>
        <w:rPr>
          <w:rFonts w:ascii="Arial" w:hAnsi="Arial" w:cs="Arial"/>
          <w:color w:val="auto"/>
          <w:szCs w:val="21"/>
          <w:highlight w:val="none"/>
        </w:rPr>
        <w:t>2．售后服务机构概况</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4"/>
        <w:gridCol w:w="1439"/>
        <w:gridCol w:w="194"/>
        <w:gridCol w:w="1458"/>
        <w:gridCol w:w="899"/>
        <w:gridCol w:w="14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售后服务机构名称</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地址</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注册资本金</w:t>
            </w:r>
          </w:p>
        </w:tc>
        <w:tc>
          <w:tcPr>
            <w:tcW w:w="143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2551"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其中：供应商出资比例</w:t>
            </w:r>
          </w:p>
        </w:tc>
        <w:tc>
          <w:tcPr>
            <w:tcW w:w="14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员工总人数</w:t>
            </w:r>
          </w:p>
        </w:tc>
        <w:tc>
          <w:tcPr>
            <w:tcW w:w="143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2551"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Arial" w:hAnsi="Arial" w:cs="Arial"/>
                <w:color w:val="auto"/>
                <w:szCs w:val="21"/>
                <w:highlight w:val="none"/>
              </w:rPr>
            </w:pPr>
            <w:r>
              <w:rPr>
                <w:rFonts w:ascii="Arial" w:hAnsi="Arial" w:cs="Arial"/>
                <w:color w:val="auto"/>
                <w:szCs w:val="21"/>
                <w:highlight w:val="none"/>
              </w:rPr>
              <w:t>其中：技术人员数</w:t>
            </w:r>
          </w:p>
        </w:tc>
        <w:tc>
          <w:tcPr>
            <w:tcW w:w="145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经营期限</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售后服务协议</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售后服务内容</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工作业绩</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服务承诺</w:t>
            </w:r>
          </w:p>
        </w:tc>
        <w:tc>
          <w:tcPr>
            <w:tcW w:w="5445"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业务咨询电话</w:t>
            </w:r>
          </w:p>
        </w:tc>
        <w:tc>
          <w:tcPr>
            <w:tcW w:w="163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color w:val="auto"/>
                <w:szCs w:val="21"/>
                <w:highlight w:val="none"/>
              </w:rPr>
            </w:pPr>
          </w:p>
        </w:tc>
        <w:tc>
          <w:tcPr>
            <w:tcW w:w="1458"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rFonts w:ascii="Arial" w:hAnsi="Arial" w:cs="Arial"/>
                <w:color w:val="auto"/>
                <w:szCs w:val="21"/>
                <w:highlight w:val="none"/>
              </w:rPr>
            </w:pPr>
            <w:r>
              <w:rPr>
                <w:rFonts w:ascii="Arial" w:hAnsi="Arial" w:cs="Arial"/>
                <w:color w:val="auto"/>
                <w:szCs w:val="21"/>
                <w:highlight w:val="none"/>
              </w:rPr>
              <w:t>传 真</w:t>
            </w:r>
          </w:p>
        </w:tc>
        <w:tc>
          <w:tcPr>
            <w:tcW w:w="2354"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exact"/>
          <w:jc w:val="center"/>
        </w:trPr>
        <w:tc>
          <w:tcPr>
            <w:tcW w:w="195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负责人</w:t>
            </w:r>
          </w:p>
        </w:tc>
        <w:tc>
          <w:tcPr>
            <w:tcW w:w="163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color w:val="auto"/>
                <w:szCs w:val="21"/>
                <w:highlight w:val="none"/>
              </w:rPr>
            </w:pPr>
          </w:p>
        </w:tc>
        <w:tc>
          <w:tcPr>
            <w:tcW w:w="1458"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color w:val="auto"/>
                <w:szCs w:val="21"/>
                <w:highlight w:val="none"/>
              </w:rPr>
            </w:pPr>
            <w:r>
              <w:rPr>
                <w:rFonts w:ascii="Arial" w:hAnsi="Arial" w:cs="Arial"/>
                <w:color w:val="auto"/>
                <w:szCs w:val="21"/>
                <w:highlight w:val="none"/>
              </w:rPr>
              <w:t>联系电话</w:t>
            </w:r>
          </w:p>
        </w:tc>
        <w:tc>
          <w:tcPr>
            <w:tcW w:w="2354"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bl>
    <w:p>
      <w:pPr>
        <w:pStyle w:val="16"/>
        <w:snapToGrid w:val="0"/>
        <w:ind w:firstLine="630" w:firstLineChars="300"/>
        <w:rPr>
          <w:rFonts w:eastAsia="宋体"/>
          <w:color w:val="auto"/>
          <w:sz w:val="21"/>
          <w:szCs w:val="21"/>
          <w:highlight w:val="none"/>
          <w:u w:val="single"/>
        </w:rPr>
      </w:pPr>
      <w:r>
        <w:rPr>
          <w:rFonts w:eastAsia="宋体"/>
          <w:color w:val="auto"/>
          <w:sz w:val="21"/>
          <w:szCs w:val="21"/>
          <w:highlight w:val="none"/>
        </w:rPr>
        <w:t>法定代表人或授权代表签字或个人CA签章：</w:t>
      </w:r>
      <w:r>
        <w:rPr>
          <w:rFonts w:eastAsia="宋体"/>
          <w:color w:val="auto"/>
          <w:sz w:val="21"/>
          <w:szCs w:val="21"/>
          <w:highlight w:val="none"/>
          <w:u w:val="single"/>
        </w:rPr>
        <w:t>　　　　　</w:t>
      </w:r>
    </w:p>
    <w:p>
      <w:pPr>
        <w:pStyle w:val="21"/>
        <w:snapToGrid w:val="0"/>
        <w:ind w:left="1260" w:hanging="420"/>
        <w:rPr>
          <w:rFonts w:ascii="Arial" w:hAnsi="Arial" w:cs="Arial"/>
          <w:color w:val="auto"/>
          <w:sz w:val="21"/>
          <w:szCs w:val="21"/>
          <w:highlight w:val="none"/>
        </w:rPr>
      </w:pPr>
      <w:r>
        <w:rPr>
          <w:rFonts w:ascii="Arial" w:hAnsi="Arial" w:cs="Arial"/>
          <w:color w:val="auto"/>
          <w:sz w:val="21"/>
          <w:szCs w:val="21"/>
          <w:highlight w:val="none"/>
        </w:rPr>
        <w:t>供应商公章（CA签章）： 　 年  月　 日</w:t>
      </w:r>
    </w:p>
    <w:p>
      <w:pPr>
        <w:snapToGrid w:val="0"/>
        <w:spacing w:before="50" w:after="120" w:afterLines="50" w:line="440" w:lineRule="exact"/>
        <w:jc w:val="left"/>
        <w:rPr>
          <w:rFonts w:ascii="Arial" w:hAnsi="Arial" w:cs="Arial"/>
          <w:color w:val="auto"/>
          <w:szCs w:val="21"/>
          <w:highlight w:val="none"/>
        </w:rPr>
      </w:pPr>
    </w:p>
    <w:p>
      <w:pPr>
        <w:snapToGrid w:val="0"/>
        <w:spacing w:before="50" w:after="120" w:afterLines="50" w:line="440" w:lineRule="exact"/>
        <w:jc w:val="left"/>
        <w:rPr>
          <w:rFonts w:ascii="Arial" w:hAnsi="Arial" w:cs="Arial"/>
          <w:color w:val="auto"/>
          <w:spacing w:val="20"/>
          <w:szCs w:val="21"/>
          <w:highlight w:val="none"/>
          <w:u w:val="single"/>
        </w:rPr>
      </w:pPr>
      <w:r>
        <w:rPr>
          <w:rFonts w:ascii="Arial" w:hAnsi="Arial" w:cs="Arial"/>
          <w:color w:val="auto"/>
          <w:szCs w:val="21"/>
          <w:highlight w:val="none"/>
        </w:rPr>
        <w:t>3．售后服务方案（如有，供应商自行编写）</w:t>
      </w:r>
    </w:p>
    <w:p>
      <w:pPr>
        <w:snapToGrid w:val="0"/>
        <w:spacing w:before="50" w:after="120" w:afterLines="50" w:line="440" w:lineRule="exact"/>
        <w:jc w:val="left"/>
        <w:rPr>
          <w:rFonts w:ascii="Arial" w:hAnsi="Arial" w:cs="Arial"/>
          <w:color w:val="auto"/>
          <w:spacing w:val="20"/>
          <w:szCs w:val="21"/>
          <w:highlight w:val="none"/>
          <w:u w:val="single"/>
        </w:rPr>
        <w:sectPr>
          <w:headerReference r:id="rId14" w:type="first"/>
          <w:headerReference r:id="rId13" w:type="default"/>
          <w:footerReference r:id="rId15" w:type="default"/>
          <w:pgSz w:w="11906" w:h="16838"/>
          <w:pgMar w:top="1418" w:right="1028" w:bottom="1246" w:left="1418" w:header="851" w:footer="992" w:gutter="0"/>
          <w:cols w:space="720" w:num="1"/>
          <w:docGrid w:linePitch="312" w:charSpace="0"/>
        </w:sectPr>
      </w:pPr>
    </w:p>
    <w:p>
      <w:pPr>
        <w:snapToGrid w:val="0"/>
        <w:spacing w:before="50" w:after="120" w:afterLines="50"/>
        <w:jc w:val="left"/>
        <w:rPr>
          <w:rFonts w:ascii="Arial" w:hAnsi="Arial" w:cs="Arial"/>
          <w:b/>
          <w:color w:val="auto"/>
          <w:szCs w:val="21"/>
          <w:highlight w:val="none"/>
        </w:rPr>
      </w:pPr>
      <w:r>
        <w:rPr>
          <w:rFonts w:ascii="Arial" w:hAnsi="Arial" w:cs="Arial"/>
          <w:color w:val="auto"/>
          <w:szCs w:val="21"/>
          <w:highlight w:val="none"/>
        </w:rPr>
        <w:t>4．近年供应商类似成功案例的业绩证明。</w:t>
      </w:r>
    </w:p>
    <w:p>
      <w:pPr>
        <w:snapToGrid w:val="0"/>
        <w:spacing w:before="50" w:after="120" w:afterLines="50"/>
        <w:jc w:val="center"/>
        <w:rPr>
          <w:rFonts w:ascii="Arial" w:hAnsi="Arial" w:cs="Arial"/>
          <w:color w:val="auto"/>
          <w:szCs w:val="21"/>
          <w:highlight w:val="none"/>
        </w:rPr>
      </w:pPr>
      <w:r>
        <w:rPr>
          <w:rFonts w:ascii="Arial" w:hAnsi="Arial" w:cs="Arial"/>
          <w:b/>
          <w:color w:val="auto"/>
          <w:szCs w:val="21"/>
          <w:highlight w:val="none"/>
        </w:rPr>
        <w:t>类似成功案例业绩一览表</w:t>
      </w:r>
    </w:p>
    <w:tbl>
      <w:tblPr>
        <w:tblStyle w:val="5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3"/>
        <w:gridCol w:w="3895"/>
        <w:gridCol w:w="1230"/>
        <w:gridCol w:w="1230"/>
        <w:gridCol w:w="1640"/>
        <w:gridCol w:w="3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5" w:hRule="atLeast"/>
        </w:trPr>
        <w:tc>
          <w:tcPr>
            <w:tcW w:w="29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采购单位名称</w:t>
            </w:r>
          </w:p>
        </w:tc>
        <w:tc>
          <w:tcPr>
            <w:tcW w:w="38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产品或项目名称</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采购</w:t>
            </w:r>
          </w:p>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数量</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单价（元）</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color w:val="auto"/>
                <w:szCs w:val="21"/>
                <w:highlight w:val="none"/>
              </w:rPr>
            </w:pPr>
            <w:r>
              <w:rPr>
                <w:rFonts w:ascii="Arial" w:hAnsi="Arial" w:cs="Arial"/>
                <w:color w:val="auto"/>
                <w:szCs w:val="21"/>
                <w:highlight w:val="none"/>
              </w:rPr>
              <w:t>合同总价（元）</w:t>
            </w:r>
          </w:p>
        </w:tc>
        <w:tc>
          <w:tcPr>
            <w:tcW w:w="3181" w:type="dxa"/>
            <w:vMerge w:val="restart"/>
            <w:tcBorders>
              <w:top w:val="single" w:color="auto" w:sz="4" w:space="0"/>
              <w:left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3" w:hRule="atLeast"/>
        </w:trPr>
        <w:tc>
          <w:tcPr>
            <w:tcW w:w="2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3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auto"/>
                <w:szCs w:val="21"/>
                <w:highlight w:val="none"/>
              </w:rPr>
            </w:pPr>
          </w:p>
        </w:tc>
        <w:tc>
          <w:tcPr>
            <w:tcW w:w="3181" w:type="dxa"/>
            <w:vMerge w:val="continue"/>
            <w:tcBorders>
              <w:left w:val="single" w:color="auto" w:sz="4" w:space="0"/>
              <w:bottom w:val="single" w:color="auto" w:sz="4" w:space="0"/>
              <w:right w:val="single" w:color="auto" w:sz="4" w:space="0"/>
            </w:tcBorders>
          </w:tcPr>
          <w:p>
            <w:pPr>
              <w:snapToGrid w:val="0"/>
              <w:spacing w:line="240" w:lineRule="exact"/>
              <w:jc w:val="center"/>
              <w:rPr>
                <w:rFonts w:ascii="Arial" w:hAnsi="Arial" w:cs="Arial"/>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c>
          <w:tcPr>
            <w:tcW w:w="389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c>
          <w:tcPr>
            <w:tcW w:w="16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c>
          <w:tcPr>
            <w:tcW w:w="31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color w:val="auto"/>
                <w:szCs w:val="21"/>
                <w:highlight w:val="none"/>
              </w:rPr>
            </w:pPr>
          </w:p>
        </w:tc>
      </w:tr>
    </w:tbl>
    <w:p>
      <w:pPr>
        <w:pStyle w:val="16"/>
        <w:snapToGrid w:val="0"/>
        <w:rPr>
          <w:rFonts w:eastAsia="宋体"/>
          <w:color w:val="auto"/>
          <w:sz w:val="21"/>
          <w:szCs w:val="21"/>
          <w:highlight w:val="none"/>
        </w:rPr>
      </w:pPr>
      <w:r>
        <w:rPr>
          <w:rFonts w:eastAsia="宋体"/>
          <w:color w:val="auto"/>
          <w:sz w:val="21"/>
          <w:szCs w:val="21"/>
          <w:highlight w:val="none"/>
        </w:rPr>
        <w:t>注：</w:t>
      </w:r>
      <w:bookmarkStart w:id="122" w:name="_Hlk19049505"/>
      <w:r>
        <w:rPr>
          <w:rFonts w:eastAsia="宋体"/>
          <w:color w:val="auto"/>
          <w:sz w:val="21"/>
          <w:szCs w:val="21"/>
          <w:highlight w:val="none"/>
        </w:rPr>
        <w:t>本表可拓展并逐页签字及盖章。</w:t>
      </w:r>
      <w:bookmarkEnd w:id="122"/>
    </w:p>
    <w:p>
      <w:pPr>
        <w:pStyle w:val="16"/>
        <w:snapToGrid w:val="0"/>
        <w:rPr>
          <w:rFonts w:eastAsia="宋体"/>
          <w:color w:val="auto"/>
          <w:sz w:val="21"/>
          <w:szCs w:val="21"/>
          <w:highlight w:val="none"/>
          <w:u w:val="single"/>
        </w:rPr>
      </w:pPr>
      <w:r>
        <w:rPr>
          <w:rFonts w:eastAsia="宋体"/>
          <w:color w:val="auto"/>
          <w:sz w:val="21"/>
          <w:szCs w:val="21"/>
          <w:highlight w:val="none"/>
        </w:rPr>
        <w:t>法定代表人或授权代表签字或个人CA签章：</w:t>
      </w:r>
      <w:r>
        <w:rPr>
          <w:rFonts w:eastAsia="宋体"/>
          <w:color w:val="auto"/>
          <w:sz w:val="21"/>
          <w:szCs w:val="21"/>
          <w:highlight w:val="none"/>
          <w:u w:val="single"/>
        </w:rPr>
        <w:t>　　　　　</w:t>
      </w:r>
    </w:p>
    <w:p>
      <w:pPr>
        <w:snapToGrid w:val="0"/>
        <w:spacing w:before="50"/>
        <w:jc w:val="left"/>
        <w:rPr>
          <w:rFonts w:ascii="Arial" w:hAnsi="Arial" w:cs="Arial"/>
          <w:color w:val="auto"/>
          <w:szCs w:val="21"/>
          <w:highlight w:val="none"/>
        </w:rPr>
      </w:pPr>
      <w:r>
        <w:rPr>
          <w:rFonts w:ascii="Arial" w:hAnsi="Arial" w:cs="Arial"/>
          <w:color w:val="auto"/>
          <w:szCs w:val="21"/>
          <w:highlight w:val="none"/>
        </w:rPr>
        <w:t>供应商公章（CA签章）：   年   月   日</w:t>
      </w:r>
    </w:p>
    <w:p>
      <w:pPr>
        <w:snapToGrid w:val="0"/>
        <w:spacing w:before="50"/>
        <w:jc w:val="left"/>
        <w:rPr>
          <w:rFonts w:ascii="Arial" w:hAnsi="Arial" w:cs="Arial"/>
          <w:color w:val="auto"/>
          <w:szCs w:val="21"/>
          <w:highlight w:val="none"/>
        </w:rPr>
      </w:pPr>
    </w:p>
    <w:p>
      <w:pPr>
        <w:snapToGrid w:val="0"/>
        <w:spacing w:before="50"/>
        <w:jc w:val="left"/>
        <w:rPr>
          <w:rFonts w:ascii="Arial" w:hAnsi="Arial" w:cs="Arial"/>
          <w:color w:val="auto"/>
          <w:szCs w:val="21"/>
          <w:highlight w:val="none"/>
        </w:rPr>
        <w:sectPr>
          <w:pgSz w:w="16838" w:h="11906" w:orient="landscape"/>
          <w:pgMar w:top="1418" w:right="1418" w:bottom="1133" w:left="1246" w:header="851" w:footer="992" w:gutter="0"/>
          <w:cols w:space="720" w:num="1"/>
          <w:docGrid w:linePitch="312" w:charSpace="0"/>
        </w:sect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5.符合政府采购政策加分条件证明材料。</w:t>
      </w: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5.1列入节能产品政府采购品目清单及环境标志产品政府采购品目清单的货物清单。</w:t>
      </w:r>
      <w:r>
        <w:rPr>
          <w:rFonts w:ascii="Arial" w:hAnsi="Arial" w:cs="Arial"/>
          <w:b/>
          <w:color w:val="auto"/>
          <w:szCs w:val="21"/>
          <w:highlight w:val="none"/>
        </w:rPr>
        <w:t>（如有，须提供）</w:t>
      </w: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投标产品中如有列入节能产品政府采购品目清单及环境标志产品政府采购品目清单的货物，应按下表提供清单。</w:t>
      </w:r>
    </w:p>
    <w:p>
      <w:pPr>
        <w:spacing w:line="360" w:lineRule="auto"/>
        <w:jc w:val="center"/>
        <w:rPr>
          <w:rFonts w:ascii="Arial" w:hAnsi="Arial" w:cs="Arial"/>
          <w:color w:val="auto"/>
          <w:szCs w:val="21"/>
          <w:highlight w:val="none"/>
        </w:rPr>
      </w:pPr>
      <w:r>
        <w:rPr>
          <w:rFonts w:ascii="Arial" w:hAnsi="Arial" w:cs="Arial"/>
          <w:b/>
          <w:color w:val="auto"/>
          <w:szCs w:val="21"/>
          <w:highlight w:val="none"/>
        </w:rPr>
        <w:t>节能产品及环境标志产品清单</w:t>
      </w:r>
    </w:p>
    <w:tbl>
      <w:tblPr>
        <w:tblStyle w:val="5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7"/>
        <w:gridCol w:w="1134"/>
        <w:gridCol w:w="897"/>
        <w:gridCol w:w="1088"/>
        <w:gridCol w:w="1409"/>
        <w:gridCol w:w="1851"/>
        <w:gridCol w:w="1412"/>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767" w:type="dxa"/>
            <w:tcBorders>
              <w:top w:val="single" w:color="auto" w:sz="12" w:space="0"/>
              <w:left w:val="single" w:color="auto" w:sz="12"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序号</w:t>
            </w:r>
          </w:p>
        </w:tc>
        <w:tc>
          <w:tcPr>
            <w:tcW w:w="1134" w:type="dxa"/>
            <w:tcBorders>
              <w:top w:val="single" w:color="auto" w:sz="12" w:space="0"/>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类别</w:t>
            </w:r>
          </w:p>
        </w:tc>
        <w:tc>
          <w:tcPr>
            <w:tcW w:w="897"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品目</w:t>
            </w:r>
          </w:p>
        </w:tc>
        <w:tc>
          <w:tcPr>
            <w:tcW w:w="1088" w:type="dxa"/>
            <w:tcBorders>
              <w:top w:val="single" w:color="auto" w:sz="12" w:space="0"/>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品牌</w:t>
            </w:r>
          </w:p>
        </w:tc>
        <w:tc>
          <w:tcPr>
            <w:tcW w:w="1409"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规格型号</w:t>
            </w:r>
          </w:p>
        </w:tc>
        <w:tc>
          <w:tcPr>
            <w:tcW w:w="1851"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szCs w:val="21"/>
                <w:highlight w:val="none"/>
                <w:shd w:val="clear" w:color="auto" w:fill="FFFFFF"/>
              </w:rPr>
              <w:t>生产者（制造商）</w:t>
            </w:r>
          </w:p>
        </w:tc>
        <w:tc>
          <w:tcPr>
            <w:tcW w:w="141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证书编号及证书到期日期</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767" w:type="dxa"/>
            <w:tcBorders>
              <w:top w:val="nil"/>
              <w:left w:val="single" w:color="auto" w:sz="12"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1</w:t>
            </w:r>
          </w:p>
        </w:tc>
        <w:tc>
          <w:tcPr>
            <w:tcW w:w="1134"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088"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1" w:hRule="atLeast"/>
          <w:jc w:val="center"/>
        </w:trPr>
        <w:tc>
          <w:tcPr>
            <w:tcW w:w="767" w:type="dxa"/>
            <w:tcBorders>
              <w:top w:val="nil"/>
              <w:left w:val="single" w:color="auto" w:sz="12"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2</w:t>
            </w:r>
          </w:p>
        </w:tc>
        <w:tc>
          <w:tcPr>
            <w:tcW w:w="1134"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088"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67" w:type="dxa"/>
            <w:tcBorders>
              <w:top w:val="nil"/>
              <w:left w:val="single" w:color="auto" w:sz="12"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r>
              <w:rPr>
                <w:rFonts w:ascii="Arial" w:hAnsi="Arial" w:cs="Arial"/>
                <w:color w:val="auto"/>
                <w:kern w:val="0"/>
                <w:szCs w:val="21"/>
                <w:highlight w:val="none"/>
              </w:rPr>
              <w:t>……</w:t>
            </w:r>
          </w:p>
        </w:tc>
        <w:tc>
          <w:tcPr>
            <w:tcW w:w="1134"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088" w:type="dxa"/>
            <w:tcBorders>
              <w:top w:val="nil"/>
              <w:left w:val="nil"/>
              <w:bottom w:val="single" w:color="auto" w:sz="8" w:space="0"/>
              <w:right w:val="single" w:color="auto" w:sz="4"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color w:val="auto"/>
                <w:kern w:val="0"/>
                <w:szCs w:val="21"/>
                <w:highlight w:val="none"/>
              </w:rPr>
            </w:pPr>
          </w:p>
        </w:tc>
      </w:tr>
    </w:tbl>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注：类别填写节能或环境标志，品目填写编号及产品名称如A02010104台式计算机。</w:t>
      </w:r>
    </w:p>
    <w:p>
      <w:pPr>
        <w:snapToGrid w:val="0"/>
        <w:spacing w:before="50" w:after="120" w:afterLines="50"/>
        <w:jc w:val="left"/>
        <w:rPr>
          <w:rFonts w:ascii="Arial" w:hAnsi="Arial" w:cs="Arial"/>
          <w:color w:val="auto"/>
          <w:szCs w:val="21"/>
          <w:highlight w:val="none"/>
        </w:rPr>
      </w:pPr>
      <w:bookmarkStart w:id="123" w:name="_Hlk19050322"/>
    </w:p>
    <w:p>
      <w:pPr>
        <w:snapToGrid w:val="0"/>
        <w:spacing w:before="50" w:after="120" w:afterLines="50"/>
        <w:jc w:val="left"/>
        <w:rPr>
          <w:color w:val="auto"/>
          <w:szCs w:val="21"/>
          <w:highlight w:val="none"/>
        </w:rPr>
      </w:pPr>
      <w:r>
        <w:rPr>
          <w:rFonts w:ascii="Arial" w:hAnsi="Arial" w:cs="Arial"/>
          <w:color w:val="auto"/>
          <w:szCs w:val="21"/>
          <w:highlight w:val="none"/>
        </w:rPr>
        <w:t>6．</w:t>
      </w:r>
      <w:r>
        <w:rPr>
          <w:rFonts w:hint="eastAsia"/>
          <w:color w:val="auto"/>
          <w:szCs w:val="21"/>
          <w:highlight w:val="none"/>
        </w:rPr>
        <w:t>无串标行为承诺函</w:t>
      </w:r>
    </w:p>
    <w:p>
      <w:pPr>
        <w:snapToGrid w:val="0"/>
        <w:spacing w:before="50" w:after="120" w:afterLines="50"/>
        <w:jc w:val="center"/>
        <w:rPr>
          <w:color w:val="auto"/>
          <w:szCs w:val="21"/>
          <w:highlight w:val="none"/>
        </w:rPr>
      </w:pPr>
      <w:r>
        <w:rPr>
          <w:rFonts w:hint="eastAsia"/>
          <w:color w:val="auto"/>
          <w:szCs w:val="21"/>
          <w:highlight w:val="none"/>
        </w:rPr>
        <w:t>投标人参加本项目无围标串标行为的承诺函</w:t>
      </w:r>
    </w:p>
    <w:p>
      <w:pPr>
        <w:snapToGrid w:val="0"/>
        <w:spacing w:before="50" w:after="120" w:afterLines="50"/>
        <w:jc w:val="left"/>
        <w:rPr>
          <w:color w:val="auto"/>
          <w:szCs w:val="21"/>
          <w:highlight w:val="none"/>
        </w:rPr>
      </w:pPr>
      <w:r>
        <w:rPr>
          <w:rFonts w:hint="eastAsia"/>
          <w:color w:val="auto"/>
          <w:szCs w:val="21"/>
          <w:highlight w:val="none"/>
        </w:rPr>
        <w:t>一、我方承诺无下列相互串通投标的情形：</w:t>
      </w:r>
    </w:p>
    <w:p>
      <w:pPr>
        <w:snapToGrid w:val="0"/>
        <w:spacing w:before="50" w:after="120" w:afterLines="50"/>
        <w:jc w:val="left"/>
        <w:rPr>
          <w:color w:val="auto"/>
          <w:szCs w:val="21"/>
          <w:highlight w:val="none"/>
        </w:rPr>
      </w:pPr>
      <w:r>
        <w:rPr>
          <w:rFonts w:hint="eastAsia"/>
          <w:color w:val="auto"/>
          <w:szCs w:val="21"/>
          <w:highlight w:val="none"/>
        </w:rPr>
        <w:t>1.不同投标人的投标文件由同一单位或者个人编制；或者不同投标人报名的IP地址一致的；</w:t>
      </w:r>
    </w:p>
    <w:p>
      <w:pPr>
        <w:snapToGrid w:val="0"/>
        <w:spacing w:before="50" w:after="120" w:afterLines="50"/>
        <w:jc w:val="left"/>
        <w:rPr>
          <w:color w:val="auto"/>
          <w:szCs w:val="21"/>
          <w:highlight w:val="none"/>
        </w:rPr>
      </w:pPr>
      <w:r>
        <w:rPr>
          <w:rFonts w:hint="eastAsia"/>
          <w:color w:val="auto"/>
          <w:szCs w:val="21"/>
          <w:highlight w:val="none"/>
        </w:rPr>
        <w:t>2.不同投标人委托同一单位或者个人办理投标事宜；</w:t>
      </w:r>
    </w:p>
    <w:p>
      <w:pPr>
        <w:snapToGrid w:val="0"/>
        <w:spacing w:before="50" w:after="120" w:afterLines="50"/>
        <w:jc w:val="left"/>
        <w:rPr>
          <w:color w:val="auto"/>
          <w:szCs w:val="21"/>
          <w:highlight w:val="none"/>
        </w:rPr>
      </w:pPr>
      <w:r>
        <w:rPr>
          <w:rFonts w:hint="eastAsia"/>
          <w:color w:val="auto"/>
          <w:szCs w:val="21"/>
          <w:highlight w:val="none"/>
        </w:rPr>
        <w:t>3.不同的投标人的投标文件载明的项目管理员为同一个人；</w:t>
      </w:r>
    </w:p>
    <w:p>
      <w:pPr>
        <w:snapToGrid w:val="0"/>
        <w:spacing w:before="50" w:after="120" w:afterLines="50"/>
        <w:jc w:val="left"/>
        <w:rPr>
          <w:color w:val="auto"/>
          <w:szCs w:val="21"/>
          <w:highlight w:val="none"/>
        </w:rPr>
      </w:pPr>
      <w:r>
        <w:rPr>
          <w:rFonts w:hint="eastAsia"/>
          <w:color w:val="auto"/>
          <w:szCs w:val="21"/>
          <w:highlight w:val="none"/>
        </w:rPr>
        <w:t>4.不同投标人的投标文件异常一致或者投标报价呈规律性差异；</w:t>
      </w:r>
    </w:p>
    <w:p>
      <w:pPr>
        <w:snapToGrid w:val="0"/>
        <w:spacing w:before="50" w:after="120" w:afterLines="50"/>
        <w:jc w:val="left"/>
        <w:rPr>
          <w:color w:val="auto"/>
          <w:szCs w:val="21"/>
          <w:highlight w:val="none"/>
        </w:rPr>
      </w:pPr>
      <w:r>
        <w:rPr>
          <w:rFonts w:hint="eastAsia"/>
          <w:color w:val="auto"/>
          <w:szCs w:val="21"/>
          <w:highlight w:val="none"/>
        </w:rPr>
        <w:t>5.不同投标人的投标文件相互混装；</w:t>
      </w:r>
    </w:p>
    <w:p>
      <w:pPr>
        <w:snapToGrid w:val="0"/>
        <w:spacing w:before="50" w:after="120" w:afterLines="50"/>
        <w:jc w:val="left"/>
        <w:rPr>
          <w:color w:val="auto"/>
          <w:szCs w:val="21"/>
          <w:highlight w:val="none"/>
        </w:rPr>
      </w:pPr>
      <w:r>
        <w:rPr>
          <w:rFonts w:hint="eastAsia"/>
          <w:color w:val="auto"/>
          <w:szCs w:val="21"/>
          <w:highlight w:val="none"/>
        </w:rPr>
        <w:t>6.不同投标人的投标保证金从同一单位或者个人账户转出。</w:t>
      </w:r>
    </w:p>
    <w:p>
      <w:pPr>
        <w:snapToGrid w:val="0"/>
        <w:spacing w:before="50" w:after="120" w:afterLines="50"/>
        <w:jc w:val="left"/>
        <w:rPr>
          <w:color w:val="auto"/>
          <w:szCs w:val="21"/>
          <w:highlight w:val="none"/>
        </w:rPr>
      </w:pPr>
      <w:r>
        <w:rPr>
          <w:rFonts w:hint="eastAsia"/>
          <w:color w:val="auto"/>
          <w:szCs w:val="21"/>
          <w:highlight w:val="none"/>
        </w:rPr>
        <w:t>二、我方承诺无下列恶意串通的情形：</w:t>
      </w:r>
    </w:p>
    <w:p>
      <w:pPr>
        <w:snapToGrid w:val="0"/>
        <w:spacing w:before="50" w:after="120" w:afterLines="50"/>
        <w:jc w:val="left"/>
        <w:rPr>
          <w:color w:val="auto"/>
          <w:szCs w:val="21"/>
          <w:highlight w:val="none"/>
        </w:rPr>
      </w:pPr>
      <w:r>
        <w:rPr>
          <w:rFonts w:hint="eastAsia"/>
          <w:color w:val="auto"/>
          <w:szCs w:val="21"/>
          <w:highlight w:val="none"/>
        </w:rPr>
        <w:t>1.投标人直接或者间接从采购人或者采购代理机构处获得其他投标人的相关信息并修改其投标文件或者投标文件；</w:t>
      </w:r>
    </w:p>
    <w:p>
      <w:pPr>
        <w:snapToGrid w:val="0"/>
        <w:spacing w:before="50" w:after="120" w:afterLines="50"/>
        <w:jc w:val="left"/>
        <w:rPr>
          <w:color w:val="auto"/>
          <w:szCs w:val="21"/>
          <w:highlight w:val="none"/>
        </w:rPr>
      </w:pPr>
      <w:r>
        <w:rPr>
          <w:rFonts w:hint="eastAsia"/>
          <w:color w:val="auto"/>
          <w:szCs w:val="21"/>
          <w:highlight w:val="none"/>
        </w:rPr>
        <w:t>2.投标人按照采购人或者采购代理机构的授意撤换、修改投标文件或者投标文件；</w:t>
      </w:r>
    </w:p>
    <w:p>
      <w:pPr>
        <w:snapToGrid w:val="0"/>
        <w:spacing w:before="50" w:after="120" w:afterLines="50"/>
        <w:jc w:val="left"/>
        <w:rPr>
          <w:color w:val="auto"/>
          <w:szCs w:val="21"/>
          <w:highlight w:val="none"/>
        </w:rPr>
      </w:pPr>
      <w:r>
        <w:rPr>
          <w:rFonts w:hint="eastAsia"/>
          <w:color w:val="auto"/>
          <w:szCs w:val="21"/>
          <w:highlight w:val="none"/>
        </w:rPr>
        <w:t>3.投标人之间协商报价、技术方案等投标文件或者投标文件的实质性内容；</w:t>
      </w:r>
    </w:p>
    <w:p>
      <w:pPr>
        <w:snapToGrid w:val="0"/>
        <w:spacing w:before="50" w:after="120" w:afterLines="50"/>
        <w:jc w:val="left"/>
        <w:rPr>
          <w:color w:val="auto"/>
          <w:szCs w:val="21"/>
          <w:highlight w:val="none"/>
        </w:rPr>
      </w:pPr>
      <w:r>
        <w:rPr>
          <w:rFonts w:hint="eastAsia"/>
          <w:color w:val="auto"/>
          <w:szCs w:val="21"/>
          <w:highlight w:val="none"/>
        </w:rPr>
        <w:t>4.属于同一集团、协会、商会等组织成员的投标人按照该组织要求协同参加政府采购活动；</w:t>
      </w:r>
    </w:p>
    <w:p>
      <w:pPr>
        <w:snapToGrid w:val="0"/>
        <w:spacing w:before="50" w:after="120" w:afterLines="50"/>
        <w:jc w:val="left"/>
        <w:rPr>
          <w:color w:val="auto"/>
          <w:szCs w:val="21"/>
          <w:highlight w:val="none"/>
        </w:rPr>
      </w:pPr>
      <w:r>
        <w:rPr>
          <w:rFonts w:hint="eastAsia"/>
          <w:color w:val="auto"/>
          <w:szCs w:val="21"/>
          <w:highlight w:val="none"/>
        </w:rPr>
        <w:t>5.投标人之间事先约定一致抬高或者压低投标报价，或者在招标项目中事先约定轮流以高价位或者低价位中标，或者事先约定由某一特定投标人中标，然后再参加投标；</w:t>
      </w:r>
    </w:p>
    <w:p>
      <w:pPr>
        <w:snapToGrid w:val="0"/>
        <w:spacing w:before="50" w:after="120" w:afterLines="50"/>
        <w:jc w:val="left"/>
        <w:rPr>
          <w:color w:val="auto"/>
          <w:szCs w:val="21"/>
          <w:highlight w:val="none"/>
        </w:rPr>
      </w:pPr>
      <w:r>
        <w:rPr>
          <w:rFonts w:hint="eastAsia"/>
          <w:color w:val="auto"/>
          <w:szCs w:val="21"/>
          <w:highlight w:val="none"/>
        </w:rPr>
        <w:t>6.投标人之间商定部分投标人放弃参加政府采购活动或者放弃中标；</w:t>
      </w:r>
    </w:p>
    <w:p>
      <w:pPr>
        <w:snapToGrid w:val="0"/>
        <w:spacing w:before="50" w:after="120" w:afterLines="50"/>
        <w:jc w:val="left"/>
        <w:rPr>
          <w:color w:val="auto"/>
          <w:szCs w:val="21"/>
          <w:highlight w:val="none"/>
        </w:rPr>
      </w:pPr>
      <w:r>
        <w:rPr>
          <w:rFonts w:hint="eastAsia"/>
          <w:color w:val="auto"/>
          <w:szCs w:val="21"/>
          <w:highlight w:val="none"/>
        </w:rPr>
        <w:t>7.投标人与采购人或者采购代理机构之间、投标人相互之间，为谋求特定投标人中标或者排斥其他投标人的其他串通行为。</w:t>
      </w:r>
    </w:p>
    <w:p>
      <w:pPr>
        <w:snapToGrid w:val="0"/>
        <w:spacing w:before="50" w:after="120" w:afterLines="50"/>
        <w:jc w:val="left"/>
        <w:rPr>
          <w:color w:val="auto"/>
          <w:szCs w:val="21"/>
          <w:highlight w:val="none"/>
        </w:rPr>
      </w:pPr>
      <w:r>
        <w:rPr>
          <w:rFonts w:hint="eastAsia"/>
          <w:color w:val="auto"/>
          <w:szCs w:val="21"/>
          <w:highlight w:val="none"/>
        </w:rPr>
        <w:t>以上情形一经核查属实，我方愿意承担一切后果，并不再寻求任何旨在减轻或者免除法律责任的辩解。</w:t>
      </w:r>
    </w:p>
    <w:p>
      <w:pPr>
        <w:snapToGrid w:val="0"/>
        <w:spacing w:before="50" w:after="120" w:afterLines="50"/>
        <w:jc w:val="center"/>
        <w:rPr>
          <w:color w:val="auto"/>
          <w:szCs w:val="21"/>
          <w:highlight w:val="none"/>
        </w:rPr>
      </w:pPr>
      <w:r>
        <w:rPr>
          <w:rFonts w:hint="eastAsia"/>
          <w:color w:val="auto"/>
          <w:szCs w:val="21"/>
          <w:highlight w:val="none"/>
        </w:rPr>
        <w:t xml:space="preserve">                                   </w:t>
      </w:r>
      <w:r>
        <w:rPr>
          <w:color w:val="auto"/>
          <w:szCs w:val="21"/>
          <w:highlight w:val="none"/>
        </w:rPr>
        <w:t>供应商</w:t>
      </w:r>
      <w:r>
        <w:rPr>
          <w:rFonts w:hint="eastAsia"/>
          <w:color w:val="auto"/>
          <w:szCs w:val="21"/>
          <w:highlight w:val="none"/>
        </w:rPr>
        <w:t>名称(电子签章</w:t>
      </w:r>
      <w:r>
        <w:rPr>
          <w:color w:val="auto"/>
          <w:szCs w:val="21"/>
          <w:highlight w:val="none"/>
        </w:rPr>
        <w:t>)</w:t>
      </w:r>
      <w:r>
        <w:rPr>
          <w:rFonts w:hint="eastAsia"/>
          <w:color w:val="auto"/>
          <w:szCs w:val="21"/>
          <w:highlight w:val="none"/>
        </w:rPr>
        <w:t>：</w:t>
      </w:r>
    </w:p>
    <w:p>
      <w:pPr>
        <w:snapToGrid w:val="0"/>
        <w:spacing w:before="50" w:after="120" w:afterLines="50"/>
        <w:jc w:val="center"/>
        <w:rPr>
          <w:rFonts w:ascii="Arial" w:hAnsi="Arial" w:cs="Arial"/>
          <w:color w:val="auto"/>
          <w:szCs w:val="21"/>
          <w:highlight w:val="none"/>
        </w:rPr>
      </w:pPr>
      <w:r>
        <w:rPr>
          <w:rFonts w:hint="eastAsia"/>
          <w:color w:val="auto"/>
          <w:szCs w:val="21"/>
          <w:highlight w:val="none"/>
        </w:rPr>
        <w:t xml:space="preserve">                                 日期：  年  月   日</w:t>
      </w: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r>
        <w:rPr>
          <w:rFonts w:hint="eastAsia" w:ascii="Arial" w:hAnsi="Arial" w:cs="Arial"/>
          <w:color w:val="auto"/>
          <w:szCs w:val="21"/>
          <w:highlight w:val="none"/>
        </w:rPr>
        <w:t>7.</w:t>
      </w:r>
      <w:r>
        <w:rPr>
          <w:rFonts w:ascii="Arial" w:hAnsi="Arial" w:cs="Arial"/>
          <w:color w:val="auto"/>
          <w:szCs w:val="21"/>
          <w:highlight w:val="none"/>
        </w:rPr>
        <w:t>供应商认为需提供的其他材料（根据招标文件编写）</w:t>
      </w:r>
    </w:p>
    <w:bookmarkEnd w:id="123"/>
    <w:p>
      <w:pPr>
        <w:rPr>
          <w:rFonts w:ascii="Arial" w:hAnsi="Arial" w:cs="Arial"/>
          <w:b/>
          <w:bCs/>
          <w:color w:val="auto"/>
          <w:szCs w:val="21"/>
          <w:highlight w:val="none"/>
        </w:rPr>
      </w:pPr>
      <w:r>
        <w:rPr>
          <w:rFonts w:ascii="Arial" w:hAnsi="Arial" w:cs="Arial"/>
          <w:color w:val="auto"/>
          <w:szCs w:val="21"/>
          <w:highlight w:val="none"/>
        </w:rPr>
        <w:br w:type="page"/>
      </w:r>
    </w:p>
    <w:p>
      <w:pPr>
        <w:snapToGrid w:val="0"/>
        <w:spacing w:before="120" w:beforeLines="50" w:after="50" w:line="440" w:lineRule="exact"/>
        <w:jc w:val="center"/>
        <w:outlineLvl w:val="1"/>
        <w:rPr>
          <w:rFonts w:ascii="Arial" w:hAnsi="Arial" w:cs="Arial"/>
          <w:bCs/>
          <w:color w:val="auto"/>
          <w:sz w:val="24"/>
          <w:highlight w:val="none"/>
        </w:rPr>
      </w:pPr>
      <w:r>
        <w:rPr>
          <w:rFonts w:ascii="Arial" w:hAnsi="Arial" w:cs="Arial"/>
          <w:bCs/>
          <w:color w:val="auto"/>
          <w:sz w:val="24"/>
          <w:highlight w:val="none"/>
        </w:rPr>
        <w:t>第二部分 技术文件</w:t>
      </w:r>
    </w:p>
    <w:p>
      <w:pPr>
        <w:jc w:val="center"/>
        <w:rPr>
          <w:rFonts w:ascii="Arial" w:hAnsi="Arial" w:cs="Arial"/>
          <w:color w:val="auto"/>
          <w:highlight w:val="none"/>
        </w:rPr>
      </w:pPr>
      <w:r>
        <w:rPr>
          <w:rFonts w:ascii="Arial" w:hAnsi="Arial" w:cs="Arial"/>
          <w:color w:val="auto"/>
          <w:highlight w:val="none"/>
        </w:rPr>
        <w:t>（本技术文件除标注“必须提供”的部分外，其余部分供应商可自行编写，也可参照下述提纲编写）</w:t>
      </w:r>
    </w:p>
    <w:p>
      <w:pPr>
        <w:snapToGrid w:val="0"/>
        <w:spacing w:before="50" w:after="120" w:afterLines="50"/>
        <w:jc w:val="left"/>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1．对本项目第二章《项目采购需求》技术要求的响应偏离表</w:t>
      </w:r>
      <w:r>
        <w:rPr>
          <w:rFonts w:ascii="Arial" w:hAnsi="Arial" w:cs="Arial"/>
          <w:b/>
          <w:color w:val="auto"/>
          <w:szCs w:val="21"/>
          <w:highlight w:val="none"/>
        </w:rPr>
        <w:t>（</w:t>
      </w:r>
      <w:r>
        <w:rPr>
          <w:rFonts w:ascii="Arial" w:hAnsi="Arial" w:cs="Arial"/>
          <w:b/>
          <w:color w:val="auto"/>
          <w:highlight w:val="none"/>
        </w:rPr>
        <w:t>必须提供</w:t>
      </w:r>
      <w:r>
        <w:rPr>
          <w:rFonts w:ascii="Arial" w:hAnsi="Arial" w:cs="Arial"/>
          <w:b/>
          <w:color w:val="auto"/>
          <w:szCs w:val="21"/>
          <w:highlight w:val="none"/>
        </w:rPr>
        <w:t>）</w:t>
      </w:r>
      <w:r>
        <w:rPr>
          <w:rFonts w:ascii="Arial" w:hAnsi="Arial" w:cs="Arial"/>
          <w:color w:val="auto"/>
          <w:szCs w:val="21"/>
          <w:highlight w:val="none"/>
        </w:rPr>
        <w:t>：</w:t>
      </w:r>
    </w:p>
    <w:p>
      <w:pPr>
        <w:rPr>
          <w:rFonts w:ascii="Arial" w:hAnsi="Arial" w:cs="Arial"/>
          <w:color w:val="auto"/>
          <w:szCs w:val="21"/>
          <w:highlight w:val="none"/>
        </w:rPr>
      </w:pPr>
    </w:p>
    <w:p>
      <w:pPr>
        <w:ind w:firstLine="420" w:firstLineChars="200"/>
        <w:rPr>
          <w:rFonts w:ascii="Arial" w:hAnsi="Arial" w:cs="Arial"/>
          <w:color w:val="auto"/>
          <w:szCs w:val="21"/>
          <w:highlight w:val="none"/>
        </w:rPr>
      </w:pPr>
      <w:r>
        <w:rPr>
          <w:rFonts w:ascii="Arial" w:hAnsi="Arial" w:cs="Arial"/>
          <w:color w:val="auto"/>
          <w:szCs w:val="21"/>
          <w:highlight w:val="none"/>
        </w:rPr>
        <w:t>对照第二章《项目采购需求》</w:t>
      </w:r>
      <w:r>
        <w:rPr>
          <w:rFonts w:ascii="Arial" w:hAnsi="Arial" w:cs="Arial"/>
          <w:color w:val="auto"/>
          <w:highlight w:val="none"/>
        </w:rPr>
        <w:t>中所列的除 “商务要求”外的技术要求的响应偏表</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招标文件要求</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投标文件响应内容</w:t>
            </w:r>
          </w:p>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（可注明证明材料所在页码）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highlight w:val="none"/>
              </w:rPr>
              <w:t>偏离</w:t>
            </w:r>
            <w:r>
              <w:rPr>
                <w:rFonts w:ascii="Arial" w:hAnsi="Arial" w:cs="Arial"/>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color w:val="auto"/>
                <w:szCs w:val="21"/>
                <w:highlight w:val="none"/>
              </w:rPr>
            </w:pPr>
            <w:r>
              <w:rPr>
                <w:rFonts w:ascii="Arial" w:hAnsi="Arial" w:cs="Arial"/>
                <w:color w:val="auto"/>
                <w:szCs w:val="21"/>
                <w:highlight w:val="none"/>
              </w:rPr>
              <w:t>……</w:t>
            </w:r>
          </w:p>
        </w:tc>
      </w:tr>
    </w:tbl>
    <w:p>
      <w:pPr>
        <w:rPr>
          <w:rFonts w:ascii="Arial" w:hAnsi="Arial" w:cs="Arial"/>
          <w:color w:val="auto"/>
          <w:szCs w:val="21"/>
          <w:highlight w:val="none"/>
        </w:rPr>
      </w:pPr>
    </w:p>
    <w:p>
      <w:pPr>
        <w:rPr>
          <w:rFonts w:ascii="Arial" w:hAnsi="Arial" w:cs="Arial"/>
          <w:color w:val="auto"/>
          <w:highlight w:val="none"/>
        </w:rPr>
      </w:pPr>
      <w:r>
        <w:rPr>
          <w:rFonts w:ascii="Arial" w:hAnsi="Arial" w:cs="Arial"/>
          <w:color w:val="auto"/>
          <w:szCs w:val="21"/>
          <w:highlight w:val="none"/>
        </w:rPr>
        <w:t>注：</w:t>
      </w:r>
      <w:r>
        <w:rPr>
          <w:rFonts w:ascii="Arial" w:hAnsi="Arial" w:cs="Arial"/>
          <w:color w:val="auto"/>
          <w:highlight w:val="none"/>
        </w:rPr>
        <w:t>（1）</w:t>
      </w:r>
      <w:r>
        <w:rPr>
          <w:rFonts w:ascii="Arial" w:hAnsi="Arial" w:cs="Arial"/>
          <w:color w:val="auto"/>
          <w:szCs w:val="21"/>
          <w:highlight w:val="none"/>
        </w:rPr>
        <w:t>供应商应根据投标设备的性能指标、对照第二章《项目采购需求》</w:t>
      </w:r>
      <w:r>
        <w:rPr>
          <w:rFonts w:ascii="Arial" w:hAnsi="Arial" w:cs="Arial"/>
          <w:color w:val="auto"/>
          <w:highlight w:val="none"/>
        </w:rPr>
        <w:t>中所列技术要求（除 “总体要求”、“核心产品”、质量保证”及“</w:t>
      </w:r>
      <w:r>
        <w:rPr>
          <w:rFonts w:ascii="Arial" w:hAnsi="Arial" w:cs="Arial"/>
          <w:color w:val="auto"/>
          <w:szCs w:val="21"/>
          <w:highlight w:val="none"/>
        </w:rPr>
        <w:t>备品备件及易损件</w:t>
      </w:r>
      <w:r>
        <w:rPr>
          <w:rFonts w:ascii="Arial" w:hAnsi="Arial" w:cs="Arial"/>
          <w:color w:val="auto"/>
          <w:highlight w:val="none"/>
        </w:rPr>
        <w:t>”外）</w:t>
      </w:r>
      <w:r>
        <w:rPr>
          <w:rFonts w:ascii="Arial" w:hAnsi="Arial" w:cs="Arial"/>
          <w:color w:val="auto"/>
          <w:szCs w:val="21"/>
          <w:highlight w:val="none"/>
        </w:rPr>
        <w:t>逐条在“偏离说明”栏注明</w:t>
      </w:r>
      <w:r>
        <w:rPr>
          <w:rFonts w:ascii="Arial" w:hAnsi="Arial" w:cs="Arial"/>
          <w:color w:val="auto"/>
          <w:highlight w:val="none"/>
        </w:rPr>
        <w:t>“正偏离”</w:t>
      </w:r>
      <w:r>
        <w:rPr>
          <w:rFonts w:ascii="Arial" w:hAnsi="Arial" w:cs="Arial"/>
          <w:color w:val="auto"/>
          <w:szCs w:val="21"/>
          <w:highlight w:val="none"/>
        </w:rPr>
        <w:t>、</w:t>
      </w:r>
      <w:r>
        <w:rPr>
          <w:rFonts w:ascii="Arial" w:hAnsi="Arial" w:cs="Arial"/>
          <w:color w:val="auto"/>
          <w:highlight w:val="none"/>
        </w:rPr>
        <w:t xml:space="preserve"> “负偏离”</w:t>
      </w:r>
      <w:r>
        <w:rPr>
          <w:rFonts w:ascii="Arial" w:hAnsi="Arial" w:cs="Arial"/>
          <w:color w:val="auto"/>
          <w:szCs w:val="21"/>
          <w:highlight w:val="none"/>
        </w:rPr>
        <w:t>或</w:t>
      </w:r>
      <w:r>
        <w:rPr>
          <w:rFonts w:ascii="Arial" w:hAnsi="Arial" w:cs="Arial"/>
          <w:color w:val="auto"/>
          <w:highlight w:val="none"/>
        </w:rPr>
        <w:t>“无偏离”</w:t>
      </w:r>
      <w:r>
        <w:rPr>
          <w:rFonts w:ascii="Arial" w:hAnsi="Arial" w:cs="Arial"/>
          <w:color w:val="auto"/>
          <w:szCs w:val="21"/>
          <w:highlight w:val="none"/>
        </w:rPr>
        <w:t>。</w:t>
      </w:r>
      <w:r>
        <w:rPr>
          <w:rFonts w:ascii="Arial" w:hAnsi="Arial" w:cs="Arial"/>
          <w:color w:val="auto"/>
          <w:highlight w:val="none"/>
        </w:rPr>
        <w:t>填写“正偏离”或“无偏离”时，如相应条款在投标文件其他部分描述明确不满足招标文件要求时，评标委员会将按不满足要求进行评审。（2）</w:t>
      </w:r>
      <w:r>
        <w:rPr>
          <w:rFonts w:ascii="Arial" w:hAnsi="Arial" w:cs="Arial"/>
          <w:color w:val="auto"/>
          <w:szCs w:val="21"/>
          <w:highlight w:val="none"/>
        </w:rPr>
        <w:t>投标技术规格与招标要求相同的为无偏离，投标技术规格高于招标要求的为正偏离，低于招标要求的为负偏离。</w:t>
      </w:r>
      <w:r>
        <w:rPr>
          <w:rFonts w:ascii="Arial" w:hAnsi="Arial" w:cs="Arial"/>
          <w:color w:val="auto"/>
          <w:highlight w:val="none"/>
        </w:rPr>
        <w:t>（3）本表可扩展。</w:t>
      </w:r>
    </w:p>
    <w:p>
      <w:pPr>
        <w:rPr>
          <w:rFonts w:ascii="Arial" w:hAnsi="Arial" w:cs="Arial"/>
          <w:color w:val="auto"/>
          <w:szCs w:val="21"/>
          <w:highlight w:val="none"/>
        </w:rPr>
      </w:pPr>
    </w:p>
    <w:p>
      <w:pPr>
        <w:pStyle w:val="28"/>
        <w:rPr>
          <w:rFonts w:ascii="Arial" w:hAnsi="Arial" w:cs="Arial"/>
          <w:color w:val="auto"/>
          <w:highlight w:val="none"/>
        </w:rPr>
      </w:pPr>
    </w:p>
    <w:p>
      <w:pPr>
        <w:rPr>
          <w:rFonts w:ascii="Arial" w:hAnsi="Arial" w:cs="Arial"/>
          <w:color w:val="auto"/>
          <w:spacing w:val="20"/>
          <w:szCs w:val="21"/>
          <w:highlight w:val="none"/>
          <w:u w:val="single"/>
        </w:rPr>
      </w:pPr>
      <w:r>
        <w:rPr>
          <w:rFonts w:ascii="Arial" w:hAnsi="Arial" w:cs="Arial"/>
          <w:color w:val="auto"/>
          <w:szCs w:val="21"/>
          <w:highlight w:val="none"/>
        </w:rPr>
        <w:t>法定代表人或授权代表签字或个人CA签章</w:t>
      </w:r>
      <w:r>
        <w:rPr>
          <w:rFonts w:ascii="Arial" w:hAnsi="Arial" w:cs="Arial"/>
          <w:color w:val="auto"/>
          <w:spacing w:val="20"/>
          <w:szCs w:val="21"/>
          <w:highlight w:val="none"/>
        </w:rPr>
        <w:t>：</w:t>
      </w:r>
    </w:p>
    <w:p>
      <w:pPr>
        <w:rPr>
          <w:rFonts w:ascii="Arial" w:hAnsi="Arial" w:cs="Arial"/>
          <w:color w:val="auto"/>
          <w:spacing w:val="20"/>
          <w:szCs w:val="21"/>
          <w:highlight w:val="none"/>
        </w:rPr>
      </w:pPr>
      <w:r>
        <w:rPr>
          <w:rFonts w:ascii="Arial" w:hAnsi="Arial" w:cs="Arial"/>
          <w:color w:val="auto"/>
          <w:spacing w:val="20"/>
          <w:szCs w:val="21"/>
          <w:highlight w:val="none"/>
        </w:rPr>
        <w:t>供应商公章</w:t>
      </w:r>
      <w:r>
        <w:rPr>
          <w:rFonts w:ascii="Arial" w:hAnsi="Arial" w:cs="Arial"/>
          <w:color w:val="auto"/>
          <w:szCs w:val="21"/>
          <w:highlight w:val="none"/>
        </w:rPr>
        <w:t>（CA签章）</w:t>
      </w:r>
      <w:r>
        <w:rPr>
          <w:rFonts w:ascii="Arial" w:hAnsi="Arial" w:cs="Arial"/>
          <w:color w:val="auto"/>
          <w:spacing w:val="20"/>
          <w:szCs w:val="21"/>
          <w:highlight w:val="none"/>
        </w:rPr>
        <w:t xml:space="preserve">： </w:t>
      </w:r>
    </w:p>
    <w:p>
      <w:pPr>
        <w:rPr>
          <w:rFonts w:ascii="Arial" w:hAnsi="Arial" w:cs="Arial"/>
          <w:color w:val="auto"/>
          <w:szCs w:val="21"/>
          <w:highlight w:val="none"/>
        </w:rPr>
      </w:pPr>
      <w:r>
        <w:rPr>
          <w:rFonts w:ascii="Arial" w:hAnsi="Arial" w:cs="Arial"/>
          <w:color w:val="auto"/>
          <w:spacing w:val="20"/>
          <w:szCs w:val="21"/>
          <w:highlight w:val="none"/>
        </w:rPr>
        <w:t>日 期：</w:t>
      </w: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2．货物或产品配置清单格式：</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665"/>
        <w:gridCol w:w="1163"/>
        <w:gridCol w:w="1152"/>
        <w:gridCol w:w="1581"/>
        <w:gridCol w:w="1679"/>
        <w:gridCol w:w="1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序号</w:t>
            </w: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货物或产品</w:t>
            </w:r>
          </w:p>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名称</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品牌或制造商</w:t>
            </w: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规格型号</w:t>
            </w: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单位及数量</w:t>
            </w: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性能及指标</w:t>
            </w: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r>
              <w:rPr>
                <w:rFonts w:ascii="Arial" w:hAnsi="Arial" w:cs="Arial"/>
                <w:color w:val="auto"/>
                <w:szCs w:val="21"/>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Arial" w:hAnsi="Arial" w:cs="Arial"/>
                <w:color w:val="auto"/>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c>
          <w:tcPr>
            <w:tcW w:w="106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Arial" w:hAnsi="Arial" w:cs="Arial"/>
                <w:color w:val="auto"/>
                <w:szCs w:val="21"/>
                <w:highlight w:val="none"/>
              </w:rPr>
            </w:pPr>
          </w:p>
        </w:tc>
      </w:tr>
    </w:tbl>
    <w:p>
      <w:pPr>
        <w:spacing w:line="400" w:lineRule="exact"/>
        <w:rPr>
          <w:rFonts w:ascii="Arial" w:hAnsi="Arial" w:cs="Arial"/>
          <w:b/>
          <w:color w:val="auto"/>
          <w:szCs w:val="21"/>
          <w:highlight w:val="none"/>
        </w:rPr>
      </w:pPr>
      <w:r>
        <w:rPr>
          <w:rFonts w:ascii="Arial" w:hAnsi="Arial" w:cs="Arial"/>
          <w:b/>
          <w:color w:val="auto"/>
          <w:szCs w:val="21"/>
          <w:highlight w:val="none"/>
        </w:rPr>
        <w:t>本设备（系统）配置清单</w:t>
      </w:r>
    </w:p>
    <w:tbl>
      <w:tblPr>
        <w:tblStyle w:val="53"/>
        <w:tblW w:w="10582"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418"/>
        <w:gridCol w:w="1418"/>
        <w:gridCol w:w="2977"/>
        <w:gridCol w:w="850"/>
        <w:gridCol w:w="927"/>
        <w:gridCol w:w="1428"/>
        <w:gridCol w:w="7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部件编号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名称</w:t>
            </w:r>
          </w:p>
        </w:tc>
        <w:tc>
          <w:tcPr>
            <w:tcW w:w="2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规格型号</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单位</w:t>
            </w:r>
          </w:p>
        </w:tc>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数量</w:t>
            </w:r>
          </w:p>
        </w:tc>
        <w:tc>
          <w:tcPr>
            <w:tcW w:w="1428" w:type="dxa"/>
            <w:tcBorders>
              <w:top w:val="single" w:color="auto" w:sz="4" w:space="0"/>
              <w:left w:val="single" w:color="auto" w:sz="4" w:space="0"/>
              <w:bottom w:val="single" w:color="auto" w:sz="4" w:space="0"/>
              <w:right w:val="single" w:color="auto" w:sz="4" w:space="0"/>
            </w:tcBorders>
            <w:vAlign w:val="center"/>
          </w:tcPr>
          <w:p>
            <w:pPr>
              <w:pStyle w:val="34"/>
              <w:pBdr>
                <w:bottom w:val="none" w:color="auto" w:sz="0" w:space="0"/>
              </w:pBdr>
              <w:tabs>
                <w:tab w:val="left" w:pos="420"/>
              </w:tabs>
              <w:snapToGrid/>
              <w:spacing w:line="400" w:lineRule="exact"/>
              <w:rPr>
                <w:rFonts w:ascii="Arial" w:hAnsi="Arial" w:cs="Arial"/>
                <w:b/>
                <w:color w:val="auto"/>
                <w:sz w:val="21"/>
                <w:szCs w:val="21"/>
                <w:highlight w:val="none"/>
              </w:rPr>
            </w:pPr>
            <w:r>
              <w:rPr>
                <w:rFonts w:ascii="Arial" w:hAnsi="Arial" w:cs="Arial"/>
                <w:b/>
                <w:color w:val="auto"/>
                <w:sz w:val="21"/>
                <w:szCs w:val="21"/>
                <w:highlight w:val="none"/>
              </w:rPr>
              <w:t>分项价格（元）</w:t>
            </w:r>
          </w:p>
        </w:tc>
        <w:tc>
          <w:tcPr>
            <w:tcW w:w="7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r>
              <w:rPr>
                <w:rFonts w:ascii="Arial" w:hAnsi="Arial" w:cs="Arial"/>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6"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bCs/>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color w:val="auto"/>
                <w:szCs w:val="21"/>
                <w:highlight w:val="none"/>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bCs/>
                <w:color w:val="auto"/>
                <w:szCs w:val="21"/>
                <w:highlight w:val="none"/>
              </w:rPr>
            </w:pPr>
          </w:p>
        </w:tc>
        <w:tc>
          <w:tcPr>
            <w:tcW w:w="7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bCs/>
                <w:color w:val="auto"/>
                <w:szCs w:val="21"/>
                <w:highlight w:val="none"/>
              </w:rPr>
            </w:pPr>
          </w:p>
        </w:tc>
      </w:tr>
    </w:tbl>
    <w:p>
      <w:pPr>
        <w:snapToGrid w:val="0"/>
        <w:spacing w:before="50" w:after="50" w:line="440" w:lineRule="exact"/>
        <w:rPr>
          <w:rFonts w:ascii="Arial" w:hAnsi="Arial" w:cs="Arial"/>
          <w:color w:val="auto"/>
          <w:spacing w:val="20"/>
          <w:szCs w:val="21"/>
          <w:highlight w:val="none"/>
          <w:u w:val="single"/>
        </w:rPr>
      </w:pPr>
      <w:r>
        <w:rPr>
          <w:rFonts w:ascii="Arial" w:hAnsi="Arial" w:cs="Arial"/>
          <w:color w:val="auto"/>
          <w:szCs w:val="21"/>
          <w:highlight w:val="none"/>
        </w:rPr>
        <w:t>法定代表人或授权代表签字或个人CA签章</w:t>
      </w:r>
      <w:r>
        <w:rPr>
          <w:rFonts w:ascii="Arial" w:hAnsi="Arial" w:cs="Arial"/>
          <w:color w:val="auto"/>
          <w:spacing w:val="20"/>
          <w:szCs w:val="21"/>
          <w:highlight w:val="none"/>
        </w:rPr>
        <w:t>：</w:t>
      </w:r>
    </w:p>
    <w:p>
      <w:pPr>
        <w:snapToGrid w:val="0"/>
        <w:spacing w:before="50" w:after="50" w:line="440" w:lineRule="exact"/>
        <w:rPr>
          <w:rFonts w:ascii="Arial" w:hAnsi="Arial" w:cs="Arial"/>
          <w:color w:val="auto"/>
          <w:szCs w:val="21"/>
          <w:highlight w:val="none"/>
        </w:rPr>
      </w:pPr>
      <w:r>
        <w:rPr>
          <w:rFonts w:ascii="Arial" w:hAnsi="Arial" w:cs="Arial"/>
          <w:color w:val="auto"/>
          <w:spacing w:val="20"/>
          <w:szCs w:val="21"/>
          <w:highlight w:val="none"/>
        </w:rPr>
        <w:t>供应商公章</w:t>
      </w:r>
      <w:r>
        <w:rPr>
          <w:rFonts w:ascii="Arial" w:hAnsi="Arial" w:cs="Arial"/>
          <w:color w:val="auto"/>
          <w:szCs w:val="21"/>
          <w:highlight w:val="none"/>
        </w:rPr>
        <w:t>（CA签章）</w:t>
      </w:r>
      <w:r>
        <w:rPr>
          <w:rFonts w:ascii="Arial" w:hAnsi="Arial" w:cs="Arial"/>
          <w:color w:val="auto"/>
          <w:spacing w:val="20"/>
          <w:szCs w:val="21"/>
          <w:highlight w:val="none"/>
        </w:rPr>
        <w:t>： 日  期：</w:t>
      </w:r>
    </w:p>
    <w:p>
      <w:pPr>
        <w:rPr>
          <w:rFonts w:ascii="Arial" w:hAnsi="Arial" w:cs="Arial"/>
          <w:color w:val="auto"/>
          <w:szCs w:val="21"/>
          <w:highlight w:val="none"/>
        </w:rPr>
      </w:pPr>
    </w:p>
    <w:p>
      <w:pPr>
        <w:rPr>
          <w:rFonts w:ascii="Arial" w:hAnsi="Arial" w:cs="Arial"/>
          <w:color w:val="auto"/>
          <w:szCs w:val="21"/>
          <w:highlight w:val="none"/>
        </w:rPr>
      </w:pPr>
      <w:bookmarkStart w:id="124" w:name="_Hlk19115689"/>
      <w:r>
        <w:rPr>
          <w:rFonts w:ascii="Arial" w:hAnsi="Arial" w:cs="Arial"/>
          <w:color w:val="auto"/>
          <w:szCs w:val="21"/>
          <w:highlight w:val="none"/>
        </w:rPr>
        <w:t>3．投标货物或产品的质量保证说明</w:t>
      </w:r>
    </w:p>
    <w:p>
      <w:pPr>
        <w:rPr>
          <w:rFonts w:ascii="Arial" w:hAnsi="Arial" w:cs="Arial"/>
          <w:color w:val="auto"/>
          <w:szCs w:val="21"/>
          <w:highlight w:val="none"/>
        </w:rPr>
      </w:pPr>
    </w:p>
    <w:p>
      <w:pPr>
        <w:rPr>
          <w:rFonts w:ascii="Arial" w:hAnsi="Arial" w:cs="Arial"/>
          <w:color w:val="auto"/>
          <w:szCs w:val="21"/>
          <w:highlight w:val="none"/>
        </w:rPr>
      </w:pPr>
    </w:p>
    <w:p>
      <w:pPr>
        <w:jc w:val="left"/>
        <w:rPr>
          <w:rFonts w:ascii="Arial" w:hAnsi="Arial" w:cs="Arial"/>
          <w:color w:val="auto"/>
          <w:szCs w:val="21"/>
          <w:highlight w:val="none"/>
        </w:rPr>
      </w:pPr>
    </w:p>
    <w:p>
      <w:pPr>
        <w:jc w:val="left"/>
        <w:rPr>
          <w:rFonts w:ascii="Arial" w:hAnsi="Arial" w:cs="Arial"/>
          <w:color w:val="auto"/>
          <w:szCs w:val="21"/>
          <w:highlight w:val="none"/>
        </w:rPr>
      </w:pPr>
      <w:r>
        <w:rPr>
          <w:rFonts w:ascii="Arial" w:hAnsi="Arial" w:cs="Arial"/>
          <w:color w:val="auto"/>
          <w:szCs w:val="21"/>
          <w:highlight w:val="none"/>
        </w:rPr>
        <w:t>4．质保期过后的优惠条件：供应商承诺给予采购人的各种优惠条件，包括货物或产品的售后服务、备品备件、专用耗材等方面的优惠条件。</w:t>
      </w:r>
    </w:p>
    <w:p>
      <w:pPr>
        <w:jc w:val="center"/>
        <w:rPr>
          <w:rFonts w:ascii="Arial" w:hAnsi="Arial" w:cs="Arial"/>
          <w:color w:val="auto"/>
          <w:szCs w:val="21"/>
          <w:highlight w:val="none"/>
        </w:rPr>
      </w:pPr>
      <w:r>
        <w:rPr>
          <w:rFonts w:ascii="Arial" w:hAnsi="Arial" w:cs="Arial"/>
          <w:color w:val="auto"/>
          <w:szCs w:val="21"/>
          <w:highlight w:val="none"/>
        </w:rPr>
        <w:t>常用的、容易损坏的备品备件及易损件的优惠价格清单</w:t>
      </w:r>
    </w:p>
    <w:tbl>
      <w:tblPr>
        <w:tblStyle w:val="5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2" w:hRule="atLeast"/>
        </w:trPr>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Arial" w:hAnsi="Arial" w:cs="Arial"/>
                <w:color w:val="auto"/>
                <w:szCs w:val="21"/>
                <w:highlight w:val="none"/>
              </w:rPr>
            </w:pPr>
            <w:r>
              <w:rPr>
                <w:rFonts w:ascii="Arial" w:hAnsi="Arial" w:cs="Arial"/>
                <w:color w:val="auto"/>
                <w:szCs w:val="21"/>
                <w:highlight w:val="none"/>
              </w:rPr>
              <w:t>序号</w:t>
            </w:r>
          </w:p>
        </w:tc>
        <w:tc>
          <w:tcPr>
            <w:tcW w:w="3124" w:type="dxa"/>
            <w:tcBorders>
              <w:top w:val="single" w:color="auto" w:sz="4" w:space="0"/>
              <w:left w:val="single" w:color="auto" w:sz="4" w:space="0"/>
              <w:bottom w:val="single" w:color="auto" w:sz="2" w:space="0"/>
              <w:right w:val="single" w:color="auto" w:sz="4" w:space="0"/>
            </w:tcBorders>
            <w:vAlign w:val="center"/>
          </w:tcPr>
          <w:p>
            <w:pPr>
              <w:snapToGrid w:val="0"/>
              <w:spacing w:before="50" w:after="50" w:line="440" w:lineRule="exact"/>
              <w:jc w:val="center"/>
              <w:rPr>
                <w:rFonts w:ascii="Arial" w:hAnsi="Arial" w:cs="Arial"/>
                <w:color w:val="auto"/>
                <w:szCs w:val="21"/>
                <w:highlight w:val="none"/>
              </w:rPr>
            </w:pPr>
            <w:r>
              <w:rPr>
                <w:rFonts w:ascii="Arial" w:hAnsi="Arial" w:cs="Arial"/>
                <w:color w:val="auto"/>
                <w:szCs w:val="21"/>
                <w:highlight w:val="none"/>
              </w:rPr>
              <w:t>备品备件、专用耗材名称</w:t>
            </w:r>
          </w:p>
        </w:tc>
        <w:tc>
          <w:tcPr>
            <w:tcW w:w="2276"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适用于何种投标货物（产品）名称及规格型号</w:t>
            </w:r>
          </w:p>
        </w:tc>
        <w:tc>
          <w:tcPr>
            <w:tcW w:w="1639"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优惠内容</w:t>
            </w:r>
          </w:p>
        </w:tc>
        <w:tc>
          <w:tcPr>
            <w:tcW w:w="1083"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jc w:val="center"/>
              <w:rPr>
                <w:rFonts w:ascii="Arial" w:hAnsi="Arial" w:cs="Arial"/>
                <w:color w:val="auto"/>
                <w:szCs w:val="21"/>
                <w:highlight w:val="none"/>
              </w:rPr>
            </w:pPr>
            <w:r>
              <w:rPr>
                <w:rFonts w:ascii="Arial" w:hAnsi="Arial" w:cs="Arial"/>
                <w:color w:val="auto"/>
                <w:szCs w:val="21"/>
                <w:highlight w:val="none"/>
              </w:rPr>
              <w:t>优惠单价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color w:val="auto"/>
                <w:szCs w:val="21"/>
                <w:highlight w:val="none"/>
              </w:rPr>
            </w:pPr>
            <w:r>
              <w:rPr>
                <w:rFonts w:ascii="Arial" w:hAnsi="Arial" w:cs="Arial"/>
                <w:color w:val="auto"/>
                <w:szCs w:val="21"/>
                <w:highlight w:val="none"/>
              </w:rPr>
              <w:t>1</w:t>
            </w:r>
          </w:p>
        </w:tc>
        <w:tc>
          <w:tcPr>
            <w:tcW w:w="3124" w:type="dxa"/>
            <w:tcBorders>
              <w:top w:val="single" w:color="auto" w:sz="2" w:space="0"/>
              <w:left w:val="single" w:color="auto" w:sz="2" w:space="0"/>
              <w:bottom w:val="single" w:color="auto" w:sz="6" w:space="0"/>
              <w:right w:val="single" w:color="auto" w:sz="4" w:space="0"/>
            </w:tcBorders>
            <w:vAlign w:val="center"/>
          </w:tcPr>
          <w:p>
            <w:pPr>
              <w:rPr>
                <w:rFonts w:ascii="Arial" w:hAnsi="Arial" w:cs="Arial"/>
                <w:color w:val="auto"/>
                <w:szCs w:val="21"/>
                <w:highlight w:val="none"/>
              </w:rPr>
            </w:pPr>
          </w:p>
        </w:tc>
        <w:tc>
          <w:tcPr>
            <w:tcW w:w="2276" w:type="dxa"/>
            <w:tcBorders>
              <w:top w:val="single" w:color="auto" w:sz="2" w:space="0"/>
              <w:left w:val="single" w:color="auto" w:sz="4" w:space="0"/>
              <w:bottom w:val="single" w:color="auto" w:sz="6" w:space="0"/>
              <w:right w:val="single" w:color="auto" w:sz="6" w:space="0"/>
            </w:tcBorders>
            <w:vAlign w:val="center"/>
          </w:tcPr>
          <w:p>
            <w:pPr>
              <w:rPr>
                <w:rFonts w:ascii="Arial" w:hAnsi="Arial" w:cs="Arial"/>
                <w:color w:val="auto"/>
                <w:szCs w:val="21"/>
                <w:highlight w:val="none"/>
              </w:rPr>
            </w:pPr>
          </w:p>
        </w:tc>
        <w:tc>
          <w:tcPr>
            <w:tcW w:w="1639" w:type="dxa"/>
            <w:tcBorders>
              <w:top w:val="single" w:color="auto" w:sz="2" w:space="0"/>
              <w:left w:val="single" w:color="auto" w:sz="6" w:space="0"/>
              <w:bottom w:val="single" w:color="auto" w:sz="6" w:space="0"/>
              <w:right w:val="single" w:color="auto" w:sz="6" w:space="0"/>
            </w:tcBorders>
          </w:tcPr>
          <w:p>
            <w:pPr>
              <w:rPr>
                <w:rFonts w:ascii="Arial" w:hAnsi="Arial" w:cs="Arial"/>
                <w:color w:val="auto"/>
                <w:szCs w:val="21"/>
                <w:highlight w:val="none"/>
              </w:rPr>
            </w:pPr>
          </w:p>
        </w:tc>
        <w:tc>
          <w:tcPr>
            <w:tcW w:w="1083"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color w:val="auto"/>
                <w:szCs w:val="21"/>
                <w:highlight w:val="none"/>
              </w:rPr>
            </w:pPr>
            <w:r>
              <w:rPr>
                <w:rFonts w:ascii="Arial" w:hAnsi="Arial" w:cs="Arial"/>
                <w:color w:val="auto"/>
                <w:szCs w:val="21"/>
                <w:highlight w:val="none"/>
              </w:rPr>
              <w:t>2</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color w:val="auto"/>
                <w:szCs w:val="21"/>
                <w:highlight w:val="none"/>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color w:val="auto"/>
                <w:szCs w:val="21"/>
                <w:highlight w:val="none"/>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color w:val="auto"/>
                <w:szCs w:val="21"/>
                <w:highlight w:val="none"/>
              </w:rPr>
            </w:pPr>
            <w:r>
              <w:rPr>
                <w:rFonts w:ascii="Arial" w:hAnsi="Arial" w:cs="Arial"/>
                <w:color w:val="auto"/>
                <w:szCs w:val="21"/>
                <w:highlight w:val="none"/>
              </w:rPr>
              <w:t>3</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color w:val="auto"/>
                <w:szCs w:val="21"/>
                <w:highlight w:val="none"/>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color w:val="auto"/>
                <w:szCs w:val="21"/>
                <w:highlight w:val="none"/>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color w:val="auto"/>
                <w:szCs w:val="21"/>
                <w:highlight w:val="none"/>
              </w:rPr>
            </w:pPr>
          </w:p>
        </w:tc>
      </w:tr>
    </w:tbl>
    <w:p>
      <w:pPr>
        <w:rPr>
          <w:rFonts w:ascii="Arial" w:hAnsi="Arial" w:cs="Arial"/>
          <w:color w:val="auto"/>
          <w:spacing w:val="20"/>
          <w:szCs w:val="21"/>
          <w:highlight w:val="none"/>
          <w:u w:val="single"/>
        </w:rPr>
      </w:pPr>
      <w:r>
        <w:rPr>
          <w:rFonts w:ascii="Arial" w:hAnsi="Arial" w:cs="Arial"/>
          <w:color w:val="auto"/>
          <w:szCs w:val="21"/>
          <w:highlight w:val="none"/>
        </w:rPr>
        <w:t>法定代表人或授权代表签字或个人CA签章</w:t>
      </w:r>
      <w:r>
        <w:rPr>
          <w:rFonts w:ascii="Arial" w:hAnsi="Arial" w:cs="Arial"/>
          <w:color w:val="auto"/>
          <w:spacing w:val="20"/>
          <w:szCs w:val="21"/>
          <w:highlight w:val="none"/>
        </w:rPr>
        <w:t>：</w:t>
      </w:r>
    </w:p>
    <w:p>
      <w:pPr>
        <w:rPr>
          <w:rFonts w:ascii="Arial" w:hAnsi="Arial" w:cs="Arial"/>
          <w:color w:val="auto"/>
          <w:spacing w:val="20"/>
          <w:szCs w:val="21"/>
          <w:highlight w:val="none"/>
        </w:rPr>
      </w:pPr>
      <w:r>
        <w:rPr>
          <w:rFonts w:ascii="Arial" w:hAnsi="Arial" w:cs="Arial"/>
          <w:color w:val="auto"/>
          <w:spacing w:val="20"/>
          <w:szCs w:val="21"/>
          <w:highlight w:val="none"/>
        </w:rPr>
        <w:t>供应商公章</w:t>
      </w:r>
      <w:r>
        <w:rPr>
          <w:rFonts w:ascii="Arial" w:hAnsi="Arial" w:cs="Arial"/>
          <w:color w:val="auto"/>
          <w:szCs w:val="21"/>
          <w:highlight w:val="none"/>
        </w:rPr>
        <w:t>（CA签章）</w:t>
      </w:r>
      <w:r>
        <w:rPr>
          <w:rFonts w:ascii="Arial" w:hAnsi="Arial" w:cs="Arial"/>
          <w:color w:val="auto"/>
          <w:spacing w:val="20"/>
          <w:szCs w:val="21"/>
          <w:highlight w:val="none"/>
        </w:rPr>
        <w:t>：</w:t>
      </w:r>
    </w:p>
    <w:p>
      <w:pPr>
        <w:rPr>
          <w:rFonts w:ascii="Arial" w:hAnsi="Arial" w:cs="Arial"/>
          <w:color w:val="auto"/>
          <w:szCs w:val="21"/>
          <w:highlight w:val="none"/>
        </w:rPr>
      </w:pPr>
      <w:r>
        <w:rPr>
          <w:rFonts w:ascii="Arial" w:hAnsi="Arial" w:cs="Arial"/>
          <w:color w:val="auto"/>
          <w:spacing w:val="20"/>
          <w:szCs w:val="21"/>
          <w:highlight w:val="none"/>
        </w:rPr>
        <w:t>日 期：</w:t>
      </w:r>
    </w:p>
    <w:bookmarkEnd w:id="124"/>
    <w:p>
      <w:pPr>
        <w:rPr>
          <w:rFonts w:ascii="Arial" w:hAnsi="Arial" w:cs="Arial"/>
          <w:color w:val="auto"/>
          <w:szCs w:val="21"/>
          <w:highlight w:val="none"/>
        </w:rPr>
      </w:pPr>
    </w:p>
    <w:p>
      <w:pPr>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5．产品出厂标准、质量检测报告。</w:t>
      </w:r>
    </w:p>
    <w:p>
      <w:pPr>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6．原厂出厂配置表及原厂中文使用说明书。</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7．供应商建议的安装、调试、验收方法或方案。</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8．项目实施人员一览表。</w:t>
      </w:r>
    </w:p>
    <w:p>
      <w:pPr>
        <w:rPr>
          <w:rFonts w:ascii="Arial" w:hAnsi="Arial" w:cs="Arial"/>
          <w:color w:val="auto"/>
          <w:szCs w:val="21"/>
          <w:highlight w:val="none"/>
        </w:rPr>
      </w:pPr>
    </w:p>
    <w:p>
      <w:pPr>
        <w:snapToGrid w:val="0"/>
        <w:spacing w:before="120" w:beforeLines="50" w:after="50" w:line="400" w:lineRule="exact"/>
        <w:jc w:val="center"/>
        <w:rPr>
          <w:rFonts w:ascii="Arial" w:hAnsi="Arial" w:cs="Arial"/>
          <w:color w:val="auto"/>
          <w:szCs w:val="21"/>
          <w:highlight w:val="none"/>
        </w:rPr>
      </w:pPr>
      <w:r>
        <w:rPr>
          <w:rFonts w:ascii="Arial" w:hAnsi="Arial" w:cs="Arial"/>
          <w:b/>
          <w:color w:val="auto"/>
          <w:szCs w:val="21"/>
          <w:highlight w:val="none"/>
        </w:rPr>
        <w:t>项目实施人员（主要从业人员及其技术资格）一览表</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color w:val="auto"/>
                <w:szCs w:val="21"/>
                <w:highlight w:val="none"/>
              </w:rPr>
            </w:pPr>
            <w:r>
              <w:rPr>
                <w:rFonts w:ascii="Arial" w:hAnsi="Arial" w:cs="Arial"/>
                <w:color w:val="auto"/>
                <w:szCs w:val="21"/>
                <w:highlight w:val="none"/>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color w:val="auto"/>
                <w:szCs w:val="21"/>
                <w:highlight w:val="none"/>
              </w:rPr>
            </w:pPr>
            <w:r>
              <w:rPr>
                <w:rFonts w:ascii="Arial" w:hAnsi="Arial" w:cs="Arial"/>
                <w:color w:val="auto"/>
                <w:szCs w:val="21"/>
                <w:highlight w:val="none"/>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color w:val="auto"/>
                <w:szCs w:val="21"/>
                <w:highlight w:val="none"/>
              </w:rPr>
            </w:pPr>
            <w:r>
              <w:rPr>
                <w:rFonts w:ascii="Arial" w:hAnsi="Arial" w:cs="Arial"/>
                <w:color w:val="auto"/>
                <w:szCs w:val="21"/>
                <w:highlight w:val="none"/>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color w:val="auto"/>
                <w:szCs w:val="21"/>
                <w:highlight w:val="none"/>
              </w:rPr>
            </w:pPr>
            <w:r>
              <w:rPr>
                <w:rFonts w:ascii="Arial" w:hAnsi="Arial" w:cs="Arial"/>
                <w:color w:val="auto"/>
                <w:szCs w:val="21"/>
                <w:highlight w:val="none"/>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color w:val="auto"/>
                <w:szCs w:val="21"/>
                <w:highlight w:val="none"/>
              </w:rPr>
            </w:pPr>
            <w:r>
              <w:rPr>
                <w:rFonts w:ascii="Arial" w:hAnsi="Arial" w:cs="Arial"/>
                <w:bCs/>
                <w:color w:val="auto"/>
                <w:szCs w:val="21"/>
                <w:highlight w:val="none"/>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color w:val="auto"/>
                <w:szCs w:val="21"/>
                <w:highlight w:val="none"/>
              </w:rPr>
            </w:pPr>
            <w:r>
              <w:rPr>
                <w:rFonts w:ascii="Arial" w:hAnsi="Arial" w:cs="Arial"/>
                <w:bCs/>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pStyle w:val="30"/>
              <w:snapToGrid w:val="0"/>
              <w:spacing w:before="120" w:beforeLines="50" w:after="50"/>
              <w:ind w:left="5670" w:hanging="420"/>
              <w:rPr>
                <w:rFonts w:ascii="Arial" w:hAnsi="Arial" w:cs="Arial"/>
                <w:color w:val="auto"/>
                <w:highlight w:val="none"/>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color w:val="auto"/>
                <w:szCs w:val="21"/>
                <w:highlight w:val="none"/>
              </w:rPr>
            </w:pPr>
          </w:p>
        </w:tc>
      </w:tr>
    </w:tbl>
    <w:p>
      <w:pPr>
        <w:snapToGrid w:val="0"/>
        <w:spacing w:before="50" w:after="120" w:afterLines="50" w:line="440" w:lineRule="exact"/>
        <w:jc w:val="left"/>
        <w:rPr>
          <w:rFonts w:ascii="Arial" w:hAnsi="Arial" w:cs="Arial"/>
          <w:color w:val="auto"/>
          <w:szCs w:val="21"/>
          <w:highlight w:val="none"/>
        </w:rPr>
      </w:pPr>
      <w:r>
        <w:rPr>
          <w:rFonts w:ascii="Arial" w:hAnsi="Arial" w:cs="Arial"/>
          <w:color w:val="auto"/>
          <w:szCs w:val="21"/>
          <w:highlight w:val="none"/>
        </w:rPr>
        <w:t>注：在填写时，如本表格不适合投标单位的实际情况，可根据本表格式自行划表填写。</w:t>
      </w:r>
    </w:p>
    <w:p>
      <w:pPr>
        <w:snapToGrid w:val="0"/>
        <w:spacing w:before="50" w:after="50" w:line="440" w:lineRule="exact"/>
        <w:rPr>
          <w:rFonts w:ascii="Arial" w:hAnsi="Arial" w:cs="Arial"/>
          <w:color w:val="auto"/>
          <w:spacing w:val="20"/>
          <w:szCs w:val="21"/>
          <w:highlight w:val="none"/>
          <w:u w:val="single"/>
        </w:rPr>
      </w:pPr>
      <w:r>
        <w:rPr>
          <w:rFonts w:ascii="Arial" w:hAnsi="Arial" w:cs="Arial"/>
          <w:color w:val="auto"/>
          <w:szCs w:val="21"/>
          <w:highlight w:val="none"/>
        </w:rPr>
        <w:t>法定代表人或授权代表签字或个人CA签章</w:t>
      </w:r>
      <w:r>
        <w:rPr>
          <w:rFonts w:ascii="Arial" w:hAnsi="Arial" w:cs="Arial"/>
          <w:color w:val="auto"/>
          <w:spacing w:val="20"/>
          <w:szCs w:val="21"/>
          <w:highlight w:val="none"/>
        </w:rPr>
        <w:t>：</w:t>
      </w:r>
      <w:r>
        <w:rPr>
          <w:rFonts w:ascii="Arial" w:hAnsi="Arial" w:cs="Arial"/>
          <w:color w:val="auto"/>
          <w:spacing w:val="20"/>
          <w:szCs w:val="21"/>
          <w:highlight w:val="none"/>
          <w:u w:val="single"/>
        </w:rPr>
        <w:t xml:space="preserve">  </w:t>
      </w:r>
    </w:p>
    <w:p>
      <w:pPr>
        <w:rPr>
          <w:rFonts w:ascii="Arial" w:hAnsi="Arial" w:cs="Arial"/>
          <w:color w:val="auto"/>
          <w:spacing w:val="20"/>
          <w:szCs w:val="21"/>
          <w:highlight w:val="none"/>
          <w:u w:val="single"/>
        </w:rPr>
      </w:pPr>
      <w:r>
        <w:rPr>
          <w:rFonts w:ascii="Arial" w:hAnsi="Arial" w:cs="Arial"/>
          <w:color w:val="auto"/>
          <w:spacing w:val="20"/>
          <w:szCs w:val="21"/>
          <w:highlight w:val="none"/>
        </w:rPr>
        <w:t>供应商公章</w:t>
      </w:r>
      <w:r>
        <w:rPr>
          <w:rFonts w:ascii="Arial" w:hAnsi="Arial" w:cs="Arial"/>
          <w:color w:val="auto"/>
          <w:szCs w:val="21"/>
          <w:highlight w:val="none"/>
        </w:rPr>
        <w:t>（CA签章）</w:t>
      </w:r>
      <w:r>
        <w:rPr>
          <w:rFonts w:ascii="Arial" w:hAnsi="Arial" w:cs="Arial"/>
          <w:color w:val="auto"/>
          <w:spacing w:val="20"/>
          <w:szCs w:val="21"/>
          <w:highlight w:val="none"/>
        </w:rPr>
        <w:t>：日  期：</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9．技术服务、技术培训、售后服务的内容和措施。</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10．供应商对本项目的合理化建议和改进措施。</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r>
        <w:rPr>
          <w:rFonts w:ascii="Arial" w:hAnsi="Arial" w:cs="Arial"/>
          <w:color w:val="auto"/>
          <w:szCs w:val="21"/>
          <w:highlight w:val="none"/>
        </w:rPr>
        <w:t>11．供应商需要说明的其他文件和说明。</w:t>
      </w:r>
    </w:p>
    <w:p>
      <w:pPr>
        <w:jc w:val="center"/>
        <w:rPr>
          <w:rFonts w:ascii="Arial" w:hAnsi="Arial" w:cs="Arial"/>
          <w:b/>
          <w:bCs/>
          <w:color w:val="auto"/>
          <w:szCs w:val="21"/>
          <w:highlight w:val="none"/>
        </w:rPr>
      </w:pPr>
      <w:r>
        <w:rPr>
          <w:rFonts w:ascii="Arial" w:hAnsi="Arial" w:cs="Arial"/>
          <w:b/>
          <w:color w:val="auto"/>
          <w:szCs w:val="21"/>
          <w:highlight w:val="none"/>
        </w:rPr>
        <w:br w:type="page"/>
      </w:r>
      <w:r>
        <w:rPr>
          <w:rFonts w:ascii="Arial" w:hAnsi="Arial" w:cs="Arial"/>
          <w:b/>
          <w:bCs/>
          <w:color w:val="auto"/>
          <w:szCs w:val="21"/>
          <w:highlight w:val="none"/>
        </w:rPr>
        <w:t xml:space="preserve"> </w:t>
      </w:r>
    </w:p>
    <w:p>
      <w:pPr>
        <w:snapToGrid w:val="0"/>
        <w:spacing w:before="120" w:beforeLines="50" w:after="50" w:line="440" w:lineRule="exact"/>
        <w:jc w:val="center"/>
        <w:outlineLvl w:val="1"/>
        <w:rPr>
          <w:rFonts w:ascii="Arial" w:hAnsi="Arial" w:cs="Arial"/>
          <w:bCs/>
          <w:color w:val="auto"/>
          <w:sz w:val="24"/>
          <w:highlight w:val="none"/>
        </w:rPr>
      </w:pPr>
      <w:r>
        <w:rPr>
          <w:rFonts w:ascii="Arial" w:hAnsi="Arial" w:cs="Arial"/>
          <w:bCs/>
          <w:color w:val="auto"/>
          <w:sz w:val="24"/>
          <w:highlight w:val="none"/>
        </w:rPr>
        <w:t>第三部分 报价文件</w:t>
      </w:r>
    </w:p>
    <w:p>
      <w:pPr>
        <w:jc w:val="center"/>
        <w:rPr>
          <w:rFonts w:ascii="Arial" w:hAnsi="Arial" w:cs="Arial"/>
          <w:b/>
          <w:bCs/>
          <w:color w:val="auto"/>
          <w:szCs w:val="21"/>
          <w:highlight w:val="none"/>
        </w:rPr>
      </w:pPr>
    </w:p>
    <w:p>
      <w:pPr>
        <w:rPr>
          <w:rFonts w:ascii="Arial" w:hAnsi="Arial" w:cs="Arial"/>
          <w:color w:val="auto"/>
          <w:highlight w:val="none"/>
        </w:rPr>
      </w:pPr>
      <w:bookmarkStart w:id="125" w:name="_Hlk19115777"/>
      <w:r>
        <w:rPr>
          <w:rFonts w:ascii="Arial" w:hAnsi="Arial" w:cs="Arial"/>
          <w:color w:val="auto"/>
          <w:highlight w:val="none"/>
        </w:rPr>
        <w:t>1．投标函格式</w:t>
      </w:r>
      <w:r>
        <w:rPr>
          <w:rFonts w:ascii="Arial" w:hAnsi="Arial" w:cs="Arial"/>
          <w:b/>
          <w:color w:val="auto"/>
          <w:highlight w:val="none"/>
        </w:rPr>
        <w:t>（</w:t>
      </w:r>
      <w:r>
        <w:rPr>
          <w:rFonts w:ascii="Arial" w:hAnsi="Arial" w:cs="Arial"/>
          <w:b/>
          <w:color w:val="auto"/>
          <w:szCs w:val="21"/>
          <w:highlight w:val="none"/>
        </w:rPr>
        <w:t>必须提供</w:t>
      </w:r>
      <w:r>
        <w:rPr>
          <w:rFonts w:ascii="Arial" w:hAnsi="Arial" w:cs="Arial"/>
          <w:b/>
          <w:color w:val="auto"/>
          <w:highlight w:val="none"/>
        </w:rPr>
        <w:t>）</w:t>
      </w:r>
      <w:r>
        <w:rPr>
          <w:rFonts w:ascii="Arial" w:hAnsi="Arial" w:cs="Arial"/>
          <w:color w:val="auto"/>
          <w:highlight w:val="none"/>
        </w:rPr>
        <w:t>：</w:t>
      </w:r>
    </w:p>
    <w:p>
      <w:pPr>
        <w:jc w:val="center"/>
        <w:rPr>
          <w:rFonts w:ascii="Arial" w:hAnsi="Arial" w:cs="Arial"/>
          <w:b/>
          <w:color w:val="auto"/>
          <w:szCs w:val="21"/>
          <w:highlight w:val="none"/>
        </w:rPr>
      </w:pPr>
    </w:p>
    <w:p>
      <w:pPr>
        <w:jc w:val="center"/>
        <w:rPr>
          <w:rFonts w:ascii="Arial" w:hAnsi="Arial" w:cs="Arial"/>
          <w:b/>
          <w:color w:val="auto"/>
          <w:szCs w:val="21"/>
          <w:highlight w:val="none"/>
        </w:rPr>
      </w:pPr>
      <w:r>
        <w:rPr>
          <w:rFonts w:ascii="Arial" w:hAnsi="Arial" w:cs="Arial"/>
          <w:b/>
          <w:color w:val="auto"/>
          <w:szCs w:val="21"/>
          <w:highlight w:val="none"/>
        </w:rPr>
        <w:t>投 标 函</w:t>
      </w:r>
    </w:p>
    <w:p>
      <w:pPr>
        <w:rPr>
          <w:rFonts w:ascii="Arial" w:hAnsi="Arial" w:cs="Arial"/>
          <w:b/>
          <w:color w:val="auto"/>
          <w:szCs w:val="21"/>
          <w:highlight w:val="none"/>
        </w:rPr>
      </w:pPr>
    </w:p>
    <w:p>
      <w:pPr>
        <w:spacing w:line="360" w:lineRule="auto"/>
        <w:rPr>
          <w:rFonts w:ascii="Arial" w:hAnsi="Arial" w:cs="Arial"/>
          <w:color w:val="auto"/>
          <w:szCs w:val="21"/>
          <w:highlight w:val="none"/>
        </w:rPr>
      </w:pPr>
      <w:r>
        <w:rPr>
          <w:rFonts w:ascii="Arial" w:hAnsi="Arial" w:cs="Arial"/>
          <w:color w:val="auto"/>
          <w:szCs w:val="21"/>
          <w:highlight w:val="none"/>
        </w:rPr>
        <w:t>致：</w:t>
      </w:r>
      <w:bookmarkStart w:id="126" w:name="_Hlk19051378"/>
      <w:r>
        <w:rPr>
          <w:rFonts w:ascii="Arial" w:hAnsi="Arial" w:cs="Arial"/>
          <w:color w:val="auto"/>
          <w:szCs w:val="21"/>
          <w:highlight w:val="none"/>
        </w:rPr>
        <w:t>_</w:t>
      </w:r>
      <w:r>
        <w:rPr>
          <w:rFonts w:ascii="Arial" w:hAnsi="Arial" w:cs="Arial"/>
          <w:i/>
          <w:iCs/>
          <w:color w:val="auto"/>
          <w:szCs w:val="21"/>
          <w:highlight w:val="none"/>
          <w:u w:val="single"/>
        </w:rPr>
        <w:t>（采购人名称）</w:t>
      </w:r>
      <w:r>
        <w:rPr>
          <w:rFonts w:ascii="Arial" w:hAnsi="Arial" w:cs="Arial"/>
          <w:i/>
          <w:iCs/>
          <w:color w:val="auto"/>
          <w:szCs w:val="21"/>
          <w:highlight w:val="none"/>
        </w:rPr>
        <w:t>_</w:t>
      </w:r>
      <w:bookmarkEnd w:id="126"/>
      <w:r>
        <w:rPr>
          <w:rFonts w:ascii="Arial" w:hAnsi="Arial" w:cs="Arial"/>
          <w:color w:val="auto"/>
          <w:szCs w:val="21"/>
          <w:highlight w:val="none"/>
        </w:rPr>
        <w:t>：</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我方已仔细研究了</w:t>
      </w:r>
      <w:bookmarkStart w:id="127" w:name="_Hlk19051388"/>
      <w:r>
        <w:rPr>
          <w:rFonts w:ascii="Arial" w:hAnsi="Arial" w:cs="Arial"/>
          <w:i/>
          <w:iCs/>
          <w:color w:val="auto"/>
          <w:szCs w:val="21"/>
          <w:highlight w:val="none"/>
          <w:u w:val="single"/>
        </w:rPr>
        <w:t>（项目名称）</w:t>
      </w:r>
      <w:bookmarkEnd w:id="127"/>
      <w:r>
        <w:rPr>
          <w:rFonts w:ascii="Arial" w:hAnsi="Arial" w:cs="Arial"/>
          <w:color w:val="auto"/>
          <w:szCs w:val="21"/>
          <w:highlight w:val="none"/>
        </w:rPr>
        <w:t>的招标文件的全部内容。签字代表</w:t>
      </w:r>
      <w:bookmarkStart w:id="128" w:name="_Hlk19051393"/>
      <w:r>
        <w:rPr>
          <w:rFonts w:ascii="Arial" w:hAnsi="Arial" w:cs="Arial"/>
          <w:i/>
          <w:iCs/>
          <w:color w:val="auto"/>
          <w:szCs w:val="21"/>
          <w:highlight w:val="none"/>
          <w:u w:val="single"/>
        </w:rPr>
        <w:t>（授权代表姓名）</w:t>
      </w:r>
      <w:bookmarkEnd w:id="128"/>
      <w:r>
        <w:rPr>
          <w:rFonts w:ascii="Arial" w:hAnsi="Arial" w:cs="Arial"/>
          <w:color w:val="auto"/>
          <w:szCs w:val="21"/>
          <w:highlight w:val="none"/>
        </w:rPr>
        <w:t>经正式授权并代表供应商_</w:t>
      </w:r>
      <w:bookmarkStart w:id="129" w:name="_Hlk19051402"/>
      <w:r>
        <w:rPr>
          <w:rFonts w:ascii="Arial" w:hAnsi="Arial" w:cs="Arial"/>
          <w:i/>
          <w:iCs/>
          <w:color w:val="auto"/>
          <w:szCs w:val="21"/>
          <w:highlight w:val="none"/>
          <w:u w:val="single"/>
        </w:rPr>
        <w:t>（供应商名称）</w:t>
      </w:r>
      <w:bookmarkEnd w:id="129"/>
      <w:r>
        <w:rPr>
          <w:rFonts w:ascii="Arial" w:hAnsi="Arial" w:cs="Arial"/>
          <w:color w:val="auto"/>
          <w:szCs w:val="21"/>
          <w:highlight w:val="none"/>
        </w:rPr>
        <w:t>提交投标文件。</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据此函，签字代表宣布同意如下：</w:t>
      </w:r>
    </w:p>
    <w:p>
      <w:pPr>
        <w:spacing w:line="360" w:lineRule="auto"/>
        <w:rPr>
          <w:rFonts w:ascii="Arial" w:hAnsi="Arial" w:cs="Arial"/>
          <w:color w:val="auto"/>
          <w:szCs w:val="21"/>
          <w:highlight w:val="none"/>
        </w:rPr>
      </w:pPr>
      <w:r>
        <w:rPr>
          <w:rFonts w:ascii="Arial" w:hAnsi="Arial" w:cs="Arial"/>
          <w:color w:val="auto"/>
          <w:szCs w:val="21"/>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rFonts w:ascii="Arial" w:hAnsi="Arial" w:cs="Arial"/>
          <w:color w:val="auto"/>
          <w:szCs w:val="21"/>
          <w:highlight w:val="none"/>
        </w:rPr>
      </w:pPr>
      <w:r>
        <w:rPr>
          <w:rFonts w:ascii="Arial" w:hAnsi="Arial" w:cs="Arial"/>
          <w:color w:val="auto"/>
          <w:szCs w:val="21"/>
          <w:highlight w:val="none"/>
        </w:rPr>
        <w:t>（2）我方在投标之前已经与贵方进行了充分的沟通，完全理解并接受招标文件的各项规定和要求，对招标文件的合理性、合法性不再有异议。</w:t>
      </w:r>
    </w:p>
    <w:p>
      <w:pPr>
        <w:spacing w:line="360" w:lineRule="auto"/>
        <w:rPr>
          <w:rFonts w:ascii="Arial" w:hAnsi="Arial" w:cs="Arial"/>
          <w:color w:val="auto"/>
          <w:szCs w:val="21"/>
          <w:highlight w:val="none"/>
        </w:rPr>
      </w:pPr>
      <w:r>
        <w:rPr>
          <w:rFonts w:ascii="Arial" w:hAnsi="Arial" w:cs="Arial"/>
          <w:color w:val="auto"/>
          <w:szCs w:val="21"/>
          <w:highlight w:val="none"/>
        </w:rPr>
        <w:t>（3）本投标有效期自投标截止之日起</w:t>
      </w:r>
      <w:r>
        <w:rPr>
          <w:rFonts w:ascii="Arial" w:hAnsi="Arial" w:cs="Arial"/>
          <w:color w:val="auto"/>
          <w:szCs w:val="21"/>
          <w:highlight w:val="none"/>
          <w:u w:val="single"/>
        </w:rPr>
        <w:t xml:space="preserve"> 90  </w:t>
      </w:r>
      <w:r>
        <w:rPr>
          <w:rFonts w:ascii="Arial" w:hAnsi="Arial" w:cs="Arial"/>
          <w:color w:val="auto"/>
          <w:szCs w:val="21"/>
          <w:highlight w:val="none"/>
        </w:rPr>
        <w:t>天。</w:t>
      </w:r>
    </w:p>
    <w:p>
      <w:pPr>
        <w:spacing w:line="360" w:lineRule="auto"/>
        <w:rPr>
          <w:rFonts w:ascii="Arial" w:hAnsi="Arial" w:cs="Arial"/>
          <w:color w:val="auto"/>
          <w:szCs w:val="21"/>
          <w:highlight w:val="none"/>
        </w:rPr>
      </w:pPr>
      <w:r>
        <w:rPr>
          <w:rFonts w:ascii="Arial" w:hAnsi="Arial" w:cs="Arial"/>
          <w:color w:val="auto"/>
          <w:szCs w:val="21"/>
          <w:highlight w:val="none"/>
        </w:rPr>
        <w:t>（4）如中标，本投标文件至本项目合同履行完毕止均保持有效，我方将按“招标文件”及政府采购法律、法规的规定履行合同责任和义务，并承诺不分包及转包他人。</w:t>
      </w:r>
    </w:p>
    <w:p>
      <w:pPr>
        <w:spacing w:line="360" w:lineRule="auto"/>
        <w:rPr>
          <w:rFonts w:ascii="Arial" w:hAnsi="Arial" w:cs="Arial"/>
          <w:color w:val="auto"/>
          <w:szCs w:val="21"/>
          <w:highlight w:val="none"/>
        </w:rPr>
      </w:pPr>
      <w:r>
        <w:rPr>
          <w:rFonts w:ascii="Arial" w:hAnsi="Arial" w:cs="Arial"/>
          <w:color w:val="auto"/>
          <w:szCs w:val="21"/>
          <w:highlight w:val="none"/>
        </w:rPr>
        <w:t>（5）我方同意按照贵方要求提供与投标有关的一切数据或资料。</w:t>
      </w:r>
    </w:p>
    <w:p>
      <w:pPr>
        <w:spacing w:line="360" w:lineRule="auto"/>
        <w:rPr>
          <w:rFonts w:ascii="Arial" w:hAnsi="Arial" w:cs="Arial"/>
          <w:color w:val="auto"/>
          <w:szCs w:val="21"/>
          <w:highlight w:val="none"/>
        </w:rPr>
      </w:pPr>
      <w:r>
        <w:rPr>
          <w:rFonts w:ascii="Arial" w:hAnsi="Arial" w:cs="Arial"/>
          <w:color w:val="auto"/>
          <w:szCs w:val="21"/>
          <w:highlight w:val="none"/>
        </w:rPr>
        <w:t>（6）与本项目有关的一切正式往来信函请寄：</w:t>
      </w:r>
    </w:p>
    <w:p>
      <w:pPr>
        <w:spacing w:line="360" w:lineRule="auto"/>
        <w:rPr>
          <w:rFonts w:ascii="Arial" w:hAnsi="Arial" w:cs="Arial"/>
          <w:color w:val="auto"/>
          <w:szCs w:val="21"/>
          <w:highlight w:val="none"/>
        </w:rPr>
      </w:pPr>
      <w:r>
        <w:rPr>
          <w:rFonts w:ascii="Arial" w:hAnsi="Arial" w:cs="Arial"/>
          <w:color w:val="auto"/>
          <w:szCs w:val="21"/>
          <w:highlight w:val="none"/>
        </w:rPr>
        <w:t>地址：</w:t>
      </w:r>
      <w:r>
        <w:rPr>
          <w:rFonts w:ascii="Arial" w:hAnsi="Arial" w:cs="Arial"/>
          <w:color w:val="auto"/>
          <w:szCs w:val="21"/>
          <w:highlight w:val="none"/>
          <w:u w:val="single"/>
        </w:rPr>
        <w:t xml:space="preserve"> </w:t>
      </w:r>
      <w:r>
        <w:rPr>
          <w:rFonts w:hint="eastAsia" w:ascii="Arial" w:hAnsi="Arial" w:cs="Arial"/>
          <w:color w:val="auto"/>
          <w:szCs w:val="21"/>
          <w:highlight w:val="none"/>
          <w:u w:val="single"/>
        </w:rPr>
        <w:t xml:space="preserve">  </w:t>
      </w:r>
      <w:r>
        <w:rPr>
          <w:rFonts w:ascii="Arial" w:hAnsi="Arial" w:cs="Arial"/>
          <w:color w:val="auto"/>
          <w:szCs w:val="21"/>
          <w:highlight w:val="none"/>
          <w:u w:val="single"/>
        </w:rPr>
        <w:t xml:space="preserve"> </w:t>
      </w:r>
      <w:r>
        <w:rPr>
          <w:rFonts w:ascii="Arial" w:hAnsi="Arial" w:cs="Arial"/>
          <w:color w:val="auto"/>
          <w:szCs w:val="21"/>
          <w:highlight w:val="none"/>
        </w:rPr>
        <w:t>邮编： 电话：</w:t>
      </w:r>
      <w:r>
        <w:rPr>
          <w:rFonts w:ascii="Arial" w:hAnsi="Arial" w:cs="Arial"/>
          <w:color w:val="auto"/>
          <w:szCs w:val="21"/>
          <w:highlight w:val="none"/>
          <w:u w:val="single"/>
        </w:rPr>
        <w:t xml:space="preserve"> </w:t>
      </w:r>
      <w:r>
        <w:rPr>
          <w:rFonts w:hint="eastAsia" w:ascii="Arial" w:hAnsi="Arial" w:cs="Arial"/>
          <w:color w:val="auto"/>
          <w:szCs w:val="21"/>
          <w:highlight w:val="none"/>
          <w:u w:val="single"/>
        </w:rPr>
        <w:t xml:space="preserve">  </w:t>
      </w:r>
      <w:r>
        <w:rPr>
          <w:rFonts w:ascii="Arial" w:hAnsi="Arial" w:cs="Arial"/>
          <w:color w:val="auto"/>
          <w:szCs w:val="21"/>
          <w:highlight w:val="none"/>
          <w:u w:val="single"/>
        </w:rPr>
        <w:t xml:space="preserve"> </w:t>
      </w:r>
    </w:p>
    <w:p>
      <w:pPr>
        <w:spacing w:line="360" w:lineRule="auto"/>
        <w:rPr>
          <w:rFonts w:ascii="Arial" w:hAnsi="Arial" w:cs="Arial"/>
          <w:color w:val="auto"/>
          <w:szCs w:val="21"/>
          <w:highlight w:val="none"/>
        </w:rPr>
      </w:pPr>
      <w:r>
        <w:rPr>
          <w:rFonts w:ascii="Arial" w:hAnsi="Arial" w:cs="Arial"/>
          <w:color w:val="auto"/>
          <w:szCs w:val="21"/>
          <w:highlight w:val="none"/>
        </w:rPr>
        <w:t>传真：</w:t>
      </w:r>
    </w:p>
    <w:p>
      <w:pPr>
        <w:spacing w:line="360" w:lineRule="auto"/>
        <w:rPr>
          <w:rFonts w:ascii="Arial" w:hAnsi="Arial" w:cs="Arial"/>
          <w:color w:val="auto"/>
          <w:szCs w:val="21"/>
          <w:highlight w:val="none"/>
        </w:rPr>
      </w:pPr>
      <w:r>
        <w:rPr>
          <w:rFonts w:ascii="Arial" w:hAnsi="Arial" w:cs="Arial"/>
          <w:color w:val="auto"/>
          <w:szCs w:val="21"/>
          <w:highlight w:val="none"/>
        </w:rPr>
        <w:t>供应商代表姓名 职务：邮箱：</w:t>
      </w:r>
    </w:p>
    <w:bookmarkEnd w:id="125"/>
    <w:p>
      <w:pPr>
        <w:spacing w:line="360" w:lineRule="auto"/>
        <w:rPr>
          <w:rFonts w:ascii="Arial" w:hAnsi="Arial" w:cs="Arial"/>
          <w:color w:val="auto"/>
          <w:szCs w:val="21"/>
          <w:highlight w:val="none"/>
        </w:rPr>
      </w:pPr>
    </w:p>
    <w:p>
      <w:pPr>
        <w:spacing w:line="360" w:lineRule="auto"/>
        <w:rPr>
          <w:rFonts w:ascii="Arial" w:hAnsi="Arial" w:cs="Arial"/>
          <w:color w:val="auto"/>
          <w:szCs w:val="21"/>
          <w:highlight w:val="none"/>
        </w:rPr>
      </w:pPr>
    </w:p>
    <w:p>
      <w:pPr>
        <w:spacing w:line="360" w:lineRule="auto"/>
        <w:rPr>
          <w:rFonts w:ascii="Arial" w:hAnsi="Arial" w:cs="Arial"/>
          <w:color w:val="auto"/>
          <w:szCs w:val="21"/>
          <w:highlight w:val="none"/>
          <w:u w:val="single"/>
        </w:rPr>
      </w:pPr>
      <w:r>
        <w:rPr>
          <w:rFonts w:ascii="Arial" w:hAnsi="Arial" w:cs="Arial"/>
          <w:color w:val="auto"/>
          <w:szCs w:val="21"/>
          <w:highlight w:val="none"/>
        </w:rPr>
        <w:t>供应商名称(公章)（CA签章）：</w:t>
      </w:r>
    </w:p>
    <w:p>
      <w:pPr>
        <w:spacing w:line="360" w:lineRule="auto"/>
        <w:rPr>
          <w:rFonts w:ascii="Arial" w:hAnsi="Arial" w:cs="Arial"/>
          <w:color w:val="auto"/>
          <w:szCs w:val="21"/>
          <w:highlight w:val="none"/>
        </w:rPr>
      </w:pPr>
    </w:p>
    <w:p>
      <w:pPr>
        <w:spacing w:line="360" w:lineRule="auto"/>
        <w:rPr>
          <w:rFonts w:ascii="Arial" w:hAnsi="Arial" w:cs="Arial"/>
          <w:color w:val="auto"/>
          <w:szCs w:val="21"/>
          <w:highlight w:val="none"/>
        </w:rPr>
      </w:pPr>
      <w:r>
        <w:rPr>
          <w:rFonts w:ascii="Arial" w:hAnsi="Arial" w:cs="Arial"/>
          <w:color w:val="auto"/>
          <w:szCs w:val="21"/>
          <w:highlight w:val="none"/>
        </w:rPr>
        <w:t xml:space="preserve">法定代表人或授权代表签字或个人CA签章： </w:t>
      </w:r>
    </w:p>
    <w:p>
      <w:pPr>
        <w:spacing w:line="360" w:lineRule="auto"/>
        <w:rPr>
          <w:rFonts w:ascii="Arial" w:hAnsi="Arial" w:cs="Arial"/>
          <w:color w:val="auto"/>
          <w:szCs w:val="21"/>
          <w:highlight w:val="none"/>
        </w:rPr>
      </w:pPr>
    </w:p>
    <w:p>
      <w:pPr>
        <w:spacing w:line="360" w:lineRule="auto"/>
        <w:rPr>
          <w:rFonts w:ascii="Arial" w:hAnsi="Arial" w:cs="Arial"/>
          <w:color w:val="auto"/>
          <w:szCs w:val="21"/>
          <w:highlight w:val="none"/>
        </w:rPr>
      </w:pPr>
      <w:r>
        <w:rPr>
          <w:rFonts w:ascii="Arial" w:hAnsi="Arial" w:cs="Arial"/>
          <w:color w:val="auto"/>
          <w:szCs w:val="21"/>
          <w:highlight w:val="none"/>
        </w:rPr>
        <w:t>日期：</w:t>
      </w:r>
      <w:r>
        <w:rPr>
          <w:rFonts w:ascii="Arial" w:hAnsi="Arial" w:cs="Arial"/>
          <w:color w:val="auto"/>
          <w:szCs w:val="21"/>
          <w:highlight w:val="none"/>
          <w:u w:val="single"/>
        </w:rPr>
        <w:t xml:space="preserve">    </w:t>
      </w:r>
      <w:r>
        <w:rPr>
          <w:rFonts w:ascii="Arial" w:hAnsi="Arial" w:cs="Arial"/>
          <w:color w:val="auto"/>
          <w:szCs w:val="21"/>
          <w:highlight w:val="none"/>
        </w:rPr>
        <w:t>年</w:t>
      </w:r>
      <w:r>
        <w:rPr>
          <w:rFonts w:ascii="Arial" w:hAnsi="Arial" w:cs="Arial"/>
          <w:color w:val="auto"/>
          <w:szCs w:val="21"/>
          <w:highlight w:val="none"/>
          <w:u w:val="single"/>
        </w:rPr>
        <w:t xml:space="preserve">    </w:t>
      </w:r>
      <w:r>
        <w:rPr>
          <w:rFonts w:ascii="Arial" w:hAnsi="Arial" w:cs="Arial"/>
          <w:color w:val="auto"/>
          <w:szCs w:val="21"/>
          <w:highlight w:val="none"/>
        </w:rPr>
        <w:t>月</w:t>
      </w:r>
      <w:r>
        <w:rPr>
          <w:rFonts w:ascii="Arial" w:hAnsi="Arial" w:cs="Arial"/>
          <w:color w:val="auto"/>
          <w:szCs w:val="21"/>
          <w:highlight w:val="none"/>
          <w:u w:val="single"/>
        </w:rPr>
        <w:t xml:space="preserve">    </w:t>
      </w:r>
      <w:r>
        <w:rPr>
          <w:rFonts w:ascii="Arial" w:hAnsi="Arial" w:cs="Arial"/>
          <w:color w:val="auto"/>
          <w:szCs w:val="21"/>
          <w:highlight w:val="none"/>
        </w:rPr>
        <w:t>日</w:t>
      </w:r>
    </w:p>
    <w:p>
      <w:pPr>
        <w:rPr>
          <w:rFonts w:ascii="Arial" w:hAnsi="Arial" w:cs="Arial"/>
          <w:color w:val="auto"/>
          <w:highlight w:val="none"/>
        </w:rPr>
      </w:pPr>
      <w:r>
        <w:rPr>
          <w:rFonts w:ascii="Arial" w:hAnsi="Arial" w:cs="Arial"/>
          <w:b/>
          <w:color w:val="auto"/>
          <w:szCs w:val="21"/>
          <w:highlight w:val="none"/>
        </w:rPr>
        <w:br w:type="page"/>
      </w:r>
      <w:r>
        <w:rPr>
          <w:rFonts w:ascii="Arial" w:hAnsi="Arial" w:cs="Arial"/>
          <w:color w:val="auto"/>
          <w:highlight w:val="none"/>
        </w:rPr>
        <w:t>2．投标报价明细表格式：</w:t>
      </w:r>
    </w:p>
    <w:p>
      <w:pPr>
        <w:jc w:val="center"/>
        <w:rPr>
          <w:rFonts w:ascii="Arial" w:hAnsi="Arial" w:cs="Arial"/>
          <w:b/>
          <w:color w:val="auto"/>
          <w:szCs w:val="21"/>
          <w:highlight w:val="none"/>
        </w:rPr>
      </w:pPr>
      <w:r>
        <w:rPr>
          <w:rFonts w:ascii="Arial" w:hAnsi="Arial" w:cs="Arial"/>
          <w:b/>
          <w:color w:val="auto"/>
          <w:szCs w:val="21"/>
          <w:highlight w:val="none"/>
        </w:rPr>
        <w:t>投标报价明细表</w:t>
      </w:r>
    </w:p>
    <w:p>
      <w:pPr>
        <w:ind w:firstLine="2415" w:firstLineChars="1150"/>
        <w:rPr>
          <w:rFonts w:ascii="Arial" w:hAnsi="Arial" w:cs="Arial"/>
          <w:color w:val="auto"/>
          <w:szCs w:val="21"/>
          <w:highlight w:val="none"/>
        </w:rPr>
      </w:pPr>
      <w:r>
        <w:rPr>
          <w:rFonts w:ascii="Arial" w:hAnsi="Arial" w:cs="Arial"/>
          <w:color w:val="auto"/>
          <w:szCs w:val="21"/>
          <w:highlight w:val="none"/>
        </w:rPr>
        <w:t xml:space="preserve"> 金额单位：人民币（元）</w:t>
      </w:r>
      <w:r>
        <w:rPr>
          <w:rFonts w:hint="eastAsia" w:ascii="Arial" w:hAnsi="Arial" w:cs="Arial"/>
          <w:color w:val="auto"/>
          <w:szCs w:val="21"/>
          <w:highlight w:val="none"/>
        </w:rPr>
        <w:t xml:space="preserve">                  </w:t>
      </w:r>
    </w:p>
    <w:tbl>
      <w:tblPr>
        <w:tblStyle w:val="5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r>
              <w:rPr>
                <w:rFonts w:ascii="Arial" w:hAnsi="Arial" w:cs="Arial"/>
                <w:color w:val="auto"/>
                <w:szCs w:val="21"/>
                <w:highlight w:val="none"/>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产品名称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制造商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zCs w:val="21"/>
                <w:highlight w:val="none"/>
              </w:rPr>
            </w:pPr>
            <w:r>
              <w:rPr>
                <w:rFonts w:ascii="Arial" w:hAnsi="Arial" w:cs="Arial"/>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r>
              <w:rPr>
                <w:rFonts w:ascii="Arial" w:hAnsi="Arial" w:cs="Arial"/>
                <w:color w:val="auto"/>
                <w:spacing w:val="20"/>
                <w:szCs w:val="21"/>
                <w:highlight w:val="none"/>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10440" w:type="dxa"/>
            <w:gridSpan w:val="8"/>
            <w:tcBorders>
              <w:top w:val="single" w:color="auto" w:sz="4" w:space="0"/>
              <w:left w:val="single" w:color="auto" w:sz="4" w:space="0"/>
              <w:bottom w:val="single" w:color="auto" w:sz="4" w:space="0"/>
              <w:right w:val="single" w:color="auto" w:sz="4" w:space="0"/>
            </w:tcBorders>
            <w:vAlign w:val="center"/>
          </w:tcPr>
          <w:p>
            <w:pPr>
              <w:jc w:val="left"/>
              <w:rPr>
                <w:rFonts w:ascii="Arial" w:hAnsi="Arial" w:cs="Arial"/>
                <w:color w:val="auto"/>
                <w:spacing w:val="20"/>
                <w:szCs w:val="21"/>
                <w:highlight w:val="none"/>
              </w:rPr>
            </w:pPr>
            <w:r>
              <w:rPr>
                <w:rFonts w:ascii="Arial" w:hAnsi="Arial" w:cs="Arial"/>
                <w:color w:val="auto"/>
                <w:spacing w:val="20"/>
                <w:szCs w:val="21"/>
                <w:highlight w:val="none"/>
              </w:rPr>
              <w:t>投标总价：大写                 小写</w:t>
            </w:r>
          </w:p>
        </w:tc>
      </w:tr>
    </w:tbl>
    <w:p>
      <w:pPr>
        <w:jc w:val="left"/>
        <w:rPr>
          <w:rFonts w:ascii="Arial" w:hAnsi="Arial" w:cs="Arial"/>
          <w:color w:val="auto"/>
          <w:szCs w:val="21"/>
          <w:highlight w:val="none"/>
        </w:rPr>
      </w:pPr>
      <w:r>
        <w:rPr>
          <w:rFonts w:ascii="Arial" w:hAnsi="Arial" w:cs="Arial"/>
          <w:color w:val="auto"/>
          <w:szCs w:val="21"/>
          <w:highlight w:val="none"/>
        </w:rPr>
        <w:t>注：本表可扩展，并逐页签字及盖章</w:t>
      </w:r>
    </w:p>
    <w:p>
      <w:pPr>
        <w:spacing w:line="360" w:lineRule="auto"/>
        <w:rPr>
          <w:rFonts w:ascii="Arial" w:hAnsi="Arial" w:cs="Arial"/>
          <w:color w:val="auto"/>
          <w:spacing w:val="20"/>
          <w:szCs w:val="21"/>
          <w:highlight w:val="none"/>
        </w:rPr>
      </w:pPr>
    </w:p>
    <w:p>
      <w:pPr>
        <w:spacing w:line="360" w:lineRule="auto"/>
        <w:rPr>
          <w:rFonts w:ascii="Arial" w:hAnsi="Arial" w:cs="Arial"/>
          <w:color w:val="auto"/>
          <w:spacing w:val="20"/>
          <w:szCs w:val="21"/>
          <w:highlight w:val="none"/>
          <w:u w:val="single"/>
        </w:rPr>
      </w:pPr>
      <w:r>
        <w:rPr>
          <w:rFonts w:ascii="Arial" w:hAnsi="Arial" w:cs="Arial"/>
          <w:color w:val="auto"/>
          <w:szCs w:val="21"/>
          <w:highlight w:val="none"/>
        </w:rPr>
        <w:t>法定代表人或授权代表（签字或个人CA签章）</w:t>
      </w:r>
      <w:r>
        <w:rPr>
          <w:rFonts w:ascii="Arial" w:hAnsi="Arial" w:cs="Arial"/>
          <w:color w:val="auto"/>
          <w:spacing w:val="20"/>
          <w:szCs w:val="21"/>
          <w:highlight w:val="none"/>
        </w:rPr>
        <w:t>：</w:t>
      </w:r>
      <w:r>
        <w:rPr>
          <w:rFonts w:ascii="Arial" w:hAnsi="Arial" w:cs="Arial"/>
          <w:color w:val="auto"/>
          <w:spacing w:val="20"/>
          <w:szCs w:val="21"/>
          <w:highlight w:val="none"/>
          <w:u w:val="single"/>
        </w:rPr>
        <w:t xml:space="preserve">           </w:t>
      </w:r>
    </w:p>
    <w:p>
      <w:pPr>
        <w:spacing w:line="360" w:lineRule="auto"/>
        <w:rPr>
          <w:rFonts w:ascii="Arial" w:hAnsi="Arial" w:cs="Arial"/>
          <w:color w:val="auto"/>
          <w:szCs w:val="21"/>
          <w:highlight w:val="none"/>
        </w:rPr>
      </w:pPr>
      <w:r>
        <w:rPr>
          <w:rFonts w:ascii="Arial" w:hAnsi="Arial" w:cs="Arial"/>
          <w:color w:val="auto"/>
          <w:szCs w:val="21"/>
          <w:highlight w:val="none"/>
        </w:rPr>
        <w:t xml:space="preserve">供应商名称（公章）（CA签章）： </w:t>
      </w:r>
      <w:r>
        <w:rPr>
          <w:rFonts w:ascii="Arial" w:hAnsi="Arial" w:cs="Arial"/>
          <w:color w:val="auto"/>
          <w:szCs w:val="21"/>
          <w:highlight w:val="none"/>
          <w:u w:val="single"/>
        </w:rPr>
        <w:t xml:space="preserve">           </w:t>
      </w:r>
    </w:p>
    <w:p>
      <w:pPr>
        <w:spacing w:line="360" w:lineRule="auto"/>
        <w:rPr>
          <w:rFonts w:ascii="Arial" w:hAnsi="Arial" w:cs="Arial"/>
          <w:color w:val="auto"/>
          <w:spacing w:val="20"/>
          <w:szCs w:val="21"/>
          <w:highlight w:val="none"/>
          <w:u w:val="single"/>
        </w:rPr>
      </w:pPr>
      <w:r>
        <w:rPr>
          <w:rFonts w:ascii="Arial" w:hAnsi="Arial" w:cs="Arial"/>
          <w:color w:val="auto"/>
          <w:szCs w:val="21"/>
          <w:highlight w:val="none"/>
        </w:rPr>
        <w:t xml:space="preserve">日  期：   年  月   日 </w:t>
      </w: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br w:type="page"/>
      </w:r>
      <w:bookmarkStart w:id="130" w:name="_Hlk19115862"/>
      <w:r>
        <w:rPr>
          <w:rFonts w:ascii="Arial" w:hAnsi="Arial" w:cs="Arial"/>
          <w:color w:val="auto"/>
          <w:szCs w:val="21"/>
          <w:highlight w:val="none"/>
        </w:rPr>
        <w:t>3．过低报价合理性的说明。（如有）</w:t>
      </w:r>
    </w:p>
    <w:p>
      <w:pPr>
        <w:spacing w:line="360" w:lineRule="auto"/>
        <w:ind w:firstLine="420" w:firstLineChars="200"/>
        <w:rPr>
          <w:rFonts w:ascii="Arial" w:hAnsi="Arial" w:cs="Arial"/>
          <w:color w:val="auto"/>
          <w:szCs w:val="21"/>
          <w:highlight w:val="none"/>
        </w:rPr>
      </w:pPr>
      <w:r>
        <w:rPr>
          <w:rFonts w:ascii="Arial" w:hAnsi="Arial" w:cs="Arial"/>
          <w:color w:val="auto"/>
          <w:szCs w:val="21"/>
          <w:highlight w:val="none"/>
        </w:rPr>
        <w:t>评标委员会认为供应商的报价明显低于其他通过符合性审查供应商报价的，供应商将被要求以书面方式提供说明。为避免在评标现场因未能及时提供说明而导致被评标委员会作为无效投标，供应商</w:t>
      </w:r>
      <w:r>
        <w:rPr>
          <w:rFonts w:ascii="Arial" w:hAnsi="Arial" w:cs="Arial"/>
          <w:color w:val="auto"/>
          <w:highlight w:val="none"/>
        </w:rPr>
        <w:t>自行决定是否</w:t>
      </w:r>
      <w:r>
        <w:rPr>
          <w:rFonts w:ascii="Arial" w:hAnsi="Arial" w:cs="Arial"/>
          <w:color w:val="auto"/>
          <w:kern w:val="1"/>
          <w:szCs w:val="21"/>
          <w:highlight w:val="none"/>
        </w:rPr>
        <w:t>直接在</w:t>
      </w:r>
      <w:r>
        <w:rPr>
          <w:rFonts w:ascii="Arial" w:hAnsi="Arial" w:cs="Arial"/>
          <w:color w:val="auto"/>
          <w:szCs w:val="21"/>
          <w:highlight w:val="none"/>
        </w:rPr>
        <w:t>此处进行陈述。格式自拟。（</w:t>
      </w:r>
      <w:r>
        <w:rPr>
          <w:rFonts w:ascii="Arial" w:hAnsi="Arial" w:cs="Arial"/>
          <w:color w:val="auto"/>
          <w:kern w:val="1"/>
          <w:szCs w:val="21"/>
          <w:highlight w:val="none"/>
        </w:rPr>
        <w:t>具体要求详见第四章评标方法及评标标准“过低报价合理性的审查”</w:t>
      </w:r>
      <w:r>
        <w:rPr>
          <w:rFonts w:ascii="Arial" w:hAnsi="Arial" w:cs="Arial"/>
          <w:color w:val="auto"/>
          <w:szCs w:val="21"/>
          <w:highlight w:val="none"/>
        </w:rPr>
        <w:t>）</w:t>
      </w:r>
    </w:p>
    <w:bookmarkEnd w:id="130"/>
    <w:p>
      <w:pPr>
        <w:snapToGrid w:val="0"/>
        <w:spacing w:before="50" w:after="120" w:afterLines="50"/>
        <w:jc w:val="left"/>
        <w:rPr>
          <w:rFonts w:ascii="Arial" w:hAnsi="Arial" w:cs="Arial"/>
          <w:color w:val="auto"/>
          <w:szCs w:val="21"/>
          <w:highlight w:val="none"/>
        </w:rPr>
      </w:pPr>
    </w:p>
    <w:p>
      <w:pPr>
        <w:rPr>
          <w:rFonts w:ascii="Arial" w:hAnsi="Arial" w:cs="Arial"/>
          <w:color w:val="auto"/>
          <w:highlight w:val="none"/>
        </w:rPr>
      </w:pPr>
      <w:r>
        <w:rPr>
          <w:rFonts w:ascii="Arial" w:hAnsi="Arial" w:cs="Arial"/>
          <w:color w:val="auto"/>
          <w:highlight w:val="none"/>
        </w:rPr>
        <w:t xml:space="preserve"> </w:t>
      </w:r>
    </w:p>
    <w:p>
      <w:pPr>
        <w:rPr>
          <w:rFonts w:ascii="Arial" w:hAnsi="Arial" w:cs="Arial"/>
          <w:b/>
          <w:color w:val="auto"/>
          <w:szCs w:val="21"/>
          <w:highlight w:val="none"/>
        </w:rPr>
      </w:pPr>
    </w:p>
    <w:p>
      <w:pPr>
        <w:rPr>
          <w:rFonts w:ascii="Arial" w:hAnsi="Arial" w:cs="Arial"/>
          <w:b/>
          <w:color w:val="auto"/>
          <w:szCs w:val="21"/>
          <w:highlight w:val="none"/>
        </w:r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4．符合政府采购政策价格扣除证明材料。</w:t>
      </w:r>
    </w:p>
    <w:p>
      <w:pPr>
        <w:rPr>
          <w:rFonts w:ascii="Arial" w:hAnsi="Arial" w:cs="Arial"/>
          <w:color w:val="auto"/>
          <w:szCs w:val="21"/>
          <w:highlight w:val="none"/>
        </w:rPr>
      </w:pPr>
      <w:r>
        <w:rPr>
          <w:rFonts w:ascii="Arial" w:hAnsi="Arial" w:cs="Arial"/>
          <w:color w:val="auto"/>
          <w:szCs w:val="21"/>
          <w:highlight w:val="none"/>
        </w:rPr>
        <w:t>4.1</w:t>
      </w:r>
      <w:r>
        <w:rPr>
          <w:rFonts w:ascii="Arial" w:hAnsi="Arial" w:cs="Arial"/>
          <w:bCs/>
          <w:color w:val="auto"/>
          <w:szCs w:val="21"/>
          <w:highlight w:val="none"/>
        </w:rPr>
        <w:t>符合小型、微型企业</w:t>
      </w:r>
      <w:r>
        <w:rPr>
          <w:rFonts w:ascii="Arial" w:hAnsi="Arial" w:cs="Arial"/>
          <w:color w:val="auto"/>
          <w:szCs w:val="21"/>
          <w:highlight w:val="none"/>
        </w:rPr>
        <w:t>政府采购政策证明材料。（非小型、微型企业无需提供）。</w:t>
      </w:r>
    </w:p>
    <w:p>
      <w:pPr>
        <w:spacing w:line="360" w:lineRule="auto"/>
        <w:ind w:firstLine="3584" w:firstLineChars="1700"/>
        <w:rPr>
          <w:b/>
          <w:color w:val="auto"/>
          <w:szCs w:val="21"/>
          <w:highlight w:val="none"/>
        </w:rPr>
      </w:pPr>
    </w:p>
    <w:p>
      <w:pPr>
        <w:spacing w:line="360" w:lineRule="auto"/>
        <w:ind w:firstLine="3584" w:firstLineChars="1700"/>
        <w:rPr>
          <w:b/>
          <w:color w:val="auto"/>
          <w:szCs w:val="21"/>
          <w:highlight w:val="none"/>
        </w:rPr>
      </w:pPr>
      <w:r>
        <w:rPr>
          <w:rFonts w:hint="eastAsia"/>
          <w:b/>
          <w:color w:val="auto"/>
          <w:szCs w:val="21"/>
          <w:highlight w:val="none"/>
        </w:rPr>
        <w:t>中小企业声明函（货物）</w:t>
      </w:r>
    </w:p>
    <w:p>
      <w:pPr>
        <w:spacing w:line="360" w:lineRule="auto"/>
        <w:ind w:firstLine="420"/>
        <w:rPr>
          <w:bCs/>
          <w:color w:val="auto"/>
          <w:szCs w:val="21"/>
          <w:highlight w:val="none"/>
        </w:rPr>
      </w:pPr>
      <w:r>
        <w:rPr>
          <w:rFonts w:hint="eastAsia"/>
          <w:bCs/>
          <w:color w:val="auto"/>
          <w:szCs w:val="21"/>
          <w:highlight w:val="none"/>
        </w:rPr>
        <w:t>本公司（联合体）郑重声明，根据《政府采购促进中小企业发展管理办法》（财库﹝2020﹞46 号）的规定，本公司（联合体）参加</w:t>
      </w:r>
      <w:r>
        <w:rPr>
          <w:rFonts w:hint="eastAsia"/>
          <w:bCs/>
          <w:color w:val="auto"/>
          <w:szCs w:val="21"/>
          <w:highlight w:val="none"/>
          <w:u w:val="single"/>
        </w:rPr>
        <w:t>（单位名称）</w:t>
      </w:r>
      <w:r>
        <w:rPr>
          <w:rFonts w:hint="eastAsia"/>
          <w:bCs/>
          <w:color w:val="auto"/>
          <w:szCs w:val="21"/>
          <w:highlight w:val="none"/>
        </w:rPr>
        <w:t>的</w:t>
      </w:r>
      <w:r>
        <w:rPr>
          <w:rFonts w:hint="eastAsia"/>
          <w:bCs/>
          <w:color w:val="auto"/>
          <w:szCs w:val="21"/>
          <w:highlight w:val="none"/>
          <w:u w:val="single"/>
        </w:rPr>
        <w:t>（项目名称）</w:t>
      </w:r>
      <w:r>
        <w:rPr>
          <w:rFonts w:hint="eastAsia"/>
          <w:bCs/>
          <w:color w:val="auto"/>
          <w:szCs w:val="21"/>
          <w:highlight w:val="none"/>
        </w:rPr>
        <w:t>采购活动，提供的货物全部由符合政策要求的中小企业制造。相关企业（含联合体中的中小企业、签订分包意向协议的中小企业） 的具体情况如下：</w:t>
      </w:r>
    </w:p>
    <w:p>
      <w:pPr>
        <w:spacing w:line="360" w:lineRule="auto"/>
        <w:ind w:firstLine="420"/>
        <w:rPr>
          <w:bCs/>
          <w:color w:val="auto"/>
          <w:szCs w:val="21"/>
          <w:highlight w:val="none"/>
        </w:rPr>
      </w:pPr>
      <w:r>
        <w:rPr>
          <w:bCs/>
          <w:color w:val="auto"/>
          <w:szCs w:val="21"/>
          <w:highlight w:val="none"/>
        </w:rPr>
        <w:t>1.</w:t>
      </w:r>
      <w:r>
        <w:rPr>
          <w:rFonts w:hint="eastAsia"/>
          <w:bCs/>
          <w:color w:val="auto"/>
          <w:szCs w:val="21"/>
          <w:highlight w:val="none"/>
          <w:u w:val="single"/>
        </w:rPr>
        <w:t>（标的名称）</w:t>
      </w:r>
      <w:r>
        <w:rPr>
          <w:rFonts w:hint="eastAsia"/>
          <w:bCs/>
          <w:color w:val="auto"/>
          <w:szCs w:val="21"/>
          <w:highlight w:val="none"/>
        </w:rPr>
        <w:t>，属于</w:t>
      </w:r>
      <w:r>
        <w:rPr>
          <w:rFonts w:hint="eastAsia"/>
          <w:bCs/>
          <w:color w:val="auto"/>
          <w:szCs w:val="21"/>
          <w:highlight w:val="none"/>
          <w:u w:val="single"/>
        </w:rPr>
        <w:t>（招标文件中明确的所属行业）</w:t>
      </w:r>
      <w:r>
        <w:rPr>
          <w:rFonts w:hint="eastAsia"/>
          <w:bCs/>
          <w:color w:val="auto"/>
          <w:szCs w:val="21"/>
          <w:highlight w:val="none"/>
        </w:rPr>
        <w:t>行业；制造商为</w:t>
      </w:r>
      <w:r>
        <w:rPr>
          <w:rFonts w:hint="eastAsia"/>
          <w:bCs/>
          <w:color w:val="auto"/>
          <w:szCs w:val="21"/>
          <w:highlight w:val="none"/>
          <w:u w:val="single"/>
        </w:rPr>
        <w:t>（企业名称）</w:t>
      </w:r>
      <w:r>
        <w:rPr>
          <w:rFonts w:hint="eastAsia"/>
          <w:bCs/>
          <w:color w:val="auto"/>
          <w:szCs w:val="21"/>
          <w:highlight w:val="none"/>
        </w:rPr>
        <w:t>，从业人员</w:t>
      </w:r>
      <w:r>
        <w:rPr>
          <w:bCs/>
          <w:color w:val="auto"/>
          <w:szCs w:val="21"/>
          <w:highlight w:val="none"/>
          <w:u w:val="single"/>
        </w:rPr>
        <w:t xml:space="preserve">    </w:t>
      </w:r>
      <w:r>
        <w:rPr>
          <w:rFonts w:hint="eastAsia"/>
          <w:bCs/>
          <w:color w:val="auto"/>
          <w:szCs w:val="21"/>
          <w:highlight w:val="none"/>
        </w:rPr>
        <w:t>人，营业收入为</w:t>
      </w:r>
      <w:r>
        <w:rPr>
          <w:rFonts w:hint="eastAsia"/>
          <w:bCs/>
          <w:color w:val="auto"/>
          <w:szCs w:val="21"/>
          <w:highlight w:val="none"/>
          <w:u w:val="single"/>
        </w:rPr>
        <w:t xml:space="preserve"> </w:t>
      </w:r>
      <w:r>
        <w:rPr>
          <w:bCs/>
          <w:color w:val="auto"/>
          <w:szCs w:val="21"/>
          <w:highlight w:val="none"/>
          <w:u w:val="single"/>
        </w:rPr>
        <w:t xml:space="preserve">  </w:t>
      </w:r>
      <w:r>
        <w:rPr>
          <w:rFonts w:hint="eastAsia"/>
          <w:bCs/>
          <w:color w:val="auto"/>
          <w:szCs w:val="21"/>
          <w:highlight w:val="none"/>
          <w:u w:val="single"/>
        </w:rPr>
        <w:t xml:space="preserve"> </w:t>
      </w:r>
      <w:r>
        <w:rPr>
          <w:rFonts w:hint="eastAsia"/>
          <w:bCs/>
          <w:color w:val="auto"/>
          <w:szCs w:val="21"/>
          <w:highlight w:val="none"/>
        </w:rPr>
        <w:t>万元，资产总额为</w:t>
      </w:r>
      <w:r>
        <w:rPr>
          <w:rFonts w:hint="eastAsia"/>
          <w:bCs/>
          <w:color w:val="auto"/>
          <w:szCs w:val="21"/>
          <w:highlight w:val="none"/>
          <w:u w:val="single"/>
        </w:rPr>
        <w:t xml:space="preserve">    </w:t>
      </w:r>
      <w:r>
        <w:rPr>
          <w:rFonts w:hint="eastAsia"/>
          <w:bCs/>
          <w:color w:val="auto"/>
          <w:szCs w:val="21"/>
          <w:highlight w:val="none"/>
        </w:rPr>
        <w:t>万元，属于</w:t>
      </w:r>
      <w:r>
        <w:rPr>
          <w:rFonts w:hint="eastAsia"/>
          <w:bCs/>
          <w:color w:val="auto"/>
          <w:szCs w:val="21"/>
          <w:highlight w:val="none"/>
          <w:u w:val="single"/>
        </w:rPr>
        <w:t>（中型企业、小型企业、微型企业）</w:t>
      </w:r>
      <w:r>
        <w:rPr>
          <w:rFonts w:hint="eastAsia"/>
          <w:bCs/>
          <w:color w:val="auto"/>
          <w:szCs w:val="21"/>
          <w:highlight w:val="none"/>
        </w:rPr>
        <w:t>；</w:t>
      </w:r>
    </w:p>
    <w:p>
      <w:pPr>
        <w:spacing w:line="360" w:lineRule="auto"/>
        <w:ind w:firstLine="420"/>
        <w:rPr>
          <w:bCs/>
          <w:color w:val="auto"/>
          <w:szCs w:val="21"/>
          <w:highlight w:val="none"/>
        </w:rPr>
      </w:pPr>
      <w:r>
        <w:rPr>
          <w:bCs/>
          <w:color w:val="auto"/>
          <w:szCs w:val="21"/>
          <w:highlight w:val="none"/>
        </w:rPr>
        <w:t>2.</w:t>
      </w:r>
      <w:r>
        <w:rPr>
          <w:rFonts w:hint="eastAsia"/>
          <w:bCs/>
          <w:color w:val="auto"/>
          <w:szCs w:val="21"/>
          <w:highlight w:val="none"/>
          <w:u w:val="single"/>
        </w:rPr>
        <w:t>（标的名称）</w:t>
      </w:r>
      <w:r>
        <w:rPr>
          <w:rFonts w:hint="eastAsia"/>
          <w:bCs/>
          <w:color w:val="auto"/>
          <w:szCs w:val="21"/>
          <w:highlight w:val="none"/>
        </w:rPr>
        <w:t>，属于</w:t>
      </w:r>
      <w:r>
        <w:rPr>
          <w:rFonts w:hint="eastAsia"/>
          <w:bCs/>
          <w:color w:val="auto"/>
          <w:szCs w:val="21"/>
          <w:highlight w:val="none"/>
          <w:u w:val="single"/>
        </w:rPr>
        <w:t>（招标文件中明确的所属行业）</w:t>
      </w:r>
      <w:r>
        <w:rPr>
          <w:rFonts w:hint="eastAsia"/>
          <w:bCs/>
          <w:color w:val="auto"/>
          <w:szCs w:val="21"/>
          <w:highlight w:val="none"/>
        </w:rPr>
        <w:t>行业；制造商为</w:t>
      </w:r>
      <w:r>
        <w:rPr>
          <w:rFonts w:hint="eastAsia"/>
          <w:bCs/>
          <w:color w:val="auto"/>
          <w:szCs w:val="21"/>
          <w:highlight w:val="none"/>
          <w:u w:val="single"/>
        </w:rPr>
        <w:t>（企业名称）</w:t>
      </w:r>
      <w:r>
        <w:rPr>
          <w:rFonts w:hint="eastAsia"/>
          <w:bCs/>
          <w:color w:val="auto"/>
          <w:szCs w:val="21"/>
          <w:highlight w:val="none"/>
        </w:rPr>
        <w:t>，从业人员</w:t>
      </w:r>
      <w:r>
        <w:rPr>
          <w:rFonts w:hint="eastAsia"/>
          <w:bCs/>
          <w:color w:val="auto"/>
          <w:szCs w:val="21"/>
          <w:highlight w:val="none"/>
          <w:u w:val="single"/>
        </w:rPr>
        <w:t xml:space="preserve">       </w:t>
      </w:r>
      <w:r>
        <w:rPr>
          <w:rFonts w:hint="eastAsia"/>
          <w:bCs/>
          <w:color w:val="auto"/>
          <w:szCs w:val="21"/>
          <w:highlight w:val="none"/>
        </w:rPr>
        <w:t>人，营业收入为</w:t>
      </w:r>
      <w:r>
        <w:rPr>
          <w:rFonts w:hint="eastAsia"/>
          <w:bCs/>
          <w:color w:val="auto"/>
          <w:szCs w:val="21"/>
          <w:highlight w:val="none"/>
          <w:u w:val="single"/>
        </w:rPr>
        <w:t xml:space="preserve">     </w:t>
      </w:r>
      <w:r>
        <w:rPr>
          <w:rFonts w:hint="eastAsia"/>
          <w:bCs/>
          <w:color w:val="auto"/>
          <w:szCs w:val="21"/>
          <w:highlight w:val="none"/>
        </w:rPr>
        <w:t>万元，资产总额为</w:t>
      </w:r>
      <w:r>
        <w:rPr>
          <w:rFonts w:hint="eastAsia"/>
          <w:bCs/>
          <w:color w:val="auto"/>
          <w:szCs w:val="21"/>
          <w:highlight w:val="none"/>
          <w:u w:val="single"/>
        </w:rPr>
        <w:t xml:space="preserve"> </w:t>
      </w:r>
      <w:r>
        <w:rPr>
          <w:bCs/>
          <w:color w:val="auto"/>
          <w:szCs w:val="21"/>
          <w:highlight w:val="none"/>
          <w:u w:val="single"/>
        </w:rPr>
        <w:t xml:space="preserve">     </w:t>
      </w:r>
      <w:r>
        <w:rPr>
          <w:rFonts w:hint="eastAsia"/>
          <w:bCs/>
          <w:color w:val="auto"/>
          <w:szCs w:val="21"/>
          <w:highlight w:val="none"/>
          <w:u w:val="single"/>
        </w:rPr>
        <w:t xml:space="preserve"> </w:t>
      </w:r>
      <w:r>
        <w:rPr>
          <w:rFonts w:hint="eastAsia"/>
          <w:bCs/>
          <w:color w:val="auto"/>
          <w:szCs w:val="21"/>
          <w:highlight w:val="none"/>
        </w:rPr>
        <w:t>万元，属于</w:t>
      </w:r>
      <w:r>
        <w:rPr>
          <w:rFonts w:hint="eastAsia"/>
          <w:bCs/>
          <w:color w:val="auto"/>
          <w:szCs w:val="21"/>
          <w:highlight w:val="none"/>
          <w:u w:val="single"/>
        </w:rPr>
        <w:t>（中型企业、小型企业、微型企业）</w:t>
      </w:r>
      <w:r>
        <w:rPr>
          <w:rFonts w:hint="eastAsia"/>
          <w:bCs/>
          <w:color w:val="auto"/>
          <w:szCs w:val="21"/>
          <w:highlight w:val="none"/>
        </w:rPr>
        <w:t>；</w:t>
      </w:r>
    </w:p>
    <w:p>
      <w:pPr>
        <w:spacing w:line="360" w:lineRule="auto"/>
        <w:ind w:firstLine="420"/>
        <w:rPr>
          <w:bCs/>
          <w:color w:val="auto"/>
          <w:szCs w:val="21"/>
          <w:highlight w:val="none"/>
        </w:rPr>
      </w:pPr>
      <w:r>
        <w:rPr>
          <w:rFonts w:hint="eastAsia"/>
          <w:bCs/>
          <w:color w:val="auto"/>
          <w:szCs w:val="21"/>
          <w:highlight w:val="none"/>
        </w:rPr>
        <w:t>……</w:t>
      </w:r>
    </w:p>
    <w:p>
      <w:pPr>
        <w:spacing w:line="360" w:lineRule="auto"/>
        <w:ind w:firstLine="420"/>
        <w:rPr>
          <w:bCs/>
          <w:color w:val="auto"/>
          <w:szCs w:val="21"/>
          <w:highlight w:val="none"/>
        </w:rPr>
      </w:pPr>
      <w:r>
        <w:rPr>
          <w:rFonts w:hint="eastAsia"/>
          <w:bCs/>
          <w:color w:val="auto"/>
          <w:szCs w:val="21"/>
          <w:highlight w:val="none"/>
        </w:rPr>
        <w:t>以上企业，不属于大企业的分支机构，不存在控股股东为大企业的情形，也不存在与大企业的负责人为同一人的情形。</w:t>
      </w:r>
    </w:p>
    <w:p>
      <w:pPr>
        <w:spacing w:line="360" w:lineRule="auto"/>
        <w:ind w:firstLine="420"/>
        <w:rPr>
          <w:bCs/>
          <w:color w:val="auto"/>
          <w:szCs w:val="21"/>
          <w:highlight w:val="none"/>
        </w:rPr>
      </w:pPr>
      <w:r>
        <w:rPr>
          <w:rFonts w:hint="eastAsia"/>
          <w:bCs/>
          <w:color w:val="auto"/>
          <w:szCs w:val="21"/>
          <w:highlight w:val="none"/>
        </w:rPr>
        <w:t>本企业对上述声明内容的真实性负责。如有虚假，将依法承担相应责任。</w:t>
      </w:r>
    </w:p>
    <w:p>
      <w:pPr>
        <w:spacing w:line="360" w:lineRule="auto"/>
        <w:ind w:firstLine="3150" w:firstLineChars="1500"/>
        <w:rPr>
          <w:bCs/>
          <w:color w:val="auto"/>
          <w:szCs w:val="21"/>
          <w:highlight w:val="none"/>
        </w:rPr>
      </w:pPr>
      <w:r>
        <w:rPr>
          <w:rFonts w:hint="eastAsia"/>
          <w:bCs/>
          <w:color w:val="auto"/>
          <w:szCs w:val="21"/>
          <w:highlight w:val="none"/>
        </w:rPr>
        <w:t>企业名称</w:t>
      </w:r>
      <w:r>
        <w:rPr>
          <w:rFonts w:hint="eastAsia"/>
          <w:color w:val="auto"/>
          <w:szCs w:val="21"/>
          <w:highlight w:val="none"/>
        </w:rPr>
        <w:t xml:space="preserve"> (电子签章</w:t>
      </w:r>
      <w:r>
        <w:rPr>
          <w:color w:val="auto"/>
          <w:szCs w:val="21"/>
          <w:highlight w:val="none"/>
        </w:rPr>
        <w:t>)</w:t>
      </w:r>
      <w:r>
        <w:rPr>
          <w:rFonts w:hint="eastAsia"/>
          <w:bCs/>
          <w:color w:val="auto"/>
          <w:szCs w:val="21"/>
          <w:highlight w:val="none"/>
        </w:rPr>
        <w:t xml:space="preserve">： </w:t>
      </w:r>
      <w:r>
        <w:rPr>
          <w:bCs/>
          <w:color w:val="auto"/>
          <w:szCs w:val="21"/>
          <w:highlight w:val="none"/>
        </w:rPr>
        <w:t xml:space="preserve">   </w:t>
      </w:r>
      <w:r>
        <w:rPr>
          <w:rFonts w:hint="eastAsia"/>
          <w:bCs/>
          <w:color w:val="auto"/>
          <w:szCs w:val="21"/>
          <w:highlight w:val="none"/>
        </w:rPr>
        <w:t>日期：</w:t>
      </w:r>
    </w:p>
    <w:p>
      <w:pPr>
        <w:spacing w:line="360" w:lineRule="auto"/>
        <w:jc w:val="left"/>
        <w:rPr>
          <w:bCs/>
          <w:color w:val="auto"/>
          <w:szCs w:val="21"/>
          <w:highlight w:val="none"/>
        </w:rPr>
      </w:pPr>
      <w:r>
        <w:rPr>
          <w:rFonts w:hint="eastAsia"/>
          <w:bCs/>
          <w:color w:val="auto"/>
          <w:szCs w:val="21"/>
          <w:highlight w:val="none"/>
        </w:rPr>
        <w:t>注：</w:t>
      </w:r>
    </w:p>
    <w:p>
      <w:pPr>
        <w:spacing w:line="360" w:lineRule="auto"/>
        <w:jc w:val="left"/>
        <w:rPr>
          <w:bCs/>
          <w:color w:val="auto"/>
          <w:szCs w:val="21"/>
          <w:highlight w:val="none"/>
        </w:rPr>
      </w:pPr>
      <w:r>
        <w:rPr>
          <w:rFonts w:hint="eastAsia"/>
          <w:bCs/>
          <w:color w:val="auto"/>
          <w:szCs w:val="21"/>
          <w:highlight w:val="none"/>
        </w:rPr>
        <w:t>（1）标的名称按照第二章采购需求一览表中的货物名称填写，</w:t>
      </w:r>
      <w:r>
        <w:rPr>
          <w:color w:val="auto"/>
          <w:szCs w:val="21"/>
          <w:highlight w:val="none"/>
        </w:rPr>
        <w:t>所属行业标明“/”的</w:t>
      </w:r>
      <w:r>
        <w:rPr>
          <w:rFonts w:hint="eastAsia"/>
          <w:bCs/>
          <w:color w:val="auto"/>
          <w:szCs w:val="21"/>
          <w:highlight w:val="none"/>
        </w:rPr>
        <w:t>，无需在上表填写。</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2</w:t>
      </w:r>
      <w:r>
        <w:rPr>
          <w:rFonts w:hint="eastAsia"/>
          <w:bCs/>
          <w:color w:val="auto"/>
          <w:szCs w:val="21"/>
          <w:highlight w:val="none"/>
        </w:rPr>
        <w:t>）如供应商为联合体或分包的，声明函中“项目名称”应填写联合体中小微企业承担的具体内容或者小微企业具体分包内容。</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3</w:t>
      </w:r>
      <w:r>
        <w:rPr>
          <w:rFonts w:hint="eastAsia"/>
          <w:bCs/>
          <w:color w:val="auto"/>
          <w:szCs w:val="21"/>
          <w:highlight w:val="none"/>
        </w:rPr>
        <w:t>）从业人员、营业收入、资产总额填报上一年度数据，无上一年度数据的新成立企业参照国务院批准的中小企业划分标准，根据企业自身情况如实判断。</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4</w:t>
      </w:r>
      <w:r>
        <w:rPr>
          <w:rFonts w:hint="eastAsia"/>
          <w:bCs/>
          <w:color w:val="auto"/>
          <w:szCs w:val="21"/>
          <w:highlight w:val="none"/>
        </w:rPr>
        <w:t>）根据工业和信息化部对“从业人员”定义的答复，《民法典》、《公司法》等法律规定，分公司不具有法人资格，其民事责任由总公司承担。企业划型时，应将分公司的从业人员、营业收入、资产总额等指标数据纳入合并计算。</w:t>
      </w:r>
    </w:p>
    <w:p>
      <w:pPr>
        <w:spacing w:line="360" w:lineRule="auto"/>
        <w:jc w:val="left"/>
        <w:rPr>
          <w:bCs/>
          <w:color w:val="auto"/>
          <w:szCs w:val="21"/>
          <w:highlight w:val="none"/>
        </w:rPr>
      </w:pPr>
      <w:r>
        <w:rPr>
          <w:rFonts w:hint="eastAsia"/>
          <w:bCs/>
          <w:color w:val="auto"/>
          <w:szCs w:val="21"/>
          <w:highlight w:val="none"/>
        </w:rPr>
        <w:t>（5）根据国际统计局《劳动工资统计报表制度》，从业人员数是指本单位工作，并取得工资活其他形式劳动报酬的人员数，是在岗职工、劳务派遣人员及其他从业人员之和。</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6</w:t>
      </w:r>
      <w:r>
        <w:rPr>
          <w:rFonts w:hint="eastAsia"/>
          <w:bCs/>
          <w:color w:val="auto"/>
          <w:szCs w:val="21"/>
          <w:highlight w:val="none"/>
        </w:rPr>
        <w:t>）本声明函由供应商填写，供应商应按中小企业划分标准《关于印发中小企业划型标准规定的通知》（工信部联企业〔2011〕300号</w:t>
      </w:r>
      <w:r>
        <w:rPr>
          <w:rFonts w:hint="eastAsia"/>
          <w:color w:val="auto"/>
          <w:szCs w:val="21"/>
          <w:highlight w:val="none"/>
        </w:rPr>
        <w:t>以及《金融业企业划型标准规定》（银发〔2015〕309号）</w:t>
      </w:r>
      <w:r>
        <w:rPr>
          <w:rFonts w:hint="eastAsia"/>
          <w:bCs/>
          <w:color w:val="auto"/>
          <w:szCs w:val="21"/>
          <w:highlight w:val="none"/>
        </w:rPr>
        <w:t>）判断是否为中小企业。</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7</w:t>
      </w:r>
      <w:r>
        <w:rPr>
          <w:rFonts w:hint="eastAsia"/>
          <w:bCs/>
          <w:color w:val="auto"/>
          <w:szCs w:val="21"/>
          <w:highlight w:val="none"/>
        </w:rPr>
        <w:t>）供应商对《中小企业声明函》的真实性负责，如有虚假则需承担不利后果。依法享受中小企业优惠政策的，采购人或采购代理机构在公告成交结果时，同时公告其《中小企业声明函》，接受社会监督。</w:t>
      </w:r>
    </w:p>
    <w:p>
      <w:pPr>
        <w:spacing w:line="360" w:lineRule="auto"/>
        <w:jc w:val="left"/>
        <w:rPr>
          <w:bCs/>
          <w:color w:val="auto"/>
          <w:szCs w:val="21"/>
          <w:highlight w:val="none"/>
        </w:rPr>
      </w:pPr>
      <w:r>
        <w:rPr>
          <w:rFonts w:hint="eastAsia"/>
          <w:bCs/>
          <w:color w:val="auto"/>
          <w:szCs w:val="21"/>
          <w:highlight w:val="none"/>
        </w:rPr>
        <w:t>（</w:t>
      </w:r>
      <w:r>
        <w:rPr>
          <w:bCs/>
          <w:color w:val="auto"/>
          <w:szCs w:val="21"/>
          <w:highlight w:val="none"/>
        </w:rPr>
        <w:t>8</w:t>
      </w:r>
      <w:r>
        <w:rPr>
          <w:rFonts w:hint="eastAsia"/>
          <w:bCs/>
          <w:color w:val="auto"/>
          <w:szCs w:val="21"/>
          <w:highlight w:val="none"/>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p>
    <w:p>
      <w:pPr>
        <w:snapToGrid w:val="0"/>
        <w:spacing w:before="50" w:after="120" w:afterLines="50"/>
        <w:jc w:val="left"/>
        <w:rPr>
          <w:rFonts w:ascii="Arial" w:hAnsi="Arial" w:cs="Arial"/>
          <w:color w:val="auto"/>
          <w:szCs w:val="21"/>
          <w:highlight w:val="none"/>
        </w:rPr>
      </w:pPr>
      <w:r>
        <w:rPr>
          <w:rFonts w:ascii="Arial" w:hAnsi="Arial" w:cs="Arial"/>
          <w:color w:val="auto"/>
          <w:szCs w:val="21"/>
          <w:highlight w:val="none"/>
        </w:rPr>
        <w:t>4.2监狱企业须提供最新一期《XX省监狱企业产品目录》或其他监狱企业证明材料。（非监狱企业无需提供）</w:t>
      </w:r>
    </w:p>
    <w:p>
      <w:pPr>
        <w:snapToGrid w:val="0"/>
        <w:spacing w:before="50" w:after="120" w:afterLines="50"/>
        <w:jc w:val="left"/>
        <w:rPr>
          <w:color w:val="auto"/>
          <w:szCs w:val="21"/>
          <w:highlight w:val="none"/>
        </w:rPr>
      </w:pPr>
    </w:p>
    <w:p>
      <w:pPr>
        <w:snapToGrid w:val="0"/>
        <w:spacing w:before="50" w:after="120" w:afterLines="50"/>
        <w:jc w:val="left"/>
        <w:rPr>
          <w:color w:val="auto"/>
          <w:szCs w:val="21"/>
          <w:highlight w:val="none"/>
        </w:rPr>
      </w:pPr>
    </w:p>
    <w:p>
      <w:pPr>
        <w:snapToGrid w:val="0"/>
        <w:spacing w:before="50" w:after="120" w:afterLines="50"/>
        <w:jc w:val="left"/>
        <w:rPr>
          <w:color w:val="auto"/>
          <w:szCs w:val="21"/>
          <w:highlight w:val="none"/>
        </w:rPr>
      </w:pPr>
    </w:p>
    <w:p>
      <w:pPr>
        <w:snapToGrid w:val="0"/>
        <w:spacing w:before="50" w:after="120" w:afterLines="50"/>
        <w:jc w:val="left"/>
        <w:rPr>
          <w:rFonts w:ascii="Arial" w:hAnsi="Arial" w:cs="Arial"/>
          <w:color w:val="auto"/>
          <w:highlight w:val="none"/>
        </w:rPr>
      </w:pPr>
      <w:r>
        <w:rPr>
          <w:rFonts w:ascii="Arial" w:hAnsi="Arial" w:cs="Arial"/>
          <w:color w:val="auto"/>
          <w:szCs w:val="21"/>
          <w:highlight w:val="none"/>
        </w:rPr>
        <w:t>4.3</w:t>
      </w:r>
      <w:bookmarkStart w:id="131" w:name="_Hlk19051624"/>
      <w:r>
        <w:rPr>
          <w:rFonts w:ascii="Arial" w:hAnsi="Arial" w:cs="Arial"/>
          <w:color w:val="auto"/>
          <w:highlight w:val="none"/>
        </w:rPr>
        <w:t>残疾人福利性单位须提供《残疾人福利性单位声明函》，格式如下。</w:t>
      </w:r>
      <w:r>
        <w:rPr>
          <w:rFonts w:ascii="Arial" w:hAnsi="Arial" w:cs="Arial"/>
          <w:color w:val="auto"/>
          <w:szCs w:val="21"/>
          <w:highlight w:val="none"/>
        </w:rPr>
        <w:t>（非残疾人福利性单位无需提供）</w:t>
      </w:r>
    </w:p>
    <w:bookmarkEnd w:id="131"/>
    <w:p>
      <w:pPr>
        <w:spacing w:line="360" w:lineRule="auto"/>
        <w:jc w:val="center"/>
        <w:rPr>
          <w:b/>
          <w:color w:val="auto"/>
          <w:szCs w:val="21"/>
          <w:highlight w:val="none"/>
        </w:rPr>
      </w:pPr>
    </w:p>
    <w:p>
      <w:pPr>
        <w:spacing w:line="360" w:lineRule="auto"/>
        <w:jc w:val="center"/>
        <w:rPr>
          <w:b/>
          <w:color w:val="auto"/>
          <w:szCs w:val="21"/>
          <w:highlight w:val="none"/>
        </w:rPr>
      </w:pPr>
      <w:r>
        <w:rPr>
          <w:b/>
          <w:color w:val="auto"/>
          <w:szCs w:val="21"/>
          <w:highlight w:val="none"/>
        </w:rPr>
        <w:t>残疾人福利性单位声明函</w:t>
      </w:r>
    </w:p>
    <w:p>
      <w:pPr>
        <w:spacing w:line="360" w:lineRule="auto"/>
        <w:ind w:firstLine="420"/>
        <w:jc w:val="left"/>
        <w:rPr>
          <w:color w:val="auto"/>
          <w:szCs w:val="21"/>
          <w:highlight w:val="none"/>
        </w:rPr>
      </w:pPr>
      <w:r>
        <w:rPr>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color w:val="auto"/>
          <w:szCs w:val="21"/>
          <w:highlight w:val="none"/>
          <w:u w:val="single"/>
        </w:rPr>
        <w:t xml:space="preserve">        </w:t>
      </w:r>
      <w:r>
        <w:rPr>
          <w:color w:val="auto"/>
          <w:szCs w:val="21"/>
          <w:highlight w:val="none"/>
        </w:rPr>
        <w:t>单位的</w:t>
      </w:r>
      <w:r>
        <w:rPr>
          <w:color w:val="auto"/>
          <w:szCs w:val="21"/>
          <w:highlight w:val="none"/>
          <w:u w:val="single"/>
        </w:rPr>
        <w:t xml:space="preserve">           </w:t>
      </w:r>
      <w:r>
        <w:rPr>
          <w:color w:val="auto"/>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color w:val="auto"/>
          <w:szCs w:val="21"/>
          <w:highlight w:val="none"/>
        </w:rPr>
      </w:pPr>
      <w:r>
        <w:rPr>
          <w:color w:val="auto"/>
          <w:szCs w:val="21"/>
          <w:highlight w:val="none"/>
        </w:rPr>
        <w:t>本单位对上述声明的真实性负责。如有虚假，将依法承担相应责任。</w:t>
      </w:r>
    </w:p>
    <w:p>
      <w:pPr>
        <w:spacing w:line="360" w:lineRule="auto"/>
        <w:ind w:firstLine="420"/>
        <w:jc w:val="right"/>
        <w:rPr>
          <w:color w:val="auto"/>
          <w:spacing w:val="6"/>
          <w:szCs w:val="21"/>
          <w:highlight w:val="none"/>
        </w:rPr>
      </w:pPr>
      <w:r>
        <w:rPr>
          <w:color w:val="auto"/>
          <w:spacing w:val="6"/>
          <w:sz w:val="30"/>
          <w:szCs w:val="30"/>
          <w:highlight w:val="none"/>
        </w:rPr>
        <w:t xml:space="preserve"> </w:t>
      </w:r>
      <w:r>
        <w:rPr>
          <w:color w:val="auto"/>
          <w:spacing w:val="6"/>
          <w:szCs w:val="21"/>
          <w:highlight w:val="none"/>
        </w:rPr>
        <w:t xml:space="preserve"> </w:t>
      </w:r>
      <w:r>
        <w:rPr>
          <w:rFonts w:hint="eastAsia"/>
          <w:color w:val="auto"/>
          <w:spacing w:val="6"/>
          <w:szCs w:val="21"/>
          <w:highlight w:val="none"/>
        </w:rPr>
        <w:t xml:space="preserve">                                            </w:t>
      </w:r>
      <w:r>
        <w:rPr>
          <w:color w:val="auto"/>
          <w:spacing w:val="6"/>
          <w:szCs w:val="21"/>
          <w:highlight w:val="none"/>
        </w:rPr>
        <w:t>单位名称</w:t>
      </w:r>
      <w:r>
        <w:rPr>
          <w:rFonts w:hint="eastAsia"/>
          <w:color w:val="auto"/>
          <w:szCs w:val="21"/>
          <w:highlight w:val="none"/>
        </w:rPr>
        <w:t>(电子签章</w:t>
      </w:r>
      <w:r>
        <w:rPr>
          <w:color w:val="auto"/>
          <w:szCs w:val="21"/>
          <w:highlight w:val="none"/>
        </w:rPr>
        <w:t>)</w:t>
      </w:r>
      <w:r>
        <w:rPr>
          <w:color w:val="auto"/>
          <w:spacing w:val="6"/>
          <w:szCs w:val="21"/>
          <w:highlight w:val="none"/>
        </w:rPr>
        <w:t xml:space="preserve">：          </w:t>
      </w:r>
    </w:p>
    <w:p>
      <w:pPr>
        <w:spacing w:line="360" w:lineRule="auto"/>
        <w:ind w:firstLine="420"/>
        <w:jc w:val="right"/>
        <w:rPr>
          <w:color w:val="auto"/>
          <w:spacing w:val="6"/>
          <w:szCs w:val="21"/>
          <w:highlight w:val="none"/>
        </w:rPr>
      </w:pPr>
      <w:r>
        <w:rPr>
          <w:color w:val="auto"/>
          <w:spacing w:val="6"/>
          <w:szCs w:val="21"/>
          <w:highlight w:val="none"/>
        </w:rPr>
        <w:t xml:space="preserve"> </w:t>
      </w:r>
      <w:r>
        <w:rPr>
          <w:rFonts w:hint="eastAsia"/>
          <w:color w:val="auto"/>
          <w:spacing w:val="6"/>
          <w:szCs w:val="21"/>
          <w:highlight w:val="none"/>
        </w:rPr>
        <w:t xml:space="preserve">                                                      </w:t>
      </w:r>
      <w:r>
        <w:rPr>
          <w:color w:val="auto"/>
          <w:spacing w:val="6"/>
          <w:szCs w:val="21"/>
          <w:highlight w:val="none"/>
        </w:rPr>
        <w:t>日  期：</w:t>
      </w:r>
    </w:p>
    <w:p>
      <w:pPr>
        <w:pStyle w:val="21"/>
        <w:rPr>
          <w:rFonts w:ascii="Arial" w:hAnsi="Arial" w:cs="Arial"/>
          <w:color w:val="auto"/>
          <w:highlight w:val="none"/>
        </w:rPr>
      </w:pPr>
    </w:p>
    <w:p>
      <w:pPr>
        <w:rPr>
          <w:rFonts w:ascii="Arial" w:hAnsi="Arial" w:cs="Arial"/>
          <w:b/>
          <w:color w:val="auto"/>
          <w:szCs w:val="21"/>
          <w:highlight w:val="none"/>
        </w:rPr>
      </w:pPr>
    </w:p>
    <w:p>
      <w:pPr>
        <w:rPr>
          <w:rFonts w:ascii="Arial" w:hAnsi="Arial" w:cs="Arial"/>
          <w:b/>
          <w:color w:val="auto"/>
          <w:szCs w:val="21"/>
          <w:highlight w:val="none"/>
        </w:rPr>
      </w:pPr>
    </w:p>
    <w:p>
      <w:pPr>
        <w:rPr>
          <w:rFonts w:ascii="Arial" w:hAnsi="Arial" w:cs="Arial"/>
          <w:b/>
          <w:color w:val="auto"/>
          <w:szCs w:val="21"/>
          <w:highlight w:val="none"/>
        </w:rPr>
      </w:pPr>
    </w:p>
    <w:p>
      <w:pPr>
        <w:rPr>
          <w:rFonts w:ascii="Arial" w:hAnsi="Arial" w:cs="Arial"/>
          <w:b/>
          <w:color w:val="auto"/>
          <w:szCs w:val="21"/>
          <w:highlight w:val="none"/>
        </w:rPr>
      </w:pPr>
    </w:p>
    <w:p>
      <w:pPr>
        <w:rPr>
          <w:rFonts w:ascii="Arial" w:hAnsi="Arial" w:cs="Arial"/>
          <w:b/>
          <w:color w:val="auto"/>
          <w:szCs w:val="21"/>
          <w:highlight w:val="none"/>
        </w:rPr>
      </w:pPr>
    </w:p>
    <w:p>
      <w:pPr>
        <w:rPr>
          <w:rFonts w:ascii="Arial" w:hAnsi="Arial" w:cs="Arial"/>
          <w:bCs/>
          <w:color w:val="auto"/>
          <w:szCs w:val="21"/>
          <w:highlight w:val="none"/>
        </w:rPr>
      </w:pPr>
      <w:r>
        <w:rPr>
          <w:rFonts w:hint="eastAsia" w:ascii="Arial" w:hAnsi="Arial" w:cs="Arial"/>
          <w:bCs/>
          <w:color w:val="auto"/>
          <w:szCs w:val="21"/>
          <w:highlight w:val="none"/>
        </w:rPr>
        <w:t>5</w:t>
      </w:r>
      <w:r>
        <w:rPr>
          <w:rFonts w:ascii="Arial" w:hAnsi="Arial" w:cs="Arial"/>
          <w:bCs/>
          <w:color w:val="auto"/>
          <w:szCs w:val="21"/>
          <w:highlight w:val="none"/>
        </w:rPr>
        <w:t>.开标一览表</w:t>
      </w:r>
    </w:p>
    <w:p>
      <w:pPr>
        <w:rPr>
          <w:rFonts w:ascii="Arial" w:hAnsi="Arial" w:cs="Arial"/>
          <w:b/>
          <w:color w:val="auto"/>
          <w:szCs w:val="21"/>
          <w:highlight w:val="none"/>
        </w:rPr>
      </w:pPr>
    </w:p>
    <w:p>
      <w:pPr>
        <w:ind w:firstLine="422" w:firstLineChars="200"/>
        <w:rPr>
          <w:rFonts w:ascii="Arial" w:hAnsi="Arial" w:cs="Arial"/>
          <w:color w:val="auto"/>
          <w:szCs w:val="21"/>
          <w:highlight w:val="none"/>
        </w:rPr>
      </w:pPr>
      <w:r>
        <w:rPr>
          <w:rFonts w:ascii="Arial" w:hAnsi="Arial" w:cs="Arial"/>
          <w:b/>
          <w:color w:val="auto"/>
          <w:szCs w:val="21"/>
          <w:highlight w:val="none"/>
        </w:rPr>
        <w:t>格式详见</w:t>
      </w:r>
      <w:r>
        <w:rPr>
          <w:rFonts w:hint="eastAsia" w:ascii="Arial" w:hAnsi="Arial" w:cs="Arial"/>
          <w:b/>
          <w:color w:val="auto"/>
          <w:szCs w:val="21"/>
          <w:highlight w:val="none"/>
        </w:rPr>
        <w:t>广西政府采购云平台</w:t>
      </w:r>
      <w:r>
        <w:rPr>
          <w:rFonts w:ascii="Arial" w:hAnsi="Arial" w:cs="Arial"/>
          <w:b/>
          <w:color w:val="auto"/>
          <w:szCs w:val="21"/>
          <w:highlight w:val="none"/>
        </w:rPr>
        <w:t>，且仅在</w:t>
      </w:r>
      <w:r>
        <w:rPr>
          <w:rFonts w:hint="eastAsia" w:ascii="Arial" w:hAnsi="Arial" w:cs="Arial"/>
          <w:b/>
          <w:color w:val="auto"/>
          <w:szCs w:val="21"/>
          <w:highlight w:val="none"/>
        </w:rPr>
        <w:t>广西政府采购云平台</w:t>
      </w:r>
      <w:r>
        <w:rPr>
          <w:rFonts w:ascii="Arial" w:hAnsi="Arial" w:cs="Arial"/>
          <w:b/>
          <w:color w:val="auto"/>
          <w:szCs w:val="21"/>
          <w:highlight w:val="none"/>
        </w:rPr>
        <w:t>填写即可。</w:t>
      </w:r>
    </w:p>
    <w:bookmarkEnd w:id="132"/>
    <w:sectPr>
      <w:headerReference r:id="rId16" w:type="default"/>
      <w:pgSz w:w="11906" w:h="16838"/>
      <w:pgMar w:top="1418" w:right="723" w:bottom="1246" w:left="12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hqRXXAQAAsgMAAA4AAAAAAAAAAQAgAAAA&#10;HgEAAGRycy9lMm9Eb2MueG1sUEsFBgAAAAAGAAYAWQEAAGcFA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NgGEXXAQAAsgMAAA4AAAAAAAAAAQAgAAAA&#10;HgEAAGRycy9lMm9Eb2MueG1sUEsFBgAAAAAGAAYAWQEAAGcFA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wps:txbx>
                    <wps:bodyPr vert="horz" wrap="none" lIns="0" tIns="0" rIns="0" bIns="0" anchor="t" anchorCtr="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ZRbelNkBAAC1AwAADgAAAAAAAAABACAA&#10;AAAeAQAAZHJzL2Uyb0RvYy54bWxQSwUGAAAAAAYABgBZAQAAaQUAAAAA&#10;">
              <v:fill on="f" focussize="0,0"/>
              <v:stroke on="f"/>
              <v:imagedata o:title=""/>
              <o:lock v:ext="edit" aspectratio="f"/>
              <v:textbox inset="0mm,0mm,0mm,0mm" style="mso-fit-shape-to-text:t;">
                <w:txbxContent>
                  <w:p>
                    <w:pPr>
                      <w:pStyle w:val="33"/>
                    </w:pPr>
                    <w:r>
                      <w:rPr>
                        <w:rFonts w:hint="eastAsia"/>
                      </w:rPr>
                      <w:fldChar w:fldCharType="begin"/>
                    </w:r>
                    <w:r>
                      <w:rPr>
                        <w:rFonts w:hint="eastAsia"/>
                      </w:rPr>
                      <w:instrText xml:space="preserve"> PAGE  \* MERGEFORMAT </w:instrText>
                    </w:r>
                    <w:r>
                      <w:rPr>
                        <w:rFonts w:hint="eastAsia"/>
                      </w:rPr>
                      <w:fldChar w:fldCharType="separate"/>
                    </w:r>
                    <w:r>
                      <w:t>117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rPr>
      <w:t>广西机电设备招标有限公司招标文件</w:t>
    </w:r>
  </w:p>
  <w:p>
    <w:pPr>
      <w:pStyle w:val="3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rPr>
      <w:t xml:space="preserve">广西机电设备招标有限公司招标文件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rPr>
      <w:t xml:space="preserve">广西机电设备招标有限公司招标文件                                                           </w:t>
    </w:r>
  </w:p>
  <w:p>
    <w:pPr>
      <w:pStyle w:val="34"/>
      <w:pBdr>
        <w:bottom w:val="none" w:color="auto" w:sz="0" w:space="0"/>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rPr>
      <w:t>广西机电设备招标有限公司招标文件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rPr>
      <w:t>广西机电设备招标有限公司招标文件评标方法及评标标准</w:t>
    </w:r>
  </w:p>
  <w:p>
    <w:pPr>
      <w:pStyle w:val="34"/>
      <w:pBdr>
        <w:bottom w:val="none" w:color="auto" w:sz="0" w:space="0"/>
      </w:pBd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广西机电设备招标有限公司招标文件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ZTM0MDYxYzNhZTBmMmQ3ODcyYTgxMzFhNWNiMjMifQ=="/>
    <w:docVar w:name="KSO_WPS_MARK_KEY" w:val="8c4edea4-0f05-4c2b-9821-c574c37d6ffe"/>
  </w:docVars>
  <w:rsids>
    <w:rsidRoot w:val="00172A27"/>
    <w:rsid w:val="000003B8"/>
    <w:rsid w:val="000003EF"/>
    <w:rsid w:val="00000653"/>
    <w:rsid w:val="000008B9"/>
    <w:rsid w:val="0000091B"/>
    <w:rsid w:val="00000D0A"/>
    <w:rsid w:val="00000D19"/>
    <w:rsid w:val="00000E1A"/>
    <w:rsid w:val="00001B3E"/>
    <w:rsid w:val="00001CD6"/>
    <w:rsid w:val="00001E6F"/>
    <w:rsid w:val="00002AC8"/>
    <w:rsid w:val="00002DDA"/>
    <w:rsid w:val="00002F41"/>
    <w:rsid w:val="00003255"/>
    <w:rsid w:val="00003742"/>
    <w:rsid w:val="00003C81"/>
    <w:rsid w:val="00003D02"/>
    <w:rsid w:val="00003DAE"/>
    <w:rsid w:val="0000436E"/>
    <w:rsid w:val="00005672"/>
    <w:rsid w:val="000058D7"/>
    <w:rsid w:val="00005E55"/>
    <w:rsid w:val="00006E2C"/>
    <w:rsid w:val="000079FF"/>
    <w:rsid w:val="00007B0D"/>
    <w:rsid w:val="00007F38"/>
    <w:rsid w:val="000102A9"/>
    <w:rsid w:val="000105C3"/>
    <w:rsid w:val="00011B70"/>
    <w:rsid w:val="00011D72"/>
    <w:rsid w:val="00012078"/>
    <w:rsid w:val="00012218"/>
    <w:rsid w:val="00012320"/>
    <w:rsid w:val="000128AC"/>
    <w:rsid w:val="000129EA"/>
    <w:rsid w:val="00013391"/>
    <w:rsid w:val="00013748"/>
    <w:rsid w:val="00013D41"/>
    <w:rsid w:val="00013D8B"/>
    <w:rsid w:val="000143A3"/>
    <w:rsid w:val="000144F2"/>
    <w:rsid w:val="00014DD6"/>
    <w:rsid w:val="0001532B"/>
    <w:rsid w:val="0001598C"/>
    <w:rsid w:val="00016007"/>
    <w:rsid w:val="00016C31"/>
    <w:rsid w:val="00016CE3"/>
    <w:rsid w:val="00017504"/>
    <w:rsid w:val="000178D7"/>
    <w:rsid w:val="00017F40"/>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3CA"/>
    <w:rsid w:val="00023652"/>
    <w:rsid w:val="000236EE"/>
    <w:rsid w:val="00024633"/>
    <w:rsid w:val="0002560A"/>
    <w:rsid w:val="00025DA0"/>
    <w:rsid w:val="000262BC"/>
    <w:rsid w:val="0002696D"/>
    <w:rsid w:val="0002754D"/>
    <w:rsid w:val="00027666"/>
    <w:rsid w:val="000276B2"/>
    <w:rsid w:val="00027A46"/>
    <w:rsid w:val="00027AF3"/>
    <w:rsid w:val="00030024"/>
    <w:rsid w:val="00030124"/>
    <w:rsid w:val="000302F0"/>
    <w:rsid w:val="000305FD"/>
    <w:rsid w:val="0003084F"/>
    <w:rsid w:val="00030C2F"/>
    <w:rsid w:val="00031169"/>
    <w:rsid w:val="00031757"/>
    <w:rsid w:val="00031DDD"/>
    <w:rsid w:val="00032686"/>
    <w:rsid w:val="0003274B"/>
    <w:rsid w:val="00032AD8"/>
    <w:rsid w:val="00032ADF"/>
    <w:rsid w:val="000331CC"/>
    <w:rsid w:val="0003322E"/>
    <w:rsid w:val="00033927"/>
    <w:rsid w:val="000352BA"/>
    <w:rsid w:val="00035840"/>
    <w:rsid w:val="00035844"/>
    <w:rsid w:val="00035A8D"/>
    <w:rsid w:val="00035C94"/>
    <w:rsid w:val="00036BAA"/>
    <w:rsid w:val="00037101"/>
    <w:rsid w:val="00037C2D"/>
    <w:rsid w:val="00037C63"/>
    <w:rsid w:val="00037CE4"/>
    <w:rsid w:val="00037DB6"/>
    <w:rsid w:val="00040187"/>
    <w:rsid w:val="000401FD"/>
    <w:rsid w:val="00040AC1"/>
    <w:rsid w:val="00040ED3"/>
    <w:rsid w:val="0004139C"/>
    <w:rsid w:val="000415E3"/>
    <w:rsid w:val="000418B1"/>
    <w:rsid w:val="00042280"/>
    <w:rsid w:val="0004231D"/>
    <w:rsid w:val="000424AB"/>
    <w:rsid w:val="00042BF9"/>
    <w:rsid w:val="00042ED7"/>
    <w:rsid w:val="000431D3"/>
    <w:rsid w:val="00043295"/>
    <w:rsid w:val="00044236"/>
    <w:rsid w:val="00044578"/>
    <w:rsid w:val="00045069"/>
    <w:rsid w:val="00045070"/>
    <w:rsid w:val="00045947"/>
    <w:rsid w:val="000459FB"/>
    <w:rsid w:val="000462A8"/>
    <w:rsid w:val="00046360"/>
    <w:rsid w:val="0004653D"/>
    <w:rsid w:val="000465AB"/>
    <w:rsid w:val="00046DA5"/>
    <w:rsid w:val="00046E59"/>
    <w:rsid w:val="000472E6"/>
    <w:rsid w:val="000479CD"/>
    <w:rsid w:val="000479FF"/>
    <w:rsid w:val="000500E6"/>
    <w:rsid w:val="000504FE"/>
    <w:rsid w:val="000513E2"/>
    <w:rsid w:val="00051C80"/>
    <w:rsid w:val="00052326"/>
    <w:rsid w:val="00052DBE"/>
    <w:rsid w:val="00053175"/>
    <w:rsid w:val="000534EE"/>
    <w:rsid w:val="0005359C"/>
    <w:rsid w:val="0005387F"/>
    <w:rsid w:val="00053BFC"/>
    <w:rsid w:val="0005428F"/>
    <w:rsid w:val="000544F4"/>
    <w:rsid w:val="000545D3"/>
    <w:rsid w:val="00054870"/>
    <w:rsid w:val="00054AB0"/>
    <w:rsid w:val="00054ABD"/>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523"/>
    <w:rsid w:val="000606B6"/>
    <w:rsid w:val="000609AC"/>
    <w:rsid w:val="0006148A"/>
    <w:rsid w:val="000618AE"/>
    <w:rsid w:val="00062637"/>
    <w:rsid w:val="0006263C"/>
    <w:rsid w:val="00062949"/>
    <w:rsid w:val="000631AC"/>
    <w:rsid w:val="000631B7"/>
    <w:rsid w:val="00063894"/>
    <w:rsid w:val="000639D4"/>
    <w:rsid w:val="00063B29"/>
    <w:rsid w:val="0006408F"/>
    <w:rsid w:val="00064840"/>
    <w:rsid w:val="00064A48"/>
    <w:rsid w:val="00064C80"/>
    <w:rsid w:val="00065429"/>
    <w:rsid w:val="00065AB7"/>
    <w:rsid w:val="00065BFE"/>
    <w:rsid w:val="00065C40"/>
    <w:rsid w:val="00065D71"/>
    <w:rsid w:val="000673D8"/>
    <w:rsid w:val="00067DE7"/>
    <w:rsid w:val="0007014F"/>
    <w:rsid w:val="000706AC"/>
    <w:rsid w:val="00070950"/>
    <w:rsid w:val="000709D3"/>
    <w:rsid w:val="00070A7D"/>
    <w:rsid w:val="00070AAB"/>
    <w:rsid w:val="000712F8"/>
    <w:rsid w:val="00071A68"/>
    <w:rsid w:val="00071A6A"/>
    <w:rsid w:val="00071C95"/>
    <w:rsid w:val="00072A95"/>
    <w:rsid w:val="00072CEC"/>
    <w:rsid w:val="0007340B"/>
    <w:rsid w:val="0007368B"/>
    <w:rsid w:val="00073C3B"/>
    <w:rsid w:val="00074923"/>
    <w:rsid w:val="00074EE8"/>
    <w:rsid w:val="000750EA"/>
    <w:rsid w:val="0007539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358"/>
    <w:rsid w:val="000873F5"/>
    <w:rsid w:val="00087E2E"/>
    <w:rsid w:val="000900DF"/>
    <w:rsid w:val="00090193"/>
    <w:rsid w:val="0009021F"/>
    <w:rsid w:val="00090524"/>
    <w:rsid w:val="0009134B"/>
    <w:rsid w:val="000916DF"/>
    <w:rsid w:val="00091D8D"/>
    <w:rsid w:val="00093BC0"/>
    <w:rsid w:val="00093DF8"/>
    <w:rsid w:val="000941F6"/>
    <w:rsid w:val="0009454A"/>
    <w:rsid w:val="000945C5"/>
    <w:rsid w:val="00094ECF"/>
    <w:rsid w:val="0009592E"/>
    <w:rsid w:val="00095AAF"/>
    <w:rsid w:val="00095B76"/>
    <w:rsid w:val="00096946"/>
    <w:rsid w:val="0009715C"/>
    <w:rsid w:val="00097406"/>
    <w:rsid w:val="000A10DB"/>
    <w:rsid w:val="000A111D"/>
    <w:rsid w:val="000A117F"/>
    <w:rsid w:val="000A128A"/>
    <w:rsid w:val="000A165F"/>
    <w:rsid w:val="000A2960"/>
    <w:rsid w:val="000A2968"/>
    <w:rsid w:val="000A299E"/>
    <w:rsid w:val="000A2E97"/>
    <w:rsid w:val="000A3515"/>
    <w:rsid w:val="000A3518"/>
    <w:rsid w:val="000A4852"/>
    <w:rsid w:val="000A509A"/>
    <w:rsid w:val="000A6C4D"/>
    <w:rsid w:val="000A6C54"/>
    <w:rsid w:val="000A6F1D"/>
    <w:rsid w:val="000A70C7"/>
    <w:rsid w:val="000A7238"/>
    <w:rsid w:val="000A745D"/>
    <w:rsid w:val="000A7687"/>
    <w:rsid w:val="000A791D"/>
    <w:rsid w:val="000A7931"/>
    <w:rsid w:val="000B0720"/>
    <w:rsid w:val="000B09FE"/>
    <w:rsid w:val="000B0BB1"/>
    <w:rsid w:val="000B15EF"/>
    <w:rsid w:val="000B26D6"/>
    <w:rsid w:val="000B2D1E"/>
    <w:rsid w:val="000B316D"/>
    <w:rsid w:val="000B3194"/>
    <w:rsid w:val="000B3CFE"/>
    <w:rsid w:val="000B4EF3"/>
    <w:rsid w:val="000B554C"/>
    <w:rsid w:val="000B5D87"/>
    <w:rsid w:val="000B60C6"/>
    <w:rsid w:val="000B68A5"/>
    <w:rsid w:val="000B6E64"/>
    <w:rsid w:val="000B6F18"/>
    <w:rsid w:val="000B70DB"/>
    <w:rsid w:val="000B76E7"/>
    <w:rsid w:val="000B797D"/>
    <w:rsid w:val="000B7AC2"/>
    <w:rsid w:val="000B7E6D"/>
    <w:rsid w:val="000C17E4"/>
    <w:rsid w:val="000C1979"/>
    <w:rsid w:val="000C20B5"/>
    <w:rsid w:val="000C270D"/>
    <w:rsid w:val="000C2B1E"/>
    <w:rsid w:val="000C350A"/>
    <w:rsid w:val="000C3518"/>
    <w:rsid w:val="000C3762"/>
    <w:rsid w:val="000C41CD"/>
    <w:rsid w:val="000C4988"/>
    <w:rsid w:val="000C59D1"/>
    <w:rsid w:val="000C5C88"/>
    <w:rsid w:val="000C655F"/>
    <w:rsid w:val="000C66AB"/>
    <w:rsid w:val="000C6872"/>
    <w:rsid w:val="000C7045"/>
    <w:rsid w:val="000C71D4"/>
    <w:rsid w:val="000C7563"/>
    <w:rsid w:val="000C757A"/>
    <w:rsid w:val="000C7D9F"/>
    <w:rsid w:val="000D074C"/>
    <w:rsid w:val="000D0C28"/>
    <w:rsid w:val="000D0F2E"/>
    <w:rsid w:val="000D1788"/>
    <w:rsid w:val="000D31CB"/>
    <w:rsid w:val="000D3E1B"/>
    <w:rsid w:val="000D4061"/>
    <w:rsid w:val="000D4860"/>
    <w:rsid w:val="000D48FB"/>
    <w:rsid w:val="000D4B4F"/>
    <w:rsid w:val="000D4EC1"/>
    <w:rsid w:val="000D544F"/>
    <w:rsid w:val="000D55FD"/>
    <w:rsid w:val="000D56C7"/>
    <w:rsid w:val="000D672C"/>
    <w:rsid w:val="000D68F4"/>
    <w:rsid w:val="000D6A04"/>
    <w:rsid w:val="000D6A61"/>
    <w:rsid w:val="000D6C78"/>
    <w:rsid w:val="000D74B9"/>
    <w:rsid w:val="000E01DF"/>
    <w:rsid w:val="000E1094"/>
    <w:rsid w:val="000E18A1"/>
    <w:rsid w:val="000E1AC3"/>
    <w:rsid w:val="000E1C04"/>
    <w:rsid w:val="000E20DA"/>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7D2"/>
    <w:rsid w:val="000E7CC8"/>
    <w:rsid w:val="000F0D10"/>
    <w:rsid w:val="000F0E1D"/>
    <w:rsid w:val="000F1B78"/>
    <w:rsid w:val="000F1F51"/>
    <w:rsid w:val="000F1FB0"/>
    <w:rsid w:val="000F2181"/>
    <w:rsid w:val="000F24AC"/>
    <w:rsid w:val="000F2688"/>
    <w:rsid w:val="000F28A5"/>
    <w:rsid w:val="000F2943"/>
    <w:rsid w:val="000F2E97"/>
    <w:rsid w:val="000F2F22"/>
    <w:rsid w:val="000F2F60"/>
    <w:rsid w:val="000F3461"/>
    <w:rsid w:val="000F4B3A"/>
    <w:rsid w:val="000F5331"/>
    <w:rsid w:val="000F55C9"/>
    <w:rsid w:val="000F6242"/>
    <w:rsid w:val="000F666F"/>
    <w:rsid w:val="000F6F32"/>
    <w:rsid w:val="000F75A8"/>
    <w:rsid w:val="000F76E0"/>
    <w:rsid w:val="000F77B5"/>
    <w:rsid w:val="000F79FD"/>
    <w:rsid w:val="00100331"/>
    <w:rsid w:val="00101255"/>
    <w:rsid w:val="001014D2"/>
    <w:rsid w:val="001016BB"/>
    <w:rsid w:val="00101A14"/>
    <w:rsid w:val="0010251A"/>
    <w:rsid w:val="00102768"/>
    <w:rsid w:val="00102BC3"/>
    <w:rsid w:val="00102EF2"/>
    <w:rsid w:val="00103458"/>
    <w:rsid w:val="001037BD"/>
    <w:rsid w:val="001047CB"/>
    <w:rsid w:val="00104AFF"/>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ECD"/>
    <w:rsid w:val="001121DD"/>
    <w:rsid w:val="00112D31"/>
    <w:rsid w:val="00112DBF"/>
    <w:rsid w:val="00113646"/>
    <w:rsid w:val="00113CD1"/>
    <w:rsid w:val="00114359"/>
    <w:rsid w:val="0011487E"/>
    <w:rsid w:val="00115093"/>
    <w:rsid w:val="001161CA"/>
    <w:rsid w:val="00116258"/>
    <w:rsid w:val="00116494"/>
    <w:rsid w:val="001166D3"/>
    <w:rsid w:val="001167AE"/>
    <w:rsid w:val="001202C5"/>
    <w:rsid w:val="0012030C"/>
    <w:rsid w:val="0012077F"/>
    <w:rsid w:val="00120813"/>
    <w:rsid w:val="0012099E"/>
    <w:rsid w:val="00120CE3"/>
    <w:rsid w:val="00120E60"/>
    <w:rsid w:val="0012130E"/>
    <w:rsid w:val="001213B0"/>
    <w:rsid w:val="00121741"/>
    <w:rsid w:val="00121832"/>
    <w:rsid w:val="00122050"/>
    <w:rsid w:val="00122232"/>
    <w:rsid w:val="0012235C"/>
    <w:rsid w:val="00122857"/>
    <w:rsid w:val="00122A75"/>
    <w:rsid w:val="00123529"/>
    <w:rsid w:val="00124118"/>
    <w:rsid w:val="001241D1"/>
    <w:rsid w:val="00124271"/>
    <w:rsid w:val="00124457"/>
    <w:rsid w:val="00124985"/>
    <w:rsid w:val="00125609"/>
    <w:rsid w:val="001257A9"/>
    <w:rsid w:val="00126655"/>
    <w:rsid w:val="00126707"/>
    <w:rsid w:val="0012679D"/>
    <w:rsid w:val="001269E0"/>
    <w:rsid w:val="001270F4"/>
    <w:rsid w:val="001274D7"/>
    <w:rsid w:val="00127514"/>
    <w:rsid w:val="00130D23"/>
    <w:rsid w:val="001311C9"/>
    <w:rsid w:val="00131627"/>
    <w:rsid w:val="001318CD"/>
    <w:rsid w:val="0013190A"/>
    <w:rsid w:val="00131955"/>
    <w:rsid w:val="00131C94"/>
    <w:rsid w:val="00131DE6"/>
    <w:rsid w:val="001323E6"/>
    <w:rsid w:val="001326D3"/>
    <w:rsid w:val="001326DF"/>
    <w:rsid w:val="00132A53"/>
    <w:rsid w:val="00132AD8"/>
    <w:rsid w:val="00132CCE"/>
    <w:rsid w:val="00133BBE"/>
    <w:rsid w:val="00133D01"/>
    <w:rsid w:val="001342A2"/>
    <w:rsid w:val="00134510"/>
    <w:rsid w:val="001358D6"/>
    <w:rsid w:val="00136073"/>
    <w:rsid w:val="001361F7"/>
    <w:rsid w:val="00136606"/>
    <w:rsid w:val="001367BA"/>
    <w:rsid w:val="00136806"/>
    <w:rsid w:val="001369A6"/>
    <w:rsid w:val="00136BD6"/>
    <w:rsid w:val="00136DBC"/>
    <w:rsid w:val="00136F77"/>
    <w:rsid w:val="001370A8"/>
    <w:rsid w:val="001371D9"/>
    <w:rsid w:val="00137856"/>
    <w:rsid w:val="00137B4E"/>
    <w:rsid w:val="00137BD8"/>
    <w:rsid w:val="00140291"/>
    <w:rsid w:val="0014229D"/>
    <w:rsid w:val="001422D4"/>
    <w:rsid w:val="0014235F"/>
    <w:rsid w:val="0014236F"/>
    <w:rsid w:val="001428FA"/>
    <w:rsid w:val="00142A87"/>
    <w:rsid w:val="001442C2"/>
    <w:rsid w:val="001449E1"/>
    <w:rsid w:val="00144D5F"/>
    <w:rsid w:val="00144DD9"/>
    <w:rsid w:val="001455BA"/>
    <w:rsid w:val="00145DDE"/>
    <w:rsid w:val="0014621F"/>
    <w:rsid w:val="0014647C"/>
    <w:rsid w:val="00146907"/>
    <w:rsid w:val="00146E85"/>
    <w:rsid w:val="0014745C"/>
    <w:rsid w:val="00147916"/>
    <w:rsid w:val="0014795D"/>
    <w:rsid w:val="001479AA"/>
    <w:rsid w:val="00147F00"/>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A54"/>
    <w:rsid w:val="00154072"/>
    <w:rsid w:val="00154304"/>
    <w:rsid w:val="001546EA"/>
    <w:rsid w:val="0015477A"/>
    <w:rsid w:val="00154951"/>
    <w:rsid w:val="00154F0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29F"/>
    <w:rsid w:val="001658F5"/>
    <w:rsid w:val="00165F38"/>
    <w:rsid w:val="001661B8"/>
    <w:rsid w:val="00166237"/>
    <w:rsid w:val="00166385"/>
    <w:rsid w:val="0016644D"/>
    <w:rsid w:val="0016655F"/>
    <w:rsid w:val="00166EE6"/>
    <w:rsid w:val="001672AF"/>
    <w:rsid w:val="00167460"/>
    <w:rsid w:val="00170377"/>
    <w:rsid w:val="00170A14"/>
    <w:rsid w:val="0017112B"/>
    <w:rsid w:val="00171185"/>
    <w:rsid w:val="00171C71"/>
    <w:rsid w:val="001726CF"/>
    <w:rsid w:val="00172A27"/>
    <w:rsid w:val="00172A39"/>
    <w:rsid w:val="00172BAF"/>
    <w:rsid w:val="00172D05"/>
    <w:rsid w:val="00172EC0"/>
    <w:rsid w:val="00173191"/>
    <w:rsid w:val="00173686"/>
    <w:rsid w:val="001737FE"/>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C79"/>
    <w:rsid w:val="00182DF8"/>
    <w:rsid w:val="0018502B"/>
    <w:rsid w:val="00186403"/>
    <w:rsid w:val="00186455"/>
    <w:rsid w:val="00186DC9"/>
    <w:rsid w:val="0018707E"/>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648"/>
    <w:rsid w:val="001959DC"/>
    <w:rsid w:val="00195A29"/>
    <w:rsid w:val="00195F44"/>
    <w:rsid w:val="00195FC6"/>
    <w:rsid w:val="00196019"/>
    <w:rsid w:val="001963F9"/>
    <w:rsid w:val="00196B1D"/>
    <w:rsid w:val="00196C83"/>
    <w:rsid w:val="00196E92"/>
    <w:rsid w:val="001A0896"/>
    <w:rsid w:val="001A0FF1"/>
    <w:rsid w:val="001A2185"/>
    <w:rsid w:val="001A2679"/>
    <w:rsid w:val="001A315B"/>
    <w:rsid w:val="001A334F"/>
    <w:rsid w:val="001A3856"/>
    <w:rsid w:val="001A3954"/>
    <w:rsid w:val="001A3F6D"/>
    <w:rsid w:val="001A4C94"/>
    <w:rsid w:val="001A56FD"/>
    <w:rsid w:val="001A5923"/>
    <w:rsid w:val="001A5DA1"/>
    <w:rsid w:val="001A6A4C"/>
    <w:rsid w:val="001A7328"/>
    <w:rsid w:val="001A775C"/>
    <w:rsid w:val="001A7CBA"/>
    <w:rsid w:val="001B0DF5"/>
    <w:rsid w:val="001B1736"/>
    <w:rsid w:val="001B1AE6"/>
    <w:rsid w:val="001B32D3"/>
    <w:rsid w:val="001B32E4"/>
    <w:rsid w:val="001B3778"/>
    <w:rsid w:val="001B3E30"/>
    <w:rsid w:val="001B43A2"/>
    <w:rsid w:val="001B4634"/>
    <w:rsid w:val="001B48C3"/>
    <w:rsid w:val="001B4ED3"/>
    <w:rsid w:val="001B5091"/>
    <w:rsid w:val="001B50CC"/>
    <w:rsid w:val="001B5355"/>
    <w:rsid w:val="001B5426"/>
    <w:rsid w:val="001B593D"/>
    <w:rsid w:val="001B6049"/>
    <w:rsid w:val="001B60D4"/>
    <w:rsid w:val="001B6482"/>
    <w:rsid w:val="001B7014"/>
    <w:rsid w:val="001B739D"/>
    <w:rsid w:val="001B7432"/>
    <w:rsid w:val="001B7C32"/>
    <w:rsid w:val="001B7CBF"/>
    <w:rsid w:val="001C0476"/>
    <w:rsid w:val="001C0846"/>
    <w:rsid w:val="001C148A"/>
    <w:rsid w:val="001C15DB"/>
    <w:rsid w:val="001C17AC"/>
    <w:rsid w:val="001C1814"/>
    <w:rsid w:val="001C1B36"/>
    <w:rsid w:val="001C1FEF"/>
    <w:rsid w:val="001C2831"/>
    <w:rsid w:val="001C3D5E"/>
    <w:rsid w:val="001C3D80"/>
    <w:rsid w:val="001C4222"/>
    <w:rsid w:val="001C4361"/>
    <w:rsid w:val="001C4AA8"/>
    <w:rsid w:val="001C51A3"/>
    <w:rsid w:val="001C5358"/>
    <w:rsid w:val="001C56D1"/>
    <w:rsid w:val="001C6F0D"/>
    <w:rsid w:val="001C7325"/>
    <w:rsid w:val="001C7A8C"/>
    <w:rsid w:val="001D0D82"/>
    <w:rsid w:val="001D0F05"/>
    <w:rsid w:val="001D151F"/>
    <w:rsid w:val="001D15D9"/>
    <w:rsid w:val="001D1912"/>
    <w:rsid w:val="001D1DD7"/>
    <w:rsid w:val="001D23EF"/>
    <w:rsid w:val="001D2608"/>
    <w:rsid w:val="001D273D"/>
    <w:rsid w:val="001D285A"/>
    <w:rsid w:val="001D2A9B"/>
    <w:rsid w:val="001D3534"/>
    <w:rsid w:val="001D49FD"/>
    <w:rsid w:val="001D4EB1"/>
    <w:rsid w:val="001D537F"/>
    <w:rsid w:val="001D540C"/>
    <w:rsid w:val="001D565B"/>
    <w:rsid w:val="001D6B8D"/>
    <w:rsid w:val="001D6D80"/>
    <w:rsid w:val="001D723E"/>
    <w:rsid w:val="001D7681"/>
    <w:rsid w:val="001E0531"/>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6542"/>
    <w:rsid w:val="001E69FA"/>
    <w:rsid w:val="001E72E0"/>
    <w:rsid w:val="001E7739"/>
    <w:rsid w:val="001E7AB5"/>
    <w:rsid w:val="001F0064"/>
    <w:rsid w:val="001F16DF"/>
    <w:rsid w:val="001F193B"/>
    <w:rsid w:val="001F1960"/>
    <w:rsid w:val="001F3066"/>
    <w:rsid w:val="001F327B"/>
    <w:rsid w:val="001F32DA"/>
    <w:rsid w:val="001F3DAE"/>
    <w:rsid w:val="001F4A98"/>
    <w:rsid w:val="001F4F82"/>
    <w:rsid w:val="001F6159"/>
    <w:rsid w:val="001F633E"/>
    <w:rsid w:val="001F6680"/>
    <w:rsid w:val="001F6C51"/>
    <w:rsid w:val="001F6DC6"/>
    <w:rsid w:val="001F6FB6"/>
    <w:rsid w:val="001F740D"/>
    <w:rsid w:val="001F792F"/>
    <w:rsid w:val="001F7AC9"/>
    <w:rsid w:val="001F7B9E"/>
    <w:rsid w:val="001F7BE1"/>
    <w:rsid w:val="001F7C97"/>
    <w:rsid w:val="00200A84"/>
    <w:rsid w:val="00200C40"/>
    <w:rsid w:val="00200F97"/>
    <w:rsid w:val="00201229"/>
    <w:rsid w:val="00201270"/>
    <w:rsid w:val="002014F7"/>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AD3"/>
    <w:rsid w:val="00205B53"/>
    <w:rsid w:val="002066C1"/>
    <w:rsid w:val="002067D2"/>
    <w:rsid w:val="00206D59"/>
    <w:rsid w:val="0020708A"/>
    <w:rsid w:val="0020731F"/>
    <w:rsid w:val="00207435"/>
    <w:rsid w:val="00207642"/>
    <w:rsid w:val="00207AAC"/>
    <w:rsid w:val="00207F6A"/>
    <w:rsid w:val="00210191"/>
    <w:rsid w:val="00210256"/>
    <w:rsid w:val="00210394"/>
    <w:rsid w:val="0021051F"/>
    <w:rsid w:val="0021076E"/>
    <w:rsid w:val="0021206E"/>
    <w:rsid w:val="002127B9"/>
    <w:rsid w:val="00212B0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30FD"/>
    <w:rsid w:val="002232B3"/>
    <w:rsid w:val="00223664"/>
    <w:rsid w:val="0022401E"/>
    <w:rsid w:val="002244FF"/>
    <w:rsid w:val="00224756"/>
    <w:rsid w:val="00224878"/>
    <w:rsid w:val="0022514D"/>
    <w:rsid w:val="00225CEE"/>
    <w:rsid w:val="00226447"/>
    <w:rsid w:val="002266DB"/>
    <w:rsid w:val="00226894"/>
    <w:rsid w:val="002268B0"/>
    <w:rsid w:val="002272F5"/>
    <w:rsid w:val="00227577"/>
    <w:rsid w:val="002277E9"/>
    <w:rsid w:val="00230153"/>
    <w:rsid w:val="002303A6"/>
    <w:rsid w:val="00230894"/>
    <w:rsid w:val="002308E9"/>
    <w:rsid w:val="00230B84"/>
    <w:rsid w:val="00231B36"/>
    <w:rsid w:val="00231F9E"/>
    <w:rsid w:val="00232498"/>
    <w:rsid w:val="0023254E"/>
    <w:rsid w:val="00232918"/>
    <w:rsid w:val="0023350C"/>
    <w:rsid w:val="00233E70"/>
    <w:rsid w:val="00234281"/>
    <w:rsid w:val="00234FD3"/>
    <w:rsid w:val="00235CC1"/>
    <w:rsid w:val="00236B90"/>
    <w:rsid w:val="00236C21"/>
    <w:rsid w:val="002371BF"/>
    <w:rsid w:val="002371E1"/>
    <w:rsid w:val="00237A87"/>
    <w:rsid w:val="002404C3"/>
    <w:rsid w:val="00241129"/>
    <w:rsid w:val="002411AE"/>
    <w:rsid w:val="00241205"/>
    <w:rsid w:val="00241731"/>
    <w:rsid w:val="00241840"/>
    <w:rsid w:val="00241C36"/>
    <w:rsid w:val="0024270B"/>
    <w:rsid w:val="002427EB"/>
    <w:rsid w:val="002427F0"/>
    <w:rsid w:val="002428BD"/>
    <w:rsid w:val="00242D15"/>
    <w:rsid w:val="00242E09"/>
    <w:rsid w:val="002432B7"/>
    <w:rsid w:val="002440B2"/>
    <w:rsid w:val="002445FE"/>
    <w:rsid w:val="002451B3"/>
    <w:rsid w:val="002458CE"/>
    <w:rsid w:val="002459C5"/>
    <w:rsid w:val="00245DE9"/>
    <w:rsid w:val="00245F09"/>
    <w:rsid w:val="00246513"/>
    <w:rsid w:val="00246851"/>
    <w:rsid w:val="00246B1D"/>
    <w:rsid w:val="00246E71"/>
    <w:rsid w:val="00246F16"/>
    <w:rsid w:val="0024705A"/>
    <w:rsid w:val="002477AE"/>
    <w:rsid w:val="00247BDE"/>
    <w:rsid w:val="00247D4D"/>
    <w:rsid w:val="002504FC"/>
    <w:rsid w:val="00250B11"/>
    <w:rsid w:val="00250D82"/>
    <w:rsid w:val="00251CC2"/>
    <w:rsid w:val="00251EB3"/>
    <w:rsid w:val="00252136"/>
    <w:rsid w:val="0025329B"/>
    <w:rsid w:val="00253582"/>
    <w:rsid w:val="002538BA"/>
    <w:rsid w:val="00253EC4"/>
    <w:rsid w:val="0025418A"/>
    <w:rsid w:val="00254240"/>
    <w:rsid w:val="0025425A"/>
    <w:rsid w:val="0025531B"/>
    <w:rsid w:val="00255536"/>
    <w:rsid w:val="002557BB"/>
    <w:rsid w:val="002558AC"/>
    <w:rsid w:val="00255BC2"/>
    <w:rsid w:val="00255D89"/>
    <w:rsid w:val="00256539"/>
    <w:rsid w:val="00256DEA"/>
    <w:rsid w:val="00257117"/>
    <w:rsid w:val="00257923"/>
    <w:rsid w:val="00257C49"/>
    <w:rsid w:val="002603B3"/>
    <w:rsid w:val="0026072F"/>
    <w:rsid w:val="00260952"/>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F3E"/>
    <w:rsid w:val="0027038F"/>
    <w:rsid w:val="00271150"/>
    <w:rsid w:val="00272EB3"/>
    <w:rsid w:val="0027447A"/>
    <w:rsid w:val="002747CC"/>
    <w:rsid w:val="00274830"/>
    <w:rsid w:val="00274DF9"/>
    <w:rsid w:val="00275170"/>
    <w:rsid w:val="00275D77"/>
    <w:rsid w:val="0027602C"/>
    <w:rsid w:val="00276A43"/>
    <w:rsid w:val="00276D2F"/>
    <w:rsid w:val="00276FBF"/>
    <w:rsid w:val="002775C7"/>
    <w:rsid w:val="002778F2"/>
    <w:rsid w:val="00277F52"/>
    <w:rsid w:val="002809A3"/>
    <w:rsid w:val="00280E91"/>
    <w:rsid w:val="00281979"/>
    <w:rsid w:val="00281E85"/>
    <w:rsid w:val="00282011"/>
    <w:rsid w:val="00282533"/>
    <w:rsid w:val="00282622"/>
    <w:rsid w:val="002837F8"/>
    <w:rsid w:val="00283ACF"/>
    <w:rsid w:val="00283C99"/>
    <w:rsid w:val="00283D11"/>
    <w:rsid w:val="0028473D"/>
    <w:rsid w:val="00284850"/>
    <w:rsid w:val="00284CEE"/>
    <w:rsid w:val="00284D22"/>
    <w:rsid w:val="00284F33"/>
    <w:rsid w:val="002851E8"/>
    <w:rsid w:val="0028529C"/>
    <w:rsid w:val="00285326"/>
    <w:rsid w:val="00285DE8"/>
    <w:rsid w:val="00287067"/>
    <w:rsid w:val="00290337"/>
    <w:rsid w:val="00290891"/>
    <w:rsid w:val="00291DA9"/>
    <w:rsid w:val="00292661"/>
    <w:rsid w:val="00292773"/>
    <w:rsid w:val="002927AC"/>
    <w:rsid w:val="002928D1"/>
    <w:rsid w:val="00292D88"/>
    <w:rsid w:val="00293689"/>
    <w:rsid w:val="00294241"/>
    <w:rsid w:val="002943E7"/>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7C4"/>
    <w:rsid w:val="002A0DD4"/>
    <w:rsid w:val="002A16C3"/>
    <w:rsid w:val="002A2537"/>
    <w:rsid w:val="002A2AB8"/>
    <w:rsid w:val="002A2B8E"/>
    <w:rsid w:val="002A3789"/>
    <w:rsid w:val="002A5126"/>
    <w:rsid w:val="002A5948"/>
    <w:rsid w:val="002A6115"/>
    <w:rsid w:val="002A639F"/>
    <w:rsid w:val="002A64F2"/>
    <w:rsid w:val="002A6590"/>
    <w:rsid w:val="002A7478"/>
    <w:rsid w:val="002A7678"/>
    <w:rsid w:val="002A7B26"/>
    <w:rsid w:val="002B01AD"/>
    <w:rsid w:val="002B047F"/>
    <w:rsid w:val="002B1824"/>
    <w:rsid w:val="002B1845"/>
    <w:rsid w:val="002B1A9F"/>
    <w:rsid w:val="002B210C"/>
    <w:rsid w:val="002B2402"/>
    <w:rsid w:val="002B2847"/>
    <w:rsid w:val="002B2D78"/>
    <w:rsid w:val="002B32B6"/>
    <w:rsid w:val="002B32C9"/>
    <w:rsid w:val="002B35D8"/>
    <w:rsid w:val="002B3736"/>
    <w:rsid w:val="002B4054"/>
    <w:rsid w:val="002B41A8"/>
    <w:rsid w:val="002B427C"/>
    <w:rsid w:val="002B46A0"/>
    <w:rsid w:val="002B46FF"/>
    <w:rsid w:val="002B497D"/>
    <w:rsid w:val="002B4BBC"/>
    <w:rsid w:val="002B4D0E"/>
    <w:rsid w:val="002B542A"/>
    <w:rsid w:val="002B5495"/>
    <w:rsid w:val="002B54C5"/>
    <w:rsid w:val="002B55E5"/>
    <w:rsid w:val="002B653E"/>
    <w:rsid w:val="002B664C"/>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5D4"/>
    <w:rsid w:val="002C29F1"/>
    <w:rsid w:val="002C2CCD"/>
    <w:rsid w:val="002C2F7F"/>
    <w:rsid w:val="002C2FB4"/>
    <w:rsid w:val="002C2FD3"/>
    <w:rsid w:val="002C3683"/>
    <w:rsid w:val="002C4AFD"/>
    <w:rsid w:val="002C5516"/>
    <w:rsid w:val="002C5A3A"/>
    <w:rsid w:val="002C5D7E"/>
    <w:rsid w:val="002C6DC2"/>
    <w:rsid w:val="002C6DDA"/>
    <w:rsid w:val="002C713E"/>
    <w:rsid w:val="002C77B0"/>
    <w:rsid w:val="002D0068"/>
    <w:rsid w:val="002D0466"/>
    <w:rsid w:val="002D053D"/>
    <w:rsid w:val="002D0829"/>
    <w:rsid w:val="002D0B99"/>
    <w:rsid w:val="002D1936"/>
    <w:rsid w:val="002D1CE8"/>
    <w:rsid w:val="002D1F76"/>
    <w:rsid w:val="002D2403"/>
    <w:rsid w:val="002D2D0D"/>
    <w:rsid w:val="002D2FB2"/>
    <w:rsid w:val="002D3066"/>
    <w:rsid w:val="002D32C1"/>
    <w:rsid w:val="002D34FE"/>
    <w:rsid w:val="002D35EA"/>
    <w:rsid w:val="002D3782"/>
    <w:rsid w:val="002D3B24"/>
    <w:rsid w:val="002D4837"/>
    <w:rsid w:val="002D48E6"/>
    <w:rsid w:val="002D5331"/>
    <w:rsid w:val="002D5B16"/>
    <w:rsid w:val="002D5BC9"/>
    <w:rsid w:val="002D5DDC"/>
    <w:rsid w:val="002D67F7"/>
    <w:rsid w:val="002D6DE0"/>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679"/>
    <w:rsid w:val="002E4D81"/>
    <w:rsid w:val="002E4E88"/>
    <w:rsid w:val="002E591E"/>
    <w:rsid w:val="002E5BC7"/>
    <w:rsid w:val="002E5F0D"/>
    <w:rsid w:val="002E6EE7"/>
    <w:rsid w:val="002E7655"/>
    <w:rsid w:val="002E7750"/>
    <w:rsid w:val="002E7964"/>
    <w:rsid w:val="002E79AB"/>
    <w:rsid w:val="002E7D40"/>
    <w:rsid w:val="002F0A52"/>
    <w:rsid w:val="002F0C6B"/>
    <w:rsid w:val="002F1686"/>
    <w:rsid w:val="002F1771"/>
    <w:rsid w:val="002F1CD0"/>
    <w:rsid w:val="002F1D5C"/>
    <w:rsid w:val="002F207F"/>
    <w:rsid w:val="002F23FA"/>
    <w:rsid w:val="002F249E"/>
    <w:rsid w:val="002F24AF"/>
    <w:rsid w:val="002F32ED"/>
    <w:rsid w:val="002F3799"/>
    <w:rsid w:val="002F3A84"/>
    <w:rsid w:val="002F41D5"/>
    <w:rsid w:val="002F43B6"/>
    <w:rsid w:val="002F49F9"/>
    <w:rsid w:val="002F4D5A"/>
    <w:rsid w:val="002F515D"/>
    <w:rsid w:val="002F5F68"/>
    <w:rsid w:val="002F6673"/>
    <w:rsid w:val="002F66DB"/>
    <w:rsid w:val="002F7155"/>
    <w:rsid w:val="002F7700"/>
    <w:rsid w:val="002F778A"/>
    <w:rsid w:val="002F7EB8"/>
    <w:rsid w:val="0030086D"/>
    <w:rsid w:val="00300D86"/>
    <w:rsid w:val="00300E82"/>
    <w:rsid w:val="00301655"/>
    <w:rsid w:val="003017E1"/>
    <w:rsid w:val="003021BB"/>
    <w:rsid w:val="00302EFF"/>
    <w:rsid w:val="00302F6A"/>
    <w:rsid w:val="00303061"/>
    <w:rsid w:val="00303A66"/>
    <w:rsid w:val="00303D62"/>
    <w:rsid w:val="003040C0"/>
    <w:rsid w:val="003044AD"/>
    <w:rsid w:val="00304917"/>
    <w:rsid w:val="00305040"/>
    <w:rsid w:val="00305BB3"/>
    <w:rsid w:val="00305CC7"/>
    <w:rsid w:val="00305F62"/>
    <w:rsid w:val="0030688B"/>
    <w:rsid w:val="00306AAF"/>
    <w:rsid w:val="003074FD"/>
    <w:rsid w:val="00307A2D"/>
    <w:rsid w:val="00310204"/>
    <w:rsid w:val="00310272"/>
    <w:rsid w:val="00310D86"/>
    <w:rsid w:val="00310EC5"/>
    <w:rsid w:val="00310F34"/>
    <w:rsid w:val="0031233D"/>
    <w:rsid w:val="003126B1"/>
    <w:rsid w:val="00312AF6"/>
    <w:rsid w:val="00312CB7"/>
    <w:rsid w:val="00312E68"/>
    <w:rsid w:val="0031351A"/>
    <w:rsid w:val="0031460F"/>
    <w:rsid w:val="00314C8A"/>
    <w:rsid w:val="0031505B"/>
    <w:rsid w:val="00315595"/>
    <w:rsid w:val="00315F66"/>
    <w:rsid w:val="003161E5"/>
    <w:rsid w:val="00316884"/>
    <w:rsid w:val="00316C18"/>
    <w:rsid w:val="00317071"/>
    <w:rsid w:val="003170F2"/>
    <w:rsid w:val="00317767"/>
    <w:rsid w:val="0031786E"/>
    <w:rsid w:val="0032043F"/>
    <w:rsid w:val="003204DA"/>
    <w:rsid w:val="00320582"/>
    <w:rsid w:val="00321282"/>
    <w:rsid w:val="0032130E"/>
    <w:rsid w:val="0032187E"/>
    <w:rsid w:val="003218EA"/>
    <w:rsid w:val="00321B6B"/>
    <w:rsid w:val="00321F93"/>
    <w:rsid w:val="0032278A"/>
    <w:rsid w:val="0032279E"/>
    <w:rsid w:val="00322A25"/>
    <w:rsid w:val="00322E8B"/>
    <w:rsid w:val="0032318E"/>
    <w:rsid w:val="0032399E"/>
    <w:rsid w:val="00324067"/>
    <w:rsid w:val="003246F7"/>
    <w:rsid w:val="003248E7"/>
    <w:rsid w:val="00324925"/>
    <w:rsid w:val="00324A14"/>
    <w:rsid w:val="00325668"/>
    <w:rsid w:val="00325F1E"/>
    <w:rsid w:val="003262AB"/>
    <w:rsid w:val="0032659C"/>
    <w:rsid w:val="00327292"/>
    <w:rsid w:val="003272FD"/>
    <w:rsid w:val="0032744E"/>
    <w:rsid w:val="00327480"/>
    <w:rsid w:val="003300E1"/>
    <w:rsid w:val="003303B7"/>
    <w:rsid w:val="00330A37"/>
    <w:rsid w:val="00330A59"/>
    <w:rsid w:val="00330B81"/>
    <w:rsid w:val="00330E2F"/>
    <w:rsid w:val="003311FC"/>
    <w:rsid w:val="00331300"/>
    <w:rsid w:val="00331820"/>
    <w:rsid w:val="00333A15"/>
    <w:rsid w:val="00333A6D"/>
    <w:rsid w:val="00333F1D"/>
    <w:rsid w:val="003341BB"/>
    <w:rsid w:val="00335776"/>
    <w:rsid w:val="00336075"/>
    <w:rsid w:val="00336787"/>
    <w:rsid w:val="003371DD"/>
    <w:rsid w:val="003374B9"/>
    <w:rsid w:val="003375AB"/>
    <w:rsid w:val="00337697"/>
    <w:rsid w:val="00337717"/>
    <w:rsid w:val="003378B1"/>
    <w:rsid w:val="003408D4"/>
    <w:rsid w:val="003408E2"/>
    <w:rsid w:val="00340A5B"/>
    <w:rsid w:val="00340D35"/>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5475"/>
    <w:rsid w:val="00346AE5"/>
    <w:rsid w:val="00346C56"/>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C29"/>
    <w:rsid w:val="00353D69"/>
    <w:rsid w:val="00353FC5"/>
    <w:rsid w:val="003541B5"/>
    <w:rsid w:val="003542FC"/>
    <w:rsid w:val="00354407"/>
    <w:rsid w:val="00354730"/>
    <w:rsid w:val="003555CF"/>
    <w:rsid w:val="00355B59"/>
    <w:rsid w:val="0035620E"/>
    <w:rsid w:val="003562FE"/>
    <w:rsid w:val="00356475"/>
    <w:rsid w:val="003564B6"/>
    <w:rsid w:val="0035669E"/>
    <w:rsid w:val="003574FA"/>
    <w:rsid w:val="00357C05"/>
    <w:rsid w:val="00357DE5"/>
    <w:rsid w:val="00360354"/>
    <w:rsid w:val="0036071E"/>
    <w:rsid w:val="00360FEF"/>
    <w:rsid w:val="00362D66"/>
    <w:rsid w:val="00363B12"/>
    <w:rsid w:val="003640DD"/>
    <w:rsid w:val="0036423C"/>
    <w:rsid w:val="003648BB"/>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EC"/>
    <w:rsid w:val="00370668"/>
    <w:rsid w:val="00370963"/>
    <w:rsid w:val="00371009"/>
    <w:rsid w:val="00371252"/>
    <w:rsid w:val="0037191D"/>
    <w:rsid w:val="00371AED"/>
    <w:rsid w:val="00371BC4"/>
    <w:rsid w:val="00371EEB"/>
    <w:rsid w:val="0037224C"/>
    <w:rsid w:val="003722E8"/>
    <w:rsid w:val="00372733"/>
    <w:rsid w:val="0037280D"/>
    <w:rsid w:val="003728E1"/>
    <w:rsid w:val="00372C4C"/>
    <w:rsid w:val="0037300F"/>
    <w:rsid w:val="00373B9D"/>
    <w:rsid w:val="0037445B"/>
    <w:rsid w:val="003745D0"/>
    <w:rsid w:val="0037468A"/>
    <w:rsid w:val="00375613"/>
    <w:rsid w:val="0037570A"/>
    <w:rsid w:val="00375B8A"/>
    <w:rsid w:val="00375E04"/>
    <w:rsid w:val="0037642E"/>
    <w:rsid w:val="00376AF3"/>
    <w:rsid w:val="00377D45"/>
    <w:rsid w:val="003801DC"/>
    <w:rsid w:val="00380E15"/>
    <w:rsid w:val="00380F51"/>
    <w:rsid w:val="00381993"/>
    <w:rsid w:val="00381AC4"/>
    <w:rsid w:val="00381B3A"/>
    <w:rsid w:val="00381F75"/>
    <w:rsid w:val="0038248C"/>
    <w:rsid w:val="00382D1F"/>
    <w:rsid w:val="003832B6"/>
    <w:rsid w:val="00383E24"/>
    <w:rsid w:val="003840B7"/>
    <w:rsid w:val="00384837"/>
    <w:rsid w:val="0038549F"/>
    <w:rsid w:val="003856C6"/>
    <w:rsid w:val="0038576D"/>
    <w:rsid w:val="00385BDE"/>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205"/>
    <w:rsid w:val="00396113"/>
    <w:rsid w:val="0039627D"/>
    <w:rsid w:val="00396980"/>
    <w:rsid w:val="003969C2"/>
    <w:rsid w:val="00396F26"/>
    <w:rsid w:val="00396FF4"/>
    <w:rsid w:val="003970B3"/>
    <w:rsid w:val="003973FD"/>
    <w:rsid w:val="00397413"/>
    <w:rsid w:val="003976E4"/>
    <w:rsid w:val="0039772B"/>
    <w:rsid w:val="003977F5"/>
    <w:rsid w:val="00397E21"/>
    <w:rsid w:val="00397FDC"/>
    <w:rsid w:val="003A04AE"/>
    <w:rsid w:val="003A0667"/>
    <w:rsid w:val="003A0EA6"/>
    <w:rsid w:val="003A1719"/>
    <w:rsid w:val="003A19D6"/>
    <w:rsid w:val="003A2CEE"/>
    <w:rsid w:val="003A2D4E"/>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F13"/>
    <w:rsid w:val="003B0F7B"/>
    <w:rsid w:val="003B13E9"/>
    <w:rsid w:val="003B14FD"/>
    <w:rsid w:val="003B16D4"/>
    <w:rsid w:val="003B1BB7"/>
    <w:rsid w:val="003B2427"/>
    <w:rsid w:val="003B28A8"/>
    <w:rsid w:val="003B2D7D"/>
    <w:rsid w:val="003B3E12"/>
    <w:rsid w:val="003B4696"/>
    <w:rsid w:val="003B4859"/>
    <w:rsid w:val="003B4E65"/>
    <w:rsid w:val="003B4EB6"/>
    <w:rsid w:val="003B5177"/>
    <w:rsid w:val="003B5200"/>
    <w:rsid w:val="003B53E7"/>
    <w:rsid w:val="003B5482"/>
    <w:rsid w:val="003B5663"/>
    <w:rsid w:val="003B59DC"/>
    <w:rsid w:val="003B6031"/>
    <w:rsid w:val="003B6178"/>
    <w:rsid w:val="003B6E81"/>
    <w:rsid w:val="003B7661"/>
    <w:rsid w:val="003B7E05"/>
    <w:rsid w:val="003C0456"/>
    <w:rsid w:val="003C052A"/>
    <w:rsid w:val="003C0AE9"/>
    <w:rsid w:val="003C131E"/>
    <w:rsid w:val="003C166B"/>
    <w:rsid w:val="003C19A5"/>
    <w:rsid w:val="003C1C85"/>
    <w:rsid w:val="003C1F69"/>
    <w:rsid w:val="003C2010"/>
    <w:rsid w:val="003C2240"/>
    <w:rsid w:val="003C2323"/>
    <w:rsid w:val="003C2BA9"/>
    <w:rsid w:val="003C2C59"/>
    <w:rsid w:val="003C3A2A"/>
    <w:rsid w:val="003C3CC7"/>
    <w:rsid w:val="003C3E7F"/>
    <w:rsid w:val="003C4482"/>
    <w:rsid w:val="003C504B"/>
    <w:rsid w:val="003C5260"/>
    <w:rsid w:val="003C5936"/>
    <w:rsid w:val="003C612F"/>
    <w:rsid w:val="003C6468"/>
    <w:rsid w:val="003C676E"/>
    <w:rsid w:val="003D0AF6"/>
    <w:rsid w:val="003D0BFD"/>
    <w:rsid w:val="003D115F"/>
    <w:rsid w:val="003D11D9"/>
    <w:rsid w:val="003D1E5A"/>
    <w:rsid w:val="003D2939"/>
    <w:rsid w:val="003D3990"/>
    <w:rsid w:val="003D3C6E"/>
    <w:rsid w:val="003D3FA7"/>
    <w:rsid w:val="003D42CB"/>
    <w:rsid w:val="003D43E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4296"/>
    <w:rsid w:val="003E43C8"/>
    <w:rsid w:val="003E4B5F"/>
    <w:rsid w:val="003E530F"/>
    <w:rsid w:val="003E5A33"/>
    <w:rsid w:val="003E65FD"/>
    <w:rsid w:val="003E69CF"/>
    <w:rsid w:val="003E6DA0"/>
    <w:rsid w:val="003E72DA"/>
    <w:rsid w:val="003E7C3C"/>
    <w:rsid w:val="003F009B"/>
    <w:rsid w:val="003F031C"/>
    <w:rsid w:val="003F0EED"/>
    <w:rsid w:val="003F0FBA"/>
    <w:rsid w:val="003F1622"/>
    <w:rsid w:val="003F1AA3"/>
    <w:rsid w:val="003F25EF"/>
    <w:rsid w:val="003F2A3E"/>
    <w:rsid w:val="003F3277"/>
    <w:rsid w:val="003F33C5"/>
    <w:rsid w:val="003F3EC5"/>
    <w:rsid w:val="003F49D2"/>
    <w:rsid w:val="003F4C79"/>
    <w:rsid w:val="003F4E06"/>
    <w:rsid w:val="003F4FB6"/>
    <w:rsid w:val="003F4FD7"/>
    <w:rsid w:val="003F58F4"/>
    <w:rsid w:val="003F5990"/>
    <w:rsid w:val="003F5E3F"/>
    <w:rsid w:val="003F6152"/>
    <w:rsid w:val="003F67CB"/>
    <w:rsid w:val="003F759C"/>
    <w:rsid w:val="00400688"/>
    <w:rsid w:val="00401318"/>
    <w:rsid w:val="004018B0"/>
    <w:rsid w:val="00401CD0"/>
    <w:rsid w:val="00402608"/>
    <w:rsid w:val="00403542"/>
    <w:rsid w:val="004036AC"/>
    <w:rsid w:val="00403A15"/>
    <w:rsid w:val="00403AD6"/>
    <w:rsid w:val="004042E5"/>
    <w:rsid w:val="00405461"/>
    <w:rsid w:val="00405477"/>
    <w:rsid w:val="0040566B"/>
    <w:rsid w:val="004058B9"/>
    <w:rsid w:val="004067F1"/>
    <w:rsid w:val="0040689D"/>
    <w:rsid w:val="00406C91"/>
    <w:rsid w:val="00407363"/>
    <w:rsid w:val="00410441"/>
    <w:rsid w:val="0041074C"/>
    <w:rsid w:val="0041078F"/>
    <w:rsid w:val="00410B78"/>
    <w:rsid w:val="0041102C"/>
    <w:rsid w:val="00411154"/>
    <w:rsid w:val="00411B1C"/>
    <w:rsid w:val="00411D31"/>
    <w:rsid w:val="00412BDE"/>
    <w:rsid w:val="0041398B"/>
    <w:rsid w:val="004146E5"/>
    <w:rsid w:val="00414828"/>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21D"/>
    <w:rsid w:val="0042181C"/>
    <w:rsid w:val="004219E8"/>
    <w:rsid w:val="00421FAA"/>
    <w:rsid w:val="00422508"/>
    <w:rsid w:val="0042267A"/>
    <w:rsid w:val="00422BE1"/>
    <w:rsid w:val="00422C59"/>
    <w:rsid w:val="00422CFC"/>
    <w:rsid w:val="00423E35"/>
    <w:rsid w:val="0042412E"/>
    <w:rsid w:val="0042472D"/>
    <w:rsid w:val="0042505E"/>
    <w:rsid w:val="00425115"/>
    <w:rsid w:val="004257A7"/>
    <w:rsid w:val="00425A22"/>
    <w:rsid w:val="00425EF9"/>
    <w:rsid w:val="00426396"/>
    <w:rsid w:val="0042663A"/>
    <w:rsid w:val="0043009A"/>
    <w:rsid w:val="004303BB"/>
    <w:rsid w:val="004305C5"/>
    <w:rsid w:val="00430C05"/>
    <w:rsid w:val="0043115F"/>
    <w:rsid w:val="004318F9"/>
    <w:rsid w:val="00431977"/>
    <w:rsid w:val="00431BB8"/>
    <w:rsid w:val="004327A9"/>
    <w:rsid w:val="004329E5"/>
    <w:rsid w:val="00432B9E"/>
    <w:rsid w:val="00432F84"/>
    <w:rsid w:val="0043362A"/>
    <w:rsid w:val="00434374"/>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410A"/>
    <w:rsid w:val="00444188"/>
    <w:rsid w:val="00444473"/>
    <w:rsid w:val="0044482D"/>
    <w:rsid w:val="00444927"/>
    <w:rsid w:val="004449A6"/>
    <w:rsid w:val="00444FEA"/>
    <w:rsid w:val="0044536C"/>
    <w:rsid w:val="004458AB"/>
    <w:rsid w:val="00445C9F"/>
    <w:rsid w:val="00445F4E"/>
    <w:rsid w:val="0044672C"/>
    <w:rsid w:val="00446D64"/>
    <w:rsid w:val="004503A1"/>
    <w:rsid w:val="00450674"/>
    <w:rsid w:val="0045197A"/>
    <w:rsid w:val="0045201A"/>
    <w:rsid w:val="00453DB3"/>
    <w:rsid w:val="00453DC1"/>
    <w:rsid w:val="00454B8F"/>
    <w:rsid w:val="00454C05"/>
    <w:rsid w:val="00454C20"/>
    <w:rsid w:val="0045546F"/>
    <w:rsid w:val="004558FA"/>
    <w:rsid w:val="00455CAE"/>
    <w:rsid w:val="00455E9B"/>
    <w:rsid w:val="00456D15"/>
    <w:rsid w:val="004578E3"/>
    <w:rsid w:val="00457CF5"/>
    <w:rsid w:val="004602D4"/>
    <w:rsid w:val="0046031D"/>
    <w:rsid w:val="004608BA"/>
    <w:rsid w:val="00460A4B"/>
    <w:rsid w:val="00460AA8"/>
    <w:rsid w:val="00461252"/>
    <w:rsid w:val="0046159B"/>
    <w:rsid w:val="00461A7C"/>
    <w:rsid w:val="00461A84"/>
    <w:rsid w:val="00461E66"/>
    <w:rsid w:val="00462286"/>
    <w:rsid w:val="00462D87"/>
    <w:rsid w:val="00462D95"/>
    <w:rsid w:val="00462F25"/>
    <w:rsid w:val="004631A1"/>
    <w:rsid w:val="0046330C"/>
    <w:rsid w:val="00463393"/>
    <w:rsid w:val="00463717"/>
    <w:rsid w:val="00463754"/>
    <w:rsid w:val="004637CD"/>
    <w:rsid w:val="00463EC9"/>
    <w:rsid w:val="004653AD"/>
    <w:rsid w:val="00465498"/>
    <w:rsid w:val="00465A3C"/>
    <w:rsid w:val="00465A7C"/>
    <w:rsid w:val="00465F55"/>
    <w:rsid w:val="00466093"/>
    <w:rsid w:val="0046615C"/>
    <w:rsid w:val="0046635D"/>
    <w:rsid w:val="004666B2"/>
    <w:rsid w:val="00466742"/>
    <w:rsid w:val="00466A2E"/>
    <w:rsid w:val="00466AE4"/>
    <w:rsid w:val="00467370"/>
    <w:rsid w:val="0046756D"/>
    <w:rsid w:val="00467B68"/>
    <w:rsid w:val="00467D8B"/>
    <w:rsid w:val="0047122D"/>
    <w:rsid w:val="00471361"/>
    <w:rsid w:val="00471A12"/>
    <w:rsid w:val="00472834"/>
    <w:rsid w:val="004729E4"/>
    <w:rsid w:val="00472ADA"/>
    <w:rsid w:val="00472AF9"/>
    <w:rsid w:val="00472CA4"/>
    <w:rsid w:val="00472E87"/>
    <w:rsid w:val="004738E8"/>
    <w:rsid w:val="00474322"/>
    <w:rsid w:val="0047443D"/>
    <w:rsid w:val="00474620"/>
    <w:rsid w:val="004746A9"/>
    <w:rsid w:val="004746DA"/>
    <w:rsid w:val="00474A03"/>
    <w:rsid w:val="0047548C"/>
    <w:rsid w:val="004754C9"/>
    <w:rsid w:val="00476446"/>
    <w:rsid w:val="00476D81"/>
    <w:rsid w:val="0047762B"/>
    <w:rsid w:val="004779AB"/>
    <w:rsid w:val="00477B96"/>
    <w:rsid w:val="00477C52"/>
    <w:rsid w:val="00477CA1"/>
    <w:rsid w:val="00477FA2"/>
    <w:rsid w:val="004801BA"/>
    <w:rsid w:val="0048028B"/>
    <w:rsid w:val="00480316"/>
    <w:rsid w:val="00481382"/>
    <w:rsid w:val="00481C87"/>
    <w:rsid w:val="004828B4"/>
    <w:rsid w:val="00482F94"/>
    <w:rsid w:val="00483314"/>
    <w:rsid w:val="004836CB"/>
    <w:rsid w:val="004840B7"/>
    <w:rsid w:val="00485352"/>
    <w:rsid w:val="0048639E"/>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D9A"/>
    <w:rsid w:val="004966E0"/>
    <w:rsid w:val="00496FD6"/>
    <w:rsid w:val="0049793F"/>
    <w:rsid w:val="004A05C8"/>
    <w:rsid w:val="004A0ECC"/>
    <w:rsid w:val="004A1163"/>
    <w:rsid w:val="004A1246"/>
    <w:rsid w:val="004A17FA"/>
    <w:rsid w:val="004A1932"/>
    <w:rsid w:val="004A1DAD"/>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64D"/>
    <w:rsid w:val="004A6825"/>
    <w:rsid w:val="004A723F"/>
    <w:rsid w:val="004A76F0"/>
    <w:rsid w:val="004A7922"/>
    <w:rsid w:val="004B0A5F"/>
    <w:rsid w:val="004B11AD"/>
    <w:rsid w:val="004B140D"/>
    <w:rsid w:val="004B15CE"/>
    <w:rsid w:val="004B20E2"/>
    <w:rsid w:val="004B2630"/>
    <w:rsid w:val="004B2918"/>
    <w:rsid w:val="004B4A60"/>
    <w:rsid w:val="004B51A3"/>
    <w:rsid w:val="004B534E"/>
    <w:rsid w:val="004B5551"/>
    <w:rsid w:val="004B59CB"/>
    <w:rsid w:val="004B64D4"/>
    <w:rsid w:val="004B6901"/>
    <w:rsid w:val="004B6F05"/>
    <w:rsid w:val="004B702B"/>
    <w:rsid w:val="004B768B"/>
    <w:rsid w:val="004B7AD9"/>
    <w:rsid w:val="004C0244"/>
    <w:rsid w:val="004C0712"/>
    <w:rsid w:val="004C0F0D"/>
    <w:rsid w:val="004C0F1D"/>
    <w:rsid w:val="004C142D"/>
    <w:rsid w:val="004C175A"/>
    <w:rsid w:val="004C1838"/>
    <w:rsid w:val="004C19D2"/>
    <w:rsid w:val="004C1AA7"/>
    <w:rsid w:val="004C1CE3"/>
    <w:rsid w:val="004C2C95"/>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54D"/>
    <w:rsid w:val="004E06B0"/>
    <w:rsid w:val="004E07DA"/>
    <w:rsid w:val="004E1454"/>
    <w:rsid w:val="004E2459"/>
    <w:rsid w:val="004E26C8"/>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BC9"/>
    <w:rsid w:val="004E6CBA"/>
    <w:rsid w:val="004E73E8"/>
    <w:rsid w:val="004E7540"/>
    <w:rsid w:val="004E7FC0"/>
    <w:rsid w:val="004F0148"/>
    <w:rsid w:val="004F04C9"/>
    <w:rsid w:val="004F0564"/>
    <w:rsid w:val="004F056A"/>
    <w:rsid w:val="004F05B8"/>
    <w:rsid w:val="004F0DF9"/>
    <w:rsid w:val="004F1A7E"/>
    <w:rsid w:val="004F2715"/>
    <w:rsid w:val="004F2F35"/>
    <w:rsid w:val="004F34AC"/>
    <w:rsid w:val="004F3BE6"/>
    <w:rsid w:val="004F3D20"/>
    <w:rsid w:val="004F40AD"/>
    <w:rsid w:val="004F41C8"/>
    <w:rsid w:val="004F4978"/>
    <w:rsid w:val="004F4F47"/>
    <w:rsid w:val="004F56ED"/>
    <w:rsid w:val="004F588D"/>
    <w:rsid w:val="004F5D56"/>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2190"/>
    <w:rsid w:val="005034E2"/>
    <w:rsid w:val="00503797"/>
    <w:rsid w:val="005038CB"/>
    <w:rsid w:val="0050398F"/>
    <w:rsid w:val="005039EE"/>
    <w:rsid w:val="00503F6D"/>
    <w:rsid w:val="00504CF2"/>
    <w:rsid w:val="00505B35"/>
    <w:rsid w:val="0050634D"/>
    <w:rsid w:val="00506441"/>
    <w:rsid w:val="005067EB"/>
    <w:rsid w:val="00506B64"/>
    <w:rsid w:val="00510431"/>
    <w:rsid w:val="005106A0"/>
    <w:rsid w:val="00510A77"/>
    <w:rsid w:val="00510B78"/>
    <w:rsid w:val="005111E1"/>
    <w:rsid w:val="00511586"/>
    <w:rsid w:val="0051227C"/>
    <w:rsid w:val="0051254F"/>
    <w:rsid w:val="005129F7"/>
    <w:rsid w:val="005130A1"/>
    <w:rsid w:val="005133C9"/>
    <w:rsid w:val="00513E25"/>
    <w:rsid w:val="0051430B"/>
    <w:rsid w:val="005144B5"/>
    <w:rsid w:val="00514710"/>
    <w:rsid w:val="0051524A"/>
    <w:rsid w:val="0051601C"/>
    <w:rsid w:val="005162F1"/>
    <w:rsid w:val="00516603"/>
    <w:rsid w:val="0051788F"/>
    <w:rsid w:val="0052095A"/>
    <w:rsid w:val="00520E0A"/>
    <w:rsid w:val="0052125B"/>
    <w:rsid w:val="00521565"/>
    <w:rsid w:val="005219BF"/>
    <w:rsid w:val="005221B4"/>
    <w:rsid w:val="005224A4"/>
    <w:rsid w:val="00522B66"/>
    <w:rsid w:val="00523055"/>
    <w:rsid w:val="005234BC"/>
    <w:rsid w:val="00523D53"/>
    <w:rsid w:val="00523D66"/>
    <w:rsid w:val="00523F12"/>
    <w:rsid w:val="00523FCF"/>
    <w:rsid w:val="0052446A"/>
    <w:rsid w:val="00524490"/>
    <w:rsid w:val="00525285"/>
    <w:rsid w:val="0052553B"/>
    <w:rsid w:val="00525A6A"/>
    <w:rsid w:val="00525BBB"/>
    <w:rsid w:val="00526118"/>
    <w:rsid w:val="005263EB"/>
    <w:rsid w:val="0052699C"/>
    <w:rsid w:val="00526C90"/>
    <w:rsid w:val="00526CF2"/>
    <w:rsid w:val="0052700A"/>
    <w:rsid w:val="005275E5"/>
    <w:rsid w:val="00527868"/>
    <w:rsid w:val="00527A5E"/>
    <w:rsid w:val="00527BA9"/>
    <w:rsid w:val="00530166"/>
    <w:rsid w:val="00530771"/>
    <w:rsid w:val="00530783"/>
    <w:rsid w:val="00530833"/>
    <w:rsid w:val="00530DE9"/>
    <w:rsid w:val="00530EBF"/>
    <w:rsid w:val="00531469"/>
    <w:rsid w:val="005320EA"/>
    <w:rsid w:val="0053578C"/>
    <w:rsid w:val="00535955"/>
    <w:rsid w:val="0053625D"/>
    <w:rsid w:val="00536F59"/>
    <w:rsid w:val="00537507"/>
    <w:rsid w:val="00537A32"/>
    <w:rsid w:val="0054077E"/>
    <w:rsid w:val="00540889"/>
    <w:rsid w:val="00540997"/>
    <w:rsid w:val="005412F3"/>
    <w:rsid w:val="00541413"/>
    <w:rsid w:val="005414EF"/>
    <w:rsid w:val="00542366"/>
    <w:rsid w:val="005424AA"/>
    <w:rsid w:val="005425AD"/>
    <w:rsid w:val="00542A02"/>
    <w:rsid w:val="005431F0"/>
    <w:rsid w:val="005431FC"/>
    <w:rsid w:val="0054332B"/>
    <w:rsid w:val="00544329"/>
    <w:rsid w:val="00544453"/>
    <w:rsid w:val="005446AA"/>
    <w:rsid w:val="005448CD"/>
    <w:rsid w:val="00545440"/>
    <w:rsid w:val="0054766B"/>
    <w:rsid w:val="005501CE"/>
    <w:rsid w:val="00550AA6"/>
    <w:rsid w:val="005516BD"/>
    <w:rsid w:val="0055172A"/>
    <w:rsid w:val="00552833"/>
    <w:rsid w:val="00552F06"/>
    <w:rsid w:val="005530E3"/>
    <w:rsid w:val="00553457"/>
    <w:rsid w:val="005539EC"/>
    <w:rsid w:val="00553A0B"/>
    <w:rsid w:val="00554329"/>
    <w:rsid w:val="00554607"/>
    <w:rsid w:val="00554627"/>
    <w:rsid w:val="005547FF"/>
    <w:rsid w:val="00555E12"/>
    <w:rsid w:val="005563C9"/>
    <w:rsid w:val="005566AA"/>
    <w:rsid w:val="00556B93"/>
    <w:rsid w:val="0055711B"/>
    <w:rsid w:val="0055738E"/>
    <w:rsid w:val="005574F9"/>
    <w:rsid w:val="00560031"/>
    <w:rsid w:val="00560404"/>
    <w:rsid w:val="00560624"/>
    <w:rsid w:val="00560881"/>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EB4"/>
    <w:rsid w:val="005651DE"/>
    <w:rsid w:val="00565514"/>
    <w:rsid w:val="0056557A"/>
    <w:rsid w:val="005659DE"/>
    <w:rsid w:val="00565FCB"/>
    <w:rsid w:val="00566845"/>
    <w:rsid w:val="00566A6C"/>
    <w:rsid w:val="00566F82"/>
    <w:rsid w:val="00567B69"/>
    <w:rsid w:val="0057013D"/>
    <w:rsid w:val="00570584"/>
    <w:rsid w:val="0057094E"/>
    <w:rsid w:val="00570A00"/>
    <w:rsid w:val="005712D6"/>
    <w:rsid w:val="00571812"/>
    <w:rsid w:val="00571DCD"/>
    <w:rsid w:val="0057218C"/>
    <w:rsid w:val="005723F9"/>
    <w:rsid w:val="00572C81"/>
    <w:rsid w:val="00572E70"/>
    <w:rsid w:val="00572EB6"/>
    <w:rsid w:val="00573369"/>
    <w:rsid w:val="005737C9"/>
    <w:rsid w:val="00573C20"/>
    <w:rsid w:val="00574098"/>
    <w:rsid w:val="0057418A"/>
    <w:rsid w:val="0057492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204A"/>
    <w:rsid w:val="00582265"/>
    <w:rsid w:val="005824C6"/>
    <w:rsid w:val="00582629"/>
    <w:rsid w:val="00582674"/>
    <w:rsid w:val="005826EE"/>
    <w:rsid w:val="0058271E"/>
    <w:rsid w:val="0058283F"/>
    <w:rsid w:val="00582BA6"/>
    <w:rsid w:val="005834BC"/>
    <w:rsid w:val="00583930"/>
    <w:rsid w:val="00583BFE"/>
    <w:rsid w:val="00583D8A"/>
    <w:rsid w:val="00583DBE"/>
    <w:rsid w:val="005840EF"/>
    <w:rsid w:val="005845A3"/>
    <w:rsid w:val="005848F8"/>
    <w:rsid w:val="00584E2F"/>
    <w:rsid w:val="00585151"/>
    <w:rsid w:val="0058523B"/>
    <w:rsid w:val="0058525B"/>
    <w:rsid w:val="00585C03"/>
    <w:rsid w:val="00585F1C"/>
    <w:rsid w:val="00586637"/>
    <w:rsid w:val="00587C46"/>
    <w:rsid w:val="00587F56"/>
    <w:rsid w:val="00587FD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6B"/>
    <w:rsid w:val="005A2593"/>
    <w:rsid w:val="005A3196"/>
    <w:rsid w:val="005A339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2054"/>
    <w:rsid w:val="005B247D"/>
    <w:rsid w:val="005B2561"/>
    <w:rsid w:val="005B25AA"/>
    <w:rsid w:val="005B2607"/>
    <w:rsid w:val="005B26FD"/>
    <w:rsid w:val="005B3EF1"/>
    <w:rsid w:val="005B3F34"/>
    <w:rsid w:val="005B429E"/>
    <w:rsid w:val="005B42A7"/>
    <w:rsid w:val="005B44D0"/>
    <w:rsid w:val="005B4CD8"/>
    <w:rsid w:val="005B5B11"/>
    <w:rsid w:val="005B5C27"/>
    <w:rsid w:val="005B5C4A"/>
    <w:rsid w:val="005B5FC3"/>
    <w:rsid w:val="005B60BD"/>
    <w:rsid w:val="005B67FE"/>
    <w:rsid w:val="005B6837"/>
    <w:rsid w:val="005B705F"/>
    <w:rsid w:val="005B7A53"/>
    <w:rsid w:val="005C0607"/>
    <w:rsid w:val="005C0A76"/>
    <w:rsid w:val="005C0F3A"/>
    <w:rsid w:val="005C0F51"/>
    <w:rsid w:val="005C0FA9"/>
    <w:rsid w:val="005C0FE5"/>
    <w:rsid w:val="005C11E6"/>
    <w:rsid w:val="005C147A"/>
    <w:rsid w:val="005C1F3B"/>
    <w:rsid w:val="005C208C"/>
    <w:rsid w:val="005C2A7E"/>
    <w:rsid w:val="005C2E67"/>
    <w:rsid w:val="005C35ED"/>
    <w:rsid w:val="005C35FA"/>
    <w:rsid w:val="005C37F2"/>
    <w:rsid w:val="005C42EA"/>
    <w:rsid w:val="005C4616"/>
    <w:rsid w:val="005C4D24"/>
    <w:rsid w:val="005C4DD7"/>
    <w:rsid w:val="005C539A"/>
    <w:rsid w:val="005C5693"/>
    <w:rsid w:val="005C6F04"/>
    <w:rsid w:val="005C74F8"/>
    <w:rsid w:val="005C75B9"/>
    <w:rsid w:val="005C778A"/>
    <w:rsid w:val="005C794A"/>
    <w:rsid w:val="005C7B1F"/>
    <w:rsid w:val="005D070B"/>
    <w:rsid w:val="005D0C8D"/>
    <w:rsid w:val="005D12BF"/>
    <w:rsid w:val="005D14E9"/>
    <w:rsid w:val="005D1B75"/>
    <w:rsid w:val="005D1C71"/>
    <w:rsid w:val="005D21A6"/>
    <w:rsid w:val="005D29D5"/>
    <w:rsid w:val="005D3947"/>
    <w:rsid w:val="005D3D18"/>
    <w:rsid w:val="005D3E4A"/>
    <w:rsid w:val="005D3E97"/>
    <w:rsid w:val="005D3F76"/>
    <w:rsid w:val="005D4095"/>
    <w:rsid w:val="005D4641"/>
    <w:rsid w:val="005D49FF"/>
    <w:rsid w:val="005D4ACD"/>
    <w:rsid w:val="005D4BBC"/>
    <w:rsid w:val="005D4C36"/>
    <w:rsid w:val="005D4D0A"/>
    <w:rsid w:val="005D4D75"/>
    <w:rsid w:val="005D526E"/>
    <w:rsid w:val="005D52B6"/>
    <w:rsid w:val="005D5695"/>
    <w:rsid w:val="005D63D6"/>
    <w:rsid w:val="005D6CA0"/>
    <w:rsid w:val="005D7ED3"/>
    <w:rsid w:val="005E0862"/>
    <w:rsid w:val="005E08CF"/>
    <w:rsid w:val="005E1375"/>
    <w:rsid w:val="005E147F"/>
    <w:rsid w:val="005E178A"/>
    <w:rsid w:val="005E1CEB"/>
    <w:rsid w:val="005E2576"/>
    <w:rsid w:val="005E2A30"/>
    <w:rsid w:val="005E2FF1"/>
    <w:rsid w:val="005E3850"/>
    <w:rsid w:val="005E3B4D"/>
    <w:rsid w:val="005E3B5B"/>
    <w:rsid w:val="005E3DEF"/>
    <w:rsid w:val="005E3EE3"/>
    <w:rsid w:val="005E41A6"/>
    <w:rsid w:val="005E4E97"/>
    <w:rsid w:val="005E54F0"/>
    <w:rsid w:val="005E5790"/>
    <w:rsid w:val="005E57F7"/>
    <w:rsid w:val="005E5C65"/>
    <w:rsid w:val="005E5DFA"/>
    <w:rsid w:val="005E682E"/>
    <w:rsid w:val="005E68F3"/>
    <w:rsid w:val="005E6A57"/>
    <w:rsid w:val="005E6F86"/>
    <w:rsid w:val="005E70D9"/>
    <w:rsid w:val="005E7479"/>
    <w:rsid w:val="005E756A"/>
    <w:rsid w:val="005E7892"/>
    <w:rsid w:val="005F0245"/>
    <w:rsid w:val="005F0652"/>
    <w:rsid w:val="005F07BE"/>
    <w:rsid w:val="005F0DE4"/>
    <w:rsid w:val="005F1146"/>
    <w:rsid w:val="005F191F"/>
    <w:rsid w:val="005F3C0A"/>
    <w:rsid w:val="005F3CEA"/>
    <w:rsid w:val="005F4587"/>
    <w:rsid w:val="005F4A97"/>
    <w:rsid w:val="005F4E85"/>
    <w:rsid w:val="005F546F"/>
    <w:rsid w:val="005F5479"/>
    <w:rsid w:val="005F5B32"/>
    <w:rsid w:val="005F66DC"/>
    <w:rsid w:val="005F731B"/>
    <w:rsid w:val="005F786A"/>
    <w:rsid w:val="005F7EA3"/>
    <w:rsid w:val="00600DA1"/>
    <w:rsid w:val="006013FB"/>
    <w:rsid w:val="00601583"/>
    <w:rsid w:val="00601F1A"/>
    <w:rsid w:val="00601F8B"/>
    <w:rsid w:val="0060259D"/>
    <w:rsid w:val="00602746"/>
    <w:rsid w:val="0060294C"/>
    <w:rsid w:val="00602FB1"/>
    <w:rsid w:val="00603073"/>
    <w:rsid w:val="00603105"/>
    <w:rsid w:val="00603128"/>
    <w:rsid w:val="006036E2"/>
    <w:rsid w:val="006037C5"/>
    <w:rsid w:val="00603A7A"/>
    <w:rsid w:val="00604319"/>
    <w:rsid w:val="00604F87"/>
    <w:rsid w:val="0060508A"/>
    <w:rsid w:val="006052B9"/>
    <w:rsid w:val="00605607"/>
    <w:rsid w:val="00605E4D"/>
    <w:rsid w:val="00606002"/>
    <w:rsid w:val="0060624B"/>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07F"/>
    <w:rsid w:val="006261D9"/>
    <w:rsid w:val="006265D8"/>
    <w:rsid w:val="00626AAB"/>
    <w:rsid w:val="00630007"/>
    <w:rsid w:val="006305AE"/>
    <w:rsid w:val="00630940"/>
    <w:rsid w:val="00630B6A"/>
    <w:rsid w:val="006312F7"/>
    <w:rsid w:val="00631B50"/>
    <w:rsid w:val="006320CB"/>
    <w:rsid w:val="00632656"/>
    <w:rsid w:val="00632F67"/>
    <w:rsid w:val="006331E5"/>
    <w:rsid w:val="006335DE"/>
    <w:rsid w:val="006339B8"/>
    <w:rsid w:val="00633FD6"/>
    <w:rsid w:val="006345ED"/>
    <w:rsid w:val="006345EE"/>
    <w:rsid w:val="00634C72"/>
    <w:rsid w:val="0063515E"/>
    <w:rsid w:val="006361DC"/>
    <w:rsid w:val="00636330"/>
    <w:rsid w:val="00640005"/>
    <w:rsid w:val="0064043A"/>
    <w:rsid w:val="0064099A"/>
    <w:rsid w:val="00640EE9"/>
    <w:rsid w:val="00640FBA"/>
    <w:rsid w:val="00641758"/>
    <w:rsid w:val="00641A7A"/>
    <w:rsid w:val="00641B57"/>
    <w:rsid w:val="00641DF1"/>
    <w:rsid w:val="00641E4F"/>
    <w:rsid w:val="006420AB"/>
    <w:rsid w:val="00642978"/>
    <w:rsid w:val="00642B83"/>
    <w:rsid w:val="0064341D"/>
    <w:rsid w:val="00644462"/>
    <w:rsid w:val="00645164"/>
    <w:rsid w:val="00645C8C"/>
    <w:rsid w:val="006469A2"/>
    <w:rsid w:val="00646AB8"/>
    <w:rsid w:val="00646D0D"/>
    <w:rsid w:val="006470E5"/>
    <w:rsid w:val="006471F9"/>
    <w:rsid w:val="0064776F"/>
    <w:rsid w:val="0064782E"/>
    <w:rsid w:val="006479EC"/>
    <w:rsid w:val="00647A3C"/>
    <w:rsid w:val="0065045B"/>
    <w:rsid w:val="006507E9"/>
    <w:rsid w:val="00650822"/>
    <w:rsid w:val="00650A98"/>
    <w:rsid w:val="006521E6"/>
    <w:rsid w:val="006525F9"/>
    <w:rsid w:val="00652863"/>
    <w:rsid w:val="0065290E"/>
    <w:rsid w:val="00652921"/>
    <w:rsid w:val="00652950"/>
    <w:rsid w:val="00652E02"/>
    <w:rsid w:val="006532FB"/>
    <w:rsid w:val="00653C4B"/>
    <w:rsid w:val="00653D6D"/>
    <w:rsid w:val="006548AD"/>
    <w:rsid w:val="00654978"/>
    <w:rsid w:val="00655018"/>
    <w:rsid w:val="006559C6"/>
    <w:rsid w:val="006560A2"/>
    <w:rsid w:val="00656401"/>
    <w:rsid w:val="00656989"/>
    <w:rsid w:val="006572C7"/>
    <w:rsid w:val="00657372"/>
    <w:rsid w:val="006578FA"/>
    <w:rsid w:val="0066025F"/>
    <w:rsid w:val="00660473"/>
    <w:rsid w:val="0066047B"/>
    <w:rsid w:val="00660E13"/>
    <w:rsid w:val="0066141F"/>
    <w:rsid w:val="00661471"/>
    <w:rsid w:val="006615CE"/>
    <w:rsid w:val="00661B9D"/>
    <w:rsid w:val="006624EE"/>
    <w:rsid w:val="006628C1"/>
    <w:rsid w:val="00662E8A"/>
    <w:rsid w:val="00663136"/>
    <w:rsid w:val="00663BB8"/>
    <w:rsid w:val="00663CD7"/>
    <w:rsid w:val="00663EBA"/>
    <w:rsid w:val="00663F2E"/>
    <w:rsid w:val="0066419D"/>
    <w:rsid w:val="0066434A"/>
    <w:rsid w:val="00664404"/>
    <w:rsid w:val="00664879"/>
    <w:rsid w:val="006655C3"/>
    <w:rsid w:val="00665DB3"/>
    <w:rsid w:val="006661AE"/>
    <w:rsid w:val="006661E7"/>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6D6"/>
    <w:rsid w:val="00682D13"/>
    <w:rsid w:val="00682DEB"/>
    <w:rsid w:val="00682F49"/>
    <w:rsid w:val="006838FF"/>
    <w:rsid w:val="00683A08"/>
    <w:rsid w:val="006840B6"/>
    <w:rsid w:val="006840C7"/>
    <w:rsid w:val="0068441B"/>
    <w:rsid w:val="0068476F"/>
    <w:rsid w:val="00684C89"/>
    <w:rsid w:val="00685196"/>
    <w:rsid w:val="0068553C"/>
    <w:rsid w:val="006856C2"/>
    <w:rsid w:val="00686F72"/>
    <w:rsid w:val="0068744E"/>
    <w:rsid w:val="00687644"/>
    <w:rsid w:val="00687A58"/>
    <w:rsid w:val="00687CF6"/>
    <w:rsid w:val="00687D00"/>
    <w:rsid w:val="0069098B"/>
    <w:rsid w:val="00691115"/>
    <w:rsid w:val="006914F0"/>
    <w:rsid w:val="006915DB"/>
    <w:rsid w:val="006926D4"/>
    <w:rsid w:val="00692D1A"/>
    <w:rsid w:val="006930F8"/>
    <w:rsid w:val="00693912"/>
    <w:rsid w:val="00693BDB"/>
    <w:rsid w:val="006940D3"/>
    <w:rsid w:val="006940F0"/>
    <w:rsid w:val="00694113"/>
    <w:rsid w:val="006947F6"/>
    <w:rsid w:val="006949CD"/>
    <w:rsid w:val="00694D72"/>
    <w:rsid w:val="00695C9D"/>
    <w:rsid w:val="006962AA"/>
    <w:rsid w:val="006966DF"/>
    <w:rsid w:val="00696FF1"/>
    <w:rsid w:val="006972F7"/>
    <w:rsid w:val="00697F3F"/>
    <w:rsid w:val="006A0405"/>
    <w:rsid w:val="006A0747"/>
    <w:rsid w:val="006A14AC"/>
    <w:rsid w:val="006A1640"/>
    <w:rsid w:val="006A16A8"/>
    <w:rsid w:val="006A18E6"/>
    <w:rsid w:val="006A1DBF"/>
    <w:rsid w:val="006A273B"/>
    <w:rsid w:val="006A29F8"/>
    <w:rsid w:val="006A3786"/>
    <w:rsid w:val="006A3E95"/>
    <w:rsid w:val="006A43FD"/>
    <w:rsid w:val="006A4E28"/>
    <w:rsid w:val="006A50E1"/>
    <w:rsid w:val="006A55B0"/>
    <w:rsid w:val="006A5946"/>
    <w:rsid w:val="006A5BE3"/>
    <w:rsid w:val="006A5C43"/>
    <w:rsid w:val="006A683D"/>
    <w:rsid w:val="006A6C1F"/>
    <w:rsid w:val="006A6CA6"/>
    <w:rsid w:val="006A77AB"/>
    <w:rsid w:val="006A7A44"/>
    <w:rsid w:val="006A7D09"/>
    <w:rsid w:val="006B0723"/>
    <w:rsid w:val="006B0794"/>
    <w:rsid w:val="006B0EF2"/>
    <w:rsid w:val="006B1213"/>
    <w:rsid w:val="006B14B4"/>
    <w:rsid w:val="006B1692"/>
    <w:rsid w:val="006B1A4C"/>
    <w:rsid w:val="006B25B8"/>
    <w:rsid w:val="006B26C9"/>
    <w:rsid w:val="006B3E1A"/>
    <w:rsid w:val="006B3F37"/>
    <w:rsid w:val="006B484B"/>
    <w:rsid w:val="006B49F5"/>
    <w:rsid w:val="006B4DB0"/>
    <w:rsid w:val="006B51B9"/>
    <w:rsid w:val="006B6130"/>
    <w:rsid w:val="006B632A"/>
    <w:rsid w:val="006B657B"/>
    <w:rsid w:val="006B7123"/>
    <w:rsid w:val="006B75B6"/>
    <w:rsid w:val="006B7772"/>
    <w:rsid w:val="006C0484"/>
    <w:rsid w:val="006C05A9"/>
    <w:rsid w:val="006C0F83"/>
    <w:rsid w:val="006C179E"/>
    <w:rsid w:val="006C1850"/>
    <w:rsid w:val="006C1A10"/>
    <w:rsid w:val="006C1A5F"/>
    <w:rsid w:val="006C1D4C"/>
    <w:rsid w:val="006C2910"/>
    <w:rsid w:val="006C2CB1"/>
    <w:rsid w:val="006C2D53"/>
    <w:rsid w:val="006C3AB5"/>
    <w:rsid w:val="006C3FF2"/>
    <w:rsid w:val="006C562C"/>
    <w:rsid w:val="006C61A8"/>
    <w:rsid w:val="006C65A0"/>
    <w:rsid w:val="006C6E7A"/>
    <w:rsid w:val="006C7394"/>
    <w:rsid w:val="006C76C7"/>
    <w:rsid w:val="006C7EC3"/>
    <w:rsid w:val="006D023C"/>
    <w:rsid w:val="006D0793"/>
    <w:rsid w:val="006D0B8E"/>
    <w:rsid w:val="006D0F97"/>
    <w:rsid w:val="006D130E"/>
    <w:rsid w:val="006D1A28"/>
    <w:rsid w:val="006D1B1C"/>
    <w:rsid w:val="006D21C1"/>
    <w:rsid w:val="006D2BDA"/>
    <w:rsid w:val="006D348B"/>
    <w:rsid w:val="006D3522"/>
    <w:rsid w:val="006D3530"/>
    <w:rsid w:val="006D3751"/>
    <w:rsid w:val="006D4415"/>
    <w:rsid w:val="006D47F4"/>
    <w:rsid w:val="006D48BD"/>
    <w:rsid w:val="006D4DAD"/>
    <w:rsid w:val="006D511D"/>
    <w:rsid w:val="006D5683"/>
    <w:rsid w:val="006D60C9"/>
    <w:rsid w:val="006D6997"/>
    <w:rsid w:val="006D6F11"/>
    <w:rsid w:val="006D7E4B"/>
    <w:rsid w:val="006D7EAC"/>
    <w:rsid w:val="006E02BA"/>
    <w:rsid w:val="006E03A8"/>
    <w:rsid w:val="006E0CFF"/>
    <w:rsid w:val="006E17E8"/>
    <w:rsid w:val="006E1A47"/>
    <w:rsid w:val="006E255D"/>
    <w:rsid w:val="006E3379"/>
    <w:rsid w:val="006E3648"/>
    <w:rsid w:val="006E38CF"/>
    <w:rsid w:val="006E4494"/>
    <w:rsid w:val="006E551D"/>
    <w:rsid w:val="006E566E"/>
    <w:rsid w:val="006E5CD9"/>
    <w:rsid w:val="006E737E"/>
    <w:rsid w:val="006E7CBD"/>
    <w:rsid w:val="006E7FC2"/>
    <w:rsid w:val="006F000F"/>
    <w:rsid w:val="006F003B"/>
    <w:rsid w:val="006F090F"/>
    <w:rsid w:val="006F1238"/>
    <w:rsid w:val="006F1358"/>
    <w:rsid w:val="006F1F39"/>
    <w:rsid w:val="006F27E3"/>
    <w:rsid w:val="006F28FB"/>
    <w:rsid w:val="006F2EE7"/>
    <w:rsid w:val="006F316D"/>
    <w:rsid w:val="006F337A"/>
    <w:rsid w:val="006F3918"/>
    <w:rsid w:val="006F39CD"/>
    <w:rsid w:val="006F3DAA"/>
    <w:rsid w:val="006F4F72"/>
    <w:rsid w:val="006F529F"/>
    <w:rsid w:val="006F5FB6"/>
    <w:rsid w:val="006F7DDF"/>
    <w:rsid w:val="00700123"/>
    <w:rsid w:val="007004A0"/>
    <w:rsid w:val="0070109F"/>
    <w:rsid w:val="00701447"/>
    <w:rsid w:val="007016A8"/>
    <w:rsid w:val="007016D3"/>
    <w:rsid w:val="00701979"/>
    <w:rsid w:val="00701F65"/>
    <w:rsid w:val="007021FC"/>
    <w:rsid w:val="007023A5"/>
    <w:rsid w:val="00702672"/>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892"/>
    <w:rsid w:val="00707ACC"/>
    <w:rsid w:val="007103DE"/>
    <w:rsid w:val="007104DD"/>
    <w:rsid w:val="007108D9"/>
    <w:rsid w:val="00711196"/>
    <w:rsid w:val="00711564"/>
    <w:rsid w:val="00711B3F"/>
    <w:rsid w:val="00712024"/>
    <w:rsid w:val="007121B4"/>
    <w:rsid w:val="00712886"/>
    <w:rsid w:val="00713D1E"/>
    <w:rsid w:val="00713DE8"/>
    <w:rsid w:val="00714306"/>
    <w:rsid w:val="0071490A"/>
    <w:rsid w:val="007150D4"/>
    <w:rsid w:val="0071544C"/>
    <w:rsid w:val="007155A7"/>
    <w:rsid w:val="00715664"/>
    <w:rsid w:val="00715A72"/>
    <w:rsid w:val="00715EA4"/>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511"/>
    <w:rsid w:val="00724A61"/>
    <w:rsid w:val="00724F8A"/>
    <w:rsid w:val="0072578A"/>
    <w:rsid w:val="00725F9F"/>
    <w:rsid w:val="0072662E"/>
    <w:rsid w:val="00726CB3"/>
    <w:rsid w:val="00730355"/>
    <w:rsid w:val="00730825"/>
    <w:rsid w:val="00730CA1"/>
    <w:rsid w:val="00730D1A"/>
    <w:rsid w:val="007311D1"/>
    <w:rsid w:val="00731544"/>
    <w:rsid w:val="0073158E"/>
    <w:rsid w:val="007315F4"/>
    <w:rsid w:val="0073172A"/>
    <w:rsid w:val="00732773"/>
    <w:rsid w:val="00732EBC"/>
    <w:rsid w:val="00733672"/>
    <w:rsid w:val="0073379C"/>
    <w:rsid w:val="00733B0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BA0"/>
    <w:rsid w:val="00741015"/>
    <w:rsid w:val="00741510"/>
    <w:rsid w:val="00742DC6"/>
    <w:rsid w:val="007433F0"/>
    <w:rsid w:val="00743ADC"/>
    <w:rsid w:val="00743CE3"/>
    <w:rsid w:val="00744416"/>
    <w:rsid w:val="00744493"/>
    <w:rsid w:val="007446F8"/>
    <w:rsid w:val="00744C97"/>
    <w:rsid w:val="007462EC"/>
    <w:rsid w:val="00746589"/>
    <w:rsid w:val="0074663B"/>
    <w:rsid w:val="00747DCF"/>
    <w:rsid w:val="0075090A"/>
    <w:rsid w:val="00750B94"/>
    <w:rsid w:val="00751195"/>
    <w:rsid w:val="007514A9"/>
    <w:rsid w:val="00751720"/>
    <w:rsid w:val="0075215B"/>
    <w:rsid w:val="007522AF"/>
    <w:rsid w:val="007533C9"/>
    <w:rsid w:val="007539CB"/>
    <w:rsid w:val="00753B99"/>
    <w:rsid w:val="00753F62"/>
    <w:rsid w:val="007544A9"/>
    <w:rsid w:val="007550EE"/>
    <w:rsid w:val="00755901"/>
    <w:rsid w:val="00755D9A"/>
    <w:rsid w:val="00756B31"/>
    <w:rsid w:val="00757425"/>
    <w:rsid w:val="0075771E"/>
    <w:rsid w:val="00757887"/>
    <w:rsid w:val="0075790F"/>
    <w:rsid w:val="00761795"/>
    <w:rsid w:val="00761AC8"/>
    <w:rsid w:val="00761DB1"/>
    <w:rsid w:val="0076206F"/>
    <w:rsid w:val="00762226"/>
    <w:rsid w:val="00762400"/>
    <w:rsid w:val="00762BA4"/>
    <w:rsid w:val="00762CF0"/>
    <w:rsid w:val="007632E0"/>
    <w:rsid w:val="007634AC"/>
    <w:rsid w:val="00764453"/>
    <w:rsid w:val="00764801"/>
    <w:rsid w:val="00764C4A"/>
    <w:rsid w:val="0076515D"/>
    <w:rsid w:val="007655FA"/>
    <w:rsid w:val="007658E5"/>
    <w:rsid w:val="00765AA7"/>
    <w:rsid w:val="00765C16"/>
    <w:rsid w:val="00766003"/>
    <w:rsid w:val="007669D7"/>
    <w:rsid w:val="007679EB"/>
    <w:rsid w:val="00770C8A"/>
    <w:rsid w:val="00770D94"/>
    <w:rsid w:val="0077160D"/>
    <w:rsid w:val="00771631"/>
    <w:rsid w:val="007719AA"/>
    <w:rsid w:val="00771F9B"/>
    <w:rsid w:val="00772559"/>
    <w:rsid w:val="0077261D"/>
    <w:rsid w:val="00772656"/>
    <w:rsid w:val="0077271B"/>
    <w:rsid w:val="00772ADE"/>
    <w:rsid w:val="00772D6E"/>
    <w:rsid w:val="00772F01"/>
    <w:rsid w:val="00774114"/>
    <w:rsid w:val="007756C3"/>
    <w:rsid w:val="00776033"/>
    <w:rsid w:val="0077621D"/>
    <w:rsid w:val="007762CD"/>
    <w:rsid w:val="0077684B"/>
    <w:rsid w:val="00776BD3"/>
    <w:rsid w:val="00777290"/>
    <w:rsid w:val="007772E8"/>
    <w:rsid w:val="00780273"/>
    <w:rsid w:val="00780355"/>
    <w:rsid w:val="00780956"/>
    <w:rsid w:val="00781619"/>
    <w:rsid w:val="00781725"/>
    <w:rsid w:val="007818C2"/>
    <w:rsid w:val="00781C82"/>
    <w:rsid w:val="00781F43"/>
    <w:rsid w:val="0078233F"/>
    <w:rsid w:val="007828D5"/>
    <w:rsid w:val="00782A08"/>
    <w:rsid w:val="00782D8F"/>
    <w:rsid w:val="00782F00"/>
    <w:rsid w:val="00782FC5"/>
    <w:rsid w:val="00783263"/>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E96"/>
    <w:rsid w:val="007934D4"/>
    <w:rsid w:val="0079394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D39"/>
    <w:rsid w:val="00797E54"/>
    <w:rsid w:val="007A0692"/>
    <w:rsid w:val="007A0B62"/>
    <w:rsid w:val="007A11B0"/>
    <w:rsid w:val="007A1236"/>
    <w:rsid w:val="007A1760"/>
    <w:rsid w:val="007A1D32"/>
    <w:rsid w:val="007A21A0"/>
    <w:rsid w:val="007A28A4"/>
    <w:rsid w:val="007A2A69"/>
    <w:rsid w:val="007A2A6F"/>
    <w:rsid w:val="007A39D3"/>
    <w:rsid w:val="007A3BDD"/>
    <w:rsid w:val="007A3D3F"/>
    <w:rsid w:val="007A3E4D"/>
    <w:rsid w:val="007A4506"/>
    <w:rsid w:val="007A4BE7"/>
    <w:rsid w:val="007A518D"/>
    <w:rsid w:val="007A57AE"/>
    <w:rsid w:val="007A6C29"/>
    <w:rsid w:val="007A6E20"/>
    <w:rsid w:val="007A6FD8"/>
    <w:rsid w:val="007A7136"/>
    <w:rsid w:val="007A73DA"/>
    <w:rsid w:val="007A7498"/>
    <w:rsid w:val="007A74B2"/>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3057"/>
    <w:rsid w:val="007B4597"/>
    <w:rsid w:val="007B47A0"/>
    <w:rsid w:val="007B5174"/>
    <w:rsid w:val="007B5336"/>
    <w:rsid w:val="007B55C5"/>
    <w:rsid w:val="007B57D2"/>
    <w:rsid w:val="007B5E43"/>
    <w:rsid w:val="007B5F3C"/>
    <w:rsid w:val="007B5F62"/>
    <w:rsid w:val="007B6CC6"/>
    <w:rsid w:val="007B6F4D"/>
    <w:rsid w:val="007B70FB"/>
    <w:rsid w:val="007B72CD"/>
    <w:rsid w:val="007B74DB"/>
    <w:rsid w:val="007B7566"/>
    <w:rsid w:val="007C0482"/>
    <w:rsid w:val="007C123C"/>
    <w:rsid w:val="007C1637"/>
    <w:rsid w:val="007C1DC9"/>
    <w:rsid w:val="007C20FE"/>
    <w:rsid w:val="007C2343"/>
    <w:rsid w:val="007C24BB"/>
    <w:rsid w:val="007C2678"/>
    <w:rsid w:val="007C277D"/>
    <w:rsid w:val="007C3435"/>
    <w:rsid w:val="007C35A9"/>
    <w:rsid w:val="007C360B"/>
    <w:rsid w:val="007C376A"/>
    <w:rsid w:val="007C3888"/>
    <w:rsid w:val="007C4A77"/>
    <w:rsid w:val="007C4AC1"/>
    <w:rsid w:val="007C4ACA"/>
    <w:rsid w:val="007C55A5"/>
    <w:rsid w:val="007C55BE"/>
    <w:rsid w:val="007C5AB5"/>
    <w:rsid w:val="007C62D0"/>
    <w:rsid w:val="007C766F"/>
    <w:rsid w:val="007C7AD6"/>
    <w:rsid w:val="007C7C59"/>
    <w:rsid w:val="007C7DC7"/>
    <w:rsid w:val="007D03B3"/>
    <w:rsid w:val="007D0816"/>
    <w:rsid w:val="007D0F3B"/>
    <w:rsid w:val="007D15F0"/>
    <w:rsid w:val="007D178B"/>
    <w:rsid w:val="007D1B64"/>
    <w:rsid w:val="007D1F73"/>
    <w:rsid w:val="007D22CE"/>
    <w:rsid w:val="007D2C50"/>
    <w:rsid w:val="007D33FA"/>
    <w:rsid w:val="007D3A86"/>
    <w:rsid w:val="007D3B12"/>
    <w:rsid w:val="007D3BC5"/>
    <w:rsid w:val="007D40F5"/>
    <w:rsid w:val="007D46D8"/>
    <w:rsid w:val="007D4892"/>
    <w:rsid w:val="007D48E9"/>
    <w:rsid w:val="007D4A1A"/>
    <w:rsid w:val="007D4D44"/>
    <w:rsid w:val="007D53CB"/>
    <w:rsid w:val="007D561F"/>
    <w:rsid w:val="007D5857"/>
    <w:rsid w:val="007D5BB4"/>
    <w:rsid w:val="007D5E4F"/>
    <w:rsid w:val="007D6246"/>
    <w:rsid w:val="007D68DB"/>
    <w:rsid w:val="007D6E43"/>
    <w:rsid w:val="007D6F86"/>
    <w:rsid w:val="007D72CB"/>
    <w:rsid w:val="007D72EB"/>
    <w:rsid w:val="007D7CDD"/>
    <w:rsid w:val="007E08C9"/>
    <w:rsid w:val="007E0F8F"/>
    <w:rsid w:val="007E13A8"/>
    <w:rsid w:val="007E2236"/>
    <w:rsid w:val="007E296A"/>
    <w:rsid w:val="007E2A9F"/>
    <w:rsid w:val="007E317C"/>
    <w:rsid w:val="007E3456"/>
    <w:rsid w:val="007E35D0"/>
    <w:rsid w:val="007E3A03"/>
    <w:rsid w:val="007E3E82"/>
    <w:rsid w:val="007E44F9"/>
    <w:rsid w:val="007E47D5"/>
    <w:rsid w:val="007E4C3C"/>
    <w:rsid w:val="007E502A"/>
    <w:rsid w:val="007E5268"/>
    <w:rsid w:val="007E53AF"/>
    <w:rsid w:val="007E5ED9"/>
    <w:rsid w:val="007E5EDC"/>
    <w:rsid w:val="007E6646"/>
    <w:rsid w:val="007E67D9"/>
    <w:rsid w:val="007E6C51"/>
    <w:rsid w:val="007E7232"/>
    <w:rsid w:val="007E72AB"/>
    <w:rsid w:val="007E7E0F"/>
    <w:rsid w:val="007F0378"/>
    <w:rsid w:val="007F0684"/>
    <w:rsid w:val="007F06B6"/>
    <w:rsid w:val="007F06E8"/>
    <w:rsid w:val="007F0AF8"/>
    <w:rsid w:val="007F1933"/>
    <w:rsid w:val="007F1B94"/>
    <w:rsid w:val="007F1F1C"/>
    <w:rsid w:val="007F219A"/>
    <w:rsid w:val="007F35B8"/>
    <w:rsid w:val="007F3A71"/>
    <w:rsid w:val="007F3D80"/>
    <w:rsid w:val="007F3F16"/>
    <w:rsid w:val="007F4906"/>
    <w:rsid w:val="007F4981"/>
    <w:rsid w:val="007F507E"/>
    <w:rsid w:val="007F6340"/>
    <w:rsid w:val="007F65DB"/>
    <w:rsid w:val="007F6761"/>
    <w:rsid w:val="007F6BC4"/>
    <w:rsid w:val="007F70D4"/>
    <w:rsid w:val="007F76B6"/>
    <w:rsid w:val="007F7ABF"/>
    <w:rsid w:val="0080073F"/>
    <w:rsid w:val="00801607"/>
    <w:rsid w:val="00801713"/>
    <w:rsid w:val="0080176E"/>
    <w:rsid w:val="00801B94"/>
    <w:rsid w:val="00801CB1"/>
    <w:rsid w:val="008026A2"/>
    <w:rsid w:val="00802A50"/>
    <w:rsid w:val="00802AA7"/>
    <w:rsid w:val="00802B6F"/>
    <w:rsid w:val="008038AE"/>
    <w:rsid w:val="00803AAC"/>
    <w:rsid w:val="00803ACE"/>
    <w:rsid w:val="00805834"/>
    <w:rsid w:val="00805B99"/>
    <w:rsid w:val="00805D3E"/>
    <w:rsid w:val="008065B9"/>
    <w:rsid w:val="00806E9B"/>
    <w:rsid w:val="00807090"/>
    <w:rsid w:val="00807926"/>
    <w:rsid w:val="00807A15"/>
    <w:rsid w:val="00807AB5"/>
    <w:rsid w:val="008100A2"/>
    <w:rsid w:val="008107F5"/>
    <w:rsid w:val="00810A75"/>
    <w:rsid w:val="00810D27"/>
    <w:rsid w:val="00810E30"/>
    <w:rsid w:val="00810ED7"/>
    <w:rsid w:val="00811057"/>
    <w:rsid w:val="0081169E"/>
    <w:rsid w:val="008123D4"/>
    <w:rsid w:val="00812B2D"/>
    <w:rsid w:val="00813AEB"/>
    <w:rsid w:val="00814049"/>
    <w:rsid w:val="00814CAD"/>
    <w:rsid w:val="00814CEC"/>
    <w:rsid w:val="0081580E"/>
    <w:rsid w:val="00815914"/>
    <w:rsid w:val="00815BB1"/>
    <w:rsid w:val="0081623E"/>
    <w:rsid w:val="00817D96"/>
    <w:rsid w:val="00817E6F"/>
    <w:rsid w:val="00817F9A"/>
    <w:rsid w:val="00820896"/>
    <w:rsid w:val="00821A07"/>
    <w:rsid w:val="008227FA"/>
    <w:rsid w:val="008229A2"/>
    <w:rsid w:val="00823352"/>
    <w:rsid w:val="0082443D"/>
    <w:rsid w:val="00824A9E"/>
    <w:rsid w:val="00824E44"/>
    <w:rsid w:val="00825ED1"/>
    <w:rsid w:val="00825EDB"/>
    <w:rsid w:val="00825F58"/>
    <w:rsid w:val="008264EB"/>
    <w:rsid w:val="008266E6"/>
    <w:rsid w:val="008268CF"/>
    <w:rsid w:val="00826DEF"/>
    <w:rsid w:val="008270EE"/>
    <w:rsid w:val="00827497"/>
    <w:rsid w:val="008275A9"/>
    <w:rsid w:val="0083026B"/>
    <w:rsid w:val="008307F9"/>
    <w:rsid w:val="00830845"/>
    <w:rsid w:val="0083098F"/>
    <w:rsid w:val="008309E1"/>
    <w:rsid w:val="00831472"/>
    <w:rsid w:val="008327F0"/>
    <w:rsid w:val="008329FF"/>
    <w:rsid w:val="00832ECB"/>
    <w:rsid w:val="0083302B"/>
    <w:rsid w:val="00833511"/>
    <w:rsid w:val="00833526"/>
    <w:rsid w:val="008340EC"/>
    <w:rsid w:val="00834B47"/>
    <w:rsid w:val="00835459"/>
    <w:rsid w:val="00836259"/>
    <w:rsid w:val="00836E1B"/>
    <w:rsid w:val="0083793C"/>
    <w:rsid w:val="00837C92"/>
    <w:rsid w:val="00837F0F"/>
    <w:rsid w:val="00837FEE"/>
    <w:rsid w:val="008416E5"/>
    <w:rsid w:val="00841A00"/>
    <w:rsid w:val="0084210C"/>
    <w:rsid w:val="00842BBA"/>
    <w:rsid w:val="00842D41"/>
    <w:rsid w:val="00842E56"/>
    <w:rsid w:val="00843029"/>
    <w:rsid w:val="00843420"/>
    <w:rsid w:val="00843B5D"/>
    <w:rsid w:val="00843F87"/>
    <w:rsid w:val="008447D4"/>
    <w:rsid w:val="0084506C"/>
    <w:rsid w:val="008454BD"/>
    <w:rsid w:val="008463F3"/>
    <w:rsid w:val="00846509"/>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5089"/>
    <w:rsid w:val="008558A1"/>
    <w:rsid w:val="00855A1E"/>
    <w:rsid w:val="00855DEB"/>
    <w:rsid w:val="0085642F"/>
    <w:rsid w:val="008573AF"/>
    <w:rsid w:val="008573F8"/>
    <w:rsid w:val="00857645"/>
    <w:rsid w:val="00857D80"/>
    <w:rsid w:val="008602FC"/>
    <w:rsid w:val="00860989"/>
    <w:rsid w:val="00860CF9"/>
    <w:rsid w:val="008614A8"/>
    <w:rsid w:val="008622D3"/>
    <w:rsid w:val="0086268A"/>
    <w:rsid w:val="008627D9"/>
    <w:rsid w:val="00862EE5"/>
    <w:rsid w:val="00863626"/>
    <w:rsid w:val="008639A2"/>
    <w:rsid w:val="00863BBB"/>
    <w:rsid w:val="008640FD"/>
    <w:rsid w:val="0086426C"/>
    <w:rsid w:val="008644D5"/>
    <w:rsid w:val="0086564F"/>
    <w:rsid w:val="00865681"/>
    <w:rsid w:val="00865C9A"/>
    <w:rsid w:val="00866618"/>
    <w:rsid w:val="00867578"/>
    <w:rsid w:val="00867B6B"/>
    <w:rsid w:val="00867FDD"/>
    <w:rsid w:val="0087000F"/>
    <w:rsid w:val="00870788"/>
    <w:rsid w:val="00870923"/>
    <w:rsid w:val="00870A8A"/>
    <w:rsid w:val="00870AFC"/>
    <w:rsid w:val="00870F67"/>
    <w:rsid w:val="00870F6E"/>
    <w:rsid w:val="008715CC"/>
    <w:rsid w:val="00872589"/>
    <w:rsid w:val="00872770"/>
    <w:rsid w:val="00873125"/>
    <w:rsid w:val="008731F2"/>
    <w:rsid w:val="00873754"/>
    <w:rsid w:val="00873CF3"/>
    <w:rsid w:val="008752FC"/>
    <w:rsid w:val="0087591B"/>
    <w:rsid w:val="00875FA4"/>
    <w:rsid w:val="008763C8"/>
    <w:rsid w:val="0087656D"/>
    <w:rsid w:val="0087672D"/>
    <w:rsid w:val="008779E9"/>
    <w:rsid w:val="00877D2C"/>
    <w:rsid w:val="00877D6E"/>
    <w:rsid w:val="00877E35"/>
    <w:rsid w:val="0088014E"/>
    <w:rsid w:val="00880AA4"/>
    <w:rsid w:val="00880BAB"/>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6188"/>
    <w:rsid w:val="0088651F"/>
    <w:rsid w:val="00886632"/>
    <w:rsid w:val="00886922"/>
    <w:rsid w:val="00887063"/>
    <w:rsid w:val="00887798"/>
    <w:rsid w:val="0088796B"/>
    <w:rsid w:val="00887D83"/>
    <w:rsid w:val="00887F1B"/>
    <w:rsid w:val="008900CF"/>
    <w:rsid w:val="008903F8"/>
    <w:rsid w:val="00890709"/>
    <w:rsid w:val="00891AE3"/>
    <w:rsid w:val="00891C10"/>
    <w:rsid w:val="00891D67"/>
    <w:rsid w:val="00892165"/>
    <w:rsid w:val="008922CF"/>
    <w:rsid w:val="008923D1"/>
    <w:rsid w:val="008925B9"/>
    <w:rsid w:val="00892AEE"/>
    <w:rsid w:val="008937AC"/>
    <w:rsid w:val="008937CB"/>
    <w:rsid w:val="00893FF7"/>
    <w:rsid w:val="0089427B"/>
    <w:rsid w:val="008942A5"/>
    <w:rsid w:val="0089483C"/>
    <w:rsid w:val="00894A6B"/>
    <w:rsid w:val="00894A7F"/>
    <w:rsid w:val="00895DCC"/>
    <w:rsid w:val="00895E5A"/>
    <w:rsid w:val="008962BC"/>
    <w:rsid w:val="008973BA"/>
    <w:rsid w:val="00897502"/>
    <w:rsid w:val="00897602"/>
    <w:rsid w:val="00897855"/>
    <w:rsid w:val="008A03C3"/>
    <w:rsid w:val="008A0B6D"/>
    <w:rsid w:val="008A0E02"/>
    <w:rsid w:val="008A0E63"/>
    <w:rsid w:val="008A0F85"/>
    <w:rsid w:val="008A173F"/>
    <w:rsid w:val="008A1EFD"/>
    <w:rsid w:val="008A1F90"/>
    <w:rsid w:val="008A211F"/>
    <w:rsid w:val="008A2385"/>
    <w:rsid w:val="008A2790"/>
    <w:rsid w:val="008A2830"/>
    <w:rsid w:val="008A2C5D"/>
    <w:rsid w:val="008A30BD"/>
    <w:rsid w:val="008A3C32"/>
    <w:rsid w:val="008A3F1E"/>
    <w:rsid w:val="008A444A"/>
    <w:rsid w:val="008A46CB"/>
    <w:rsid w:val="008A4876"/>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D7A"/>
    <w:rsid w:val="008B1E06"/>
    <w:rsid w:val="008B20A4"/>
    <w:rsid w:val="008B2F1A"/>
    <w:rsid w:val="008B31AD"/>
    <w:rsid w:val="008B331F"/>
    <w:rsid w:val="008B3A87"/>
    <w:rsid w:val="008B3C1F"/>
    <w:rsid w:val="008B3D7A"/>
    <w:rsid w:val="008B4243"/>
    <w:rsid w:val="008B47F4"/>
    <w:rsid w:val="008B4953"/>
    <w:rsid w:val="008B4E19"/>
    <w:rsid w:val="008B4F72"/>
    <w:rsid w:val="008B58E4"/>
    <w:rsid w:val="008B5A61"/>
    <w:rsid w:val="008B5F58"/>
    <w:rsid w:val="008B6190"/>
    <w:rsid w:val="008B6367"/>
    <w:rsid w:val="008B63AD"/>
    <w:rsid w:val="008B6939"/>
    <w:rsid w:val="008B6A05"/>
    <w:rsid w:val="008B6ADB"/>
    <w:rsid w:val="008B7546"/>
    <w:rsid w:val="008B75A5"/>
    <w:rsid w:val="008B7ECB"/>
    <w:rsid w:val="008C0557"/>
    <w:rsid w:val="008C0771"/>
    <w:rsid w:val="008C0845"/>
    <w:rsid w:val="008C12D2"/>
    <w:rsid w:val="008C1779"/>
    <w:rsid w:val="008C1DC1"/>
    <w:rsid w:val="008C287C"/>
    <w:rsid w:val="008C28B3"/>
    <w:rsid w:val="008C3591"/>
    <w:rsid w:val="008C3982"/>
    <w:rsid w:val="008C3A88"/>
    <w:rsid w:val="008C3AC1"/>
    <w:rsid w:val="008C3D73"/>
    <w:rsid w:val="008C41CD"/>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FD"/>
    <w:rsid w:val="008D5C9A"/>
    <w:rsid w:val="008D5D6F"/>
    <w:rsid w:val="008D5DAB"/>
    <w:rsid w:val="008D6641"/>
    <w:rsid w:val="008D6847"/>
    <w:rsid w:val="008D6968"/>
    <w:rsid w:val="008D6C68"/>
    <w:rsid w:val="008D71F3"/>
    <w:rsid w:val="008D746A"/>
    <w:rsid w:val="008D7640"/>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3682"/>
    <w:rsid w:val="008E3958"/>
    <w:rsid w:val="008E52E7"/>
    <w:rsid w:val="008E53DB"/>
    <w:rsid w:val="008E5A4E"/>
    <w:rsid w:val="008E6282"/>
    <w:rsid w:val="008E646A"/>
    <w:rsid w:val="008E6D37"/>
    <w:rsid w:val="008E6F52"/>
    <w:rsid w:val="008E6F6B"/>
    <w:rsid w:val="008E712B"/>
    <w:rsid w:val="008E7155"/>
    <w:rsid w:val="008E71FB"/>
    <w:rsid w:val="008E7365"/>
    <w:rsid w:val="008E78ED"/>
    <w:rsid w:val="008F0248"/>
    <w:rsid w:val="008F07B8"/>
    <w:rsid w:val="008F0932"/>
    <w:rsid w:val="008F0945"/>
    <w:rsid w:val="008F0A86"/>
    <w:rsid w:val="008F0EF5"/>
    <w:rsid w:val="008F1238"/>
    <w:rsid w:val="008F14CA"/>
    <w:rsid w:val="008F257A"/>
    <w:rsid w:val="008F2A47"/>
    <w:rsid w:val="008F35D9"/>
    <w:rsid w:val="008F3793"/>
    <w:rsid w:val="008F3F41"/>
    <w:rsid w:val="008F438C"/>
    <w:rsid w:val="008F43D6"/>
    <w:rsid w:val="008F45BC"/>
    <w:rsid w:val="008F49F3"/>
    <w:rsid w:val="008F525C"/>
    <w:rsid w:val="008F5309"/>
    <w:rsid w:val="008F540C"/>
    <w:rsid w:val="008F6060"/>
    <w:rsid w:val="008F61B8"/>
    <w:rsid w:val="008F6426"/>
    <w:rsid w:val="008F6B8B"/>
    <w:rsid w:val="0090097F"/>
    <w:rsid w:val="00900D92"/>
    <w:rsid w:val="0090146E"/>
    <w:rsid w:val="009015F4"/>
    <w:rsid w:val="009017C8"/>
    <w:rsid w:val="00901E4D"/>
    <w:rsid w:val="0090296B"/>
    <w:rsid w:val="00903424"/>
    <w:rsid w:val="00904206"/>
    <w:rsid w:val="0090441B"/>
    <w:rsid w:val="00905456"/>
    <w:rsid w:val="00905C75"/>
    <w:rsid w:val="0090621C"/>
    <w:rsid w:val="00906618"/>
    <w:rsid w:val="00906BB6"/>
    <w:rsid w:val="00906C4A"/>
    <w:rsid w:val="00907986"/>
    <w:rsid w:val="00907D90"/>
    <w:rsid w:val="00910078"/>
    <w:rsid w:val="009104AB"/>
    <w:rsid w:val="00910866"/>
    <w:rsid w:val="0091095D"/>
    <w:rsid w:val="00910E2C"/>
    <w:rsid w:val="009110AD"/>
    <w:rsid w:val="009111CC"/>
    <w:rsid w:val="009114FF"/>
    <w:rsid w:val="00911A79"/>
    <w:rsid w:val="00911D8B"/>
    <w:rsid w:val="00911DAD"/>
    <w:rsid w:val="00912464"/>
    <w:rsid w:val="009127CC"/>
    <w:rsid w:val="009133DD"/>
    <w:rsid w:val="00914525"/>
    <w:rsid w:val="009151EB"/>
    <w:rsid w:val="00915465"/>
    <w:rsid w:val="009158B9"/>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34E2"/>
    <w:rsid w:val="00923EDA"/>
    <w:rsid w:val="00926F12"/>
    <w:rsid w:val="009278EB"/>
    <w:rsid w:val="00927C90"/>
    <w:rsid w:val="00927DE3"/>
    <w:rsid w:val="00930591"/>
    <w:rsid w:val="00930609"/>
    <w:rsid w:val="00930B72"/>
    <w:rsid w:val="0093110E"/>
    <w:rsid w:val="0093122C"/>
    <w:rsid w:val="0093196E"/>
    <w:rsid w:val="00931A58"/>
    <w:rsid w:val="00932113"/>
    <w:rsid w:val="00932670"/>
    <w:rsid w:val="00932AD7"/>
    <w:rsid w:val="00932AFD"/>
    <w:rsid w:val="00932DAC"/>
    <w:rsid w:val="00932E71"/>
    <w:rsid w:val="009332E0"/>
    <w:rsid w:val="00934DE7"/>
    <w:rsid w:val="00935130"/>
    <w:rsid w:val="009352C5"/>
    <w:rsid w:val="00935534"/>
    <w:rsid w:val="0093562F"/>
    <w:rsid w:val="0093573A"/>
    <w:rsid w:val="009359EE"/>
    <w:rsid w:val="00935F61"/>
    <w:rsid w:val="009360BB"/>
    <w:rsid w:val="00936276"/>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1C"/>
    <w:rsid w:val="00945F58"/>
    <w:rsid w:val="00946127"/>
    <w:rsid w:val="00946907"/>
    <w:rsid w:val="00947607"/>
    <w:rsid w:val="00950CAE"/>
    <w:rsid w:val="00951164"/>
    <w:rsid w:val="009512EC"/>
    <w:rsid w:val="00952E7D"/>
    <w:rsid w:val="0095315A"/>
    <w:rsid w:val="009534DD"/>
    <w:rsid w:val="009535C2"/>
    <w:rsid w:val="00953A73"/>
    <w:rsid w:val="0095432C"/>
    <w:rsid w:val="00954BB2"/>
    <w:rsid w:val="00954D5A"/>
    <w:rsid w:val="009551A8"/>
    <w:rsid w:val="00955665"/>
    <w:rsid w:val="00955C1A"/>
    <w:rsid w:val="00956984"/>
    <w:rsid w:val="009569BE"/>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6A4"/>
    <w:rsid w:val="0096582E"/>
    <w:rsid w:val="00965DAE"/>
    <w:rsid w:val="009666BD"/>
    <w:rsid w:val="00966B91"/>
    <w:rsid w:val="00966BFB"/>
    <w:rsid w:val="00966FF8"/>
    <w:rsid w:val="0096749A"/>
    <w:rsid w:val="00967CDA"/>
    <w:rsid w:val="00970048"/>
    <w:rsid w:val="00971831"/>
    <w:rsid w:val="0097216D"/>
    <w:rsid w:val="00972D8F"/>
    <w:rsid w:val="00973C2B"/>
    <w:rsid w:val="0097437B"/>
    <w:rsid w:val="0097441E"/>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269"/>
    <w:rsid w:val="0099199D"/>
    <w:rsid w:val="00991B9A"/>
    <w:rsid w:val="0099238D"/>
    <w:rsid w:val="0099242C"/>
    <w:rsid w:val="00992837"/>
    <w:rsid w:val="00992A01"/>
    <w:rsid w:val="00993499"/>
    <w:rsid w:val="009934DB"/>
    <w:rsid w:val="009939CB"/>
    <w:rsid w:val="00993D95"/>
    <w:rsid w:val="009945C0"/>
    <w:rsid w:val="009948FE"/>
    <w:rsid w:val="009949AE"/>
    <w:rsid w:val="00994D3D"/>
    <w:rsid w:val="00995267"/>
    <w:rsid w:val="009952F4"/>
    <w:rsid w:val="00995756"/>
    <w:rsid w:val="00995B8C"/>
    <w:rsid w:val="00995E08"/>
    <w:rsid w:val="00996468"/>
    <w:rsid w:val="009966AD"/>
    <w:rsid w:val="009967AF"/>
    <w:rsid w:val="00997125"/>
    <w:rsid w:val="00997F39"/>
    <w:rsid w:val="009A0208"/>
    <w:rsid w:val="009A03AC"/>
    <w:rsid w:val="009A0B05"/>
    <w:rsid w:val="009A0BE4"/>
    <w:rsid w:val="009A1089"/>
    <w:rsid w:val="009A1B80"/>
    <w:rsid w:val="009A1D3F"/>
    <w:rsid w:val="009A1F44"/>
    <w:rsid w:val="009A21EE"/>
    <w:rsid w:val="009A24A0"/>
    <w:rsid w:val="009A253B"/>
    <w:rsid w:val="009A3205"/>
    <w:rsid w:val="009A346F"/>
    <w:rsid w:val="009A3C6E"/>
    <w:rsid w:val="009A3CC7"/>
    <w:rsid w:val="009A3DA2"/>
    <w:rsid w:val="009A49BD"/>
    <w:rsid w:val="009A640C"/>
    <w:rsid w:val="009A671A"/>
    <w:rsid w:val="009A6A04"/>
    <w:rsid w:val="009A6A34"/>
    <w:rsid w:val="009A78A6"/>
    <w:rsid w:val="009A7BB0"/>
    <w:rsid w:val="009B01AE"/>
    <w:rsid w:val="009B04F2"/>
    <w:rsid w:val="009B0A43"/>
    <w:rsid w:val="009B0EAE"/>
    <w:rsid w:val="009B123D"/>
    <w:rsid w:val="009B12D4"/>
    <w:rsid w:val="009B1C1B"/>
    <w:rsid w:val="009B1E55"/>
    <w:rsid w:val="009B1FF8"/>
    <w:rsid w:val="009B22AC"/>
    <w:rsid w:val="009B35BF"/>
    <w:rsid w:val="009B4C28"/>
    <w:rsid w:val="009B4C3E"/>
    <w:rsid w:val="009B4D2F"/>
    <w:rsid w:val="009B5038"/>
    <w:rsid w:val="009B56BE"/>
    <w:rsid w:val="009B573C"/>
    <w:rsid w:val="009B6071"/>
    <w:rsid w:val="009B6E0F"/>
    <w:rsid w:val="009B6EF9"/>
    <w:rsid w:val="009B7356"/>
    <w:rsid w:val="009B78A7"/>
    <w:rsid w:val="009B7A8A"/>
    <w:rsid w:val="009C03A2"/>
    <w:rsid w:val="009C099B"/>
    <w:rsid w:val="009C0B86"/>
    <w:rsid w:val="009C113F"/>
    <w:rsid w:val="009C1832"/>
    <w:rsid w:val="009C1ADB"/>
    <w:rsid w:val="009C37BF"/>
    <w:rsid w:val="009C398A"/>
    <w:rsid w:val="009C39D9"/>
    <w:rsid w:val="009C407C"/>
    <w:rsid w:val="009C4676"/>
    <w:rsid w:val="009C4ADF"/>
    <w:rsid w:val="009C576C"/>
    <w:rsid w:val="009C5BB9"/>
    <w:rsid w:val="009C5FC3"/>
    <w:rsid w:val="009C60E9"/>
    <w:rsid w:val="009C6629"/>
    <w:rsid w:val="009C7231"/>
    <w:rsid w:val="009C7896"/>
    <w:rsid w:val="009C7E85"/>
    <w:rsid w:val="009D014A"/>
    <w:rsid w:val="009D0530"/>
    <w:rsid w:val="009D0C23"/>
    <w:rsid w:val="009D0CF4"/>
    <w:rsid w:val="009D0D52"/>
    <w:rsid w:val="009D140A"/>
    <w:rsid w:val="009D1A74"/>
    <w:rsid w:val="009D1C65"/>
    <w:rsid w:val="009D2470"/>
    <w:rsid w:val="009D2B87"/>
    <w:rsid w:val="009D2C76"/>
    <w:rsid w:val="009D2CDC"/>
    <w:rsid w:val="009D3079"/>
    <w:rsid w:val="009D39E1"/>
    <w:rsid w:val="009D3D90"/>
    <w:rsid w:val="009D4060"/>
    <w:rsid w:val="009D43C4"/>
    <w:rsid w:val="009D4AF8"/>
    <w:rsid w:val="009D4C5D"/>
    <w:rsid w:val="009D5B6B"/>
    <w:rsid w:val="009D645F"/>
    <w:rsid w:val="009D6D3F"/>
    <w:rsid w:val="009D7410"/>
    <w:rsid w:val="009D7601"/>
    <w:rsid w:val="009D7622"/>
    <w:rsid w:val="009E055D"/>
    <w:rsid w:val="009E09DF"/>
    <w:rsid w:val="009E0BE2"/>
    <w:rsid w:val="009E137C"/>
    <w:rsid w:val="009E188B"/>
    <w:rsid w:val="009E1908"/>
    <w:rsid w:val="009E2463"/>
    <w:rsid w:val="009E262E"/>
    <w:rsid w:val="009E2B4C"/>
    <w:rsid w:val="009E2C55"/>
    <w:rsid w:val="009E2E3F"/>
    <w:rsid w:val="009E2FAC"/>
    <w:rsid w:val="009E44A4"/>
    <w:rsid w:val="009E4A34"/>
    <w:rsid w:val="009E4E3B"/>
    <w:rsid w:val="009E59F4"/>
    <w:rsid w:val="009E5A96"/>
    <w:rsid w:val="009E5DD3"/>
    <w:rsid w:val="009E5EDA"/>
    <w:rsid w:val="009E61B0"/>
    <w:rsid w:val="009E622E"/>
    <w:rsid w:val="009E6387"/>
    <w:rsid w:val="009E63F0"/>
    <w:rsid w:val="009E7209"/>
    <w:rsid w:val="009E760A"/>
    <w:rsid w:val="009E7BCD"/>
    <w:rsid w:val="009E7BFC"/>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E88"/>
    <w:rsid w:val="009F39A1"/>
    <w:rsid w:val="009F3FE4"/>
    <w:rsid w:val="009F43DD"/>
    <w:rsid w:val="009F4825"/>
    <w:rsid w:val="009F49FF"/>
    <w:rsid w:val="009F5CE6"/>
    <w:rsid w:val="009F6041"/>
    <w:rsid w:val="009F60E0"/>
    <w:rsid w:val="009F68A3"/>
    <w:rsid w:val="009F6B75"/>
    <w:rsid w:val="009F6F3D"/>
    <w:rsid w:val="009F71FD"/>
    <w:rsid w:val="009F74DB"/>
    <w:rsid w:val="009F77DF"/>
    <w:rsid w:val="009F7813"/>
    <w:rsid w:val="009F7F8E"/>
    <w:rsid w:val="00A00221"/>
    <w:rsid w:val="00A00437"/>
    <w:rsid w:val="00A00792"/>
    <w:rsid w:val="00A00BCB"/>
    <w:rsid w:val="00A00DDA"/>
    <w:rsid w:val="00A01385"/>
    <w:rsid w:val="00A01B9D"/>
    <w:rsid w:val="00A0201C"/>
    <w:rsid w:val="00A02C0A"/>
    <w:rsid w:val="00A03068"/>
    <w:rsid w:val="00A03652"/>
    <w:rsid w:val="00A03A2A"/>
    <w:rsid w:val="00A03E4B"/>
    <w:rsid w:val="00A042BE"/>
    <w:rsid w:val="00A047DA"/>
    <w:rsid w:val="00A0480E"/>
    <w:rsid w:val="00A04844"/>
    <w:rsid w:val="00A04982"/>
    <w:rsid w:val="00A051EA"/>
    <w:rsid w:val="00A05464"/>
    <w:rsid w:val="00A05CA6"/>
    <w:rsid w:val="00A05CF4"/>
    <w:rsid w:val="00A06990"/>
    <w:rsid w:val="00A06ED8"/>
    <w:rsid w:val="00A06F9D"/>
    <w:rsid w:val="00A07570"/>
    <w:rsid w:val="00A10103"/>
    <w:rsid w:val="00A10BC9"/>
    <w:rsid w:val="00A11137"/>
    <w:rsid w:val="00A111EA"/>
    <w:rsid w:val="00A1135E"/>
    <w:rsid w:val="00A11447"/>
    <w:rsid w:val="00A11555"/>
    <w:rsid w:val="00A11B67"/>
    <w:rsid w:val="00A11DEE"/>
    <w:rsid w:val="00A127F8"/>
    <w:rsid w:val="00A12A38"/>
    <w:rsid w:val="00A12A97"/>
    <w:rsid w:val="00A12B28"/>
    <w:rsid w:val="00A1374B"/>
    <w:rsid w:val="00A13EAB"/>
    <w:rsid w:val="00A15545"/>
    <w:rsid w:val="00A1602B"/>
    <w:rsid w:val="00A162DF"/>
    <w:rsid w:val="00A16324"/>
    <w:rsid w:val="00A16FA7"/>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E6E"/>
    <w:rsid w:val="00A26159"/>
    <w:rsid w:val="00A26462"/>
    <w:rsid w:val="00A26700"/>
    <w:rsid w:val="00A26B21"/>
    <w:rsid w:val="00A274E2"/>
    <w:rsid w:val="00A27891"/>
    <w:rsid w:val="00A27A34"/>
    <w:rsid w:val="00A27BE4"/>
    <w:rsid w:val="00A27E94"/>
    <w:rsid w:val="00A301FD"/>
    <w:rsid w:val="00A30B97"/>
    <w:rsid w:val="00A31193"/>
    <w:rsid w:val="00A312FC"/>
    <w:rsid w:val="00A31F9A"/>
    <w:rsid w:val="00A31FF4"/>
    <w:rsid w:val="00A32429"/>
    <w:rsid w:val="00A3288D"/>
    <w:rsid w:val="00A3307A"/>
    <w:rsid w:val="00A33111"/>
    <w:rsid w:val="00A33A21"/>
    <w:rsid w:val="00A33A75"/>
    <w:rsid w:val="00A34BDA"/>
    <w:rsid w:val="00A358DC"/>
    <w:rsid w:val="00A362FE"/>
    <w:rsid w:val="00A36EC0"/>
    <w:rsid w:val="00A37357"/>
    <w:rsid w:val="00A374BC"/>
    <w:rsid w:val="00A375B5"/>
    <w:rsid w:val="00A37719"/>
    <w:rsid w:val="00A40089"/>
    <w:rsid w:val="00A4164A"/>
    <w:rsid w:val="00A41C3D"/>
    <w:rsid w:val="00A41F2E"/>
    <w:rsid w:val="00A432A0"/>
    <w:rsid w:val="00A4354B"/>
    <w:rsid w:val="00A43F0A"/>
    <w:rsid w:val="00A43FF9"/>
    <w:rsid w:val="00A44220"/>
    <w:rsid w:val="00A45207"/>
    <w:rsid w:val="00A45944"/>
    <w:rsid w:val="00A46305"/>
    <w:rsid w:val="00A465E9"/>
    <w:rsid w:val="00A468F2"/>
    <w:rsid w:val="00A46A4B"/>
    <w:rsid w:val="00A470C6"/>
    <w:rsid w:val="00A47774"/>
    <w:rsid w:val="00A47BC1"/>
    <w:rsid w:val="00A50713"/>
    <w:rsid w:val="00A5077D"/>
    <w:rsid w:val="00A50899"/>
    <w:rsid w:val="00A50D1E"/>
    <w:rsid w:val="00A51049"/>
    <w:rsid w:val="00A51084"/>
    <w:rsid w:val="00A512A2"/>
    <w:rsid w:val="00A5175F"/>
    <w:rsid w:val="00A51875"/>
    <w:rsid w:val="00A518F7"/>
    <w:rsid w:val="00A51A4B"/>
    <w:rsid w:val="00A5216F"/>
    <w:rsid w:val="00A52254"/>
    <w:rsid w:val="00A52401"/>
    <w:rsid w:val="00A5287D"/>
    <w:rsid w:val="00A529D4"/>
    <w:rsid w:val="00A54C42"/>
    <w:rsid w:val="00A550F7"/>
    <w:rsid w:val="00A55BF7"/>
    <w:rsid w:val="00A55F9E"/>
    <w:rsid w:val="00A562BE"/>
    <w:rsid w:val="00A568ED"/>
    <w:rsid w:val="00A56A4F"/>
    <w:rsid w:val="00A56DDE"/>
    <w:rsid w:val="00A5773B"/>
    <w:rsid w:val="00A5787F"/>
    <w:rsid w:val="00A57E73"/>
    <w:rsid w:val="00A600F7"/>
    <w:rsid w:val="00A601FA"/>
    <w:rsid w:val="00A60436"/>
    <w:rsid w:val="00A6052E"/>
    <w:rsid w:val="00A60601"/>
    <w:rsid w:val="00A607D9"/>
    <w:rsid w:val="00A60C3A"/>
    <w:rsid w:val="00A61BD3"/>
    <w:rsid w:val="00A61C35"/>
    <w:rsid w:val="00A621B7"/>
    <w:rsid w:val="00A62DC7"/>
    <w:rsid w:val="00A62E23"/>
    <w:rsid w:val="00A63037"/>
    <w:rsid w:val="00A6323E"/>
    <w:rsid w:val="00A63277"/>
    <w:rsid w:val="00A638B4"/>
    <w:rsid w:val="00A63AF3"/>
    <w:rsid w:val="00A63C03"/>
    <w:rsid w:val="00A6419E"/>
    <w:rsid w:val="00A64E32"/>
    <w:rsid w:val="00A64E8C"/>
    <w:rsid w:val="00A64EF8"/>
    <w:rsid w:val="00A65CE4"/>
    <w:rsid w:val="00A65E01"/>
    <w:rsid w:val="00A6619D"/>
    <w:rsid w:val="00A664B6"/>
    <w:rsid w:val="00A6677B"/>
    <w:rsid w:val="00A66CE9"/>
    <w:rsid w:val="00A67D1C"/>
    <w:rsid w:val="00A702BB"/>
    <w:rsid w:val="00A70798"/>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620E"/>
    <w:rsid w:val="00A864E9"/>
    <w:rsid w:val="00A86521"/>
    <w:rsid w:val="00A86CC9"/>
    <w:rsid w:val="00A8717F"/>
    <w:rsid w:val="00A87673"/>
    <w:rsid w:val="00A87906"/>
    <w:rsid w:val="00A87958"/>
    <w:rsid w:val="00A87E75"/>
    <w:rsid w:val="00A87E9E"/>
    <w:rsid w:val="00A901BE"/>
    <w:rsid w:val="00A904E2"/>
    <w:rsid w:val="00A90D2E"/>
    <w:rsid w:val="00A912E7"/>
    <w:rsid w:val="00A915CA"/>
    <w:rsid w:val="00A91B6C"/>
    <w:rsid w:val="00A91E97"/>
    <w:rsid w:val="00A92BCF"/>
    <w:rsid w:val="00A93095"/>
    <w:rsid w:val="00A93309"/>
    <w:rsid w:val="00A939EB"/>
    <w:rsid w:val="00A9448F"/>
    <w:rsid w:val="00A94F32"/>
    <w:rsid w:val="00A95326"/>
    <w:rsid w:val="00A9542D"/>
    <w:rsid w:val="00A954FD"/>
    <w:rsid w:val="00A957DD"/>
    <w:rsid w:val="00A95C73"/>
    <w:rsid w:val="00A95E2B"/>
    <w:rsid w:val="00A96085"/>
    <w:rsid w:val="00A96151"/>
    <w:rsid w:val="00A96424"/>
    <w:rsid w:val="00A96A1C"/>
    <w:rsid w:val="00A97616"/>
    <w:rsid w:val="00A97AC3"/>
    <w:rsid w:val="00AA0125"/>
    <w:rsid w:val="00AA0297"/>
    <w:rsid w:val="00AA1499"/>
    <w:rsid w:val="00AA170D"/>
    <w:rsid w:val="00AA19A6"/>
    <w:rsid w:val="00AA1AED"/>
    <w:rsid w:val="00AA1EE1"/>
    <w:rsid w:val="00AA20B1"/>
    <w:rsid w:val="00AA262E"/>
    <w:rsid w:val="00AA2993"/>
    <w:rsid w:val="00AA2BA2"/>
    <w:rsid w:val="00AA2C89"/>
    <w:rsid w:val="00AA3451"/>
    <w:rsid w:val="00AA3C1A"/>
    <w:rsid w:val="00AA43BD"/>
    <w:rsid w:val="00AA46E6"/>
    <w:rsid w:val="00AA48B6"/>
    <w:rsid w:val="00AA48C1"/>
    <w:rsid w:val="00AA5EC1"/>
    <w:rsid w:val="00AA60A4"/>
    <w:rsid w:val="00AA6AB5"/>
    <w:rsid w:val="00AA6FE1"/>
    <w:rsid w:val="00AA73A8"/>
    <w:rsid w:val="00AA7ADF"/>
    <w:rsid w:val="00AA7C13"/>
    <w:rsid w:val="00AA7E0A"/>
    <w:rsid w:val="00AB006F"/>
    <w:rsid w:val="00AB0BEA"/>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0A0A"/>
    <w:rsid w:val="00AC1226"/>
    <w:rsid w:val="00AC1686"/>
    <w:rsid w:val="00AC179A"/>
    <w:rsid w:val="00AC18EF"/>
    <w:rsid w:val="00AC24F6"/>
    <w:rsid w:val="00AC299E"/>
    <w:rsid w:val="00AC2A54"/>
    <w:rsid w:val="00AC2CAF"/>
    <w:rsid w:val="00AC4AC3"/>
    <w:rsid w:val="00AC598F"/>
    <w:rsid w:val="00AC5C6A"/>
    <w:rsid w:val="00AC635D"/>
    <w:rsid w:val="00AC6484"/>
    <w:rsid w:val="00AC65AF"/>
    <w:rsid w:val="00AC679E"/>
    <w:rsid w:val="00AC7052"/>
    <w:rsid w:val="00AC7703"/>
    <w:rsid w:val="00AC7E57"/>
    <w:rsid w:val="00AD0558"/>
    <w:rsid w:val="00AD10E5"/>
    <w:rsid w:val="00AD13A8"/>
    <w:rsid w:val="00AD1A75"/>
    <w:rsid w:val="00AD1FF4"/>
    <w:rsid w:val="00AD23CC"/>
    <w:rsid w:val="00AD2479"/>
    <w:rsid w:val="00AD248F"/>
    <w:rsid w:val="00AD31B5"/>
    <w:rsid w:val="00AD31EC"/>
    <w:rsid w:val="00AD32BE"/>
    <w:rsid w:val="00AD35A4"/>
    <w:rsid w:val="00AD37F0"/>
    <w:rsid w:val="00AD3C2A"/>
    <w:rsid w:val="00AD3E6B"/>
    <w:rsid w:val="00AD4028"/>
    <w:rsid w:val="00AD4379"/>
    <w:rsid w:val="00AD4652"/>
    <w:rsid w:val="00AD4A21"/>
    <w:rsid w:val="00AD4C27"/>
    <w:rsid w:val="00AD4DAE"/>
    <w:rsid w:val="00AD59D8"/>
    <w:rsid w:val="00AD5D1F"/>
    <w:rsid w:val="00AD5D9A"/>
    <w:rsid w:val="00AD5E26"/>
    <w:rsid w:val="00AD6676"/>
    <w:rsid w:val="00AD6833"/>
    <w:rsid w:val="00AD6D41"/>
    <w:rsid w:val="00AD715B"/>
    <w:rsid w:val="00AD7356"/>
    <w:rsid w:val="00AD77FA"/>
    <w:rsid w:val="00AE06F7"/>
    <w:rsid w:val="00AE0E20"/>
    <w:rsid w:val="00AE1220"/>
    <w:rsid w:val="00AE14B9"/>
    <w:rsid w:val="00AE1923"/>
    <w:rsid w:val="00AE1B66"/>
    <w:rsid w:val="00AE1CFC"/>
    <w:rsid w:val="00AE1D4C"/>
    <w:rsid w:val="00AE23AB"/>
    <w:rsid w:val="00AE252A"/>
    <w:rsid w:val="00AE29AA"/>
    <w:rsid w:val="00AE3B14"/>
    <w:rsid w:val="00AE3D0F"/>
    <w:rsid w:val="00AE4513"/>
    <w:rsid w:val="00AE48A4"/>
    <w:rsid w:val="00AE4D24"/>
    <w:rsid w:val="00AE4F38"/>
    <w:rsid w:val="00AE507F"/>
    <w:rsid w:val="00AE521A"/>
    <w:rsid w:val="00AE600B"/>
    <w:rsid w:val="00AE6139"/>
    <w:rsid w:val="00AE6873"/>
    <w:rsid w:val="00AE6D21"/>
    <w:rsid w:val="00AE6D50"/>
    <w:rsid w:val="00AE7F9B"/>
    <w:rsid w:val="00AF03AA"/>
    <w:rsid w:val="00AF1099"/>
    <w:rsid w:val="00AF1DE2"/>
    <w:rsid w:val="00AF278C"/>
    <w:rsid w:val="00AF2806"/>
    <w:rsid w:val="00AF34EA"/>
    <w:rsid w:val="00AF362D"/>
    <w:rsid w:val="00AF406C"/>
    <w:rsid w:val="00AF428A"/>
    <w:rsid w:val="00AF498E"/>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1DB9"/>
    <w:rsid w:val="00B01E36"/>
    <w:rsid w:val="00B025A1"/>
    <w:rsid w:val="00B0264A"/>
    <w:rsid w:val="00B03DEE"/>
    <w:rsid w:val="00B04C10"/>
    <w:rsid w:val="00B04D6B"/>
    <w:rsid w:val="00B0575B"/>
    <w:rsid w:val="00B068E4"/>
    <w:rsid w:val="00B068FF"/>
    <w:rsid w:val="00B069DE"/>
    <w:rsid w:val="00B06A46"/>
    <w:rsid w:val="00B078AE"/>
    <w:rsid w:val="00B07ED5"/>
    <w:rsid w:val="00B1063A"/>
    <w:rsid w:val="00B10802"/>
    <w:rsid w:val="00B1147E"/>
    <w:rsid w:val="00B115ED"/>
    <w:rsid w:val="00B117CB"/>
    <w:rsid w:val="00B117D7"/>
    <w:rsid w:val="00B12047"/>
    <w:rsid w:val="00B12732"/>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31BC"/>
    <w:rsid w:val="00B23573"/>
    <w:rsid w:val="00B23ABE"/>
    <w:rsid w:val="00B23B67"/>
    <w:rsid w:val="00B23E8B"/>
    <w:rsid w:val="00B23F6D"/>
    <w:rsid w:val="00B24B78"/>
    <w:rsid w:val="00B26797"/>
    <w:rsid w:val="00B26C98"/>
    <w:rsid w:val="00B26E4F"/>
    <w:rsid w:val="00B27027"/>
    <w:rsid w:val="00B271E8"/>
    <w:rsid w:val="00B275D8"/>
    <w:rsid w:val="00B27981"/>
    <w:rsid w:val="00B3135E"/>
    <w:rsid w:val="00B313F6"/>
    <w:rsid w:val="00B31BDA"/>
    <w:rsid w:val="00B31DC7"/>
    <w:rsid w:val="00B31E63"/>
    <w:rsid w:val="00B32506"/>
    <w:rsid w:val="00B32CCD"/>
    <w:rsid w:val="00B32CDB"/>
    <w:rsid w:val="00B32F66"/>
    <w:rsid w:val="00B33678"/>
    <w:rsid w:val="00B33E58"/>
    <w:rsid w:val="00B33FD6"/>
    <w:rsid w:val="00B340B5"/>
    <w:rsid w:val="00B348D2"/>
    <w:rsid w:val="00B34AFD"/>
    <w:rsid w:val="00B3512D"/>
    <w:rsid w:val="00B353F0"/>
    <w:rsid w:val="00B354E2"/>
    <w:rsid w:val="00B358C1"/>
    <w:rsid w:val="00B35C85"/>
    <w:rsid w:val="00B361AC"/>
    <w:rsid w:val="00B36705"/>
    <w:rsid w:val="00B36B2F"/>
    <w:rsid w:val="00B37073"/>
    <w:rsid w:val="00B37391"/>
    <w:rsid w:val="00B3740B"/>
    <w:rsid w:val="00B37D98"/>
    <w:rsid w:val="00B40037"/>
    <w:rsid w:val="00B4141C"/>
    <w:rsid w:val="00B414E0"/>
    <w:rsid w:val="00B41861"/>
    <w:rsid w:val="00B41A1A"/>
    <w:rsid w:val="00B41D7E"/>
    <w:rsid w:val="00B42107"/>
    <w:rsid w:val="00B4244B"/>
    <w:rsid w:val="00B4274F"/>
    <w:rsid w:val="00B427F8"/>
    <w:rsid w:val="00B42B07"/>
    <w:rsid w:val="00B439E2"/>
    <w:rsid w:val="00B43A1C"/>
    <w:rsid w:val="00B43F14"/>
    <w:rsid w:val="00B440D1"/>
    <w:rsid w:val="00B443DF"/>
    <w:rsid w:val="00B446E4"/>
    <w:rsid w:val="00B4492B"/>
    <w:rsid w:val="00B44A28"/>
    <w:rsid w:val="00B453BC"/>
    <w:rsid w:val="00B457F9"/>
    <w:rsid w:val="00B45B91"/>
    <w:rsid w:val="00B45BBA"/>
    <w:rsid w:val="00B462D8"/>
    <w:rsid w:val="00B46347"/>
    <w:rsid w:val="00B46444"/>
    <w:rsid w:val="00B47117"/>
    <w:rsid w:val="00B475E1"/>
    <w:rsid w:val="00B4762E"/>
    <w:rsid w:val="00B47D1C"/>
    <w:rsid w:val="00B507E3"/>
    <w:rsid w:val="00B5155A"/>
    <w:rsid w:val="00B51800"/>
    <w:rsid w:val="00B51E22"/>
    <w:rsid w:val="00B51E5E"/>
    <w:rsid w:val="00B51F70"/>
    <w:rsid w:val="00B52425"/>
    <w:rsid w:val="00B52EAD"/>
    <w:rsid w:val="00B52F36"/>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FF2"/>
    <w:rsid w:val="00B651B7"/>
    <w:rsid w:val="00B65553"/>
    <w:rsid w:val="00B65643"/>
    <w:rsid w:val="00B658B7"/>
    <w:rsid w:val="00B66D63"/>
    <w:rsid w:val="00B66E77"/>
    <w:rsid w:val="00B674BE"/>
    <w:rsid w:val="00B6799D"/>
    <w:rsid w:val="00B67A5D"/>
    <w:rsid w:val="00B67BF5"/>
    <w:rsid w:val="00B70240"/>
    <w:rsid w:val="00B7038A"/>
    <w:rsid w:val="00B706E0"/>
    <w:rsid w:val="00B70E68"/>
    <w:rsid w:val="00B71BEA"/>
    <w:rsid w:val="00B71D0E"/>
    <w:rsid w:val="00B71D57"/>
    <w:rsid w:val="00B7222F"/>
    <w:rsid w:val="00B72616"/>
    <w:rsid w:val="00B72C21"/>
    <w:rsid w:val="00B7351F"/>
    <w:rsid w:val="00B73814"/>
    <w:rsid w:val="00B73D20"/>
    <w:rsid w:val="00B73F56"/>
    <w:rsid w:val="00B743DF"/>
    <w:rsid w:val="00B74B6F"/>
    <w:rsid w:val="00B752A3"/>
    <w:rsid w:val="00B75640"/>
    <w:rsid w:val="00B75690"/>
    <w:rsid w:val="00B759E3"/>
    <w:rsid w:val="00B76B9D"/>
    <w:rsid w:val="00B77355"/>
    <w:rsid w:val="00B776A8"/>
    <w:rsid w:val="00B77A84"/>
    <w:rsid w:val="00B77E94"/>
    <w:rsid w:val="00B80321"/>
    <w:rsid w:val="00B81EC7"/>
    <w:rsid w:val="00B821B7"/>
    <w:rsid w:val="00B8299B"/>
    <w:rsid w:val="00B83503"/>
    <w:rsid w:val="00B84D02"/>
    <w:rsid w:val="00B84ED5"/>
    <w:rsid w:val="00B85018"/>
    <w:rsid w:val="00B85517"/>
    <w:rsid w:val="00B858B4"/>
    <w:rsid w:val="00B863E7"/>
    <w:rsid w:val="00B86CD2"/>
    <w:rsid w:val="00B8778B"/>
    <w:rsid w:val="00B9031C"/>
    <w:rsid w:val="00B90653"/>
    <w:rsid w:val="00B925DB"/>
    <w:rsid w:val="00B9333B"/>
    <w:rsid w:val="00B938E4"/>
    <w:rsid w:val="00B93D40"/>
    <w:rsid w:val="00B947BF"/>
    <w:rsid w:val="00B94811"/>
    <w:rsid w:val="00B94BC2"/>
    <w:rsid w:val="00B94E55"/>
    <w:rsid w:val="00B94F87"/>
    <w:rsid w:val="00B951C1"/>
    <w:rsid w:val="00B9556E"/>
    <w:rsid w:val="00B95619"/>
    <w:rsid w:val="00B95DC7"/>
    <w:rsid w:val="00B96335"/>
    <w:rsid w:val="00B96C53"/>
    <w:rsid w:val="00B975CF"/>
    <w:rsid w:val="00B97784"/>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547"/>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405"/>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72D"/>
    <w:rsid w:val="00BB7E75"/>
    <w:rsid w:val="00BC0725"/>
    <w:rsid w:val="00BC091B"/>
    <w:rsid w:val="00BC13E1"/>
    <w:rsid w:val="00BC1A7C"/>
    <w:rsid w:val="00BC23C0"/>
    <w:rsid w:val="00BC25A3"/>
    <w:rsid w:val="00BC265E"/>
    <w:rsid w:val="00BC2978"/>
    <w:rsid w:val="00BC3563"/>
    <w:rsid w:val="00BC3677"/>
    <w:rsid w:val="00BC4118"/>
    <w:rsid w:val="00BC466E"/>
    <w:rsid w:val="00BC4D34"/>
    <w:rsid w:val="00BC6794"/>
    <w:rsid w:val="00BC6862"/>
    <w:rsid w:val="00BC730B"/>
    <w:rsid w:val="00BC7530"/>
    <w:rsid w:val="00BC77EA"/>
    <w:rsid w:val="00BC7C23"/>
    <w:rsid w:val="00BD0264"/>
    <w:rsid w:val="00BD070A"/>
    <w:rsid w:val="00BD0750"/>
    <w:rsid w:val="00BD08AA"/>
    <w:rsid w:val="00BD0E33"/>
    <w:rsid w:val="00BD14A8"/>
    <w:rsid w:val="00BD1D83"/>
    <w:rsid w:val="00BD35F1"/>
    <w:rsid w:val="00BD369A"/>
    <w:rsid w:val="00BD37BA"/>
    <w:rsid w:val="00BD383C"/>
    <w:rsid w:val="00BD3A57"/>
    <w:rsid w:val="00BD4CCC"/>
    <w:rsid w:val="00BD51DF"/>
    <w:rsid w:val="00BD577E"/>
    <w:rsid w:val="00BD58C0"/>
    <w:rsid w:val="00BD58CD"/>
    <w:rsid w:val="00BD5FD1"/>
    <w:rsid w:val="00BD601C"/>
    <w:rsid w:val="00BD6550"/>
    <w:rsid w:val="00BD6B3A"/>
    <w:rsid w:val="00BD6E31"/>
    <w:rsid w:val="00BD70AE"/>
    <w:rsid w:val="00BD7A78"/>
    <w:rsid w:val="00BE024B"/>
    <w:rsid w:val="00BE05AF"/>
    <w:rsid w:val="00BE0CB7"/>
    <w:rsid w:val="00BE0DCB"/>
    <w:rsid w:val="00BE14AB"/>
    <w:rsid w:val="00BE172B"/>
    <w:rsid w:val="00BE1859"/>
    <w:rsid w:val="00BE1C87"/>
    <w:rsid w:val="00BE24E9"/>
    <w:rsid w:val="00BE2D0C"/>
    <w:rsid w:val="00BE2E40"/>
    <w:rsid w:val="00BE2EA5"/>
    <w:rsid w:val="00BE2EBD"/>
    <w:rsid w:val="00BE2F37"/>
    <w:rsid w:val="00BE32A6"/>
    <w:rsid w:val="00BE3535"/>
    <w:rsid w:val="00BE3F30"/>
    <w:rsid w:val="00BE4090"/>
    <w:rsid w:val="00BE40B0"/>
    <w:rsid w:val="00BE428C"/>
    <w:rsid w:val="00BE538C"/>
    <w:rsid w:val="00BE55E1"/>
    <w:rsid w:val="00BE6738"/>
    <w:rsid w:val="00BE72B2"/>
    <w:rsid w:val="00BE756C"/>
    <w:rsid w:val="00BE7822"/>
    <w:rsid w:val="00BE7934"/>
    <w:rsid w:val="00BE79B8"/>
    <w:rsid w:val="00BE7AC2"/>
    <w:rsid w:val="00BF00B4"/>
    <w:rsid w:val="00BF01F1"/>
    <w:rsid w:val="00BF04AD"/>
    <w:rsid w:val="00BF05A0"/>
    <w:rsid w:val="00BF07D6"/>
    <w:rsid w:val="00BF0BDC"/>
    <w:rsid w:val="00BF10ED"/>
    <w:rsid w:val="00BF1740"/>
    <w:rsid w:val="00BF19B3"/>
    <w:rsid w:val="00BF2146"/>
    <w:rsid w:val="00BF2184"/>
    <w:rsid w:val="00BF2BBE"/>
    <w:rsid w:val="00BF36F1"/>
    <w:rsid w:val="00BF381C"/>
    <w:rsid w:val="00BF4606"/>
    <w:rsid w:val="00BF4733"/>
    <w:rsid w:val="00BF498B"/>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210"/>
    <w:rsid w:val="00C037FC"/>
    <w:rsid w:val="00C03BCA"/>
    <w:rsid w:val="00C03FC3"/>
    <w:rsid w:val="00C042FB"/>
    <w:rsid w:val="00C0440C"/>
    <w:rsid w:val="00C04568"/>
    <w:rsid w:val="00C04A9A"/>
    <w:rsid w:val="00C04B40"/>
    <w:rsid w:val="00C04DCB"/>
    <w:rsid w:val="00C05057"/>
    <w:rsid w:val="00C05098"/>
    <w:rsid w:val="00C05267"/>
    <w:rsid w:val="00C05422"/>
    <w:rsid w:val="00C0546D"/>
    <w:rsid w:val="00C05541"/>
    <w:rsid w:val="00C0591B"/>
    <w:rsid w:val="00C0643E"/>
    <w:rsid w:val="00C06A28"/>
    <w:rsid w:val="00C06FD8"/>
    <w:rsid w:val="00C07889"/>
    <w:rsid w:val="00C07AE4"/>
    <w:rsid w:val="00C10E4A"/>
    <w:rsid w:val="00C10F84"/>
    <w:rsid w:val="00C111C4"/>
    <w:rsid w:val="00C115D3"/>
    <w:rsid w:val="00C11958"/>
    <w:rsid w:val="00C11E2F"/>
    <w:rsid w:val="00C11E76"/>
    <w:rsid w:val="00C1230A"/>
    <w:rsid w:val="00C125A7"/>
    <w:rsid w:val="00C129C1"/>
    <w:rsid w:val="00C13EC6"/>
    <w:rsid w:val="00C14145"/>
    <w:rsid w:val="00C14D49"/>
    <w:rsid w:val="00C15346"/>
    <w:rsid w:val="00C15E18"/>
    <w:rsid w:val="00C163E9"/>
    <w:rsid w:val="00C16DA8"/>
    <w:rsid w:val="00C17D16"/>
    <w:rsid w:val="00C202DC"/>
    <w:rsid w:val="00C20364"/>
    <w:rsid w:val="00C203F0"/>
    <w:rsid w:val="00C20431"/>
    <w:rsid w:val="00C20959"/>
    <w:rsid w:val="00C20C2D"/>
    <w:rsid w:val="00C20D32"/>
    <w:rsid w:val="00C20DA8"/>
    <w:rsid w:val="00C20DF3"/>
    <w:rsid w:val="00C21563"/>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F"/>
    <w:rsid w:val="00C321FC"/>
    <w:rsid w:val="00C324F0"/>
    <w:rsid w:val="00C3267E"/>
    <w:rsid w:val="00C327BC"/>
    <w:rsid w:val="00C32E23"/>
    <w:rsid w:val="00C3327C"/>
    <w:rsid w:val="00C3385B"/>
    <w:rsid w:val="00C33BE1"/>
    <w:rsid w:val="00C34193"/>
    <w:rsid w:val="00C34B20"/>
    <w:rsid w:val="00C35323"/>
    <w:rsid w:val="00C354FC"/>
    <w:rsid w:val="00C35747"/>
    <w:rsid w:val="00C35780"/>
    <w:rsid w:val="00C35A2D"/>
    <w:rsid w:val="00C3607D"/>
    <w:rsid w:val="00C3671C"/>
    <w:rsid w:val="00C368B2"/>
    <w:rsid w:val="00C369C5"/>
    <w:rsid w:val="00C36E59"/>
    <w:rsid w:val="00C36FB7"/>
    <w:rsid w:val="00C37102"/>
    <w:rsid w:val="00C378BB"/>
    <w:rsid w:val="00C37A49"/>
    <w:rsid w:val="00C4004B"/>
    <w:rsid w:val="00C40C65"/>
    <w:rsid w:val="00C40D7A"/>
    <w:rsid w:val="00C411C6"/>
    <w:rsid w:val="00C411E8"/>
    <w:rsid w:val="00C42009"/>
    <w:rsid w:val="00C42089"/>
    <w:rsid w:val="00C4227F"/>
    <w:rsid w:val="00C425B1"/>
    <w:rsid w:val="00C43733"/>
    <w:rsid w:val="00C43770"/>
    <w:rsid w:val="00C43996"/>
    <w:rsid w:val="00C43D1B"/>
    <w:rsid w:val="00C43DB2"/>
    <w:rsid w:val="00C43F3C"/>
    <w:rsid w:val="00C44997"/>
    <w:rsid w:val="00C44B2F"/>
    <w:rsid w:val="00C44B92"/>
    <w:rsid w:val="00C44D9B"/>
    <w:rsid w:val="00C4508E"/>
    <w:rsid w:val="00C45F1A"/>
    <w:rsid w:val="00C45FCA"/>
    <w:rsid w:val="00C46358"/>
    <w:rsid w:val="00C46905"/>
    <w:rsid w:val="00C46E0F"/>
    <w:rsid w:val="00C46FC4"/>
    <w:rsid w:val="00C4786D"/>
    <w:rsid w:val="00C47A35"/>
    <w:rsid w:val="00C47C19"/>
    <w:rsid w:val="00C47DE2"/>
    <w:rsid w:val="00C50543"/>
    <w:rsid w:val="00C505BA"/>
    <w:rsid w:val="00C508DA"/>
    <w:rsid w:val="00C50B3A"/>
    <w:rsid w:val="00C51470"/>
    <w:rsid w:val="00C5157D"/>
    <w:rsid w:val="00C519DA"/>
    <w:rsid w:val="00C51A3B"/>
    <w:rsid w:val="00C522FC"/>
    <w:rsid w:val="00C52CEE"/>
    <w:rsid w:val="00C530B7"/>
    <w:rsid w:val="00C53C97"/>
    <w:rsid w:val="00C54D41"/>
    <w:rsid w:val="00C5514C"/>
    <w:rsid w:val="00C56DA7"/>
    <w:rsid w:val="00C56EA1"/>
    <w:rsid w:val="00C57721"/>
    <w:rsid w:val="00C57A60"/>
    <w:rsid w:val="00C57C31"/>
    <w:rsid w:val="00C57D85"/>
    <w:rsid w:val="00C603F9"/>
    <w:rsid w:val="00C60AE1"/>
    <w:rsid w:val="00C61102"/>
    <w:rsid w:val="00C620C3"/>
    <w:rsid w:val="00C624A9"/>
    <w:rsid w:val="00C62B22"/>
    <w:rsid w:val="00C63304"/>
    <w:rsid w:val="00C63926"/>
    <w:rsid w:val="00C63BC0"/>
    <w:rsid w:val="00C63D7F"/>
    <w:rsid w:val="00C63FCC"/>
    <w:rsid w:val="00C63FEC"/>
    <w:rsid w:val="00C64D09"/>
    <w:rsid w:val="00C65A73"/>
    <w:rsid w:val="00C65AE0"/>
    <w:rsid w:val="00C65E33"/>
    <w:rsid w:val="00C661CD"/>
    <w:rsid w:val="00C66925"/>
    <w:rsid w:val="00C66FFA"/>
    <w:rsid w:val="00C6779C"/>
    <w:rsid w:val="00C67BA4"/>
    <w:rsid w:val="00C67C07"/>
    <w:rsid w:val="00C700B4"/>
    <w:rsid w:val="00C703AA"/>
    <w:rsid w:val="00C7112E"/>
    <w:rsid w:val="00C71A7E"/>
    <w:rsid w:val="00C71C06"/>
    <w:rsid w:val="00C7254D"/>
    <w:rsid w:val="00C72A44"/>
    <w:rsid w:val="00C72CA9"/>
    <w:rsid w:val="00C72F5F"/>
    <w:rsid w:val="00C73184"/>
    <w:rsid w:val="00C733D9"/>
    <w:rsid w:val="00C73401"/>
    <w:rsid w:val="00C7346A"/>
    <w:rsid w:val="00C736A6"/>
    <w:rsid w:val="00C73BEB"/>
    <w:rsid w:val="00C73F09"/>
    <w:rsid w:val="00C744F3"/>
    <w:rsid w:val="00C74825"/>
    <w:rsid w:val="00C7524C"/>
    <w:rsid w:val="00C76508"/>
    <w:rsid w:val="00C766FC"/>
    <w:rsid w:val="00C76BCA"/>
    <w:rsid w:val="00C76D6D"/>
    <w:rsid w:val="00C775FD"/>
    <w:rsid w:val="00C776FD"/>
    <w:rsid w:val="00C8020F"/>
    <w:rsid w:val="00C804E2"/>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8BA"/>
    <w:rsid w:val="00C84F98"/>
    <w:rsid w:val="00C852CD"/>
    <w:rsid w:val="00C856EC"/>
    <w:rsid w:val="00C85810"/>
    <w:rsid w:val="00C85969"/>
    <w:rsid w:val="00C85CA7"/>
    <w:rsid w:val="00C8627D"/>
    <w:rsid w:val="00C86A07"/>
    <w:rsid w:val="00C87201"/>
    <w:rsid w:val="00C8799A"/>
    <w:rsid w:val="00C9029B"/>
    <w:rsid w:val="00C903B9"/>
    <w:rsid w:val="00C909E3"/>
    <w:rsid w:val="00C90DD2"/>
    <w:rsid w:val="00C91C46"/>
    <w:rsid w:val="00C93087"/>
    <w:rsid w:val="00C93512"/>
    <w:rsid w:val="00C935FF"/>
    <w:rsid w:val="00C93944"/>
    <w:rsid w:val="00C93964"/>
    <w:rsid w:val="00C939E0"/>
    <w:rsid w:val="00C93BBF"/>
    <w:rsid w:val="00C94149"/>
    <w:rsid w:val="00C9424C"/>
    <w:rsid w:val="00C94660"/>
    <w:rsid w:val="00C94796"/>
    <w:rsid w:val="00C94C8D"/>
    <w:rsid w:val="00C9516A"/>
    <w:rsid w:val="00C955D7"/>
    <w:rsid w:val="00C95F4E"/>
    <w:rsid w:val="00C96502"/>
    <w:rsid w:val="00C9681F"/>
    <w:rsid w:val="00C971AB"/>
    <w:rsid w:val="00C9755E"/>
    <w:rsid w:val="00C97617"/>
    <w:rsid w:val="00C97DCE"/>
    <w:rsid w:val="00CA043B"/>
    <w:rsid w:val="00CA062B"/>
    <w:rsid w:val="00CA0CFC"/>
    <w:rsid w:val="00CA121B"/>
    <w:rsid w:val="00CA1283"/>
    <w:rsid w:val="00CA19A4"/>
    <w:rsid w:val="00CA1D40"/>
    <w:rsid w:val="00CA1EDA"/>
    <w:rsid w:val="00CA2076"/>
    <w:rsid w:val="00CA2564"/>
    <w:rsid w:val="00CA2E6A"/>
    <w:rsid w:val="00CA301A"/>
    <w:rsid w:val="00CA3771"/>
    <w:rsid w:val="00CA3981"/>
    <w:rsid w:val="00CA461D"/>
    <w:rsid w:val="00CA46A4"/>
    <w:rsid w:val="00CA4B8E"/>
    <w:rsid w:val="00CA4CB1"/>
    <w:rsid w:val="00CA5A78"/>
    <w:rsid w:val="00CA5AB7"/>
    <w:rsid w:val="00CA5F9E"/>
    <w:rsid w:val="00CA5FEC"/>
    <w:rsid w:val="00CA68D4"/>
    <w:rsid w:val="00CA776F"/>
    <w:rsid w:val="00CA7CF2"/>
    <w:rsid w:val="00CB0479"/>
    <w:rsid w:val="00CB0A16"/>
    <w:rsid w:val="00CB0F0C"/>
    <w:rsid w:val="00CB10F5"/>
    <w:rsid w:val="00CB1696"/>
    <w:rsid w:val="00CB177F"/>
    <w:rsid w:val="00CB1DCD"/>
    <w:rsid w:val="00CB2363"/>
    <w:rsid w:val="00CB2434"/>
    <w:rsid w:val="00CB2774"/>
    <w:rsid w:val="00CB2A32"/>
    <w:rsid w:val="00CB2A50"/>
    <w:rsid w:val="00CB4022"/>
    <w:rsid w:val="00CB4562"/>
    <w:rsid w:val="00CB471F"/>
    <w:rsid w:val="00CB47F9"/>
    <w:rsid w:val="00CB4FA0"/>
    <w:rsid w:val="00CB5679"/>
    <w:rsid w:val="00CB5713"/>
    <w:rsid w:val="00CB5AAB"/>
    <w:rsid w:val="00CB6792"/>
    <w:rsid w:val="00CB68A2"/>
    <w:rsid w:val="00CB70E1"/>
    <w:rsid w:val="00CB731B"/>
    <w:rsid w:val="00CB7F3B"/>
    <w:rsid w:val="00CC01EB"/>
    <w:rsid w:val="00CC0A7F"/>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F04"/>
    <w:rsid w:val="00CC7F41"/>
    <w:rsid w:val="00CD000D"/>
    <w:rsid w:val="00CD016C"/>
    <w:rsid w:val="00CD0246"/>
    <w:rsid w:val="00CD0842"/>
    <w:rsid w:val="00CD1074"/>
    <w:rsid w:val="00CD157B"/>
    <w:rsid w:val="00CD173D"/>
    <w:rsid w:val="00CD23D6"/>
    <w:rsid w:val="00CD2656"/>
    <w:rsid w:val="00CD365A"/>
    <w:rsid w:val="00CD3A18"/>
    <w:rsid w:val="00CD3B31"/>
    <w:rsid w:val="00CD3F18"/>
    <w:rsid w:val="00CD3FFB"/>
    <w:rsid w:val="00CD45E3"/>
    <w:rsid w:val="00CD483F"/>
    <w:rsid w:val="00CD48E4"/>
    <w:rsid w:val="00CD4B8D"/>
    <w:rsid w:val="00CD4FBF"/>
    <w:rsid w:val="00CD55AF"/>
    <w:rsid w:val="00CD5857"/>
    <w:rsid w:val="00CD58E5"/>
    <w:rsid w:val="00CD5E1F"/>
    <w:rsid w:val="00CD5FFD"/>
    <w:rsid w:val="00CD6874"/>
    <w:rsid w:val="00CD688F"/>
    <w:rsid w:val="00CD7104"/>
    <w:rsid w:val="00CE0055"/>
    <w:rsid w:val="00CE02E6"/>
    <w:rsid w:val="00CE088E"/>
    <w:rsid w:val="00CE0912"/>
    <w:rsid w:val="00CE0C8D"/>
    <w:rsid w:val="00CE1043"/>
    <w:rsid w:val="00CE1570"/>
    <w:rsid w:val="00CE1DEC"/>
    <w:rsid w:val="00CE1F54"/>
    <w:rsid w:val="00CE2E1B"/>
    <w:rsid w:val="00CE301A"/>
    <w:rsid w:val="00CE31E5"/>
    <w:rsid w:val="00CE3564"/>
    <w:rsid w:val="00CE48FB"/>
    <w:rsid w:val="00CE4E97"/>
    <w:rsid w:val="00CE60F0"/>
    <w:rsid w:val="00CE629E"/>
    <w:rsid w:val="00CE62B8"/>
    <w:rsid w:val="00CE63A8"/>
    <w:rsid w:val="00CE6528"/>
    <w:rsid w:val="00CE6B16"/>
    <w:rsid w:val="00CE6BB0"/>
    <w:rsid w:val="00CE6F27"/>
    <w:rsid w:val="00CE6F96"/>
    <w:rsid w:val="00CE727D"/>
    <w:rsid w:val="00CE7672"/>
    <w:rsid w:val="00CE79FE"/>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212E"/>
    <w:rsid w:val="00D0214A"/>
    <w:rsid w:val="00D026CD"/>
    <w:rsid w:val="00D02A25"/>
    <w:rsid w:val="00D04C15"/>
    <w:rsid w:val="00D04F7B"/>
    <w:rsid w:val="00D0512C"/>
    <w:rsid w:val="00D053C2"/>
    <w:rsid w:val="00D05FA5"/>
    <w:rsid w:val="00D06211"/>
    <w:rsid w:val="00D06E9F"/>
    <w:rsid w:val="00D06FFF"/>
    <w:rsid w:val="00D07871"/>
    <w:rsid w:val="00D07B7D"/>
    <w:rsid w:val="00D113E7"/>
    <w:rsid w:val="00D116F0"/>
    <w:rsid w:val="00D119B8"/>
    <w:rsid w:val="00D11B26"/>
    <w:rsid w:val="00D122BD"/>
    <w:rsid w:val="00D123EA"/>
    <w:rsid w:val="00D124C5"/>
    <w:rsid w:val="00D12A77"/>
    <w:rsid w:val="00D12C8C"/>
    <w:rsid w:val="00D12E24"/>
    <w:rsid w:val="00D134C5"/>
    <w:rsid w:val="00D13CD4"/>
    <w:rsid w:val="00D14332"/>
    <w:rsid w:val="00D14C3A"/>
    <w:rsid w:val="00D15178"/>
    <w:rsid w:val="00D151AE"/>
    <w:rsid w:val="00D15B0C"/>
    <w:rsid w:val="00D15F88"/>
    <w:rsid w:val="00D167E6"/>
    <w:rsid w:val="00D16C97"/>
    <w:rsid w:val="00D16F9B"/>
    <w:rsid w:val="00D17611"/>
    <w:rsid w:val="00D1786A"/>
    <w:rsid w:val="00D17A0C"/>
    <w:rsid w:val="00D17E0F"/>
    <w:rsid w:val="00D17E1D"/>
    <w:rsid w:val="00D17E36"/>
    <w:rsid w:val="00D211A0"/>
    <w:rsid w:val="00D21A5A"/>
    <w:rsid w:val="00D21E2C"/>
    <w:rsid w:val="00D22039"/>
    <w:rsid w:val="00D22381"/>
    <w:rsid w:val="00D22863"/>
    <w:rsid w:val="00D22A36"/>
    <w:rsid w:val="00D23502"/>
    <w:rsid w:val="00D239B8"/>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30112"/>
    <w:rsid w:val="00D3018C"/>
    <w:rsid w:val="00D30458"/>
    <w:rsid w:val="00D30B67"/>
    <w:rsid w:val="00D30D2F"/>
    <w:rsid w:val="00D30E04"/>
    <w:rsid w:val="00D3146B"/>
    <w:rsid w:val="00D31529"/>
    <w:rsid w:val="00D3190D"/>
    <w:rsid w:val="00D31C33"/>
    <w:rsid w:val="00D3345B"/>
    <w:rsid w:val="00D33974"/>
    <w:rsid w:val="00D346EB"/>
    <w:rsid w:val="00D34B45"/>
    <w:rsid w:val="00D35344"/>
    <w:rsid w:val="00D35DEF"/>
    <w:rsid w:val="00D362D1"/>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5EDA"/>
    <w:rsid w:val="00D46126"/>
    <w:rsid w:val="00D46750"/>
    <w:rsid w:val="00D47F43"/>
    <w:rsid w:val="00D50DFF"/>
    <w:rsid w:val="00D50F88"/>
    <w:rsid w:val="00D512A4"/>
    <w:rsid w:val="00D5138A"/>
    <w:rsid w:val="00D51A7A"/>
    <w:rsid w:val="00D51B6D"/>
    <w:rsid w:val="00D521C2"/>
    <w:rsid w:val="00D52785"/>
    <w:rsid w:val="00D53401"/>
    <w:rsid w:val="00D5370C"/>
    <w:rsid w:val="00D539EF"/>
    <w:rsid w:val="00D53A72"/>
    <w:rsid w:val="00D54038"/>
    <w:rsid w:val="00D54213"/>
    <w:rsid w:val="00D54F96"/>
    <w:rsid w:val="00D5509A"/>
    <w:rsid w:val="00D550A4"/>
    <w:rsid w:val="00D5556F"/>
    <w:rsid w:val="00D55A61"/>
    <w:rsid w:val="00D5610F"/>
    <w:rsid w:val="00D5676F"/>
    <w:rsid w:val="00D56AE7"/>
    <w:rsid w:val="00D57027"/>
    <w:rsid w:val="00D573B0"/>
    <w:rsid w:val="00D57521"/>
    <w:rsid w:val="00D576B6"/>
    <w:rsid w:val="00D578DF"/>
    <w:rsid w:val="00D600EC"/>
    <w:rsid w:val="00D60147"/>
    <w:rsid w:val="00D60CB8"/>
    <w:rsid w:val="00D60D04"/>
    <w:rsid w:val="00D60DEF"/>
    <w:rsid w:val="00D61D9D"/>
    <w:rsid w:val="00D6217D"/>
    <w:rsid w:val="00D6231B"/>
    <w:rsid w:val="00D62C17"/>
    <w:rsid w:val="00D62DFA"/>
    <w:rsid w:val="00D63ACC"/>
    <w:rsid w:val="00D63D29"/>
    <w:rsid w:val="00D63EDB"/>
    <w:rsid w:val="00D65C79"/>
    <w:rsid w:val="00D66949"/>
    <w:rsid w:val="00D67A60"/>
    <w:rsid w:val="00D67A77"/>
    <w:rsid w:val="00D67A9E"/>
    <w:rsid w:val="00D70016"/>
    <w:rsid w:val="00D70178"/>
    <w:rsid w:val="00D701CE"/>
    <w:rsid w:val="00D701D4"/>
    <w:rsid w:val="00D701D7"/>
    <w:rsid w:val="00D7069F"/>
    <w:rsid w:val="00D7100B"/>
    <w:rsid w:val="00D7121B"/>
    <w:rsid w:val="00D71336"/>
    <w:rsid w:val="00D71461"/>
    <w:rsid w:val="00D71471"/>
    <w:rsid w:val="00D71B67"/>
    <w:rsid w:val="00D71C56"/>
    <w:rsid w:val="00D72BE6"/>
    <w:rsid w:val="00D73B2C"/>
    <w:rsid w:val="00D73C72"/>
    <w:rsid w:val="00D73DDB"/>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6E3"/>
    <w:rsid w:val="00D779A5"/>
    <w:rsid w:val="00D8044E"/>
    <w:rsid w:val="00D80CCC"/>
    <w:rsid w:val="00D80F0E"/>
    <w:rsid w:val="00D810BB"/>
    <w:rsid w:val="00D81524"/>
    <w:rsid w:val="00D81801"/>
    <w:rsid w:val="00D81FBB"/>
    <w:rsid w:val="00D8205D"/>
    <w:rsid w:val="00D82A69"/>
    <w:rsid w:val="00D8352F"/>
    <w:rsid w:val="00D836E9"/>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9C1"/>
    <w:rsid w:val="00D87B29"/>
    <w:rsid w:val="00D87D72"/>
    <w:rsid w:val="00D9035B"/>
    <w:rsid w:val="00D90444"/>
    <w:rsid w:val="00D90A77"/>
    <w:rsid w:val="00D90BA1"/>
    <w:rsid w:val="00D91492"/>
    <w:rsid w:val="00D91911"/>
    <w:rsid w:val="00D91A0A"/>
    <w:rsid w:val="00D91A82"/>
    <w:rsid w:val="00D91B5D"/>
    <w:rsid w:val="00D91B8A"/>
    <w:rsid w:val="00D92F25"/>
    <w:rsid w:val="00D9376B"/>
    <w:rsid w:val="00D93E53"/>
    <w:rsid w:val="00D9449B"/>
    <w:rsid w:val="00D94A33"/>
    <w:rsid w:val="00D94AD1"/>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2C19"/>
    <w:rsid w:val="00DB30F4"/>
    <w:rsid w:val="00DB31E4"/>
    <w:rsid w:val="00DB3A12"/>
    <w:rsid w:val="00DB3D95"/>
    <w:rsid w:val="00DB3D9F"/>
    <w:rsid w:val="00DB49CD"/>
    <w:rsid w:val="00DB5435"/>
    <w:rsid w:val="00DB5698"/>
    <w:rsid w:val="00DB59FC"/>
    <w:rsid w:val="00DB63F0"/>
    <w:rsid w:val="00DB6947"/>
    <w:rsid w:val="00DB6D8A"/>
    <w:rsid w:val="00DB6E07"/>
    <w:rsid w:val="00DB7131"/>
    <w:rsid w:val="00DB7344"/>
    <w:rsid w:val="00DB73D7"/>
    <w:rsid w:val="00DB768C"/>
    <w:rsid w:val="00DB77CD"/>
    <w:rsid w:val="00DB7E8D"/>
    <w:rsid w:val="00DB7ED2"/>
    <w:rsid w:val="00DC0050"/>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56E3"/>
    <w:rsid w:val="00DC5DB6"/>
    <w:rsid w:val="00DC6192"/>
    <w:rsid w:val="00DC6EC3"/>
    <w:rsid w:val="00DC77BD"/>
    <w:rsid w:val="00DC7B88"/>
    <w:rsid w:val="00DC7C54"/>
    <w:rsid w:val="00DC7F49"/>
    <w:rsid w:val="00DD0179"/>
    <w:rsid w:val="00DD09EB"/>
    <w:rsid w:val="00DD0CED"/>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D46"/>
    <w:rsid w:val="00DD4DAF"/>
    <w:rsid w:val="00DD50A3"/>
    <w:rsid w:val="00DD5130"/>
    <w:rsid w:val="00DD584B"/>
    <w:rsid w:val="00DD5948"/>
    <w:rsid w:val="00DD6294"/>
    <w:rsid w:val="00DD67E5"/>
    <w:rsid w:val="00DD6A57"/>
    <w:rsid w:val="00DD6DAA"/>
    <w:rsid w:val="00DD6DE4"/>
    <w:rsid w:val="00DD7848"/>
    <w:rsid w:val="00DD7EAF"/>
    <w:rsid w:val="00DE01F6"/>
    <w:rsid w:val="00DE0520"/>
    <w:rsid w:val="00DE0ED3"/>
    <w:rsid w:val="00DE0FBE"/>
    <w:rsid w:val="00DE1031"/>
    <w:rsid w:val="00DE1B18"/>
    <w:rsid w:val="00DE1D5F"/>
    <w:rsid w:val="00DE1FD6"/>
    <w:rsid w:val="00DE20F1"/>
    <w:rsid w:val="00DE21F5"/>
    <w:rsid w:val="00DE2411"/>
    <w:rsid w:val="00DE2445"/>
    <w:rsid w:val="00DE2792"/>
    <w:rsid w:val="00DE2C16"/>
    <w:rsid w:val="00DE2EB4"/>
    <w:rsid w:val="00DE34E7"/>
    <w:rsid w:val="00DE357C"/>
    <w:rsid w:val="00DE38E9"/>
    <w:rsid w:val="00DE390B"/>
    <w:rsid w:val="00DE3A21"/>
    <w:rsid w:val="00DE3CE5"/>
    <w:rsid w:val="00DE4063"/>
    <w:rsid w:val="00DE472C"/>
    <w:rsid w:val="00DE4B1A"/>
    <w:rsid w:val="00DE56AD"/>
    <w:rsid w:val="00DE5A62"/>
    <w:rsid w:val="00DE6EB9"/>
    <w:rsid w:val="00DE76A7"/>
    <w:rsid w:val="00DE7B6E"/>
    <w:rsid w:val="00DF074F"/>
    <w:rsid w:val="00DF12B3"/>
    <w:rsid w:val="00DF17D8"/>
    <w:rsid w:val="00DF1A16"/>
    <w:rsid w:val="00DF1C08"/>
    <w:rsid w:val="00DF21F4"/>
    <w:rsid w:val="00DF2583"/>
    <w:rsid w:val="00DF26B1"/>
    <w:rsid w:val="00DF2CE5"/>
    <w:rsid w:val="00DF2E7F"/>
    <w:rsid w:val="00DF3158"/>
    <w:rsid w:val="00DF3219"/>
    <w:rsid w:val="00DF3814"/>
    <w:rsid w:val="00DF3BF6"/>
    <w:rsid w:val="00DF3DA5"/>
    <w:rsid w:val="00DF480A"/>
    <w:rsid w:val="00DF4FB9"/>
    <w:rsid w:val="00DF52D1"/>
    <w:rsid w:val="00DF5789"/>
    <w:rsid w:val="00DF5984"/>
    <w:rsid w:val="00DF5A45"/>
    <w:rsid w:val="00DF6037"/>
    <w:rsid w:val="00DF630F"/>
    <w:rsid w:val="00DF663B"/>
    <w:rsid w:val="00DF71D8"/>
    <w:rsid w:val="00DF787F"/>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52CE"/>
    <w:rsid w:val="00E058EE"/>
    <w:rsid w:val="00E05C35"/>
    <w:rsid w:val="00E06676"/>
    <w:rsid w:val="00E066F5"/>
    <w:rsid w:val="00E06A0D"/>
    <w:rsid w:val="00E0716E"/>
    <w:rsid w:val="00E073BA"/>
    <w:rsid w:val="00E075DE"/>
    <w:rsid w:val="00E07AA3"/>
    <w:rsid w:val="00E07AB5"/>
    <w:rsid w:val="00E10A5A"/>
    <w:rsid w:val="00E10EC8"/>
    <w:rsid w:val="00E11D68"/>
    <w:rsid w:val="00E11DB0"/>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102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631F"/>
    <w:rsid w:val="00E2675C"/>
    <w:rsid w:val="00E26A6B"/>
    <w:rsid w:val="00E26D12"/>
    <w:rsid w:val="00E27665"/>
    <w:rsid w:val="00E278AC"/>
    <w:rsid w:val="00E27BEE"/>
    <w:rsid w:val="00E3052B"/>
    <w:rsid w:val="00E309AE"/>
    <w:rsid w:val="00E30EEA"/>
    <w:rsid w:val="00E31471"/>
    <w:rsid w:val="00E31710"/>
    <w:rsid w:val="00E32188"/>
    <w:rsid w:val="00E328D8"/>
    <w:rsid w:val="00E32CE2"/>
    <w:rsid w:val="00E32D37"/>
    <w:rsid w:val="00E32F10"/>
    <w:rsid w:val="00E33C12"/>
    <w:rsid w:val="00E33F65"/>
    <w:rsid w:val="00E34142"/>
    <w:rsid w:val="00E3460C"/>
    <w:rsid w:val="00E3470B"/>
    <w:rsid w:val="00E3489A"/>
    <w:rsid w:val="00E3495E"/>
    <w:rsid w:val="00E35CB7"/>
    <w:rsid w:val="00E35F92"/>
    <w:rsid w:val="00E3617F"/>
    <w:rsid w:val="00E3638F"/>
    <w:rsid w:val="00E37667"/>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C4C"/>
    <w:rsid w:val="00E51829"/>
    <w:rsid w:val="00E52E0B"/>
    <w:rsid w:val="00E53651"/>
    <w:rsid w:val="00E53DCD"/>
    <w:rsid w:val="00E54066"/>
    <w:rsid w:val="00E54291"/>
    <w:rsid w:val="00E54585"/>
    <w:rsid w:val="00E5459C"/>
    <w:rsid w:val="00E5475E"/>
    <w:rsid w:val="00E549C2"/>
    <w:rsid w:val="00E55537"/>
    <w:rsid w:val="00E557B5"/>
    <w:rsid w:val="00E55E1B"/>
    <w:rsid w:val="00E56BD8"/>
    <w:rsid w:val="00E56F3C"/>
    <w:rsid w:val="00E57B6A"/>
    <w:rsid w:val="00E60952"/>
    <w:rsid w:val="00E61819"/>
    <w:rsid w:val="00E61E23"/>
    <w:rsid w:val="00E620A6"/>
    <w:rsid w:val="00E6210D"/>
    <w:rsid w:val="00E62171"/>
    <w:rsid w:val="00E62656"/>
    <w:rsid w:val="00E62768"/>
    <w:rsid w:val="00E62E62"/>
    <w:rsid w:val="00E62F0B"/>
    <w:rsid w:val="00E6462C"/>
    <w:rsid w:val="00E64745"/>
    <w:rsid w:val="00E65BCA"/>
    <w:rsid w:val="00E65F73"/>
    <w:rsid w:val="00E66365"/>
    <w:rsid w:val="00E664B9"/>
    <w:rsid w:val="00E672DE"/>
    <w:rsid w:val="00E70029"/>
    <w:rsid w:val="00E71702"/>
    <w:rsid w:val="00E718FA"/>
    <w:rsid w:val="00E719D3"/>
    <w:rsid w:val="00E720FE"/>
    <w:rsid w:val="00E7210E"/>
    <w:rsid w:val="00E72A86"/>
    <w:rsid w:val="00E72C29"/>
    <w:rsid w:val="00E72D83"/>
    <w:rsid w:val="00E73583"/>
    <w:rsid w:val="00E73A50"/>
    <w:rsid w:val="00E73E05"/>
    <w:rsid w:val="00E73FEE"/>
    <w:rsid w:val="00E7442B"/>
    <w:rsid w:val="00E74DB2"/>
    <w:rsid w:val="00E74EE7"/>
    <w:rsid w:val="00E75236"/>
    <w:rsid w:val="00E75D1A"/>
    <w:rsid w:val="00E75F5F"/>
    <w:rsid w:val="00E76782"/>
    <w:rsid w:val="00E76956"/>
    <w:rsid w:val="00E76B6E"/>
    <w:rsid w:val="00E76DB9"/>
    <w:rsid w:val="00E77030"/>
    <w:rsid w:val="00E773C5"/>
    <w:rsid w:val="00E77744"/>
    <w:rsid w:val="00E777AD"/>
    <w:rsid w:val="00E779CB"/>
    <w:rsid w:val="00E80B80"/>
    <w:rsid w:val="00E814BC"/>
    <w:rsid w:val="00E81603"/>
    <w:rsid w:val="00E81756"/>
    <w:rsid w:val="00E81A4E"/>
    <w:rsid w:val="00E82C70"/>
    <w:rsid w:val="00E82DC8"/>
    <w:rsid w:val="00E83D1B"/>
    <w:rsid w:val="00E84AB4"/>
    <w:rsid w:val="00E84B48"/>
    <w:rsid w:val="00E84CC9"/>
    <w:rsid w:val="00E84EBF"/>
    <w:rsid w:val="00E8590A"/>
    <w:rsid w:val="00E85F38"/>
    <w:rsid w:val="00E861A8"/>
    <w:rsid w:val="00E86ED2"/>
    <w:rsid w:val="00E871DB"/>
    <w:rsid w:val="00E87629"/>
    <w:rsid w:val="00E87846"/>
    <w:rsid w:val="00E87853"/>
    <w:rsid w:val="00E90075"/>
    <w:rsid w:val="00E90423"/>
    <w:rsid w:val="00E9047F"/>
    <w:rsid w:val="00E90630"/>
    <w:rsid w:val="00E90C12"/>
    <w:rsid w:val="00E91621"/>
    <w:rsid w:val="00E91C47"/>
    <w:rsid w:val="00E91D47"/>
    <w:rsid w:val="00E91FEE"/>
    <w:rsid w:val="00E92935"/>
    <w:rsid w:val="00E94784"/>
    <w:rsid w:val="00E949D3"/>
    <w:rsid w:val="00E94A10"/>
    <w:rsid w:val="00E95F82"/>
    <w:rsid w:val="00E96141"/>
    <w:rsid w:val="00E96473"/>
    <w:rsid w:val="00E96829"/>
    <w:rsid w:val="00E9686D"/>
    <w:rsid w:val="00E9757C"/>
    <w:rsid w:val="00E97928"/>
    <w:rsid w:val="00E97A5E"/>
    <w:rsid w:val="00EA0D57"/>
    <w:rsid w:val="00EA0E45"/>
    <w:rsid w:val="00EA1EAD"/>
    <w:rsid w:val="00EA205B"/>
    <w:rsid w:val="00EA3628"/>
    <w:rsid w:val="00EA36D3"/>
    <w:rsid w:val="00EA3702"/>
    <w:rsid w:val="00EA446D"/>
    <w:rsid w:val="00EA4907"/>
    <w:rsid w:val="00EA4974"/>
    <w:rsid w:val="00EA4A2E"/>
    <w:rsid w:val="00EA4BCD"/>
    <w:rsid w:val="00EA4CE0"/>
    <w:rsid w:val="00EA4EE3"/>
    <w:rsid w:val="00EA52B7"/>
    <w:rsid w:val="00EA5618"/>
    <w:rsid w:val="00EA5AC7"/>
    <w:rsid w:val="00EA6303"/>
    <w:rsid w:val="00EA63E7"/>
    <w:rsid w:val="00EA67FD"/>
    <w:rsid w:val="00EA6872"/>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9F9"/>
    <w:rsid w:val="00EB3BCE"/>
    <w:rsid w:val="00EB47E5"/>
    <w:rsid w:val="00EB5877"/>
    <w:rsid w:val="00EB5A86"/>
    <w:rsid w:val="00EB5CAD"/>
    <w:rsid w:val="00EB61ED"/>
    <w:rsid w:val="00EB621E"/>
    <w:rsid w:val="00EB65A1"/>
    <w:rsid w:val="00EB6633"/>
    <w:rsid w:val="00EB684B"/>
    <w:rsid w:val="00EB730C"/>
    <w:rsid w:val="00EB7561"/>
    <w:rsid w:val="00EB7939"/>
    <w:rsid w:val="00EB7B45"/>
    <w:rsid w:val="00EB7C89"/>
    <w:rsid w:val="00EC018B"/>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DD1"/>
    <w:rsid w:val="00EC70F7"/>
    <w:rsid w:val="00EC7EB7"/>
    <w:rsid w:val="00EC7F4A"/>
    <w:rsid w:val="00ED0291"/>
    <w:rsid w:val="00ED0516"/>
    <w:rsid w:val="00ED053F"/>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710B"/>
    <w:rsid w:val="00ED7133"/>
    <w:rsid w:val="00EE11F8"/>
    <w:rsid w:val="00EE190E"/>
    <w:rsid w:val="00EE1BEB"/>
    <w:rsid w:val="00EE1E35"/>
    <w:rsid w:val="00EE27E2"/>
    <w:rsid w:val="00EE2819"/>
    <w:rsid w:val="00EE2EC4"/>
    <w:rsid w:val="00EE38B4"/>
    <w:rsid w:val="00EE392A"/>
    <w:rsid w:val="00EE3B06"/>
    <w:rsid w:val="00EE3B46"/>
    <w:rsid w:val="00EE3B79"/>
    <w:rsid w:val="00EE3F23"/>
    <w:rsid w:val="00EE59ED"/>
    <w:rsid w:val="00EE60A1"/>
    <w:rsid w:val="00EE6168"/>
    <w:rsid w:val="00EE6853"/>
    <w:rsid w:val="00EE6C9F"/>
    <w:rsid w:val="00EE6D50"/>
    <w:rsid w:val="00EE7E5F"/>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EF1"/>
    <w:rsid w:val="00EF539F"/>
    <w:rsid w:val="00EF5925"/>
    <w:rsid w:val="00EF662C"/>
    <w:rsid w:val="00EF6928"/>
    <w:rsid w:val="00EF6DB5"/>
    <w:rsid w:val="00EF6FA9"/>
    <w:rsid w:val="00EF7405"/>
    <w:rsid w:val="00EF78EA"/>
    <w:rsid w:val="00F016E4"/>
    <w:rsid w:val="00F017DC"/>
    <w:rsid w:val="00F01CB5"/>
    <w:rsid w:val="00F01E6C"/>
    <w:rsid w:val="00F02075"/>
    <w:rsid w:val="00F03219"/>
    <w:rsid w:val="00F03702"/>
    <w:rsid w:val="00F03C06"/>
    <w:rsid w:val="00F04097"/>
    <w:rsid w:val="00F045E2"/>
    <w:rsid w:val="00F051B0"/>
    <w:rsid w:val="00F05409"/>
    <w:rsid w:val="00F06448"/>
    <w:rsid w:val="00F0689B"/>
    <w:rsid w:val="00F06E52"/>
    <w:rsid w:val="00F06F62"/>
    <w:rsid w:val="00F078AE"/>
    <w:rsid w:val="00F07BD0"/>
    <w:rsid w:val="00F07EC3"/>
    <w:rsid w:val="00F100E0"/>
    <w:rsid w:val="00F10625"/>
    <w:rsid w:val="00F1079D"/>
    <w:rsid w:val="00F11081"/>
    <w:rsid w:val="00F11209"/>
    <w:rsid w:val="00F11547"/>
    <w:rsid w:val="00F11A95"/>
    <w:rsid w:val="00F11C39"/>
    <w:rsid w:val="00F11CEB"/>
    <w:rsid w:val="00F1248F"/>
    <w:rsid w:val="00F1264C"/>
    <w:rsid w:val="00F126D2"/>
    <w:rsid w:val="00F130A4"/>
    <w:rsid w:val="00F13573"/>
    <w:rsid w:val="00F13EA0"/>
    <w:rsid w:val="00F140E4"/>
    <w:rsid w:val="00F14107"/>
    <w:rsid w:val="00F1457D"/>
    <w:rsid w:val="00F14673"/>
    <w:rsid w:val="00F1469A"/>
    <w:rsid w:val="00F1480E"/>
    <w:rsid w:val="00F149A3"/>
    <w:rsid w:val="00F15443"/>
    <w:rsid w:val="00F15BD1"/>
    <w:rsid w:val="00F1677E"/>
    <w:rsid w:val="00F16BE6"/>
    <w:rsid w:val="00F174DB"/>
    <w:rsid w:val="00F1767B"/>
    <w:rsid w:val="00F17B2F"/>
    <w:rsid w:val="00F20521"/>
    <w:rsid w:val="00F20797"/>
    <w:rsid w:val="00F20E6E"/>
    <w:rsid w:val="00F211C1"/>
    <w:rsid w:val="00F217CB"/>
    <w:rsid w:val="00F21874"/>
    <w:rsid w:val="00F2199E"/>
    <w:rsid w:val="00F21E65"/>
    <w:rsid w:val="00F21EEB"/>
    <w:rsid w:val="00F22268"/>
    <w:rsid w:val="00F2231E"/>
    <w:rsid w:val="00F22877"/>
    <w:rsid w:val="00F23077"/>
    <w:rsid w:val="00F234F2"/>
    <w:rsid w:val="00F236E1"/>
    <w:rsid w:val="00F24486"/>
    <w:rsid w:val="00F24755"/>
    <w:rsid w:val="00F25875"/>
    <w:rsid w:val="00F25F15"/>
    <w:rsid w:val="00F26877"/>
    <w:rsid w:val="00F268BA"/>
    <w:rsid w:val="00F26E93"/>
    <w:rsid w:val="00F26F42"/>
    <w:rsid w:val="00F272E0"/>
    <w:rsid w:val="00F30562"/>
    <w:rsid w:val="00F30952"/>
    <w:rsid w:val="00F30CB3"/>
    <w:rsid w:val="00F3163A"/>
    <w:rsid w:val="00F31A97"/>
    <w:rsid w:val="00F31DDB"/>
    <w:rsid w:val="00F3200C"/>
    <w:rsid w:val="00F320EB"/>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67D"/>
    <w:rsid w:val="00F4012C"/>
    <w:rsid w:val="00F4063A"/>
    <w:rsid w:val="00F4093E"/>
    <w:rsid w:val="00F4170C"/>
    <w:rsid w:val="00F41879"/>
    <w:rsid w:val="00F41CFF"/>
    <w:rsid w:val="00F4243B"/>
    <w:rsid w:val="00F42646"/>
    <w:rsid w:val="00F42AC1"/>
    <w:rsid w:val="00F42EA6"/>
    <w:rsid w:val="00F42FD1"/>
    <w:rsid w:val="00F43598"/>
    <w:rsid w:val="00F436D2"/>
    <w:rsid w:val="00F43A0D"/>
    <w:rsid w:val="00F43BF4"/>
    <w:rsid w:val="00F44001"/>
    <w:rsid w:val="00F45032"/>
    <w:rsid w:val="00F461EB"/>
    <w:rsid w:val="00F4667C"/>
    <w:rsid w:val="00F46963"/>
    <w:rsid w:val="00F47047"/>
    <w:rsid w:val="00F4761B"/>
    <w:rsid w:val="00F4786F"/>
    <w:rsid w:val="00F4792C"/>
    <w:rsid w:val="00F47C30"/>
    <w:rsid w:val="00F50392"/>
    <w:rsid w:val="00F50828"/>
    <w:rsid w:val="00F50906"/>
    <w:rsid w:val="00F50AA7"/>
    <w:rsid w:val="00F517D6"/>
    <w:rsid w:val="00F51F3A"/>
    <w:rsid w:val="00F52208"/>
    <w:rsid w:val="00F52C19"/>
    <w:rsid w:val="00F52CC2"/>
    <w:rsid w:val="00F53002"/>
    <w:rsid w:val="00F5365A"/>
    <w:rsid w:val="00F53743"/>
    <w:rsid w:val="00F53B8B"/>
    <w:rsid w:val="00F53C98"/>
    <w:rsid w:val="00F54714"/>
    <w:rsid w:val="00F54BA2"/>
    <w:rsid w:val="00F554CF"/>
    <w:rsid w:val="00F558D4"/>
    <w:rsid w:val="00F55FFC"/>
    <w:rsid w:val="00F56BF3"/>
    <w:rsid w:val="00F56F60"/>
    <w:rsid w:val="00F576B5"/>
    <w:rsid w:val="00F577C6"/>
    <w:rsid w:val="00F57800"/>
    <w:rsid w:val="00F57F76"/>
    <w:rsid w:val="00F603F5"/>
    <w:rsid w:val="00F6083E"/>
    <w:rsid w:val="00F60B70"/>
    <w:rsid w:val="00F6185D"/>
    <w:rsid w:val="00F61FC9"/>
    <w:rsid w:val="00F62238"/>
    <w:rsid w:val="00F6223E"/>
    <w:rsid w:val="00F62391"/>
    <w:rsid w:val="00F62A2D"/>
    <w:rsid w:val="00F63A0E"/>
    <w:rsid w:val="00F63B07"/>
    <w:rsid w:val="00F63CED"/>
    <w:rsid w:val="00F6416D"/>
    <w:rsid w:val="00F642E8"/>
    <w:rsid w:val="00F642F2"/>
    <w:rsid w:val="00F64B72"/>
    <w:rsid w:val="00F64FC3"/>
    <w:rsid w:val="00F655DB"/>
    <w:rsid w:val="00F65A96"/>
    <w:rsid w:val="00F65B4B"/>
    <w:rsid w:val="00F65B8A"/>
    <w:rsid w:val="00F65E8C"/>
    <w:rsid w:val="00F663A0"/>
    <w:rsid w:val="00F66D18"/>
    <w:rsid w:val="00F66F43"/>
    <w:rsid w:val="00F7075C"/>
    <w:rsid w:val="00F70D4F"/>
    <w:rsid w:val="00F7113A"/>
    <w:rsid w:val="00F71278"/>
    <w:rsid w:val="00F712F4"/>
    <w:rsid w:val="00F7132A"/>
    <w:rsid w:val="00F721EA"/>
    <w:rsid w:val="00F723C0"/>
    <w:rsid w:val="00F7257B"/>
    <w:rsid w:val="00F72B0E"/>
    <w:rsid w:val="00F72BF8"/>
    <w:rsid w:val="00F72D40"/>
    <w:rsid w:val="00F72D4F"/>
    <w:rsid w:val="00F72F42"/>
    <w:rsid w:val="00F731D2"/>
    <w:rsid w:val="00F7360E"/>
    <w:rsid w:val="00F73A5D"/>
    <w:rsid w:val="00F73AC5"/>
    <w:rsid w:val="00F73C9D"/>
    <w:rsid w:val="00F73E94"/>
    <w:rsid w:val="00F74FA0"/>
    <w:rsid w:val="00F75320"/>
    <w:rsid w:val="00F75913"/>
    <w:rsid w:val="00F75E1F"/>
    <w:rsid w:val="00F76222"/>
    <w:rsid w:val="00F767F2"/>
    <w:rsid w:val="00F76D63"/>
    <w:rsid w:val="00F77075"/>
    <w:rsid w:val="00F77748"/>
    <w:rsid w:val="00F77E2A"/>
    <w:rsid w:val="00F804B2"/>
    <w:rsid w:val="00F8050A"/>
    <w:rsid w:val="00F80C8A"/>
    <w:rsid w:val="00F81169"/>
    <w:rsid w:val="00F8119C"/>
    <w:rsid w:val="00F813AF"/>
    <w:rsid w:val="00F82251"/>
    <w:rsid w:val="00F82B0C"/>
    <w:rsid w:val="00F83339"/>
    <w:rsid w:val="00F83651"/>
    <w:rsid w:val="00F83D4F"/>
    <w:rsid w:val="00F8427A"/>
    <w:rsid w:val="00F84CA9"/>
    <w:rsid w:val="00F84E5D"/>
    <w:rsid w:val="00F85338"/>
    <w:rsid w:val="00F855E0"/>
    <w:rsid w:val="00F85A8A"/>
    <w:rsid w:val="00F85E5F"/>
    <w:rsid w:val="00F866D0"/>
    <w:rsid w:val="00F8681C"/>
    <w:rsid w:val="00F86C07"/>
    <w:rsid w:val="00F87A7C"/>
    <w:rsid w:val="00F87D2B"/>
    <w:rsid w:val="00F90ACA"/>
    <w:rsid w:val="00F912FF"/>
    <w:rsid w:val="00F91578"/>
    <w:rsid w:val="00F919A5"/>
    <w:rsid w:val="00F91C99"/>
    <w:rsid w:val="00F92166"/>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35E"/>
    <w:rsid w:val="00F97919"/>
    <w:rsid w:val="00F97C27"/>
    <w:rsid w:val="00FA106A"/>
    <w:rsid w:val="00FA2240"/>
    <w:rsid w:val="00FA27B3"/>
    <w:rsid w:val="00FA2FF6"/>
    <w:rsid w:val="00FA43A7"/>
    <w:rsid w:val="00FA44D9"/>
    <w:rsid w:val="00FA46C1"/>
    <w:rsid w:val="00FA49C3"/>
    <w:rsid w:val="00FA5B44"/>
    <w:rsid w:val="00FA68B5"/>
    <w:rsid w:val="00FA6CF1"/>
    <w:rsid w:val="00FA7016"/>
    <w:rsid w:val="00FA7753"/>
    <w:rsid w:val="00FA77BD"/>
    <w:rsid w:val="00FA7D86"/>
    <w:rsid w:val="00FB01EC"/>
    <w:rsid w:val="00FB0CC7"/>
    <w:rsid w:val="00FB188E"/>
    <w:rsid w:val="00FB192B"/>
    <w:rsid w:val="00FB1935"/>
    <w:rsid w:val="00FB1A6B"/>
    <w:rsid w:val="00FB1D70"/>
    <w:rsid w:val="00FB20FB"/>
    <w:rsid w:val="00FB21C9"/>
    <w:rsid w:val="00FB240E"/>
    <w:rsid w:val="00FB280F"/>
    <w:rsid w:val="00FB2A0D"/>
    <w:rsid w:val="00FB2BE6"/>
    <w:rsid w:val="00FB2CA5"/>
    <w:rsid w:val="00FB3415"/>
    <w:rsid w:val="00FB35FD"/>
    <w:rsid w:val="00FB3A0C"/>
    <w:rsid w:val="00FB44B4"/>
    <w:rsid w:val="00FB463B"/>
    <w:rsid w:val="00FB5A06"/>
    <w:rsid w:val="00FB791F"/>
    <w:rsid w:val="00FB7943"/>
    <w:rsid w:val="00FB7C6D"/>
    <w:rsid w:val="00FB7F47"/>
    <w:rsid w:val="00FC04E5"/>
    <w:rsid w:val="00FC1B2C"/>
    <w:rsid w:val="00FC2034"/>
    <w:rsid w:val="00FC247E"/>
    <w:rsid w:val="00FC26AD"/>
    <w:rsid w:val="00FC2DF9"/>
    <w:rsid w:val="00FC317E"/>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2722"/>
    <w:rsid w:val="00FD272A"/>
    <w:rsid w:val="00FD36F8"/>
    <w:rsid w:val="00FD4326"/>
    <w:rsid w:val="00FD4BC6"/>
    <w:rsid w:val="00FD59E3"/>
    <w:rsid w:val="00FD5C7D"/>
    <w:rsid w:val="00FD61CF"/>
    <w:rsid w:val="00FD6A99"/>
    <w:rsid w:val="00FD6AEA"/>
    <w:rsid w:val="00FD6FB2"/>
    <w:rsid w:val="00FD7C2E"/>
    <w:rsid w:val="00FD7DB4"/>
    <w:rsid w:val="00FD7EB6"/>
    <w:rsid w:val="00FE098C"/>
    <w:rsid w:val="00FE0AF5"/>
    <w:rsid w:val="00FE0D21"/>
    <w:rsid w:val="00FE1199"/>
    <w:rsid w:val="00FE14ED"/>
    <w:rsid w:val="00FE162B"/>
    <w:rsid w:val="00FE21E9"/>
    <w:rsid w:val="00FE2D16"/>
    <w:rsid w:val="00FE31B2"/>
    <w:rsid w:val="00FE3716"/>
    <w:rsid w:val="00FE3D19"/>
    <w:rsid w:val="00FE3DAA"/>
    <w:rsid w:val="00FE3E0F"/>
    <w:rsid w:val="00FE4192"/>
    <w:rsid w:val="00FE4D74"/>
    <w:rsid w:val="00FE4EBE"/>
    <w:rsid w:val="00FE559F"/>
    <w:rsid w:val="00FE5DDE"/>
    <w:rsid w:val="00FE6281"/>
    <w:rsid w:val="00FE6BDE"/>
    <w:rsid w:val="00FE7473"/>
    <w:rsid w:val="00FE74AB"/>
    <w:rsid w:val="00FE7783"/>
    <w:rsid w:val="00FE790B"/>
    <w:rsid w:val="00FF03A2"/>
    <w:rsid w:val="00FF0A01"/>
    <w:rsid w:val="00FF0C32"/>
    <w:rsid w:val="00FF0CD1"/>
    <w:rsid w:val="00FF1653"/>
    <w:rsid w:val="00FF231D"/>
    <w:rsid w:val="00FF28FE"/>
    <w:rsid w:val="00FF2BC0"/>
    <w:rsid w:val="00FF33A9"/>
    <w:rsid w:val="00FF3582"/>
    <w:rsid w:val="00FF3907"/>
    <w:rsid w:val="00FF3BC9"/>
    <w:rsid w:val="00FF3FAC"/>
    <w:rsid w:val="00FF4016"/>
    <w:rsid w:val="00FF421B"/>
    <w:rsid w:val="00FF4F68"/>
    <w:rsid w:val="00FF5044"/>
    <w:rsid w:val="00FF52DE"/>
    <w:rsid w:val="00FF55D8"/>
    <w:rsid w:val="00FF565C"/>
    <w:rsid w:val="00FF5F0C"/>
    <w:rsid w:val="00FF6002"/>
    <w:rsid w:val="00FF601C"/>
    <w:rsid w:val="00FF6341"/>
    <w:rsid w:val="00FF64BE"/>
    <w:rsid w:val="00FF66D1"/>
    <w:rsid w:val="00FF70B5"/>
    <w:rsid w:val="00FF7189"/>
    <w:rsid w:val="00FF7721"/>
    <w:rsid w:val="00FF7E98"/>
    <w:rsid w:val="00FF7F30"/>
    <w:rsid w:val="011A11A4"/>
    <w:rsid w:val="01405559"/>
    <w:rsid w:val="014B5B44"/>
    <w:rsid w:val="016F1387"/>
    <w:rsid w:val="0182219D"/>
    <w:rsid w:val="01856CCD"/>
    <w:rsid w:val="018C5F7F"/>
    <w:rsid w:val="01AC7D6A"/>
    <w:rsid w:val="01BE4069"/>
    <w:rsid w:val="01BE5800"/>
    <w:rsid w:val="01C35244"/>
    <w:rsid w:val="01E46F65"/>
    <w:rsid w:val="01FD1AB4"/>
    <w:rsid w:val="01FF5F05"/>
    <w:rsid w:val="02087DA5"/>
    <w:rsid w:val="020F084F"/>
    <w:rsid w:val="0228639E"/>
    <w:rsid w:val="022C43FC"/>
    <w:rsid w:val="023D5749"/>
    <w:rsid w:val="02813B70"/>
    <w:rsid w:val="029447A7"/>
    <w:rsid w:val="02E332EA"/>
    <w:rsid w:val="02E536DD"/>
    <w:rsid w:val="02FC7879"/>
    <w:rsid w:val="030A564C"/>
    <w:rsid w:val="035E737B"/>
    <w:rsid w:val="03663B0D"/>
    <w:rsid w:val="037D3DF5"/>
    <w:rsid w:val="03A955C9"/>
    <w:rsid w:val="03F06C42"/>
    <w:rsid w:val="040242FD"/>
    <w:rsid w:val="041B3357"/>
    <w:rsid w:val="043A3A91"/>
    <w:rsid w:val="047B6C26"/>
    <w:rsid w:val="049A683B"/>
    <w:rsid w:val="04B458A6"/>
    <w:rsid w:val="04BE5FB8"/>
    <w:rsid w:val="04C34346"/>
    <w:rsid w:val="04E30437"/>
    <w:rsid w:val="05045C94"/>
    <w:rsid w:val="05065269"/>
    <w:rsid w:val="053323FC"/>
    <w:rsid w:val="05465FD3"/>
    <w:rsid w:val="0550373A"/>
    <w:rsid w:val="055124E8"/>
    <w:rsid w:val="0571476E"/>
    <w:rsid w:val="05A3689F"/>
    <w:rsid w:val="05EF5C58"/>
    <w:rsid w:val="05F41FAA"/>
    <w:rsid w:val="05F45E3B"/>
    <w:rsid w:val="0602556D"/>
    <w:rsid w:val="06292706"/>
    <w:rsid w:val="062E29C3"/>
    <w:rsid w:val="063B78DC"/>
    <w:rsid w:val="063D29A3"/>
    <w:rsid w:val="064F566F"/>
    <w:rsid w:val="0656577C"/>
    <w:rsid w:val="0682248D"/>
    <w:rsid w:val="0688553D"/>
    <w:rsid w:val="069316F2"/>
    <w:rsid w:val="06971FEE"/>
    <w:rsid w:val="06A2338C"/>
    <w:rsid w:val="06C104D4"/>
    <w:rsid w:val="06C123D8"/>
    <w:rsid w:val="06C14E19"/>
    <w:rsid w:val="071749C2"/>
    <w:rsid w:val="071C264C"/>
    <w:rsid w:val="0730000A"/>
    <w:rsid w:val="07305104"/>
    <w:rsid w:val="0744639A"/>
    <w:rsid w:val="07486809"/>
    <w:rsid w:val="07653BD1"/>
    <w:rsid w:val="076C143E"/>
    <w:rsid w:val="076E0F6D"/>
    <w:rsid w:val="07717C81"/>
    <w:rsid w:val="07761BFD"/>
    <w:rsid w:val="07BC2556"/>
    <w:rsid w:val="07E84F31"/>
    <w:rsid w:val="081650F7"/>
    <w:rsid w:val="0839529D"/>
    <w:rsid w:val="0859774B"/>
    <w:rsid w:val="087840FB"/>
    <w:rsid w:val="08A17934"/>
    <w:rsid w:val="08AF77F6"/>
    <w:rsid w:val="08CA13FE"/>
    <w:rsid w:val="08DD4532"/>
    <w:rsid w:val="08ED1BAD"/>
    <w:rsid w:val="08ED6689"/>
    <w:rsid w:val="08F234FA"/>
    <w:rsid w:val="08F57ACE"/>
    <w:rsid w:val="090760E5"/>
    <w:rsid w:val="090B23E0"/>
    <w:rsid w:val="091368A1"/>
    <w:rsid w:val="0925559E"/>
    <w:rsid w:val="093D503C"/>
    <w:rsid w:val="0971094D"/>
    <w:rsid w:val="09974C33"/>
    <w:rsid w:val="099E7A69"/>
    <w:rsid w:val="09B82947"/>
    <w:rsid w:val="09C94FA3"/>
    <w:rsid w:val="09CF15F0"/>
    <w:rsid w:val="09E55D39"/>
    <w:rsid w:val="0A8658BC"/>
    <w:rsid w:val="0A8C5FC6"/>
    <w:rsid w:val="0A9E153A"/>
    <w:rsid w:val="0AA35092"/>
    <w:rsid w:val="0B0F7D5D"/>
    <w:rsid w:val="0B1E74CA"/>
    <w:rsid w:val="0B2E3CF5"/>
    <w:rsid w:val="0B9E6437"/>
    <w:rsid w:val="0BF958C7"/>
    <w:rsid w:val="0C064DA2"/>
    <w:rsid w:val="0C1666D9"/>
    <w:rsid w:val="0C2561A2"/>
    <w:rsid w:val="0C3F3332"/>
    <w:rsid w:val="0C5A09A9"/>
    <w:rsid w:val="0C6B308A"/>
    <w:rsid w:val="0C6E7FC6"/>
    <w:rsid w:val="0C7A4730"/>
    <w:rsid w:val="0C800126"/>
    <w:rsid w:val="0C8C0258"/>
    <w:rsid w:val="0CDB719E"/>
    <w:rsid w:val="0D0B53BC"/>
    <w:rsid w:val="0D11138D"/>
    <w:rsid w:val="0D56019D"/>
    <w:rsid w:val="0DAF176C"/>
    <w:rsid w:val="0DB47D2A"/>
    <w:rsid w:val="0DCA4E97"/>
    <w:rsid w:val="0DD23658"/>
    <w:rsid w:val="0DD673C7"/>
    <w:rsid w:val="0DEA5654"/>
    <w:rsid w:val="0DED21A1"/>
    <w:rsid w:val="0E0812B7"/>
    <w:rsid w:val="0E407559"/>
    <w:rsid w:val="0E5A5508"/>
    <w:rsid w:val="0E800498"/>
    <w:rsid w:val="0E940B6D"/>
    <w:rsid w:val="0EAB6A73"/>
    <w:rsid w:val="0F4D0707"/>
    <w:rsid w:val="0F951117"/>
    <w:rsid w:val="0F9F41EB"/>
    <w:rsid w:val="0FB970F9"/>
    <w:rsid w:val="0FBA2A45"/>
    <w:rsid w:val="0FC41654"/>
    <w:rsid w:val="0FDE7285"/>
    <w:rsid w:val="10156CA8"/>
    <w:rsid w:val="101E0BE2"/>
    <w:rsid w:val="10403121"/>
    <w:rsid w:val="1042721E"/>
    <w:rsid w:val="106951F4"/>
    <w:rsid w:val="10816687"/>
    <w:rsid w:val="10993A1B"/>
    <w:rsid w:val="10AD147E"/>
    <w:rsid w:val="10E26334"/>
    <w:rsid w:val="11005175"/>
    <w:rsid w:val="11005262"/>
    <w:rsid w:val="11124156"/>
    <w:rsid w:val="111809A6"/>
    <w:rsid w:val="112C5B7D"/>
    <w:rsid w:val="1147532F"/>
    <w:rsid w:val="11584B47"/>
    <w:rsid w:val="118406FD"/>
    <w:rsid w:val="118C2ED5"/>
    <w:rsid w:val="119B5A62"/>
    <w:rsid w:val="11B416F0"/>
    <w:rsid w:val="11B83D31"/>
    <w:rsid w:val="11B91E2A"/>
    <w:rsid w:val="11DC0A97"/>
    <w:rsid w:val="11EC2719"/>
    <w:rsid w:val="121944E4"/>
    <w:rsid w:val="122263B9"/>
    <w:rsid w:val="12625B2F"/>
    <w:rsid w:val="126F5DEF"/>
    <w:rsid w:val="12795B29"/>
    <w:rsid w:val="129036E0"/>
    <w:rsid w:val="12A5475F"/>
    <w:rsid w:val="12F62B63"/>
    <w:rsid w:val="12F86DF5"/>
    <w:rsid w:val="131C01C2"/>
    <w:rsid w:val="135B7891"/>
    <w:rsid w:val="13696837"/>
    <w:rsid w:val="13703527"/>
    <w:rsid w:val="1383473A"/>
    <w:rsid w:val="1396006F"/>
    <w:rsid w:val="13B31AEC"/>
    <w:rsid w:val="13B453F8"/>
    <w:rsid w:val="13FE3FBA"/>
    <w:rsid w:val="140E1568"/>
    <w:rsid w:val="14404369"/>
    <w:rsid w:val="14794186"/>
    <w:rsid w:val="14B12588"/>
    <w:rsid w:val="14CD3DAA"/>
    <w:rsid w:val="14E32F86"/>
    <w:rsid w:val="14F02142"/>
    <w:rsid w:val="152617F1"/>
    <w:rsid w:val="154173E7"/>
    <w:rsid w:val="15422182"/>
    <w:rsid w:val="1552394A"/>
    <w:rsid w:val="15660168"/>
    <w:rsid w:val="157836E3"/>
    <w:rsid w:val="15B82D31"/>
    <w:rsid w:val="16061FA9"/>
    <w:rsid w:val="1612079E"/>
    <w:rsid w:val="161471A7"/>
    <w:rsid w:val="161E6F7C"/>
    <w:rsid w:val="162C11CD"/>
    <w:rsid w:val="16464B12"/>
    <w:rsid w:val="165A7CB1"/>
    <w:rsid w:val="16785A64"/>
    <w:rsid w:val="167A6312"/>
    <w:rsid w:val="16E75F55"/>
    <w:rsid w:val="16F86295"/>
    <w:rsid w:val="171351B3"/>
    <w:rsid w:val="171F3A68"/>
    <w:rsid w:val="173F7C81"/>
    <w:rsid w:val="17503E90"/>
    <w:rsid w:val="175D674F"/>
    <w:rsid w:val="17696FC3"/>
    <w:rsid w:val="176A7386"/>
    <w:rsid w:val="1793734F"/>
    <w:rsid w:val="17951BB8"/>
    <w:rsid w:val="17961CB0"/>
    <w:rsid w:val="17A25817"/>
    <w:rsid w:val="17B53534"/>
    <w:rsid w:val="17C153CA"/>
    <w:rsid w:val="17C37E3D"/>
    <w:rsid w:val="17CB768E"/>
    <w:rsid w:val="17CD2550"/>
    <w:rsid w:val="17D65152"/>
    <w:rsid w:val="18114189"/>
    <w:rsid w:val="182E04FD"/>
    <w:rsid w:val="18436F4C"/>
    <w:rsid w:val="18651AE9"/>
    <w:rsid w:val="186B0554"/>
    <w:rsid w:val="187431A4"/>
    <w:rsid w:val="189161DF"/>
    <w:rsid w:val="18E66A5F"/>
    <w:rsid w:val="18F06F2D"/>
    <w:rsid w:val="18F630EB"/>
    <w:rsid w:val="19117739"/>
    <w:rsid w:val="19403824"/>
    <w:rsid w:val="195B6934"/>
    <w:rsid w:val="19A707A4"/>
    <w:rsid w:val="19AD7F51"/>
    <w:rsid w:val="19B02548"/>
    <w:rsid w:val="19D8675D"/>
    <w:rsid w:val="19E776E0"/>
    <w:rsid w:val="1A1C2849"/>
    <w:rsid w:val="1A1D16EC"/>
    <w:rsid w:val="1A961DDD"/>
    <w:rsid w:val="1A9E3747"/>
    <w:rsid w:val="1AC8412A"/>
    <w:rsid w:val="1B170AD5"/>
    <w:rsid w:val="1B7C7571"/>
    <w:rsid w:val="1B9F76CB"/>
    <w:rsid w:val="1BA50D14"/>
    <w:rsid w:val="1BA677E7"/>
    <w:rsid w:val="1BA7385B"/>
    <w:rsid w:val="1BB10357"/>
    <w:rsid w:val="1BDE7003"/>
    <w:rsid w:val="1C057BD0"/>
    <w:rsid w:val="1C157D87"/>
    <w:rsid w:val="1C1F5025"/>
    <w:rsid w:val="1C222B34"/>
    <w:rsid w:val="1C2A5760"/>
    <w:rsid w:val="1C311D80"/>
    <w:rsid w:val="1C433A21"/>
    <w:rsid w:val="1C625D30"/>
    <w:rsid w:val="1C763150"/>
    <w:rsid w:val="1C7671E3"/>
    <w:rsid w:val="1C777601"/>
    <w:rsid w:val="1C7B6556"/>
    <w:rsid w:val="1C853B91"/>
    <w:rsid w:val="1C8A493E"/>
    <w:rsid w:val="1CB42BFC"/>
    <w:rsid w:val="1CCB6998"/>
    <w:rsid w:val="1CD638BB"/>
    <w:rsid w:val="1CD6623F"/>
    <w:rsid w:val="1CE32665"/>
    <w:rsid w:val="1CE76B5B"/>
    <w:rsid w:val="1CF90898"/>
    <w:rsid w:val="1CFA0FE7"/>
    <w:rsid w:val="1D181B85"/>
    <w:rsid w:val="1D375242"/>
    <w:rsid w:val="1D4824C2"/>
    <w:rsid w:val="1D5D0A22"/>
    <w:rsid w:val="1D665764"/>
    <w:rsid w:val="1D8834DD"/>
    <w:rsid w:val="1D8C69C4"/>
    <w:rsid w:val="1DE748E1"/>
    <w:rsid w:val="1DEF6C8E"/>
    <w:rsid w:val="1E17406B"/>
    <w:rsid w:val="1E1C7C6C"/>
    <w:rsid w:val="1E59338C"/>
    <w:rsid w:val="1E6178C8"/>
    <w:rsid w:val="1E646F85"/>
    <w:rsid w:val="1E6B35C6"/>
    <w:rsid w:val="1E6E2B97"/>
    <w:rsid w:val="1E767283"/>
    <w:rsid w:val="1E786F00"/>
    <w:rsid w:val="1EA72A03"/>
    <w:rsid w:val="1EA917F9"/>
    <w:rsid w:val="1ECF38FA"/>
    <w:rsid w:val="1ED76DE0"/>
    <w:rsid w:val="1EE26B01"/>
    <w:rsid w:val="1EE3190B"/>
    <w:rsid w:val="1EE37407"/>
    <w:rsid w:val="1F147CCD"/>
    <w:rsid w:val="1F1F65F5"/>
    <w:rsid w:val="1F227F17"/>
    <w:rsid w:val="1F343C02"/>
    <w:rsid w:val="1F6D440A"/>
    <w:rsid w:val="1F795067"/>
    <w:rsid w:val="1F813E70"/>
    <w:rsid w:val="1FAC7E53"/>
    <w:rsid w:val="20416CE5"/>
    <w:rsid w:val="20484D19"/>
    <w:rsid w:val="20505A20"/>
    <w:rsid w:val="20517FE3"/>
    <w:rsid w:val="20597707"/>
    <w:rsid w:val="206F589B"/>
    <w:rsid w:val="207F0857"/>
    <w:rsid w:val="2080016D"/>
    <w:rsid w:val="20C2792D"/>
    <w:rsid w:val="20CE2C18"/>
    <w:rsid w:val="20DA2F51"/>
    <w:rsid w:val="20E3136E"/>
    <w:rsid w:val="20E410EC"/>
    <w:rsid w:val="21160D44"/>
    <w:rsid w:val="21577705"/>
    <w:rsid w:val="215D1F6B"/>
    <w:rsid w:val="21790950"/>
    <w:rsid w:val="217C1DAF"/>
    <w:rsid w:val="218220DE"/>
    <w:rsid w:val="219F3764"/>
    <w:rsid w:val="21A43D4D"/>
    <w:rsid w:val="21A96AA8"/>
    <w:rsid w:val="21BF4CC5"/>
    <w:rsid w:val="21CA461C"/>
    <w:rsid w:val="21E9430A"/>
    <w:rsid w:val="21F30A32"/>
    <w:rsid w:val="21FE096D"/>
    <w:rsid w:val="22143C08"/>
    <w:rsid w:val="22161524"/>
    <w:rsid w:val="222B010B"/>
    <w:rsid w:val="222C76C6"/>
    <w:rsid w:val="222E2C15"/>
    <w:rsid w:val="22466CF3"/>
    <w:rsid w:val="2253067F"/>
    <w:rsid w:val="228900F0"/>
    <w:rsid w:val="228B21AB"/>
    <w:rsid w:val="22914FAF"/>
    <w:rsid w:val="22A344E7"/>
    <w:rsid w:val="22C001C7"/>
    <w:rsid w:val="22C75BE0"/>
    <w:rsid w:val="22C9107A"/>
    <w:rsid w:val="22DE3197"/>
    <w:rsid w:val="22F4082B"/>
    <w:rsid w:val="230E0741"/>
    <w:rsid w:val="233935DD"/>
    <w:rsid w:val="235F1FAC"/>
    <w:rsid w:val="23B459CF"/>
    <w:rsid w:val="23BD0A95"/>
    <w:rsid w:val="23C407BC"/>
    <w:rsid w:val="23D20CE0"/>
    <w:rsid w:val="23E04E9D"/>
    <w:rsid w:val="23F46EA8"/>
    <w:rsid w:val="23F63E16"/>
    <w:rsid w:val="23FE44F7"/>
    <w:rsid w:val="243A32C2"/>
    <w:rsid w:val="243E49BC"/>
    <w:rsid w:val="243F71F1"/>
    <w:rsid w:val="245C0C67"/>
    <w:rsid w:val="24A8238E"/>
    <w:rsid w:val="24AE5ED7"/>
    <w:rsid w:val="24AF2DCF"/>
    <w:rsid w:val="24C9376C"/>
    <w:rsid w:val="24D14033"/>
    <w:rsid w:val="24DF5DED"/>
    <w:rsid w:val="25093A3B"/>
    <w:rsid w:val="25236D0D"/>
    <w:rsid w:val="252F645D"/>
    <w:rsid w:val="254970AF"/>
    <w:rsid w:val="254C19FF"/>
    <w:rsid w:val="255E2F6B"/>
    <w:rsid w:val="258858A9"/>
    <w:rsid w:val="25A360B5"/>
    <w:rsid w:val="25CF5CD3"/>
    <w:rsid w:val="25D0192F"/>
    <w:rsid w:val="25DA2AD0"/>
    <w:rsid w:val="25E21C3F"/>
    <w:rsid w:val="261033FA"/>
    <w:rsid w:val="262A6640"/>
    <w:rsid w:val="262C70A3"/>
    <w:rsid w:val="2636322F"/>
    <w:rsid w:val="26666AA2"/>
    <w:rsid w:val="26712EE1"/>
    <w:rsid w:val="26757E2C"/>
    <w:rsid w:val="26790701"/>
    <w:rsid w:val="273508EE"/>
    <w:rsid w:val="27483692"/>
    <w:rsid w:val="275029CF"/>
    <w:rsid w:val="276F6E45"/>
    <w:rsid w:val="278066D7"/>
    <w:rsid w:val="27827B0F"/>
    <w:rsid w:val="27886287"/>
    <w:rsid w:val="27C25F8B"/>
    <w:rsid w:val="27C77518"/>
    <w:rsid w:val="27F53526"/>
    <w:rsid w:val="27FA5E76"/>
    <w:rsid w:val="280A4204"/>
    <w:rsid w:val="28510862"/>
    <w:rsid w:val="28594FDB"/>
    <w:rsid w:val="28690FE5"/>
    <w:rsid w:val="288E2BD2"/>
    <w:rsid w:val="28C11325"/>
    <w:rsid w:val="28DC50AB"/>
    <w:rsid w:val="28E55271"/>
    <w:rsid w:val="28E7739E"/>
    <w:rsid w:val="28F547E1"/>
    <w:rsid w:val="28F9035F"/>
    <w:rsid w:val="2923374B"/>
    <w:rsid w:val="29502C91"/>
    <w:rsid w:val="29945693"/>
    <w:rsid w:val="299A751F"/>
    <w:rsid w:val="29BA16AF"/>
    <w:rsid w:val="29BD796F"/>
    <w:rsid w:val="29F10211"/>
    <w:rsid w:val="2A3E4025"/>
    <w:rsid w:val="2A594CE9"/>
    <w:rsid w:val="2A7A6159"/>
    <w:rsid w:val="2AAC3644"/>
    <w:rsid w:val="2AC20905"/>
    <w:rsid w:val="2AD74843"/>
    <w:rsid w:val="2AED4DA8"/>
    <w:rsid w:val="2AF83194"/>
    <w:rsid w:val="2B007190"/>
    <w:rsid w:val="2B0F05EA"/>
    <w:rsid w:val="2B3665DB"/>
    <w:rsid w:val="2B8946FF"/>
    <w:rsid w:val="2B920914"/>
    <w:rsid w:val="2BA412AA"/>
    <w:rsid w:val="2BAA5ABF"/>
    <w:rsid w:val="2BC92647"/>
    <w:rsid w:val="2BE30D43"/>
    <w:rsid w:val="2BE313F5"/>
    <w:rsid w:val="2BEA2299"/>
    <w:rsid w:val="2BF11B0F"/>
    <w:rsid w:val="2C0A4741"/>
    <w:rsid w:val="2C421BBB"/>
    <w:rsid w:val="2C6006E6"/>
    <w:rsid w:val="2C75313C"/>
    <w:rsid w:val="2C856DC3"/>
    <w:rsid w:val="2C8602B7"/>
    <w:rsid w:val="2C8F164B"/>
    <w:rsid w:val="2CA62D38"/>
    <w:rsid w:val="2CAC2F48"/>
    <w:rsid w:val="2CD36453"/>
    <w:rsid w:val="2CF86E08"/>
    <w:rsid w:val="2D0478B3"/>
    <w:rsid w:val="2D0C1346"/>
    <w:rsid w:val="2D214B2C"/>
    <w:rsid w:val="2D370346"/>
    <w:rsid w:val="2D5432BE"/>
    <w:rsid w:val="2D6239EA"/>
    <w:rsid w:val="2D6A608B"/>
    <w:rsid w:val="2D9B15EF"/>
    <w:rsid w:val="2DAB0F5F"/>
    <w:rsid w:val="2DBC66BE"/>
    <w:rsid w:val="2E304308"/>
    <w:rsid w:val="2E485379"/>
    <w:rsid w:val="2E781C41"/>
    <w:rsid w:val="2EA75BEE"/>
    <w:rsid w:val="2EB108AD"/>
    <w:rsid w:val="2EB26D79"/>
    <w:rsid w:val="2EBF06DB"/>
    <w:rsid w:val="2EDF0DE3"/>
    <w:rsid w:val="2F16026E"/>
    <w:rsid w:val="2F182B80"/>
    <w:rsid w:val="2F3C1751"/>
    <w:rsid w:val="2F685CF8"/>
    <w:rsid w:val="2F7145F4"/>
    <w:rsid w:val="2F7B068E"/>
    <w:rsid w:val="2F7F61E8"/>
    <w:rsid w:val="2F895637"/>
    <w:rsid w:val="2F954F9B"/>
    <w:rsid w:val="2FA808D5"/>
    <w:rsid w:val="2FDC253D"/>
    <w:rsid w:val="30066FDE"/>
    <w:rsid w:val="30083D2A"/>
    <w:rsid w:val="301C1F55"/>
    <w:rsid w:val="303043F0"/>
    <w:rsid w:val="30580298"/>
    <w:rsid w:val="30646F90"/>
    <w:rsid w:val="306C7E5F"/>
    <w:rsid w:val="309965F8"/>
    <w:rsid w:val="30A428FB"/>
    <w:rsid w:val="30AD7B1F"/>
    <w:rsid w:val="30CB0402"/>
    <w:rsid w:val="30DC4A9B"/>
    <w:rsid w:val="30F27B94"/>
    <w:rsid w:val="31085479"/>
    <w:rsid w:val="310A29D9"/>
    <w:rsid w:val="310C7989"/>
    <w:rsid w:val="31197E88"/>
    <w:rsid w:val="312D17F4"/>
    <w:rsid w:val="313615F9"/>
    <w:rsid w:val="31453461"/>
    <w:rsid w:val="31810686"/>
    <w:rsid w:val="318F3BD2"/>
    <w:rsid w:val="31A875D8"/>
    <w:rsid w:val="31B048A2"/>
    <w:rsid w:val="31CE0568"/>
    <w:rsid w:val="31F551E9"/>
    <w:rsid w:val="321E42BD"/>
    <w:rsid w:val="321F7FAD"/>
    <w:rsid w:val="32201910"/>
    <w:rsid w:val="32341340"/>
    <w:rsid w:val="324D2681"/>
    <w:rsid w:val="324D5196"/>
    <w:rsid w:val="325B4CD5"/>
    <w:rsid w:val="32BE66EC"/>
    <w:rsid w:val="32C26FB5"/>
    <w:rsid w:val="32CF55D8"/>
    <w:rsid w:val="32D25E41"/>
    <w:rsid w:val="32E824BC"/>
    <w:rsid w:val="32EB46F7"/>
    <w:rsid w:val="32FC2E8C"/>
    <w:rsid w:val="330C1EE9"/>
    <w:rsid w:val="330C3BCF"/>
    <w:rsid w:val="330D65EA"/>
    <w:rsid w:val="331B43DF"/>
    <w:rsid w:val="331D4370"/>
    <w:rsid w:val="332A4C0D"/>
    <w:rsid w:val="333F06D3"/>
    <w:rsid w:val="334267AE"/>
    <w:rsid w:val="33517015"/>
    <w:rsid w:val="3353671B"/>
    <w:rsid w:val="335D6BE9"/>
    <w:rsid w:val="336112E0"/>
    <w:rsid w:val="336D74D1"/>
    <w:rsid w:val="3398113B"/>
    <w:rsid w:val="33B506A9"/>
    <w:rsid w:val="33C637DF"/>
    <w:rsid w:val="33DD5D86"/>
    <w:rsid w:val="33F435C6"/>
    <w:rsid w:val="33FD7262"/>
    <w:rsid w:val="34422B26"/>
    <w:rsid w:val="34457450"/>
    <w:rsid w:val="34523EDB"/>
    <w:rsid w:val="34545702"/>
    <w:rsid w:val="346D7211"/>
    <w:rsid w:val="34A25675"/>
    <w:rsid w:val="34AF0E28"/>
    <w:rsid w:val="34BF2FAC"/>
    <w:rsid w:val="34CE66CA"/>
    <w:rsid w:val="350D54B2"/>
    <w:rsid w:val="350E185E"/>
    <w:rsid w:val="35373F98"/>
    <w:rsid w:val="357E0B29"/>
    <w:rsid w:val="35871ED9"/>
    <w:rsid w:val="35956A1A"/>
    <w:rsid w:val="35AB6E5E"/>
    <w:rsid w:val="35DB6515"/>
    <w:rsid w:val="35F04954"/>
    <w:rsid w:val="36246068"/>
    <w:rsid w:val="363B7932"/>
    <w:rsid w:val="363E5187"/>
    <w:rsid w:val="363E7F0C"/>
    <w:rsid w:val="36630DAE"/>
    <w:rsid w:val="36AF4D67"/>
    <w:rsid w:val="36BC0F33"/>
    <w:rsid w:val="36BF0081"/>
    <w:rsid w:val="36C06D9A"/>
    <w:rsid w:val="36D15C2A"/>
    <w:rsid w:val="36FA4BBC"/>
    <w:rsid w:val="371D61FE"/>
    <w:rsid w:val="372F3FCE"/>
    <w:rsid w:val="37340C71"/>
    <w:rsid w:val="374B5AC3"/>
    <w:rsid w:val="37536380"/>
    <w:rsid w:val="3759078D"/>
    <w:rsid w:val="376E06AD"/>
    <w:rsid w:val="37AF154E"/>
    <w:rsid w:val="37B143D7"/>
    <w:rsid w:val="37BF3AA1"/>
    <w:rsid w:val="37C11F4B"/>
    <w:rsid w:val="37D84959"/>
    <w:rsid w:val="37DE7285"/>
    <w:rsid w:val="37E56C8D"/>
    <w:rsid w:val="37E637CE"/>
    <w:rsid w:val="37EC4029"/>
    <w:rsid w:val="37F71898"/>
    <w:rsid w:val="38187E4F"/>
    <w:rsid w:val="3820445B"/>
    <w:rsid w:val="38210467"/>
    <w:rsid w:val="382D4896"/>
    <w:rsid w:val="38401B73"/>
    <w:rsid w:val="384B1D2A"/>
    <w:rsid w:val="384D1898"/>
    <w:rsid w:val="38667EE1"/>
    <w:rsid w:val="386D7FF5"/>
    <w:rsid w:val="38781FFC"/>
    <w:rsid w:val="38784350"/>
    <w:rsid w:val="389C6876"/>
    <w:rsid w:val="38AD6AE5"/>
    <w:rsid w:val="38B844F1"/>
    <w:rsid w:val="38CC6EC4"/>
    <w:rsid w:val="38D44858"/>
    <w:rsid w:val="38F24247"/>
    <w:rsid w:val="391129CE"/>
    <w:rsid w:val="392576AC"/>
    <w:rsid w:val="3958515B"/>
    <w:rsid w:val="395C206A"/>
    <w:rsid w:val="39780BBB"/>
    <w:rsid w:val="397909E9"/>
    <w:rsid w:val="397B0802"/>
    <w:rsid w:val="39D617F2"/>
    <w:rsid w:val="39D863A2"/>
    <w:rsid w:val="39ED517F"/>
    <w:rsid w:val="3A052126"/>
    <w:rsid w:val="3A2B5133"/>
    <w:rsid w:val="3A4455CB"/>
    <w:rsid w:val="3A575EA0"/>
    <w:rsid w:val="3A612EEB"/>
    <w:rsid w:val="3A7F5762"/>
    <w:rsid w:val="3ACA25CA"/>
    <w:rsid w:val="3ACF05C8"/>
    <w:rsid w:val="3B4E6F37"/>
    <w:rsid w:val="3B574076"/>
    <w:rsid w:val="3B6E7241"/>
    <w:rsid w:val="3B731AB5"/>
    <w:rsid w:val="3B833738"/>
    <w:rsid w:val="3B874762"/>
    <w:rsid w:val="3B9F5F88"/>
    <w:rsid w:val="3BE06DA5"/>
    <w:rsid w:val="3C2527C5"/>
    <w:rsid w:val="3C30591D"/>
    <w:rsid w:val="3C66390D"/>
    <w:rsid w:val="3C7A13A7"/>
    <w:rsid w:val="3C84642E"/>
    <w:rsid w:val="3CDC6FC1"/>
    <w:rsid w:val="3D4F29C9"/>
    <w:rsid w:val="3D542895"/>
    <w:rsid w:val="3D6F75C9"/>
    <w:rsid w:val="3D73742D"/>
    <w:rsid w:val="3D7F70E7"/>
    <w:rsid w:val="3DE90F01"/>
    <w:rsid w:val="3E045C72"/>
    <w:rsid w:val="3E0A7A36"/>
    <w:rsid w:val="3E0C719B"/>
    <w:rsid w:val="3E266E35"/>
    <w:rsid w:val="3EA00749"/>
    <w:rsid w:val="3EA44C2E"/>
    <w:rsid w:val="3EC55253"/>
    <w:rsid w:val="3EE838EE"/>
    <w:rsid w:val="3EEC4647"/>
    <w:rsid w:val="3F224FF5"/>
    <w:rsid w:val="3F454F08"/>
    <w:rsid w:val="3F4829A1"/>
    <w:rsid w:val="3F65470F"/>
    <w:rsid w:val="3F7F04D5"/>
    <w:rsid w:val="3F8976A7"/>
    <w:rsid w:val="3F8E32C0"/>
    <w:rsid w:val="3F8E7C85"/>
    <w:rsid w:val="3FC261BF"/>
    <w:rsid w:val="3FE00D87"/>
    <w:rsid w:val="3FF7566E"/>
    <w:rsid w:val="40685895"/>
    <w:rsid w:val="40822AAE"/>
    <w:rsid w:val="408C2F3C"/>
    <w:rsid w:val="408D2B46"/>
    <w:rsid w:val="40A005F0"/>
    <w:rsid w:val="40B94BCD"/>
    <w:rsid w:val="40CA3B74"/>
    <w:rsid w:val="40DC5BEB"/>
    <w:rsid w:val="40ED28CE"/>
    <w:rsid w:val="4164128C"/>
    <w:rsid w:val="416D07D3"/>
    <w:rsid w:val="417D76A0"/>
    <w:rsid w:val="417E1386"/>
    <w:rsid w:val="41A67223"/>
    <w:rsid w:val="41D2368F"/>
    <w:rsid w:val="41D72DF9"/>
    <w:rsid w:val="41F075CD"/>
    <w:rsid w:val="420A40D1"/>
    <w:rsid w:val="42114C38"/>
    <w:rsid w:val="422B6BF4"/>
    <w:rsid w:val="422C2904"/>
    <w:rsid w:val="422C29C6"/>
    <w:rsid w:val="4234308B"/>
    <w:rsid w:val="42347713"/>
    <w:rsid w:val="424D7FAF"/>
    <w:rsid w:val="42591FB7"/>
    <w:rsid w:val="425B08E5"/>
    <w:rsid w:val="426F4A08"/>
    <w:rsid w:val="42B64BCD"/>
    <w:rsid w:val="430811AE"/>
    <w:rsid w:val="43825515"/>
    <w:rsid w:val="43871DAA"/>
    <w:rsid w:val="438C24EF"/>
    <w:rsid w:val="43A1549F"/>
    <w:rsid w:val="43B00A8F"/>
    <w:rsid w:val="43DE204E"/>
    <w:rsid w:val="43FA50D7"/>
    <w:rsid w:val="4446550A"/>
    <w:rsid w:val="44491BDA"/>
    <w:rsid w:val="44732CC9"/>
    <w:rsid w:val="449F594C"/>
    <w:rsid w:val="44BF00F9"/>
    <w:rsid w:val="44C600C6"/>
    <w:rsid w:val="44D7750B"/>
    <w:rsid w:val="44F7199A"/>
    <w:rsid w:val="44FC25A7"/>
    <w:rsid w:val="450F2FEC"/>
    <w:rsid w:val="45224240"/>
    <w:rsid w:val="452545FE"/>
    <w:rsid w:val="454B391C"/>
    <w:rsid w:val="45511B47"/>
    <w:rsid w:val="45594896"/>
    <w:rsid w:val="458E5DAC"/>
    <w:rsid w:val="459557D9"/>
    <w:rsid w:val="45A15DDB"/>
    <w:rsid w:val="45A3513D"/>
    <w:rsid w:val="45AE5A72"/>
    <w:rsid w:val="45B22926"/>
    <w:rsid w:val="45C277D4"/>
    <w:rsid w:val="4627407F"/>
    <w:rsid w:val="46361E14"/>
    <w:rsid w:val="46570386"/>
    <w:rsid w:val="467277FA"/>
    <w:rsid w:val="4681712C"/>
    <w:rsid w:val="468B6718"/>
    <w:rsid w:val="468C1037"/>
    <w:rsid w:val="46A22206"/>
    <w:rsid w:val="46AE64E3"/>
    <w:rsid w:val="47007BFD"/>
    <w:rsid w:val="473B23EB"/>
    <w:rsid w:val="476250CF"/>
    <w:rsid w:val="47780912"/>
    <w:rsid w:val="478E1F11"/>
    <w:rsid w:val="478F14EB"/>
    <w:rsid w:val="47B32EAB"/>
    <w:rsid w:val="47C40E8C"/>
    <w:rsid w:val="480B621A"/>
    <w:rsid w:val="484A6121"/>
    <w:rsid w:val="486F1BF2"/>
    <w:rsid w:val="488F6FD7"/>
    <w:rsid w:val="48A8673D"/>
    <w:rsid w:val="48B1218F"/>
    <w:rsid w:val="48B14AB0"/>
    <w:rsid w:val="48D6123C"/>
    <w:rsid w:val="48E67726"/>
    <w:rsid w:val="48EA585B"/>
    <w:rsid w:val="49150F51"/>
    <w:rsid w:val="493D5B1F"/>
    <w:rsid w:val="49480BD4"/>
    <w:rsid w:val="49584054"/>
    <w:rsid w:val="496E0369"/>
    <w:rsid w:val="496E11C3"/>
    <w:rsid w:val="498F3010"/>
    <w:rsid w:val="49934648"/>
    <w:rsid w:val="499F04DF"/>
    <w:rsid w:val="49CB3BFF"/>
    <w:rsid w:val="49E76DEC"/>
    <w:rsid w:val="49F42E67"/>
    <w:rsid w:val="49FC6CFC"/>
    <w:rsid w:val="4A176716"/>
    <w:rsid w:val="4A321879"/>
    <w:rsid w:val="4A513272"/>
    <w:rsid w:val="4A9429F3"/>
    <w:rsid w:val="4A9629D5"/>
    <w:rsid w:val="4AA4619B"/>
    <w:rsid w:val="4AA531EB"/>
    <w:rsid w:val="4AAE7A16"/>
    <w:rsid w:val="4ABC2400"/>
    <w:rsid w:val="4AC62161"/>
    <w:rsid w:val="4ACC67BD"/>
    <w:rsid w:val="4AE372CF"/>
    <w:rsid w:val="4AE85E03"/>
    <w:rsid w:val="4B0B3AEF"/>
    <w:rsid w:val="4B284D77"/>
    <w:rsid w:val="4B4978E0"/>
    <w:rsid w:val="4B562F2B"/>
    <w:rsid w:val="4B771FE9"/>
    <w:rsid w:val="4BC06DB8"/>
    <w:rsid w:val="4BEC1507"/>
    <w:rsid w:val="4BFA2737"/>
    <w:rsid w:val="4C0C58C8"/>
    <w:rsid w:val="4C1126C4"/>
    <w:rsid w:val="4C1A4723"/>
    <w:rsid w:val="4C244173"/>
    <w:rsid w:val="4C6C6C38"/>
    <w:rsid w:val="4C905E44"/>
    <w:rsid w:val="4CD363C9"/>
    <w:rsid w:val="4CE63254"/>
    <w:rsid w:val="4CF93A06"/>
    <w:rsid w:val="4D127BE1"/>
    <w:rsid w:val="4D3475CF"/>
    <w:rsid w:val="4D4F2A99"/>
    <w:rsid w:val="4D5E17D4"/>
    <w:rsid w:val="4D7F6702"/>
    <w:rsid w:val="4D8E2981"/>
    <w:rsid w:val="4D9F22BF"/>
    <w:rsid w:val="4DA5329B"/>
    <w:rsid w:val="4DB776FC"/>
    <w:rsid w:val="4DD27ACF"/>
    <w:rsid w:val="4DDC19BC"/>
    <w:rsid w:val="4DFD472D"/>
    <w:rsid w:val="4E005C58"/>
    <w:rsid w:val="4E1C6BFB"/>
    <w:rsid w:val="4E2423CC"/>
    <w:rsid w:val="4E5370C6"/>
    <w:rsid w:val="4EB227F8"/>
    <w:rsid w:val="4EB52D03"/>
    <w:rsid w:val="4EBF0E52"/>
    <w:rsid w:val="4EE2236D"/>
    <w:rsid w:val="4F123950"/>
    <w:rsid w:val="4F134C73"/>
    <w:rsid w:val="4F522B29"/>
    <w:rsid w:val="4F8E1486"/>
    <w:rsid w:val="4FE016DA"/>
    <w:rsid w:val="4FE86A41"/>
    <w:rsid w:val="50185A9E"/>
    <w:rsid w:val="503F3946"/>
    <w:rsid w:val="507519D9"/>
    <w:rsid w:val="508A4283"/>
    <w:rsid w:val="509C1754"/>
    <w:rsid w:val="50A63B45"/>
    <w:rsid w:val="50AD1277"/>
    <w:rsid w:val="50B664A6"/>
    <w:rsid w:val="50C11611"/>
    <w:rsid w:val="50E224D5"/>
    <w:rsid w:val="50EC442B"/>
    <w:rsid w:val="50EE37D2"/>
    <w:rsid w:val="50EE4743"/>
    <w:rsid w:val="50EF4AC2"/>
    <w:rsid w:val="50F11326"/>
    <w:rsid w:val="51401FD2"/>
    <w:rsid w:val="51636F40"/>
    <w:rsid w:val="51684C13"/>
    <w:rsid w:val="516D63AF"/>
    <w:rsid w:val="517C422B"/>
    <w:rsid w:val="51821281"/>
    <w:rsid w:val="51824CF6"/>
    <w:rsid w:val="51935897"/>
    <w:rsid w:val="51B61137"/>
    <w:rsid w:val="52036287"/>
    <w:rsid w:val="52041893"/>
    <w:rsid w:val="52127D7D"/>
    <w:rsid w:val="52294852"/>
    <w:rsid w:val="52412A63"/>
    <w:rsid w:val="525672F6"/>
    <w:rsid w:val="525A3B3D"/>
    <w:rsid w:val="52755C31"/>
    <w:rsid w:val="52837ADD"/>
    <w:rsid w:val="52C8599B"/>
    <w:rsid w:val="52FB3009"/>
    <w:rsid w:val="5317316C"/>
    <w:rsid w:val="53345B50"/>
    <w:rsid w:val="534179D1"/>
    <w:rsid w:val="53475464"/>
    <w:rsid w:val="536E6B45"/>
    <w:rsid w:val="53763D4D"/>
    <w:rsid w:val="537E7FE3"/>
    <w:rsid w:val="53BB42A7"/>
    <w:rsid w:val="53C0635F"/>
    <w:rsid w:val="53CE1063"/>
    <w:rsid w:val="53E53826"/>
    <w:rsid w:val="53E71FDE"/>
    <w:rsid w:val="54135280"/>
    <w:rsid w:val="54336CC9"/>
    <w:rsid w:val="543D769E"/>
    <w:rsid w:val="543F588C"/>
    <w:rsid w:val="549D0FDA"/>
    <w:rsid w:val="54B30A96"/>
    <w:rsid w:val="54C22B88"/>
    <w:rsid w:val="550C1B9A"/>
    <w:rsid w:val="5526139C"/>
    <w:rsid w:val="552943CE"/>
    <w:rsid w:val="552A1D4C"/>
    <w:rsid w:val="552B2D26"/>
    <w:rsid w:val="553C1365"/>
    <w:rsid w:val="554E1470"/>
    <w:rsid w:val="555D3C89"/>
    <w:rsid w:val="55617C9C"/>
    <w:rsid w:val="557515F9"/>
    <w:rsid w:val="5590674A"/>
    <w:rsid w:val="55973F76"/>
    <w:rsid w:val="559847EA"/>
    <w:rsid w:val="55986D51"/>
    <w:rsid w:val="55A226A9"/>
    <w:rsid w:val="55C90663"/>
    <w:rsid w:val="55CC187B"/>
    <w:rsid w:val="55CF389E"/>
    <w:rsid w:val="55D42624"/>
    <w:rsid w:val="55D50633"/>
    <w:rsid w:val="55F01AD6"/>
    <w:rsid w:val="56133CA0"/>
    <w:rsid w:val="562B450B"/>
    <w:rsid w:val="56570EA4"/>
    <w:rsid w:val="56CB77B7"/>
    <w:rsid w:val="56D9628F"/>
    <w:rsid w:val="56DD4ABD"/>
    <w:rsid w:val="5703231E"/>
    <w:rsid w:val="570B14AB"/>
    <w:rsid w:val="570F1C3B"/>
    <w:rsid w:val="57116435"/>
    <w:rsid w:val="57116442"/>
    <w:rsid w:val="57241F96"/>
    <w:rsid w:val="57410163"/>
    <w:rsid w:val="578D3493"/>
    <w:rsid w:val="57A203EE"/>
    <w:rsid w:val="57A92F75"/>
    <w:rsid w:val="57AF50DC"/>
    <w:rsid w:val="57D62F8E"/>
    <w:rsid w:val="57EC37F1"/>
    <w:rsid w:val="580C4393"/>
    <w:rsid w:val="581722B7"/>
    <w:rsid w:val="582532BD"/>
    <w:rsid w:val="582C4899"/>
    <w:rsid w:val="58475AAC"/>
    <w:rsid w:val="584F535E"/>
    <w:rsid w:val="58531617"/>
    <w:rsid w:val="586A7A45"/>
    <w:rsid w:val="58914C8B"/>
    <w:rsid w:val="58AD5D86"/>
    <w:rsid w:val="58BB7DB2"/>
    <w:rsid w:val="58DB16BE"/>
    <w:rsid w:val="58E3423E"/>
    <w:rsid w:val="58EF3420"/>
    <w:rsid w:val="58F23ED5"/>
    <w:rsid w:val="58F63830"/>
    <w:rsid w:val="58FF4F35"/>
    <w:rsid w:val="590D548F"/>
    <w:rsid w:val="593F652E"/>
    <w:rsid w:val="59425BB4"/>
    <w:rsid w:val="59444892"/>
    <w:rsid w:val="5956205C"/>
    <w:rsid w:val="596A4681"/>
    <w:rsid w:val="596F34CF"/>
    <w:rsid w:val="597923BE"/>
    <w:rsid w:val="59894CF2"/>
    <w:rsid w:val="599E6CB8"/>
    <w:rsid w:val="59B50DC8"/>
    <w:rsid w:val="59B6312E"/>
    <w:rsid w:val="59E031E2"/>
    <w:rsid w:val="5A5B5FB9"/>
    <w:rsid w:val="5A9B3314"/>
    <w:rsid w:val="5A9C3392"/>
    <w:rsid w:val="5AA20BD5"/>
    <w:rsid w:val="5AA81B65"/>
    <w:rsid w:val="5AA9608C"/>
    <w:rsid w:val="5AA974E8"/>
    <w:rsid w:val="5AD0387F"/>
    <w:rsid w:val="5AE3114D"/>
    <w:rsid w:val="5B0E6D8E"/>
    <w:rsid w:val="5B1F4E05"/>
    <w:rsid w:val="5B2E6996"/>
    <w:rsid w:val="5B3A322F"/>
    <w:rsid w:val="5B4D342A"/>
    <w:rsid w:val="5B527306"/>
    <w:rsid w:val="5B6B0DAC"/>
    <w:rsid w:val="5B7E4ABF"/>
    <w:rsid w:val="5B8340E7"/>
    <w:rsid w:val="5B8D0599"/>
    <w:rsid w:val="5B937814"/>
    <w:rsid w:val="5BA627EA"/>
    <w:rsid w:val="5BAA125C"/>
    <w:rsid w:val="5BB02A92"/>
    <w:rsid w:val="5BE33D7B"/>
    <w:rsid w:val="5C254E10"/>
    <w:rsid w:val="5C2C164D"/>
    <w:rsid w:val="5C6E79F1"/>
    <w:rsid w:val="5C8657B1"/>
    <w:rsid w:val="5C99681C"/>
    <w:rsid w:val="5C9A2970"/>
    <w:rsid w:val="5CA73484"/>
    <w:rsid w:val="5CB66DDB"/>
    <w:rsid w:val="5CBA6538"/>
    <w:rsid w:val="5CC31F8D"/>
    <w:rsid w:val="5CD20102"/>
    <w:rsid w:val="5CE5499C"/>
    <w:rsid w:val="5CE94A45"/>
    <w:rsid w:val="5CF1002F"/>
    <w:rsid w:val="5D0576D7"/>
    <w:rsid w:val="5D2614DE"/>
    <w:rsid w:val="5D29144B"/>
    <w:rsid w:val="5D6F6A73"/>
    <w:rsid w:val="5D77243C"/>
    <w:rsid w:val="5D8B21E0"/>
    <w:rsid w:val="5D98773E"/>
    <w:rsid w:val="5DD60CDA"/>
    <w:rsid w:val="5DDD1906"/>
    <w:rsid w:val="5DEB495C"/>
    <w:rsid w:val="5DF028B9"/>
    <w:rsid w:val="5E2F13E4"/>
    <w:rsid w:val="5E363A04"/>
    <w:rsid w:val="5E563989"/>
    <w:rsid w:val="5EC546B7"/>
    <w:rsid w:val="5ED521DB"/>
    <w:rsid w:val="5EE01513"/>
    <w:rsid w:val="5EE61050"/>
    <w:rsid w:val="5EEB203B"/>
    <w:rsid w:val="5F2A764C"/>
    <w:rsid w:val="5F515511"/>
    <w:rsid w:val="5F6A656B"/>
    <w:rsid w:val="5FA9036D"/>
    <w:rsid w:val="5FB20CF3"/>
    <w:rsid w:val="5FB67F01"/>
    <w:rsid w:val="5FC10D6A"/>
    <w:rsid w:val="5FC26AE4"/>
    <w:rsid w:val="5FE20A6A"/>
    <w:rsid w:val="5FE80DF1"/>
    <w:rsid w:val="5FED079B"/>
    <w:rsid w:val="5FF92F68"/>
    <w:rsid w:val="5FFD5588"/>
    <w:rsid w:val="60394F33"/>
    <w:rsid w:val="60452FC1"/>
    <w:rsid w:val="607A028C"/>
    <w:rsid w:val="6082700E"/>
    <w:rsid w:val="60950DEF"/>
    <w:rsid w:val="60A52378"/>
    <w:rsid w:val="60B04F27"/>
    <w:rsid w:val="60B44F93"/>
    <w:rsid w:val="610846D5"/>
    <w:rsid w:val="61225D48"/>
    <w:rsid w:val="613F3856"/>
    <w:rsid w:val="61605B8F"/>
    <w:rsid w:val="616D4E2E"/>
    <w:rsid w:val="61904268"/>
    <w:rsid w:val="61922827"/>
    <w:rsid w:val="61936D23"/>
    <w:rsid w:val="61985AAE"/>
    <w:rsid w:val="619B21A0"/>
    <w:rsid w:val="61A13DA0"/>
    <w:rsid w:val="61B93668"/>
    <w:rsid w:val="61C22AA0"/>
    <w:rsid w:val="61C95215"/>
    <w:rsid w:val="61CF4043"/>
    <w:rsid w:val="6208572A"/>
    <w:rsid w:val="620863D2"/>
    <w:rsid w:val="62385463"/>
    <w:rsid w:val="6254479A"/>
    <w:rsid w:val="626058BD"/>
    <w:rsid w:val="628506F0"/>
    <w:rsid w:val="628F429A"/>
    <w:rsid w:val="62CD0ABA"/>
    <w:rsid w:val="62CE031D"/>
    <w:rsid w:val="62D70238"/>
    <w:rsid w:val="62EE4C22"/>
    <w:rsid w:val="630727B4"/>
    <w:rsid w:val="63322AD8"/>
    <w:rsid w:val="634E5810"/>
    <w:rsid w:val="63547BF5"/>
    <w:rsid w:val="636310DD"/>
    <w:rsid w:val="639F006F"/>
    <w:rsid w:val="63A81226"/>
    <w:rsid w:val="63C9193F"/>
    <w:rsid w:val="63D4019D"/>
    <w:rsid w:val="640B2E77"/>
    <w:rsid w:val="640F6F35"/>
    <w:rsid w:val="64435772"/>
    <w:rsid w:val="644F07B4"/>
    <w:rsid w:val="64586308"/>
    <w:rsid w:val="645936E5"/>
    <w:rsid w:val="645C1D15"/>
    <w:rsid w:val="648D4158"/>
    <w:rsid w:val="64B27DFB"/>
    <w:rsid w:val="65077B9F"/>
    <w:rsid w:val="650A079C"/>
    <w:rsid w:val="65477048"/>
    <w:rsid w:val="65540667"/>
    <w:rsid w:val="65A71C0C"/>
    <w:rsid w:val="65E5355A"/>
    <w:rsid w:val="65FC6895"/>
    <w:rsid w:val="661A6245"/>
    <w:rsid w:val="66375BAC"/>
    <w:rsid w:val="667450F6"/>
    <w:rsid w:val="66825834"/>
    <w:rsid w:val="66887143"/>
    <w:rsid w:val="66B9175F"/>
    <w:rsid w:val="66CD2C1E"/>
    <w:rsid w:val="66D00DA7"/>
    <w:rsid w:val="66D530B1"/>
    <w:rsid w:val="66FA7477"/>
    <w:rsid w:val="67141452"/>
    <w:rsid w:val="673C65F0"/>
    <w:rsid w:val="674A3D4F"/>
    <w:rsid w:val="675C28E9"/>
    <w:rsid w:val="67813F94"/>
    <w:rsid w:val="67851192"/>
    <w:rsid w:val="6785763F"/>
    <w:rsid w:val="679006E0"/>
    <w:rsid w:val="67A57DE8"/>
    <w:rsid w:val="67B3696E"/>
    <w:rsid w:val="67C42BAB"/>
    <w:rsid w:val="67E62440"/>
    <w:rsid w:val="67EA4091"/>
    <w:rsid w:val="682D009F"/>
    <w:rsid w:val="685518C7"/>
    <w:rsid w:val="6864772D"/>
    <w:rsid w:val="689815F3"/>
    <w:rsid w:val="689C36F4"/>
    <w:rsid w:val="68A10C6B"/>
    <w:rsid w:val="68BA431C"/>
    <w:rsid w:val="68BC6A3B"/>
    <w:rsid w:val="68ED336A"/>
    <w:rsid w:val="68F44C86"/>
    <w:rsid w:val="68F60398"/>
    <w:rsid w:val="69016182"/>
    <w:rsid w:val="69080291"/>
    <w:rsid w:val="690E5955"/>
    <w:rsid w:val="693C4706"/>
    <w:rsid w:val="696C2AB3"/>
    <w:rsid w:val="69784F94"/>
    <w:rsid w:val="69DF31F0"/>
    <w:rsid w:val="6A024AA0"/>
    <w:rsid w:val="6A117CBE"/>
    <w:rsid w:val="6A121AD7"/>
    <w:rsid w:val="6A33101B"/>
    <w:rsid w:val="6A3C248C"/>
    <w:rsid w:val="6A3E5AA2"/>
    <w:rsid w:val="6A562B93"/>
    <w:rsid w:val="6A5B56DA"/>
    <w:rsid w:val="6A69692A"/>
    <w:rsid w:val="6A6F5797"/>
    <w:rsid w:val="6A786A31"/>
    <w:rsid w:val="6A9D69B2"/>
    <w:rsid w:val="6ABA024E"/>
    <w:rsid w:val="6AC06DC9"/>
    <w:rsid w:val="6AD23B35"/>
    <w:rsid w:val="6AE663EC"/>
    <w:rsid w:val="6AF777AB"/>
    <w:rsid w:val="6AFD0583"/>
    <w:rsid w:val="6B031118"/>
    <w:rsid w:val="6B767770"/>
    <w:rsid w:val="6B7A1E64"/>
    <w:rsid w:val="6B8863CE"/>
    <w:rsid w:val="6B903B2F"/>
    <w:rsid w:val="6B945BED"/>
    <w:rsid w:val="6BA046A2"/>
    <w:rsid w:val="6BA120B2"/>
    <w:rsid w:val="6BA41B56"/>
    <w:rsid w:val="6BCE11DE"/>
    <w:rsid w:val="6BF95A52"/>
    <w:rsid w:val="6C1B364D"/>
    <w:rsid w:val="6C3226C6"/>
    <w:rsid w:val="6C3C45DB"/>
    <w:rsid w:val="6C545FF5"/>
    <w:rsid w:val="6C591BE2"/>
    <w:rsid w:val="6C5C605D"/>
    <w:rsid w:val="6C810CBD"/>
    <w:rsid w:val="6C884E04"/>
    <w:rsid w:val="6C8E33BA"/>
    <w:rsid w:val="6C97063E"/>
    <w:rsid w:val="6CFB5670"/>
    <w:rsid w:val="6D0D3BD2"/>
    <w:rsid w:val="6D0D6E0E"/>
    <w:rsid w:val="6D2469C1"/>
    <w:rsid w:val="6D3832E9"/>
    <w:rsid w:val="6D417909"/>
    <w:rsid w:val="6D554232"/>
    <w:rsid w:val="6D566EA8"/>
    <w:rsid w:val="6D5A3E94"/>
    <w:rsid w:val="6D78023B"/>
    <w:rsid w:val="6D9125F5"/>
    <w:rsid w:val="6DAA2BCB"/>
    <w:rsid w:val="6DB5581A"/>
    <w:rsid w:val="6E0A3479"/>
    <w:rsid w:val="6E0A4A26"/>
    <w:rsid w:val="6E435FD6"/>
    <w:rsid w:val="6E5A4385"/>
    <w:rsid w:val="6E5E1B6C"/>
    <w:rsid w:val="6EC0578E"/>
    <w:rsid w:val="6EEB20A1"/>
    <w:rsid w:val="6EEF71D1"/>
    <w:rsid w:val="6EF04F82"/>
    <w:rsid w:val="6EF94503"/>
    <w:rsid w:val="6F021A16"/>
    <w:rsid w:val="6F1C75CB"/>
    <w:rsid w:val="6F1D40CE"/>
    <w:rsid w:val="6F2C3334"/>
    <w:rsid w:val="6F5D7B07"/>
    <w:rsid w:val="6F614969"/>
    <w:rsid w:val="6F657B8A"/>
    <w:rsid w:val="6F672528"/>
    <w:rsid w:val="6F9F6D88"/>
    <w:rsid w:val="6FAB5331"/>
    <w:rsid w:val="6FC30139"/>
    <w:rsid w:val="7024780C"/>
    <w:rsid w:val="70465CB0"/>
    <w:rsid w:val="7051517A"/>
    <w:rsid w:val="709A7CFC"/>
    <w:rsid w:val="70A647A4"/>
    <w:rsid w:val="70D85BD1"/>
    <w:rsid w:val="70E530BD"/>
    <w:rsid w:val="712A63AD"/>
    <w:rsid w:val="715B338A"/>
    <w:rsid w:val="71695F18"/>
    <w:rsid w:val="716A7ADC"/>
    <w:rsid w:val="71A53A05"/>
    <w:rsid w:val="71B5724A"/>
    <w:rsid w:val="71DE2E53"/>
    <w:rsid w:val="71EF19DB"/>
    <w:rsid w:val="71F17CFF"/>
    <w:rsid w:val="71F936E3"/>
    <w:rsid w:val="721721D6"/>
    <w:rsid w:val="721F39FF"/>
    <w:rsid w:val="722D616B"/>
    <w:rsid w:val="72396872"/>
    <w:rsid w:val="725A20D9"/>
    <w:rsid w:val="72692DCE"/>
    <w:rsid w:val="729D66B5"/>
    <w:rsid w:val="729E121E"/>
    <w:rsid w:val="72A719B3"/>
    <w:rsid w:val="72E016E3"/>
    <w:rsid w:val="72E23A7A"/>
    <w:rsid w:val="72F6179B"/>
    <w:rsid w:val="730D7A91"/>
    <w:rsid w:val="73273E64"/>
    <w:rsid w:val="732F263D"/>
    <w:rsid w:val="73311EFE"/>
    <w:rsid w:val="73350B7A"/>
    <w:rsid w:val="73597768"/>
    <w:rsid w:val="736B145F"/>
    <w:rsid w:val="738003CA"/>
    <w:rsid w:val="73A90A3E"/>
    <w:rsid w:val="73C56EED"/>
    <w:rsid w:val="73C720DE"/>
    <w:rsid w:val="74180D50"/>
    <w:rsid w:val="741E3A74"/>
    <w:rsid w:val="74621479"/>
    <w:rsid w:val="74631CC8"/>
    <w:rsid w:val="74650390"/>
    <w:rsid w:val="747626A2"/>
    <w:rsid w:val="749E63DE"/>
    <w:rsid w:val="74A719F5"/>
    <w:rsid w:val="74AA4DDC"/>
    <w:rsid w:val="74AD065D"/>
    <w:rsid w:val="74CD34AF"/>
    <w:rsid w:val="74D50216"/>
    <w:rsid w:val="74F047ED"/>
    <w:rsid w:val="751537BA"/>
    <w:rsid w:val="752221AF"/>
    <w:rsid w:val="75570E62"/>
    <w:rsid w:val="7565064E"/>
    <w:rsid w:val="758D4AB4"/>
    <w:rsid w:val="75B80DD9"/>
    <w:rsid w:val="75C15B85"/>
    <w:rsid w:val="75D12961"/>
    <w:rsid w:val="76104C9F"/>
    <w:rsid w:val="762C558E"/>
    <w:rsid w:val="765941C5"/>
    <w:rsid w:val="7681285B"/>
    <w:rsid w:val="76994B7E"/>
    <w:rsid w:val="769D4688"/>
    <w:rsid w:val="76DF2050"/>
    <w:rsid w:val="770D045A"/>
    <w:rsid w:val="770D588E"/>
    <w:rsid w:val="773B6CD4"/>
    <w:rsid w:val="773C10A6"/>
    <w:rsid w:val="77410F02"/>
    <w:rsid w:val="77554C1F"/>
    <w:rsid w:val="77565298"/>
    <w:rsid w:val="776A271D"/>
    <w:rsid w:val="77B24EE6"/>
    <w:rsid w:val="77BE53B0"/>
    <w:rsid w:val="77CF3EA1"/>
    <w:rsid w:val="77DE4E5F"/>
    <w:rsid w:val="77E30949"/>
    <w:rsid w:val="77EF1C0D"/>
    <w:rsid w:val="77F16A53"/>
    <w:rsid w:val="780E4B72"/>
    <w:rsid w:val="783525A0"/>
    <w:rsid w:val="786F12BD"/>
    <w:rsid w:val="786F1AA9"/>
    <w:rsid w:val="7872551D"/>
    <w:rsid w:val="788F5610"/>
    <w:rsid w:val="78A27E07"/>
    <w:rsid w:val="78A43B6E"/>
    <w:rsid w:val="78B86EE8"/>
    <w:rsid w:val="7920071D"/>
    <w:rsid w:val="79496BCF"/>
    <w:rsid w:val="79AA7B9F"/>
    <w:rsid w:val="79B54E80"/>
    <w:rsid w:val="79B56BC5"/>
    <w:rsid w:val="79C52BC7"/>
    <w:rsid w:val="79C747F6"/>
    <w:rsid w:val="79F651C0"/>
    <w:rsid w:val="79FE3538"/>
    <w:rsid w:val="7A36659D"/>
    <w:rsid w:val="7A42564B"/>
    <w:rsid w:val="7A6027C1"/>
    <w:rsid w:val="7A854A12"/>
    <w:rsid w:val="7A91692E"/>
    <w:rsid w:val="7A974CB7"/>
    <w:rsid w:val="7AAE0169"/>
    <w:rsid w:val="7AB17144"/>
    <w:rsid w:val="7AB22E39"/>
    <w:rsid w:val="7AFE236E"/>
    <w:rsid w:val="7B0D4FA4"/>
    <w:rsid w:val="7B1C756C"/>
    <w:rsid w:val="7B237820"/>
    <w:rsid w:val="7B443CE2"/>
    <w:rsid w:val="7B4F4186"/>
    <w:rsid w:val="7B797BCC"/>
    <w:rsid w:val="7B7A60FC"/>
    <w:rsid w:val="7B845DFF"/>
    <w:rsid w:val="7B863B58"/>
    <w:rsid w:val="7B974622"/>
    <w:rsid w:val="7B9B1BFD"/>
    <w:rsid w:val="7BD54D59"/>
    <w:rsid w:val="7BD91009"/>
    <w:rsid w:val="7BEC6276"/>
    <w:rsid w:val="7BFE5FB0"/>
    <w:rsid w:val="7C066FFD"/>
    <w:rsid w:val="7C1F52BA"/>
    <w:rsid w:val="7C2D34B0"/>
    <w:rsid w:val="7C3C1587"/>
    <w:rsid w:val="7C3E7288"/>
    <w:rsid w:val="7C5256D3"/>
    <w:rsid w:val="7C5F1C81"/>
    <w:rsid w:val="7C6B3F7A"/>
    <w:rsid w:val="7C890363"/>
    <w:rsid w:val="7C933301"/>
    <w:rsid w:val="7C9E3A22"/>
    <w:rsid w:val="7CA52AE4"/>
    <w:rsid w:val="7CA57EE0"/>
    <w:rsid w:val="7CB9674B"/>
    <w:rsid w:val="7CCC0395"/>
    <w:rsid w:val="7D4E72F0"/>
    <w:rsid w:val="7D796E55"/>
    <w:rsid w:val="7D8D5CCD"/>
    <w:rsid w:val="7D9F7405"/>
    <w:rsid w:val="7DBC2BC2"/>
    <w:rsid w:val="7DC06BA8"/>
    <w:rsid w:val="7DD15417"/>
    <w:rsid w:val="7DD9108A"/>
    <w:rsid w:val="7DED1691"/>
    <w:rsid w:val="7E077F4A"/>
    <w:rsid w:val="7E662EAD"/>
    <w:rsid w:val="7E6A1864"/>
    <w:rsid w:val="7E7C7076"/>
    <w:rsid w:val="7E8E555A"/>
    <w:rsid w:val="7E9219F9"/>
    <w:rsid w:val="7E9624EF"/>
    <w:rsid w:val="7E9A7EF9"/>
    <w:rsid w:val="7EA11A69"/>
    <w:rsid w:val="7EA8542B"/>
    <w:rsid w:val="7EAB3BA8"/>
    <w:rsid w:val="7EC14C30"/>
    <w:rsid w:val="7ED6533B"/>
    <w:rsid w:val="7EED7E65"/>
    <w:rsid w:val="7EF87B3E"/>
    <w:rsid w:val="7F043E0F"/>
    <w:rsid w:val="7F054B2E"/>
    <w:rsid w:val="7F2F7F0A"/>
    <w:rsid w:val="7F52348C"/>
    <w:rsid w:val="7F534C95"/>
    <w:rsid w:val="7F854F22"/>
    <w:rsid w:val="7F8B50D5"/>
    <w:rsid w:val="7F917007"/>
    <w:rsid w:val="7F924DA0"/>
    <w:rsid w:val="7FB23D6E"/>
    <w:rsid w:val="7FB7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7"/>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68"/>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9"/>
    <w:autoRedefine/>
    <w:qFormat/>
    <w:uiPriority w:val="0"/>
    <w:pPr>
      <w:keepNext/>
      <w:keepLines/>
      <w:spacing w:before="260" w:after="260" w:line="413" w:lineRule="auto"/>
      <w:outlineLvl w:val="2"/>
    </w:pPr>
    <w:rPr>
      <w:b/>
      <w:bCs/>
      <w:sz w:val="32"/>
      <w:szCs w:val="32"/>
    </w:rPr>
  </w:style>
  <w:style w:type="paragraph" w:styleId="5">
    <w:name w:val="heading 4"/>
    <w:basedOn w:val="1"/>
    <w:next w:val="1"/>
    <w:link w:val="70"/>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71"/>
    <w:autoRedefine/>
    <w:qFormat/>
    <w:uiPriority w:val="0"/>
    <w:pPr>
      <w:keepNext/>
      <w:keepLines/>
      <w:spacing w:before="280" w:after="290" w:line="372" w:lineRule="auto"/>
      <w:outlineLvl w:val="4"/>
    </w:pPr>
    <w:rPr>
      <w:b/>
      <w:sz w:val="28"/>
    </w:rPr>
  </w:style>
  <w:style w:type="paragraph" w:styleId="8">
    <w:name w:val="heading 6"/>
    <w:basedOn w:val="1"/>
    <w:next w:val="7"/>
    <w:link w:val="72"/>
    <w:autoRedefine/>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7"/>
    <w:link w:val="73"/>
    <w:qFormat/>
    <w:uiPriority w:val="0"/>
    <w:pPr>
      <w:keepNext/>
      <w:keepLines/>
      <w:spacing w:before="240" w:after="64" w:line="317" w:lineRule="auto"/>
      <w:outlineLvl w:val="6"/>
    </w:pPr>
    <w:rPr>
      <w:b/>
      <w:sz w:val="24"/>
    </w:rPr>
  </w:style>
  <w:style w:type="paragraph" w:styleId="10">
    <w:name w:val="heading 8"/>
    <w:basedOn w:val="1"/>
    <w:next w:val="7"/>
    <w:link w:val="74"/>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7"/>
    <w:link w:val="75"/>
    <w:autoRedefine/>
    <w:qFormat/>
    <w:uiPriority w:val="0"/>
    <w:pPr>
      <w:keepNext/>
      <w:keepLines/>
      <w:spacing w:before="240" w:after="64" w:line="317" w:lineRule="auto"/>
      <w:outlineLvl w:val="8"/>
    </w:pPr>
    <w:rPr>
      <w:rFonts w:ascii="Arial" w:hAnsi="Arial" w:eastAsia="黑体"/>
    </w:rPr>
  </w:style>
  <w:style w:type="character" w:default="1" w:styleId="55">
    <w:name w:val="Default Paragraph Font"/>
    <w:semiHidden/>
    <w:unhideWhenUsed/>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ind w:firstLine="420"/>
    </w:pPr>
    <w:rPr>
      <w:szCs w:val="20"/>
    </w:rPr>
  </w:style>
  <w:style w:type="paragraph" w:styleId="12">
    <w:name w:val="List 3"/>
    <w:basedOn w:val="1"/>
    <w:autoRedefine/>
    <w:qFormat/>
    <w:uiPriority w:val="0"/>
    <w:pPr>
      <w:ind w:left="100" w:leftChars="400" w:hanging="200" w:hangingChars="200"/>
    </w:pPr>
  </w:style>
  <w:style w:type="paragraph" w:styleId="13">
    <w:name w:val="toc 7"/>
    <w:basedOn w:val="1"/>
    <w:next w:val="1"/>
    <w:autoRedefine/>
    <w:qFormat/>
    <w:uiPriority w:val="0"/>
    <w:pPr>
      <w:tabs>
        <w:tab w:val="right" w:leader="dot" w:pos="9185"/>
      </w:tabs>
      <w:adjustRightInd w:val="0"/>
      <w:spacing w:line="312" w:lineRule="atLeast"/>
      <w:ind w:left="2520"/>
      <w:textAlignment w:val="baseline"/>
    </w:pPr>
    <w:rPr>
      <w:kern w:val="0"/>
      <w:szCs w:val="20"/>
    </w:rPr>
  </w:style>
  <w:style w:type="paragraph" w:styleId="14">
    <w:name w:val="index 8"/>
    <w:basedOn w:val="1"/>
    <w:next w:val="1"/>
    <w:autoRedefine/>
    <w:qFormat/>
    <w:uiPriority w:val="0"/>
    <w:pPr>
      <w:ind w:left="1400" w:leftChars="1400"/>
    </w:pPr>
  </w:style>
  <w:style w:type="paragraph" w:styleId="15">
    <w:name w:val="List Number"/>
    <w:basedOn w:val="1"/>
    <w:autoRedefine/>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6">
    <w:name w:val="caption"/>
    <w:basedOn w:val="1"/>
    <w:next w:val="1"/>
    <w:autoRedefine/>
    <w:qFormat/>
    <w:uiPriority w:val="0"/>
    <w:pPr>
      <w:spacing w:before="152" w:after="160"/>
    </w:pPr>
    <w:rPr>
      <w:rFonts w:ascii="Arial" w:hAnsi="Arial" w:eastAsia="黑体" w:cs="Arial"/>
      <w:sz w:val="20"/>
      <w:szCs w:val="20"/>
    </w:rPr>
  </w:style>
  <w:style w:type="paragraph" w:styleId="17">
    <w:name w:val="Document Map"/>
    <w:basedOn w:val="1"/>
    <w:link w:val="76"/>
    <w:qFormat/>
    <w:uiPriority w:val="0"/>
    <w:pPr>
      <w:shd w:val="clear" w:color="auto" w:fill="000080"/>
      <w:adjustRightInd w:val="0"/>
      <w:spacing w:line="312" w:lineRule="atLeast"/>
      <w:textAlignment w:val="baseline"/>
    </w:pPr>
    <w:rPr>
      <w:kern w:val="0"/>
      <w:szCs w:val="20"/>
    </w:rPr>
  </w:style>
  <w:style w:type="paragraph" w:styleId="18">
    <w:name w:val="toa heading"/>
    <w:basedOn w:val="1"/>
    <w:next w:val="1"/>
    <w:autoRedefine/>
    <w:qFormat/>
    <w:uiPriority w:val="99"/>
    <w:pPr>
      <w:spacing w:before="120"/>
    </w:pPr>
    <w:rPr>
      <w:rFonts w:ascii="Cambria" w:hAnsi="Cambria" w:cs="宋体"/>
      <w:sz w:val="24"/>
    </w:rPr>
  </w:style>
  <w:style w:type="paragraph" w:styleId="19">
    <w:name w:val="annotation text"/>
    <w:basedOn w:val="1"/>
    <w:link w:val="77"/>
    <w:qFormat/>
    <w:uiPriority w:val="0"/>
    <w:pPr>
      <w:jc w:val="left"/>
    </w:pPr>
  </w:style>
  <w:style w:type="paragraph" w:styleId="20">
    <w:name w:val="Body Text 3"/>
    <w:basedOn w:val="1"/>
    <w:link w:val="78"/>
    <w:autoRedefine/>
    <w:qFormat/>
    <w:uiPriority w:val="0"/>
    <w:pPr>
      <w:spacing w:line="500" w:lineRule="exact"/>
    </w:pPr>
    <w:rPr>
      <w:b/>
      <w:bCs/>
      <w:sz w:val="24"/>
    </w:rPr>
  </w:style>
  <w:style w:type="paragraph" w:styleId="21">
    <w:name w:val="Body Text"/>
    <w:basedOn w:val="1"/>
    <w:next w:val="1"/>
    <w:link w:val="79"/>
    <w:autoRedefine/>
    <w:qFormat/>
    <w:uiPriority w:val="99"/>
    <w:pPr>
      <w:spacing w:line="380" w:lineRule="exact"/>
    </w:pPr>
    <w:rPr>
      <w:sz w:val="24"/>
    </w:rPr>
  </w:style>
  <w:style w:type="paragraph" w:styleId="22">
    <w:name w:val="Body Text Indent"/>
    <w:basedOn w:val="1"/>
    <w:link w:val="80"/>
    <w:autoRedefine/>
    <w:qFormat/>
    <w:uiPriority w:val="99"/>
    <w:pPr>
      <w:ind w:firstLine="830" w:firstLineChars="352"/>
    </w:pPr>
    <w:rPr>
      <w:rFonts w:ascii="仿宋_GB2312" w:eastAsia="仿宋_GB2312"/>
      <w:sz w:val="32"/>
      <w:szCs w:val="20"/>
    </w:rPr>
  </w:style>
  <w:style w:type="paragraph" w:styleId="23">
    <w:name w:val="List Number 3"/>
    <w:basedOn w:val="1"/>
    <w:autoRedefine/>
    <w:qFormat/>
    <w:uiPriority w:val="0"/>
    <w:pPr>
      <w:tabs>
        <w:tab w:val="left" w:pos="1200"/>
      </w:tabs>
      <w:ind w:left="1200" w:leftChars="400" w:hanging="360" w:hangingChars="200"/>
    </w:pPr>
  </w:style>
  <w:style w:type="paragraph" w:styleId="24">
    <w:name w:val="List 2"/>
    <w:basedOn w:val="1"/>
    <w:autoRedefine/>
    <w:qFormat/>
    <w:uiPriority w:val="0"/>
    <w:pPr>
      <w:ind w:left="100" w:leftChars="200" w:hanging="200" w:hangingChars="200"/>
    </w:pPr>
    <w:rPr>
      <w:sz w:val="28"/>
    </w:rPr>
  </w:style>
  <w:style w:type="paragraph" w:styleId="25">
    <w:name w:val="Block Text"/>
    <w:basedOn w:val="1"/>
    <w:autoRedefine/>
    <w:qFormat/>
    <w:uiPriority w:val="0"/>
    <w:pPr>
      <w:adjustRightInd w:val="0"/>
      <w:ind w:left="420" w:right="33"/>
      <w:jc w:val="left"/>
      <w:textAlignment w:val="baseline"/>
    </w:pPr>
    <w:rPr>
      <w:kern w:val="0"/>
      <w:sz w:val="24"/>
      <w:szCs w:val="20"/>
    </w:rPr>
  </w:style>
  <w:style w:type="paragraph" w:styleId="26">
    <w:name w:val="toc 5"/>
    <w:basedOn w:val="1"/>
    <w:next w:val="1"/>
    <w:autoRedefine/>
    <w:qFormat/>
    <w:uiPriority w:val="0"/>
    <w:pPr>
      <w:tabs>
        <w:tab w:val="right" w:leader="dot" w:pos="9185"/>
      </w:tabs>
      <w:adjustRightInd w:val="0"/>
      <w:spacing w:line="312" w:lineRule="atLeast"/>
      <w:ind w:left="1680"/>
      <w:textAlignment w:val="baseline"/>
    </w:pPr>
    <w:rPr>
      <w:kern w:val="0"/>
      <w:szCs w:val="20"/>
    </w:rPr>
  </w:style>
  <w:style w:type="paragraph" w:styleId="27">
    <w:name w:val="toc 3"/>
    <w:basedOn w:val="1"/>
    <w:next w:val="1"/>
    <w:autoRedefine/>
    <w:qFormat/>
    <w:uiPriority w:val="39"/>
    <w:pPr>
      <w:ind w:left="840" w:leftChars="400"/>
    </w:pPr>
  </w:style>
  <w:style w:type="paragraph" w:styleId="28">
    <w:name w:val="Plain Text"/>
    <w:basedOn w:val="1"/>
    <w:next w:val="14"/>
    <w:link w:val="81"/>
    <w:autoRedefine/>
    <w:qFormat/>
    <w:uiPriority w:val="99"/>
    <w:rPr>
      <w:rFonts w:ascii="宋体" w:hAnsi="Courier New" w:cs="Courier New"/>
      <w:szCs w:val="21"/>
    </w:rPr>
  </w:style>
  <w:style w:type="paragraph" w:styleId="29">
    <w:name w:val="toc 8"/>
    <w:basedOn w:val="1"/>
    <w:next w:val="1"/>
    <w:autoRedefine/>
    <w:qFormat/>
    <w:uiPriority w:val="0"/>
    <w:pPr>
      <w:tabs>
        <w:tab w:val="right" w:leader="dot" w:pos="9185"/>
      </w:tabs>
      <w:adjustRightInd w:val="0"/>
      <w:spacing w:line="312" w:lineRule="atLeast"/>
      <w:ind w:left="2940"/>
      <w:textAlignment w:val="baseline"/>
    </w:pPr>
    <w:rPr>
      <w:kern w:val="0"/>
      <w:szCs w:val="20"/>
    </w:rPr>
  </w:style>
  <w:style w:type="paragraph" w:styleId="30">
    <w:name w:val="Date"/>
    <w:basedOn w:val="1"/>
    <w:next w:val="1"/>
    <w:link w:val="82"/>
    <w:autoRedefine/>
    <w:qFormat/>
    <w:uiPriority w:val="0"/>
    <w:pPr>
      <w:ind w:left="100" w:leftChars="2500"/>
    </w:pPr>
    <w:rPr>
      <w:rFonts w:ascii="宋体" w:hAnsi="Courier New"/>
      <w:szCs w:val="21"/>
    </w:rPr>
  </w:style>
  <w:style w:type="paragraph" w:styleId="31">
    <w:name w:val="Body Text Indent 2"/>
    <w:basedOn w:val="1"/>
    <w:link w:val="83"/>
    <w:autoRedefine/>
    <w:qFormat/>
    <w:uiPriority w:val="0"/>
    <w:pPr>
      <w:ind w:firstLine="630"/>
    </w:pPr>
    <w:rPr>
      <w:sz w:val="32"/>
      <w:szCs w:val="20"/>
    </w:rPr>
  </w:style>
  <w:style w:type="paragraph" w:styleId="32">
    <w:name w:val="Balloon Text"/>
    <w:basedOn w:val="1"/>
    <w:link w:val="84"/>
    <w:autoRedefine/>
    <w:qFormat/>
    <w:uiPriority w:val="0"/>
    <w:rPr>
      <w:sz w:val="18"/>
      <w:szCs w:val="18"/>
    </w:rPr>
  </w:style>
  <w:style w:type="paragraph" w:styleId="33">
    <w:name w:val="footer"/>
    <w:basedOn w:val="1"/>
    <w:link w:val="85"/>
    <w:autoRedefine/>
    <w:qFormat/>
    <w:uiPriority w:val="0"/>
    <w:pPr>
      <w:tabs>
        <w:tab w:val="center" w:pos="4153"/>
        <w:tab w:val="right" w:pos="8306"/>
      </w:tabs>
      <w:snapToGrid w:val="0"/>
      <w:jc w:val="left"/>
    </w:pPr>
    <w:rPr>
      <w:sz w:val="18"/>
      <w:szCs w:val="18"/>
    </w:rPr>
  </w:style>
  <w:style w:type="paragraph" w:styleId="34">
    <w:name w:val="header"/>
    <w:basedOn w:val="1"/>
    <w:link w:val="86"/>
    <w:autoRedefine/>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39"/>
    <w:pPr>
      <w:tabs>
        <w:tab w:val="right" w:leader="dot" w:pos="8398"/>
      </w:tabs>
      <w:spacing w:before="120" w:after="120"/>
      <w:ind w:firstLine="240" w:firstLineChars="100"/>
      <w:jc w:val="left"/>
    </w:pPr>
    <w:rPr>
      <w:rFonts w:ascii="宋体" w:hAnsi="宋体"/>
      <w:b/>
      <w:bCs/>
      <w:caps/>
      <w:sz w:val="24"/>
    </w:rPr>
  </w:style>
  <w:style w:type="paragraph" w:styleId="36">
    <w:name w:val="toc 4"/>
    <w:basedOn w:val="1"/>
    <w:next w:val="1"/>
    <w:autoRedefine/>
    <w:qFormat/>
    <w:uiPriority w:val="0"/>
    <w:pPr>
      <w:tabs>
        <w:tab w:val="right" w:leader="dot" w:pos="9185"/>
      </w:tabs>
      <w:adjustRightInd w:val="0"/>
      <w:spacing w:line="312" w:lineRule="atLeast"/>
      <w:ind w:left="1260"/>
      <w:textAlignment w:val="baseline"/>
    </w:pPr>
    <w:rPr>
      <w:kern w:val="0"/>
      <w:szCs w:val="20"/>
    </w:rPr>
  </w:style>
  <w:style w:type="paragraph" w:styleId="37">
    <w:name w:val="List"/>
    <w:basedOn w:val="1"/>
    <w:autoRedefine/>
    <w:qFormat/>
    <w:uiPriority w:val="0"/>
    <w:pPr>
      <w:ind w:left="200" w:hanging="200" w:hangingChars="200"/>
    </w:pPr>
    <w:rPr>
      <w:sz w:val="28"/>
    </w:rPr>
  </w:style>
  <w:style w:type="paragraph" w:styleId="38">
    <w:name w:val="toc 6"/>
    <w:basedOn w:val="1"/>
    <w:next w:val="1"/>
    <w:autoRedefine/>
    <w:qFormat/>
    <w:uiPriority w:val="0"/>
    <w:pPr>
      <w:tabs>
        <w:tab w:val="right" w:leader="dot" w:pos="9185"/>
      </w:tabs>
      <w:adjustRightInd w:val="0"/>
      <w:spacing w:line="312" w:lineRule="atLeast"/>
      <w:ind w:left="2100"/>
      <w:textAlignment w:val="baseline"/>
    </w:pPr>
    <w:rPr>
      <w:kern w:val="0"/>
      <w:szCs w:val="20"/>
    </w:rPr>
  </w:style>
  <w:style w:type="paragraph" w:styleId="39">
    <w:name w:val="List 5"/>
    <w:basedOn w:val="1"/>
    <w:autoRedefine/>
    <w:qFormat/>
    <w:uiPriority w:val="0"/>
    <w:pPr>
      <w:ind w:left="2100" w:hanging="420"/>
    </w:pPr>
    <w:rPr>
      <w:szCs w:val="20"/>
    </w:rPr>
  </w:style>
  <w:style w:type="paragraph" w:styleId="40">
    <w:name w:val="Body Text Indent 3"/>
    <w:basedOn w:val="1"/>
    <w:link w:val="87"/>
    <w:autoRedefine/>
    <w:qFormat/>
    <w:uiPriority w:val="0"/>
    <w:pPr>
      <w:spacing w:after="120"/>
      <w:ind w:left="420" w:leftChars="200"/>
    </w:pPr>
    <w:rPr>
      <w:sz w:val="16"/>
      <w:szCs w:val="16"/>
    </w:rPr>
  </w:style>
  <w:style w:type="paragraph" w:styleId="41">
    <w:name w:val="toc 2"/>
    <w:basedOn w:val="1"/>
    <w:next w:val="1"/>
    <w:autoRedefine/>
    <w:qFormat/>
    <w:uiPriority w:val="39"/>
    <w:pPr>
      <w:ind w:left="420" w:leftChars="200"/>
    </w:pPr>
  </w:style>
  <w:style w:type="paragraph" w:styleId="42">
    <w:name w:val="toc 9"/>
    <w:basedOn w:val="1"/>
    <w:next w:val="1"/>
    <w:autoRedefine/>
    <w:qFormat/>
    <w:uiPriority w:val="0"/>
    <w:pPr>
      <w:tabs>
        <w:tab w:val="right" w:leader="dot" w:pos="9185"/>
      </w:tabs>
      <w:adjustRightInd w:val="0"/>
      <w:spacing w:line="312" w:lineRule="atLeast"/>
      <w:ind w:left="3360"/>
      <w:textAlignment w:val="baseline"/>
    </w:pPr>
    <w:rPr>
      <w:kern w:val="0"/>
      <w:szCs w:val="20"/>
    </w:rPr>
  </w:style>
  <w:style w:type="paragraph" w:styleId="43">
    <w:name w:val="Body Text 2"/>
    <w:basedOn w:val="1"/>
    <w:link w:val="88"/>
    <w:autoRedefine/>
    <w:qFormat/>
    <w:uiPriority w:val="0"/>
    <w:pPr>
      <w:spacing w:after="120" w:line="480" w:lineRule="auto"/>
    </w:pPr>
  </w:style>
  <w:style w:type="paragraph" w:styleId="44">
    <w:name w:val="List 4"/>
    <w:basedOn w:val="1"/>
    <w:autoRedefine/>
    <w:qFormat/>
    <w:uiPriority w:val="0"/>
    <w:pPr>
      <w:ind w:left="100" w:leftChars="600" w:hanging="200" w:hangingChars="200"/>
    </w:pPr>
  </w:style>
  <w:style w:type="paragraph" w:styleId="45">
    <w:name w:val="List Continue 2"/>
    <w:basedOn w:val="1"/>
    <w:autoRedefine/>
    <w:qFormat/>
    <w:uiPriority w:val="0"/>
    <w:pPr>
      <w:spacing w:after="120"/>
      <w:ind w:left="840" w:leftChars="400"/>
    </w:pPr>
  </w:style>
  <w:style w:type="paragraph" w:styleId="46">
    <w:name w:val="HTML Preformatted"/>
    <w:basedOn w:val="1"/>
    <w:link w:val="8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48">
    <w:name w:val="index 1"/>
    <w:basedOn w:val="1"/>
    <w:next w:val="1"/>
    <w:autoRedefine/>
    <w:qFormat/>
    <w:uiPriority w:val="0"/>
    <w:pPr>
      <w:spacing w:line="400" w:lineRule="exact"/>
      <w:ind w:firstLine="420" w:firstLineChars="200"/>
    </w:pPr>
    <w:rPr>
      <w:rFonts w:ascii="宋体" w:hAnsi="Courier New"/>
      <w:b/>
      <w:szCs w:val="20"/>
    </w:rPr>
  </w:style>
  <w:style w:type="paragraph" w:styleId="49">
    <w:name w:val="Title"/>
    <w:basedOn w:val="1"/>
    <w:next w:val="1"/>
    <w:link w:val="90"/>
    <w:autoRedefine/>
    <w:qFormat/>
    <w:uiPriority w:val="0"/>
    <w:pPr>
      <w:jc w:val="center"/>
    </w:pPr>
    <w:rPr>
      <w:sz w:val="30"/>
    </w:rPr>
  </w:style>
  <w:style w:type="paragraph" w:styleId="50">
    <w:name w:val="annotation subject"/>
    <w:basedOn w:val="19"/>
    <w:next w:val="19"/>
    <w:link w:val="91"/>
    <w:autoRedefine/>
    <w:qFormat/>
    <w:uiPriority w:val="0"/>
    <w:rPr>
      <w:b/>
      <w:bCs/>
    </w:rPr>
  </w:style>
  <w:style w:type="paragraph" w:styleId="51">
    <w:name w:val="Body Text First Indent"/>
    <w:basedOn w:val="21"/>
    <w:link w:val="92"/>
    <w:autoRedefine/>
    <w:qFormat/>
    <w:uiPriority w:val="0"/>
    <w:pPr>
      <w:spacing w:after="120" w:line="240" w:lineRule="auto"/>
      <w:ind w:firstLine="420" w:firstLineChars="100"/>
    </w:pPr>
    <w:rPr>
      <w:sz w:val="21"/>
    </w:rPr>
  </w:style>
  <w:style w:type="paragraph" w:styleId="52">
    <w:name w:val="Body Text First Indent 2"/>
    <w:basedOn w:val="1"/>
    <w:link w:val="93"/>
    <w:autoRedefine/>
    <w:qFormat/>
    <w:uiPriority w:val="0"/>
    <w:pPr>
      <w:spacing w:after="120"/>
      <w:ind w:left="420" w:leftChars="200" w:firstLine="420" w:firstLineChars="200"/>
    </w:pPr>
  </w:style>
  <w:style w:type="table" w:styleId="54">
    <w:name w:val="Table Grid"/>
    <w:basedOn w:val="5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autoRedefine/>
    <w:qFormat/>
    <w:uiPriority w:val="22"/>
    <w:rPr>
      <w:b/>
      <w:bCs/>
    </w:rPr>
  </w:style>
  <w:style w:type="character" w:styleId="57">
    <w:name w:val="page number"/>
    <w:autoRedefine/>
    <w:qFormat/>
    <w:uiPriority w:val="0"/>
  </w:style>
  <w:style w:type="character" w:styleId="58">
    <w:name w:val="FollowedHyperlink"/>
    <w:autoRedefine/>
    <w:qFormat/>
    <w:uiPriority w:val="99"/>
    <w:rPr>
      <w:color w:val="333333"/>
      <w:u w:val="none"/>
    </w:rPr>
  </w:style>
  <w:style w:type="character" w:styleId="59">
    <w:name w:val="Emphasis"/>
    <w:autoRedefine/>
    <w:qFormat/>
    <w:uiPriority w:val="0"/>
    <w:rPr>
      <w:color w:val="CC0000"/>
    </w:rPr>
  </w:style>
  <w:style w:type="character" w:styleId="60">
    <w:name w:val="HTML Definition"/>
    <w:autoRedefine/>
    <w:qFormat/>
    <w:uiPriority w:val="0"/>
    <w:rPr>
      <w:i/>
    </w:rPr>
  </w:style>
  <w:style w:type="character" w:styleId="61">
    <w:name w:val="Hyperlink"/>
    <w:autoRedefine/>
    <w:qFormat/>
    <w:uiPriority w:val="99"/>
    <w:rPr>
      <w:color w:val="333333"/>
      <w:u w:val="none"/>
    </w:rPr>
  </w:style>
  <w:style w:type="character" w:styleId="62">
    <w:name w:val="HTML Code"/>
    <w:autoRedefine/>
    <w:qFormat/>
    <w:uiPriority w:val="0"/>
    <w:rPr>
      <w:rFonts w:hint="default" w:ascii="Consolas" w:hAnsi="Consolas" w:eastAsia="Consolas" w:cs="Consolas"/>
      <w:sz w:val="21"/>
      <w:szCs w:val="21"/>
    </w:rPr>
  </w:style>
  <w:style w:type="character" w:styleId="63">
    <w:name w:val="annotation reference"/>
    <w:autoRedefine/>
    <w:qFormat/>
    <w:uiPriority w:val="0"/>
    <w:rPr>
      <w:sz w:val="21"/>
      <w:szCs w:val="21"/>
    </w:rPr>
  </w:style>
  <w:style w:type="character" w:styleId="64">
    <w:name w:val="HTML Cite"/>
    <w:autoRedefine/>
    <w:qFormat/>
    <w:uiPriority w:val="0"/>
    <w:rPr>
      <w:color w:val="008000"/>
    </w:rPr>
  </w:style>
  <w:style w:type="character" w:styleId="65">
    <w:name w:val="HTML Keyboard"/>
    <w:autoRedefine/>
    <w:qFormat/>
    <w:uiPriority w:val="0"/>
    <w:rPr>
      <w:rFonts w:hint="default" w:ascii="Consolas" w:hAnsi="Consolas" w:eastAsia="Consolas" w:cs="Consolas"/>
      <w:sz w:val="21"/>
      <w:szCs w:val="21"/>
    </w:rPr>
  </w:style>
  <w:style w:type="character" w:styleId="66">
    <w:name w:val="HTML Sample"/>
    <w:autoRedefine/>
    <w:qFormat/>
    <w:uiPriority w:val="0"/>
    <w:rPr>
      <w:rFonts w:ascii="Consolas" w:hAnsi="Consolas" w:eastAsia="Consolas" w:cs="Consolas"/>
      <w:sz w:val="21"/>
      <w:szCs w:val="21"/>
    </w:rPr>
  </w:style>
  <w:style w:type="character" w:customStyle="1" w:styleId="67">
    <w:name w:val="标题 1 字符1"/>
    <w:link w:val="2"/>
    <w:autoRedefine/>
    <w:qFormat/>
    <w:uiPriority w:val="9"/>
    <w:rPr>
      <w:rFonts w:eastAsia="宋体"/>
      <w:b/>
      <w:bCs/>
      <w:kern w:val="44"/>
      <w:sz w:val="44"/>
      <w:szCs w:val="44"/>
      <w:lang w:val="en-US" w:eastAsia="zh-CN" w:bidi="ar-SA"/>
    </w:rPr>
  </w:style>
  <w:style w:type="character" w:customStyle="1" w:styleId="68">
    <w:name w:val="标题 2 字符1"/>
    <w:link w:val="3"/>
    <w:autoRedefine/>
    <w:qFormat/>
    <w:uiPriority w:val="0"/>
    <w:rPr>
      <w:rFonts w:ascii="Arial" w:hAnsi="Arial" w:eastAsia="黑体"/>
      <w:b/>
      <w:bCs/>
      <w:kern w:val="2"/>
      <w:sz w:val="32"/>
      <w:szCs w:val="32"/>
    </w:rPr>
  </w:style>
  <w:style w:type="character" w:customStyle="1" w:styleId="69">
    <w:name w:val="标题 3 字符1"/>
    <w:link w:val="4"/>
    <w:autoRedefine/>
    <w:qFormat/>
    <w:uiPriority w:val="0"/>
    <w:rPr>
      <w:b/>
      <w:bCs/>
      <w:kern w:val="2"/>
      <w:sz w:val="32"/>
      <w:szCs w:val="32"/>
    </w:rPr>
  </w:style>
  <w:style w:type="character" w:customStyle="1" w:styleId="70">
    <w:name w:val="标题 4 字符1"/>
    <w:link w:val="5"/>
    <w:autoRedefine/>
    <w:qFormat/>
    <w:uiPriority w:val="0"/>
    <w:rPr>
      <w:rFonts w:ascii="Arial" w:hAnsi="Arial" w:eastAsia="黑体"/>
      <w:sz w:val="28"/>
    </w:rPr>
  </w:style>
  <w:style w:type="character" w:customStyle="1" w:styleId="71">
    <w:name w:val="标题 5 字符1"/>
    <w:link w:val="6"/>
    <w:autoRedefine/>
    <w:qFormat/>
    <w:uiPriority w:val="0"/>
    <w:rPr>
      <w:b/>
      <w:kern w:val="2"/>
      <w:sz w:val="28"/>
      <w:szCs w:val="24"/>
    </w:rPr>
  </w:style>
  <w:style w:type="character" w:customStyle="1" w:styleId="72">
    <w:name w:val="标题 6 字符1"/>
    <w:link w:val="8"/>
    <w:autoRedefine/>
    <w:qFormat/>
    <w:uiPriority w:val="0"/>
    <w:rPr>
      <w:rFonts w:ascii="Arial" w:hAnsi="Arial" w:eastAsia="黑体"/>
      <w:b/>
      <w:kern w:val="2"/>
      <w:sz w:val="24"/>
      <w:szCs w:val="24"/>
    </w:rPr>
  </w:style>
  <w:style w:type="character" w:customStyle="1" w:styleId="73">
    <w:name w:val="标题 7 字符1"/>
    <w:link w:val="9"/>
    <w:autoRedefine/>
    <w:qFormat/>
    <w:uiPriority w:val="0"/>
    <w:rPr>
      <w:b/>
      <w:kern w:val="2"/>
      <w:sz w:val="24"/>
      <w:szCs w:val="24"/>
    </w:rPr>
  </w:style>
  <w:style w:type="character" w:customStyle="1" w:styleId="74">
    <w:name w:val="标题 8 字符1"/>
    <w:link w:val="10"/>
    <w:autoRedefine/>
    <w:qFormat/>
    <w:uiPriority w:val="0"/>
    <w:rPr>
      <w:rFonts w:ascii="Arial" w:hAnsi="Arial" w:eastAsia="黑体"/>
      <w:kern w:val="2"/>
      <w:sz w:val="24"/>
      <w:szCs w:val="24"/>
    </w:rPr>
  </w:style>
  <w:style w:type="character" w:customStyle="1" w:styleId="75">
    <w:name w:val="标题 9 字符1"/>
    <w:link w:val="11"/>
    <w:autoRedefine/>
    <w:qFormat/>
    <w:uiPriority w:val="0"/>
    <w:rPr>
      <w:rFonts w:ascii="Arial" w:hAnsi="Arial" w:eastAsia="黑体"/>
      <w:kern w:val="2"/>
      <w:sz w:val="21"/>
      <w:szCs w:val="24"/>
    </w:rPr>
  </w:style>
  <w:style w:type="character" w:customStyle="1" w:styleId="76">
    <w:name w:val="文档结构图 字符1"/>
    <w:link w:val="17"/>
    <w:autoRedefine/>
    <w:qFormat/>
    <w:uiPriority w:val="0"/>
    <w:rPr>
      <w:sz w:val="21"/>
      <w:shd w:val="clear" w:color="auto" w:fill="000080"/>
    </w:rPr>
  </w:style>
  <w:style w:type="character" w:customStyle="1" w:styleId="77">
    <w:name w:val="批注文字 字符2"/>
    <w:link w:val="19"/>
    <w:autoRedefine/>
    <w:qFormat/>
    <w:uiPriority w:val="0"/>
    <w:rPr>
      <w:kern w:val="2"/>
      <w:sz w:val="21"/>
      <w:szCs w:val="24"/>
    </w:rPr>
  </w:style>
  <w:style w:type="character" w:customStyle="1" w:styleId="78">
    <w:name w:val="正文文本 3 字符1"/>
    <w:link w:val="20"/>
    <w:autoRedefine/>
    <w:qFormat/>
    <w:uiPriority w:val="0"/>
    <w:rPr>
      <w:b/>
      <w:bCs/>
      <w:kern w:val="2"/>
      <w:sz w:val="24"/>
      <w:szCs w:val="24"/>
    </w:rPr>
  </w:style>
  <w:style w:type="character" w:customStyle="1" w:styleId="79">
    <w:name w:val="正文文本 字符1"/>
    <w:link w:val="21"/>
    <w:autoRedefine/>
    <w:qFormat/>
    <w:uiPriority w:val="99"/>
    <w:rPr>
      <w:kern w:val="2"/>
      <w:sz w:val="24"/>
      <w:szCs w:val="24"/>
    </w:rPr>
  </w:style>
  <w:style w:type="character" w:customStyle="1" w:styleId="80">
    <w:name w:val="正文文本缩进 字符1"/>
    <w:link w:val="22"/>
    <w:autoRedefine/>
    <w:qFormat/>
    <w:uiPriority w:val="99"/>
    <w:rPr>
      <w:rFonts w:ascii="仿宋_GB2312" w:eastAsia="仿宋_GB2312"/>
      <w:kern w:val="2"/>
      <w:sz w:val="32"/>
    </w:rPr>
  </w:style>
  <w:style w:type="character" w:customStyle="1" w:styleId="81">
    <w:name w:val="纯文本 字符1"/>
    <w:link w:val="28"/>
    <w:autoRedefine/>
    <w:qFormat/>
    <w:uiPriority w:val="99"/>
    <w:rPr>
      <w:rFonts w:ascii="宋体" w:hAnsi="Courier New" w:eastAsia="宋体" w:cs="Courier New"/>
      <w:kern w:val="2"/>
      <w:sz w:val="21"/>
      <w:szCs w:val="21"/>
      <w:lang w:val="en-US" w:eastAsia="zh-CN" w:bidi="ar-SA"/>
    </w:rPr>
  </w:style>
  <w:style w:type="character" w:customStyle="1" w:styleId="82">
    <w:name w:val="日期 字符1"/>
    <w:link w:val="30"/>
    <w:autoRedefine/>
    <w:qFormat/>
    <w:uiPriority w:val="0"/>
    <w:rPr>
      <w:rFonts w:ascii="宋体" w:hAnsi="Courier New" w:cs="Courier New"/>
      <w:kern w:val="2"/>
      <w:sz w:val="21"/>
      <w:szCs w:val="21"/>
    </w:rPr>
  </w:style>
  <w:style w:type="character" w:customStyle="1" w:styleId="83">
    <w:name w:val="正文文本缩进 2 字符1"/>
    <w:link w:val="31"/>
    <w:autoRedefine/>
    <w:qFormat/>
    <w:uiPriority w:val="0"/>
    <w:rPr>
      <w:kern w:val="2"/>
      <w:sz w:val="32"/>
    </w:rPr>
  </w:style>
  <w:style w:type="character" w:customStyle="1" w:styleId="84">
    <w:name w:val="批注框文本 字符1"/>
    <w:link w:val="32"/>
    <w:autoRedefine/>
    <w:qFormat/>
    <w:uiPriority w:val="0"/>
    <w:rPr>
      <w:kern w:val="2"/>
      <w:sz w:val="18"/>
      <w:szCs w:val="18"/>
    </w:rPr>
  </w:style>
  <w:style w:type="character" w:customStyle="1" w:styleId="85">
    <w:name w:val="页脚 字符1"/>
    <w:link w:val="33"/>
    <w:autoRedefine/>
    <w:qFormat/>
    <w:uiPriority w:val="0"/>
    <w:rPr>
      <w:kern w:val="2"/>
      <w:sz w:val="18"/>
      <w:szCs w:val="18"/>
    </w:rPr>
  </w:style>
  <w:style w:type="character" w:customStyle="1" w:styleId="86">
    <w:name w:val="页眉 字符1"/>
    <w:link w:val="34"/>
    <w:autoRedefine/>
    <w:qFormat/>
    <w:uiPriority w:val="99"/>
    <w:rPr>
      <w:kern w:val="2"/>
      <w:sz w:val="18"/>
      <w:szCs w:val="18"/>
    </w:rPr>
  </w:style>
  <w:style w:type="character" w:customStyle="1" w:styleId="87">
    <w:name w:val="正文文本缩进 3 字符1"/>
    <w:link w:val="40"/>
    <w:autoRedefine/>
    <w:qFormat/>
    <w:uiPriority w:val="0"/>
    <w:rPr>
      <w:kern w:val="2"/>
      <w:sz w:val="16"/>
      <w:szCs w:val="16"/>
    </w:rPr>
  </w:style>
  <w:style w:type="character" w:customStyle="1" w:styleId="88">
    <w:name w:val="正文文本 2 字符1"/>
    <w:link w:val="43"/>
    <w:autoRedefine/>
    <w:qFormat/>
    <w:uiPriority w:val="0"/>
    <w:rPr>
      <w:kern w:val="2"/>
      <w:sz w:val="21"/>
      <w:szCs w:val="24"/>
    </w:rPr>
  </w:style>
  <w:style w:type="character" w:customStyle="1" w:styleId="89">
    <w:name w:val="HTML 预设格式 字符1"/>
    <w:link w:val="46"/>
    <w:autoRedefine/>
    <w:qFormat/>
    <w:uiPriority w:val="0"/>
    <w:rPr>
      <w:rFonts w:ascii="黑体" w:hAnsi="Courier New" w:eastAsia="黑体" w:cs="Courier New"/>
    </w:rPr>
  </w:style>
  <w:style w:type="character" w:customStyle="1" w:styleId="90">
    <w:name w:val="标题 字符1"/>
    <w:link w:val="49"/>
    <w:autoRedefine/>
    <w:qFormat/>
    <w:uiPriority w:val="0"/>
    <w:rPr>
      <w:kern w:val="2"/>
      <w:sz w:val="30"/>
      <w:szCs w:val="24"/>
    </w:rPr>
  </w:style>
  <w:style w:type="character" w:customStyle="1" w:styleId="91">
    <w:name w:val="批注主题 字符1"/>
    <w:link w:val="50"/>
    <w:autoRedefine/>
    <w:qFormat/>
    <w:uiPriority w:val="0"/>
    <w:rPr>
      <w:b/>
      <w:bCs/>
      <w:kern w:val="2"/>
      <w:sz w:val="21"/>
      <w:szCs w:val="24"/>
    </w:rPr>
  </w:style>
  <w:style w:type="character" w:customStyle="1" w:styleId="92">
    <w:name w:val="正文文本首行缩进 字符1"/>
    <w:link w:val="51"/>
    <w:autoRedefine/>
    <w:qFormat/>
    <w:uiPriority w:val="0"/>
    <w:rPr>
      <w:kern w:val="2"/>
      <w:sz w:val="21"/>
      <w:szCs w:val="24"/>
    </w:rPr>
  </w:style>
  <w:style w:type="character" w:customStyle="1" w:styleId="93">
    <w:name w:val="正文文本首行缩进 2 字符1"/>
    <w:link w:val="52"/>
    <w:autoRedefine/>
    <w:qFormat/>
    <w:uiPriority w:val="0"/>
    <w:rPr>
      <w:kern w:val="2"/>
      <w:sz w:val="21"/>
      <w:szCs w:val="24"/>
    </w:rPr>
  </w:style>
  <w:style w:type="character" w:customStyle="1" w:styleId="94">
    <w:name w:val="current"/>
    <w:autoRedefine/>
    <w:qFormat/>
    <w:uiPriority w:val="0"/>
    <w:rPr>
      <w:color w:val="00C1DE"/>
    </w:rPr>
  </w:style>
  <w:style w:type="character" w:customStyle="1" w:styleId="95">
    <w:name w:val="info-label"/>
    <w:autoRedefine/>
    <w:qFormat/>
    <w:uiPriority w:val="0"/>
    <w:rPr>
      <w:b/>
    </w:rPr>
  </w:style>
  <w:style w:type="character" w:customStyle="1" w:styleId="96">
    <w:name w:val="正文文本缩进 字符"/>
    <w:autoRedefine/>
    <w:semiHidden/>
    <w:qFormat/>
    <w:uiPriority w:val="99"/>
    <w:rPr>
      <w:kern w:val="2"/>
      <w:sz w:val="21"/>
      <w:szCs w:val="24"/>
    </w:rPr>
  </w:style>
  <w:style w:type="character" w:customStyle="1" w:styleId="97">
    <w:name w:val="first-child"/>
    <w:autoRedefine/>
    <w:qFormat/>
    <w:uiPriority w:val="0"/>
  </w:style>
  <w:style w:type="character" w:customStyle="1" w:styleId="98">
    <w:name w:val="current1"/>
    <w:autoRedefine/>
    <w:qFormat/>
    <w:uiPriority w:val="0"/>
    <w:rPr>
      <w:color w:val="00C1DE"/>
    </w:rPr>
  </w:style>
  <w:style w:type="character" w:customStyle="1" w:styleId="99">
    <w:name w:val="标题 字符"/>
    <w:autoRedefine/>
    <w:qFormat/>
    <w:uiPriority w:val="10"/>
    <w:rPr>
      <w:rFonts w:ascii="等线 Light" w:hAnsi="等线 Light" w:eastAsia="等线 Light" w:cs="Times New Roman"/>
      <w:b/>
      <w:bCs/>
      <w:kern w:val="2"/>
      <w:sz w:val="32"/>
      <w:szCs w:val="32"/>
    </w:rPr>
  </w:style>
  <w:style w:type="character" w:customStyle="1" w:styleId="100">
    <w:name w:val="页眉 字符"/>
    <w:autoRedefine/>
    <w:semiHidden/>
    <w:qFormat/>
    <w:uiPriority w:val="99"/>
    <w:rPr>
      <w:kern w:val="2"/>
      <w:sz w:val="18"/>
      <w:szCs w:val="18"/>
    </w:rPr>
  </w:style>
  <w:style w:type="character" w:customStyle="1" w:styleId="101">
    <w:name w:val="纯文本 字符"/>
    <w:autoRedefine/>
    <w:semiHidden/>
    <w:qFormat/>
    <w:uiPriority w:val="99"/>
    <w:rPr>
      <w:rFonts w:ascii="等线" w:hAnsi="Courier New" w:eastAsia="等线" w:cs="Courier New"/>
      <w:kern w:val="2"/>
      <w:sz w:val="21"/>
      <w:szCs w:val="24"/>
    </w:rPr>
  </w:style>
  <w:style w:type="character" w:customStyle="1" w:styleId="102">
    <w:name w:val="fd"/>
    <w:autoRedefine/>
    <w:qFormat/>
    <w:uiPriority w:val="0"/>
  </w:style>
  <w:style w:type="character" w:customStyle="1" w:styleId="103">
    <w:name w:val="正文文本首行缩进 2 字符"/>
    <w:autoRedefine/>
    <w:semiHidden/>
    <w:qFormat/>
    <w:uiPriority w:val="99"/>
  </w:style>
  <w:style w:type="character" w:customStyle="1" w:styleId="104">
    <w:name w:val="正文文本 3 字符"/>
    <w:autoRedefine/>
    <w:semiHidden/>
    <w:qFormat/>
    <w:uiPriority w:val="99"/>
    <w:rPr>
      <w:kern w:val="2"/>
      <w:sz w:val="16"/>
      <w:szCs w:val="16"/>
    </w:rPr>
  </w:style>
  <w:style w:type="character" w:customStyle="1" w:styleId="105">
    <w:name w:val="content2"/>
    <w:autoRedefine/>
    <w:qFormat/>
    <w:uiPriority w:val="0"/>
  </w:style>
  <w:style w:type="character" w:customStyle="1" w:styleId="106">
    <w:name w:val="short_text1"/>
    <w:autoRedefine/>
    <w:qFormat/>
    <w:uiPriority w:val="0"/>
    <w:rPr>
      <w:sz w:val="26"/>
    </w:rPr>
  </w:style>
  <w:style w:type="character" w:customStyle="1" w:styleId="107">
    <w:name w:val="标题3 Char"/>
    <w:link w:val="108"/>
    <w:autoRedefine/>
    <w:qFormat/>
    <w:uiPriority w:val="0"/>
    <w:rPr>
      <w:rFonts w:ascii="宋体" w:hAnsi="宋体"/>
      <w:b/>
      <w:bCs/>
      <w:kern w:val="44"/>
      <w:sz w:val="24"/>
      <w:szCs w:val="24"/>
    </w:rPr>
  </w:style>
  <w:style w:type="paragraph" w:customStyle="1" w:styleId="108">
    <w:name w:val="标题3"/>
    <w:basedOn w:val="2"/>
    <w:link w:val="107"/>
    <w:autoRedefine/>
    <w:qFormat/>
    <w:uiPriority w:val="0"/>
    <w:pPr>
      <w:spacing w:before="0" w:beforeLines="50" w:after="0" w:afterLines="50" w:line="400" w:lineRule="exact"/>
    </w:pPr>
    <w:rPr>
      <w:rFonts w:ascii="宋体" w:hAnsi="宋体"/>
      <w:sz w:val="24"/>
      <w:szCs w:val="24"/>
    </w:rPr>
  </w:style>
  <w:style w:type="character" w:customStyle="1" w:styleId="109">
    <w:name w:val="temp"/>
    <w:autoRedefine/>
    <w:qFormat/>
    <w:uiPriority w:val="0"/>
  </w:style>
  <w:style w:type="character" w:customStyle="1" w:styleId="110">
    <w:name w:val="ant-select-tree-iconele"/>
    <w:autoRedefine/>
    <w:qFormat/>
    <w:uiPriority w:val="0"/>
  </w:style>
  <w:style w:type="character" w:customStyle="1" w:styleId="111">
    <w:name w:val="正文文本缩进 2 字符"/>
    <w:autoRedefine/>
    <w:semiHidden/>
    <w:qFormat/>
    <w:uiPriority w:val="99"/>
    <w:rPr>
      <w:kern w:val="2"/>
      <w:sz w:val="21"/>
      <w:szCs w:val="24"/>
    </w:rPr>
  </w:style>
  <w:style w:type="character" w:customStyle="1" w:styleId="112">
    <w:name w:val="label2"/>
    <w:autoRedefine/>
    <w:qFormat/>
    <w:uiPriority w:val="0"/>
  </w:style>
  <w:style w:type="character" w:customStyle="1" w:styleId="113">
    <w:name w:val="ant-tree-iconele"/>
    <w:autoRedefine/>
    <w:qFormat/>
    <w:uiPriority w:val="0"/>
  </w:style>
  <w:style w:type="character" w:customStyle="1" w:styleId="114">
    <w:name w:val="info-content"/>
    <w:autoRedefine/>
    <w:qFormat/>
    <w:uiPriority w:val="0"/>
    <w:rPr>
      <w:color w:val="808080"/>
    </w:rPr>
  </w:style>
  <w:style w:type="character" w:customStyle="1" w:styleId="115">
    <w:name w:val="ant-tree-checkbox2"/>
    <w:autoRedefine/>
    <w:qFormat/>
    <w:uiPriority w:val="0"/>
  </w:style>
  <w:style w:type="character" w:customStyle="1" w:styleId="116">
    <w:name w:val="c-icon13"/>
    <w:autoRedefine/>
    <w:qFormat/>
    <w:uiPriority w:val="0"/>
  </w:style>
  <w:style w:type="character" w:customStyle="1" w:styleId="117">
    <w:name w:val="纯文本 Char1"/>
    <w:autoRedefine/>
    <w:qFormat/>
    <w:uiPriority w:val="0"/>
    <w:rPr>
      <w:rFonts w:ascii="宋体" w:hAnsi="Courier New" w:eastAsia="宋体" w:cs="Courier New"/>
      <w:kern w:val="2"/>
      <w:sz w:val="21"/>
      <w:szCs w:val="21"/>
      <w:lang w:val="en-US" w:eastAsia="zh-CN" w:bidi="ar-SA"/>
    </w:rPr>
  </w:style>
  <w:style w:type="character" w:customStyle="1" w:styleId="118">
    <w:name w:val="批注文字 字符1"/>
    <w:autoRedefine/>
    <w:qFormat/>
    <w:uiPriority w:val="0"/>
    <w:rPr>
      <w:kern w:val="2"/>
      <w:sz w:val="21"/>
      <w:szCs w:val="24"/>
    </w:rPr>
  </w:style>
  <w:style w:type="character" w:customStyle="1" w:styleId="119">
    <w:name w:val="标题 3 字符"/>
    <w:autoRedefine/>
    <w:semiHidden/>
    <w:qFormat/>
    <w:uiPriority w:val="9"/>
    <w:rPr>
      <w:b/>
      <w:bCs/>
      <w:kern w:val="2"/>
      <w:sz w:val="32"/>
      <w:szCs w:val="32"/>
    </w:rPr>
  </w:style>
  <w:style w:type="character" w:customStyle="1" w:styleId="120">
    <w:name w:val="标题 5 字符"/>
    <w:autoRedefine/>
    <w:semiHidden/>
    <w:qFormat/>
    <w:uiPriority w:val="9"/>
    <w:rPr>
      <w:b/>
      <w:bCs/>
      <w:kern w:val="2"/>
      <w:sz w:val="28"/>
      <w:szCs w:val="28"/>
    </w:rPr>
  </w:style>
  <w:style w:type="character" w:customStyle="1" w:styleId="121">
    <w:name w:val="标题 7 字符"/>
    <w:autoRedefine/>
    <w:semiHidden/>
    <w:qFormat/>
    <w:uiPriority w:val="9"/>
    <w:rPr>
      <w:b/>
      <w:bCs/>
      <w:kern w:val="2"/>
      <w:sz w:val="24"/>
      <w:szCs w:val="24"/>
    </w:rPr>
  </w:style>
  <w:style w:type="character" w:customStyle="1" w:styleId="122">
    <w:name w:val="temp2"/>
    <w:autoRedefine/>
    <w:qFormat/>
    <w:uiPriority w:val="0"/>
  </w:style>
  <w:style w:type="character" w:customStyle="1" w:styleId="123">
    <w:name w:val="font01"/>
    <w:autoRedefine/>
    <w:qFormat/>
    <w:uiPriority w:val="0"/>
    <w:rPr>
      <w:rFonts w:hint="eastAsia" w:ascii="宋体" w:hAnsi="宋体" w:eastAsia="宋体"/>
      <w:color w:val="000000"/>
      <w:sz w:val="22"/>
      <w:szCs w:val="22"/>
      <w:u w:val="none"/>
    </w:rPr>
  </w:style>
  <w:style w:type="character" w:customStyle="1" w:styleId="124">
    <w:name w:val="1051"/>
    <w:autoRedefine/>
    <w:qFormat/>
    <w:uiPriority w:val="0"/>
    <w:rPr>
      <w:sz w:val="21"/>
      <w:szCs w:val="21"/>
    </w:rPr>
  </w:style>
  <w:style w:type="character" w:customStyle="1" w:styleId="125">
    <w:name w:val="NormalCharacter"/>
    <w:autoRedefine/>
    <w:qFormat/>
    <w:uiPriority w:val="0"/>
    <w:rPr>
      <w:rFonts w:ascii="Calibri" w:hAnsi="Calibri" w:eastAsia="宋体"/>
    </w:rPr>
  </w:style>
  <w:style w:type="character" w:customStyle="1" w:styleId="126">
    <w:name w:val="标题 6 字符"/>
    <w:autoRedefine/>
    <w:semiHidden/>
    <w:qFormat/>
    <w:uiPriority w:val="9"/>
    <w:rPr>
      <w:rFonts w:ascii="等线 Light" w:hAnsi="等线 Light" w:eastAsia="等线 Light" w:cs="Times New Roman"/>
      <w:b/>
      <w:bCs/>
      <w:kern w:val="2"/>
      <w:sz w:val="24"/>
      <w:szCs w:val="24"/>
    </w:rPr>
  </w:style>
  <w:style w:type="character" w:customStyle="1" w:styleId="127">
    <w:name w:val="正文文本首行缩进 字符"/>
    <w:autoRedefine/>
    <w:semiHidden/>
    <w:qFormat/>
    <w:uiPriority w:val="99"/>
  </w:style>
  <w:style w:type="character" w:customStyle="1" w:styleId="128">
    <w:name w:val="gray12"/>
    <w:autoRedefine/>
    <w:qFormat/>
    <w:uiPriority w:val="0"/>
  </w:style>
  <w:style w:type="character" w:customStyle="1" w:styleId="129">
    <w:name w:val="标题 4 字符"/>
    <w:autoRedefine/>
    <w:semiHidden/>
    <w:qFormat/>
    <w:uiPriority w:val="9"/>
    <w:rPr>
      <w:rFonts w:ascii="等线 Light" w:hAnsi="等线 Light" w:eastAsia="等线 Light" w:cs="Times New Roman"/>
      <w:b/>
      <w:bCs/>
      <w:kern w:val="2"/>
      <w:sz w:val="28"/>
      <w:szCs w:val="28"/>
    </w:rPr>
  </w:style>
  <w:style w:type="character" w:customStyle="1" w:styleId="130">
    <w:name w:val="062"/>
    <w:autoRedefine/>
    <w:qFormat/>
    <w:uiPriority w:val="0"/>
    <w:rPr>
      <w:rFonts w:ascii="宋体" w:hAnsi="宋体"/>
      <w:b/>
      <w:bCs/>
      <w:sz w:val="32"/>
    </w:rPr>
  </w:style>
  <w:style w:type="character" w:customStyle="1" w:styleId="131">
    <w:name w:val="all-fit-info2"/>
    <w:autoRedefine/>
    <w:qFormat/>
    <w:uiPriority w:val="0"/>
    <w:rPr>
      <w:color w:val="939393"/>
    </w:rPr>
  </w:style>
  <w:style w:type="character" w:customStyle="1" w:styleId="132">
    <w:name w:val="last-child6"/>
    <w:autoRedefine/>
    <w:qFormat/>
    <w:uiPriority w:val="0"/>
  </w:style>
  <w:style w:type="character" w:customStyle="1" w:styleId="133">
    <w:name w:val="all-fit-info"/>
    <w:autoRedefine/>
    <w:qFormat/>
    <w:uiPriority w:val="0"/>
    <w:rPr>
      <w:color w:val="939393"/>
    </w:rPr>
  </w:style>
  <w:style w:type="character" w:customStyle="1" w:styleId="134">
    <w:name w:val="style11"/>
    <w:autoRedefine/>
    <w:qFormat/>
    <w:uiPriority w:val="0"/>
    <w:rPr>
      <w:rFonts w:hint="default" w:ascii="Arial" w:hAnsi="Arial" w:cs="Arial"/>
    </w:rPr>
  </w:style>
  <w:style w:type="character" w:customStyle="1" w:styleId="135">
    <w:name w:val="ant-select-tree-switcher"/>
    <w:autoRedefine/>
    <w:qFormat/>
    <w:uiPriority w:val="0"/>
  </w:style>
  <w:style w:type="character" w:customStyle="1" w:styleId="136">
    <w:name w:val="正文文本 字符"/>
    <w:autoRedefine/>
    <w:semiHidden/>
    <w:qFormat/>
    <w:uiPriority w:val="99"/>
    <w:rPr>
      <w:kern w:val="2"/>
      <w:sz w:val="21"/>
      <w:szCs w:val="24"/>
    </w:rPr>
  </w:style>
  <w:style w:type="character" w:customStyle="1" w:styleId="137">
    <w:name w:val="mark8"/>
    <w:autoRedefine/>
    <w:qFormat/>
    <w:uiPriority w:val="0"/>
    <w:rPr>
      <w:b/>
      <w:bCs/>
      <w:sz w:val="21"/>
      <w:szCs w:val="21"/>
    </w:rPr>
  </w:style>
  <w:style w:type="character" w:customStyle="1" w:styleId="138">
    <w:name w:val="content"/>
    <w:autoRedefine/>
    <w:qFormat/>
    <w:uiPriority w:val="0"/>
  </w:style>
  <w:style w:type="character" w:customStyle="1" w:styleId="139">
    <w:name w:val="unnamed3"/>
    <w:autoRedefine/>
    <w:qFormat/>
    <w:uiPriority w:val="0"/>
  </w:style>
  <w:style w:type="character" w:customStyle="1" w:styleId="140">
    <w:name w:val="z-窗体顶端 字符1"/>
    <w:link w:val="141"/>
    <w:autoRedefine/>
    <w:qFormat/>
    <w:uiPriority w:val="0"/>
    <w:rPr>
      <w:rFonts w:ascii="Arial"/>
      <w:vanish/>
      <w:kern w:val="2"/>
      <w:sz w:val="16"/>
      <w:szCs w:val="24"/>
    </w:rPr>
  </w:style>
  <w:style w:type="paragraph" w:customStyle="1" w:styleId="141">
    <w:name w:val="_Style 140"/>
    <w:basedOn w:val="1"/>
    <w:next w:val="1"/>
    <w:link w:val="140"/>
    <w:autoRedefine/>
    <w:qFormat/>
    <w:uiPriority w:val="0"/>
    <w:pPr>
      <w:pBdr>
        <w:bottom w:val="single" w:color="auto" w:sz="6" w:space="1"/>
      </w:pBdr>
      <w:jc w:val="center"/>
    </w:pPr>
    <w:rPr>
      <w:rFonts w:ascii="Arial"/>
      <w:vanish/>
      <w:sz w:val="16"/>
    </w:rPr>
  </w:style>
  <w:style w:type="character" w:customStyle="1" w:styleId="142">
    <w:name w:val="tag-type"/>
    <w:autoRedefine/>
    <w:qFormat/>
    <w:uiPriority w:val="0"/>
    <w:rPr>
      <w:color w:val="FFFFFF"/>
      <w:sz w:val="18"/>
      <w:szCs w:val="18"/>
      <w:shd w:val="clear" w:color="auto" w:fill="317FFD"/>
    </w:rPr>
  </w:style>
  <w:style w:type="character" w:customStyle="1" w:styleId="143">
    <w:name w:val="z-窗体顶端 字符"/>
    <w:autoRedefine/>
    <w:semiHidden/>
    <w:qFormat/>
    <w:uiPriority w:val="99"/>
    <w:rPr>
      <w:rFonts w:ascii="Arial" w:hAnsi="Arial" w:cs="Arial"/>
      <w:vanish/>
      <w:kern w:val="2"/>
      <w:sz w:val="16"/>
      <w:szCs w:val="16"/>
    </w:rPr>
  </w:style>
  <w:style w:type="character" w:customStyle="1" w:styleId="144">
    <w:name w:val="f151"/>
    <w:autoRedefine/>
    <w:qFormat/>
    <w:uiPriority w:val="0"/>
    <w:rPr>
      <w:sz w:val="23"/>
      <w:szCs w:val="23"/>
    </w:rPr>
  </w:style>
  <w:style w:type="character" w:customStyle="1" w:styleId="145">
    <w:name w:val="white"/>
    <w:autoRedefine/>
    <w:qFormat/>
    <w:uiPriority w:val="0"/>
  </w:style>
  <w:style w:type="character" w:customStyle="1" w:styleId="146">
    <w:name w:val="1ji Char"/>
    <w:link w:val="147"/>
    <w:autoRedefine/>
    <w:qFormat/>
    <w:uiPriority w:val="0"/>
    <w:rPr>
      <w:rFonts w:ascii="宋体" w:hAnsi="宋体" w:eastAsia="宋体"/>
      <w:b/>
      <w:bCs/>
      <w:kern w:val="44"/>
      <w:sz w:val="36"/>
      <w:szCs w:val="44"/>
      <w:lang w:val="en-US" w:eastAsia="zh-CN" w:bidi="ar-SA"/>
    </w:rPr>
  </w:style>
  <w:style w:type="paragraph" w:customStyle="1" w:styleId="147">
    <w:name w:val="1ji"/>
    <w:basedOn w:val="2"/>
    <w:link w:val="146"/>
    <w:autoRedefine/>
    <w:qFormat/>
    <w:uiPriority w:val="0"/>
    <w:pPr>
      <w:keepLines w:val="0"/>
      <w:widowControl/>
      <w:spacing w:before="0" w:after="0" w:line="240" w:lineRule="auto"/>
      <w:jc w:val="center"/>
    </w:pPr>
    <w:rPr>
      <w:rFonts w:ascii="宋体" w:hAnsi="宋体"/>
      <w:sz w:val="36"/>
    </w:rPr>
  </w:style>
  <w:style w:type="character" w:customStyle="1" w:styleId="148">
    <w:name w:val="last-child7"/>
    <w:autoRedefine/>
    <w:qFormat/>
    <w:uiPriority w:val="0"/>
  </w:style>
  <w:style w:type="character" w:customStyle="1" w:styleId="149">
    <w:name w:val="ant-badge-status-dot"/>
    <w:autoRedefine/>
    <w:qFormat/>
    <w:uiPriority w:val="0"/>
    <w:rPr>
      <w:shd w:val="clear" w:color="auto" w:fill="FFFFFF"/>
    </w:rPr>
  </w:style>
  <w:style w:type="character" w:customStyle="1" w:styleId="150">
    <w:name w:val="批注主题 字符"/>
    <w:autoRedefine/>
    <w:semiHidden/>
    <w:qFormat/>
    <w:uiPriority w:val="99"/>
    <w:rPr>
      <w:b/>
      <w:bCs/>
      <w:kern w:val="2"/>
      <w:sz w:val="21"/>
      <w:szCs w:val="24"/>
    </w:rPr>
  </w:style>
  <w:style w:type="character" w:customStyle="1" w:styleId="151">
    <w:name w:val="apple-converted-space"/>
    <w:autoRedefine/>
    <w:qFormat/>
    <w:uiPriority w:val="0"/>
  </w:style>
  <w:style w:type="character" w:customStyle="1" w:styleId="152">
    <w:name w:val="temp1"/>
    <w:autoRedefine/>
    <w:qFormat/>
    <w:uiPriority w:val="0"/>
  </w:style>
  <w:style w:type="character" w:customStyle="1" w:styleId="153">
    <w:name w:val="正文文本 2 字符"/>
    <w:autoRedefine/>
    <w:semiHidden/>
    <w:qFormat/>
    <w:uiPriority w:val="99"/>
    <w:rPr>
      <w:kern w:val="2"/>
      <w:sz w:val="21"/>
      <w:szCs w:val="24"/>
    </w:rPr>
  </w:style>
  <w:style w:type="character" w:customStyle="1" w:styleId="154">
    <w:name w:val="标题 1 字符"/>
    <w:autoRedefine/>
    <w:qFormat/>
    <w:uiPriority w:val="9"/>
    <w:rPr>
      <w:b/>
      <w:bCs/>
      <w:kern w:val="44"/>
      <w:sz w:val="44"/>
      <w:szCs w:val="44"/>
    </w:rPr>
  </w:style>
  <w:style w:type="character" w:customStyle="1" w:styleId="155">
    <w:name w:val="ant-select-tree-checkbox2"/>
    <w:autoRedefine/>
    <w:qFormat/>
    <w:uiPriority w:val="0"/>
  </w:style>
  <w:style w:type="character" w:customStyle="1" w:styleId="156">
    <w:name w:val="正文文本缩进 3 字符"/>
    <w:autoRedefine/>
    <w:semiHidden/>
    <w:qFormat/>
    <w:uiPriority w:val="99"/>
    <w:rPr>
      <w:kern w:val="2"/>
      <w:sz w:val="16"/>
      <w:szCs w:val="16"/>
    </w:rPr>
  </w:style>
  <w:style w:type="character" w:customStyle="1" w:styleId="157">
    <w:name w:val="批注文字 字符"/>
    <w:autoRedefine/>
    <w:semiHidden/>
    <w:qFormat/>
    <w:uiPriority w:val="99"/>
    <w:rPr>
      <w:kern w:val="2"/>
      <w:sz w:val="21"/>
      <w:szCs w:val="24"/>
    </w:rPr>
  </w:style>
  <w:style w:type="character" w:customStyle="1" w:styleId="158">
    <w:name w:val="graytext1"/>
    <w:autoRedefine/>
    <w:qFormat/>
    <w:uiPriority w:val="0"/>
    <w:rPr>
      <w:color w:val="666666"/>
    </w:rPr>
  </w:style>
  <w:style w:type="character" w:customStyle="1" w:styleId="159">
    <w:name w:val="批注框文本 字符"/>
    <w:autoRedefine/>
    <w:semiHidden/>
    <w:qFormat/>
    <w:uiPriority w:val="99"/>
    <w:rPr>
      <w:kern w:val="2"/>
      <w:sz w:val="18"/>
      <w:szCs w:val="18"/>
    </w:rPr>
  </w:style>
  <w:style w:type="character" w:customStyle="1" w:styleId="160">
    <w:name w:val="case31"/>
    <w:autoRedefine/>
    <w:qFormat/>
    <w:uiPriority w:val="0"/>
    <w:rPr>
      <w:rFonts w:hint="default" w:ascii="_x000B__x000C_" w:hAnsi="_x000B__x000C_"/>
      <w:sz w:val="21"/>
      <w:szCs w:val="21"/>
    </w:rPr>
  </w:style>
  <w:style w:type="character" w:customStyle="1" w:styleId="161">
    <w:name w:val="last-of-type"/>
    <w:autoRedefine/>
    <w:qFormat/>
    <w:uiPriority w:val="0"/>
    <w:rPr>
      <w:color w:val="FF4A44"/>
      <w:sz w:val="27"/>
      <w:szCs w:val="27"/>
    </w:rPr>
  </w:style>
  <w:style w:type="character" w:customStyle="1" w:styleId="162">
    <w:name w:val="change-camera-place"/>
    <w:autoRedefine/>
    <w:qFormat/>
    <w:uiPriority w:val="0"/>
    <w:rPr>
      <w:color w:val="3177FD"/>
    </w:rPr>
  </w:style>
  <w:style w:type="character" w:customStyle="1" w:styleId="163">
    <w:name w:val="ant-tree-icon_loading"/>
    <w:autoRedefine/>
    <w:qFormat/>
    <w:uiPriority w:val="0"/>
    <w:rPr>
      <w:shd w:val="clear" w:color="auto" w:fill="FFFFFF"/>
    </w:rPr>
  </w:style>
  <w:style w:type="character" w:customStyle="1" w:styleId="164">
    <w:name w:val="日期 字符"/>
    <w:autoRedefine/>
    <w:semiHidden/>
    <w:qFormat/>
    <w:uiPriority w:val="99"/>
    <w:rPr>
      <w:kern w:val="2"/>
      <w:sz w:val="21"/>
      <w:szCs w:val="24"/>
    </w:rPr>
  </w:style>
  <w:style w:type="character" w:customStyle="1" w:styleId="165">
    <w:name w:val="text11"/>
    <w:autoRedefine/>
    <w:qFormat/>
    <w:uiPriority w:val="0"/>
    <w:rPr>
      <w:rFonts w:hint="default" w:ascii="Verdana" w:hAnsi="Verdana"/>
      <w:color w:val="4E4E4E"/>
      <w:sz w:val="18"/>
      <w:szCs w:val="18"/>
    </w:rPr>
  </w:style>
  <w:style w:type="character" w:customStyle="1" w:styleId="166">
    <w:name w:val="style21"/>
    <w:autoRedefine/>
    <w:qFormat/>
    <w:uiPriority w:val="0"/>
    <w:rPr>
      <w:sz w:val="17"/>
      <w:szCs w:val="17"/>
    </w:rPr>
  </w:style>
  <w:style w:type="character" w:customStyle="1" w:styleId="167">
    <w:name w:val="HTML 预设格式 字符"/>
    <w:autoRedefine/>
    <w:semiHidden/>
    <w:qFormat/>
    <w:uiPriority w:val="99"/>
    <w:rPr>
      <w:rFonts w:ascii="Courier New" w:hAnsi="Courier New" w:cs="Courier New"/>
      <w:kern w:val="2"/>
    </w:rPr>
  </w:style>
  <w:style w:type="character" w:customStyle="1" w:styleId="168">
    <w:name w:val="highlight"/>
    <w:autoRedefine/>
    <w:qFormat/>
    <w:uiPriority w:val="0"/>
  </w:style>
  <w:style w:type="character" w:customStyle="1" w:styleId="169">
    <w:name w:val="small"/>
    <w:autoRedefine/>
    <w:qFormat/>
    <w:uiPriority w:val="0"/>
  </w:style>
  <w:style w:type="character" w:customStyle="1" w:styleId="170">
    <w:name w:val="all-fit-info1"/>
    <w:autoRedefine/>
    <w:qFormat/>
    <w:uiPriority w:val="0"/>
    <w:rPr>
      <w:color w:val="939393"/>
    </w:rPr>
  </w:style>
  <w:style w:type="character" w:customStyle="1" w:styleId="171">
    <w:name w:val="标题 9 字符"/>
    <w:autoRedefine/>
    <w:semiHidden/>
    <w:qFormat/>
    <w:uiPriority w:val="9"/>
    <w:rPr>
      <w:rFonts w:ascii="等线 Light" w:hAnsi="等线 Light" w:eastAsia="等线 Light" w:cs="Times New Roman"/>
      <w:kern w:val="2"/>
      <w:sz w:val="21"/>
      <w:szCs w:val="21"/>
    </w:rPr>
  </w:style>
  <w:style w:type="character" w:customStyle="1" w:styleId="172">
    <w:name w:val="tag-type1"/>
    <w:autoRedefine/>
    <w:qFormat/>
    <w:uiPriority w:val="0"/>
    <w:rPr>
      <w:color w:val="FFFFFF"/>
      <w:sz w:val="18"/>
      <w:szCs w:val="18"/>
      <w:shd w:val="clear" w:color="auto" w:fill="317FFD"/>
    </w:rPr>
  </w:style>
  <w:style w:type="character" w:customStyle="1" w:styleId="173">
    <w:name w:val="标题 8 字符"/>
    <w:autoRedefine/>
    <w:semiHidden/>
    <w:qFormat/>
    <w:uiPriority w:val="9"/>
    <w:rPr>
      <w:rFonts w:ascii="等线 Light" w:hAnsi="等线 Light" w:eastAsia="等线 Light" w:cs="Times New Roman"/>
      <w:kern w:val="2"/>
      <w:sz w:val="24"/>
      <w:szCs w:val="24"/>
    </w:rPr>
  </w:style>
  <w:style w:type="character" w:customStyle="1" w:styleId="174">
    <w:name w:val="页脚 字符"/>
    <w:autoRedefine/>
    <w:semiHidden/>
    <w:qFormat/>
    <w:uiPriority w:val="99"/>
    <w:rPr>
      <w:kern w:val="2"/>
      <w:sz w:val="18"/>
      <w:szCs w:val="18"/>
    </w:rPr>
  </w:style>
  <w:style w:type="character" w:customStyle="1" w:styleId="175">
    <w:name w:val="ant-tree-switcher"/>
    <w:autoRedefine/>
    <w:qFormat/>
    <w:uiPriority w:val="0"/>
  </w:style>
  <w:style w:type="character" w:customStyle="1" w:styleId="176">
    <w:name w:val="标题 2 字符"/>
    <w:autoRedefine/>
    <w:semiHidden/>
    <w:qFormat/>
    <w:uiPriority w:val="9"/>
    <w:rPr>
      <w:rFonts w:ascii="等线 Light" w:hAnsi="等线 Light" w:eastAsia="等线 Light" w:cs="Times New Roman"/>
      <w:b/>
      <w:bCs/>
      <w:kern w:val="2"/>
      <w:sz w:val="32"/>
      <w:szCs w:val="32"/>
    </w:rPr>
  </w:style>
  <w:style w:type="character" w:customStyle="1" w:styleId="177">
    <w:name w:val="last-child5"/>
    <w:autoRedefine/>
    <w:qFormat/>
    <w:uiPriority w:val="0"/>
  </w:style>
  <w:style w:type="character" w:customStyle="1" w:styleId="178">
    <w:name w:val="last-child4"/>
    <w:autoRedefine/>
    <w:qFormat/>
    <w:uiPriority w:val="0"/>
  </w:style>
  <w:style w:type="character" w:customStyle="1" w:styleId="179">
    <w:name w:val="文档结构图 字符"/>
    <w:autoRedefine/>
    <w:semiHidden/>
    <w:qFormat/>
    <w:uiPriority w:val="99"/>
    <w:rPr>
      <w:rFonts w:ascii="Microsoft YaHei UI" w:eastAsia="Microsoft YaHei UI"/>
      <w:kern w:val="2"/>
      <w:sz w:val="18"/>
      <w:szCs w:val="18"/>
    </w:rPr>
  </w:style>
  <w:style w:type="paragraph" w:customStyle="1" w:styleId="180">
    <w:name w:val="Char Char Char Char Char Char Char Char Char Char Char Char Char Char Char Char"/>
    <w:basedOn w:val="1"/>
    <w:autoRedefine/>
    <w:qFormat/>
    <w:uiPriority w:val="0"/>
    <w:pPr>
      <w:tabs>
        <w:tab w:val="left" w:pos="360"/>
      </w:tabs>
      <w:spacing w:line="360" w:lineRule="auto"/>
      <w:ind w:left="482" w:firstLine="200" w:firstLineChars="200"/>
    </w:pPr>
    <w:rPr>
      <w:rFonts w:ascii="宋体"/>
      <w:sz w:val="24"/>
    </w:rPr>
  </w:style>
  <w:style w:type="paragraph" w:customStyle="1" w:styleId="181">
    <w:name w:val="Char1"/>
    <w:basedOn w:val="1"/>
    <w:autoRedefine/>
    <w:qFormat/>
    <w:uiPriority w:val="0"/>
    <w:rPr>
      <w:szCs w:val="21"/>
    </w:rPr>
  </w:style>
  <w:style w:type="paragraph" w:customStyle="1" w:styleId="182">
    <w:name w:val="正文-2字符首行缩进"/>
    <w:basedOn w:val="1"/>
    <w:autoRedefine/>
    <w:qFormat/>
    <w:uiPriority w:val="0"/>
    <w:pPr>
      <w:widowControl/>
      <w:spacing w:line="360" w:lineRule="auto"/>
      <w:ind w:firstLine="200" w:firstLineChars="200"/>
    </w:pPr>
    <w:rPr>
      <w:rFonts w:ascii="仿宋_GB2312" w:hAnsi="Calibri" w:eastAsia="仿宋_GB2312"/>
      <w:kern w:val="0"/>
      <w:sz w:val="28"/>
      <w:szCs w:val="22"/>
    </w:rPr>
  </w:style>
  <w:style w:type="paragraph" w:customStyle="1" w:styleId="183">
    <w:name w:val="目录 53"/>
    <w:next w:val="1"/>
    <w:autoRedefine/>
    <w:qFormat/>
    <w:uiPriority w:val="0"/>
    <w:pPr>
      <w:wordWrap w:val="0"/>
      <w:ind w:left="1275"/>
      <w:jc w:val="both"/>
    </w:pPr>
    <w:rPr>
      <w:rFonts w:ascii="Times New Roman" w:hAnsi="Times New Roman" w:eastAsia="宋体" w:cs="Times New Roman"/>
      <w:sz w:val="21"/>
      <w:szCs w:val="22"/>
      <w:lang w:val="en-US" w:eastAsia="zh-CN" w:bidi="ar-SA"/>
    </w:rPr>
  </w:style>
  <w:style w:type="paragraph" w:customStyle="1" w:styleId="184">
    <w:name w:val="Char Char Char"/>
    <w:basedOn w:val="1"/>
    <w:autoRedefine/>
    <w:qFormat/>
    <w:uiPriority w:val="0"/>
    <w:rPr>
      <w:rFonts w:ascii="Tahoma" w:hAnsi="Tahoma"/>
      <w:sz w:val="24"/>
      <w:szCs w:val="20"/>
    </w:rPr>
  </w:style>
  <w:style w:type="paragraph" w:customStyle="1" w:styleId="185">
    <w:name w:val="默认段落字体 Para Char Char Char Char Char Char Char Char Char1 Char Char Char Char"/>
    <w:basedOn w:val="1"/>
    <w:autoRedefine/>
    <w:qFormat/>
    <w:uiPriority w:val="0"/>
    <w:rPr>
      <w:rFonts w:ascii="Tahoma" w:hAnsi="Tahoma"/>
      <w:sz w:val="24"/>
      <w:szCs w:val="20"/>
    </w:rPr>
  </w:style>
  <w:style w:type="paragraph" w:customStyle="1" w:styleId="186">
    <w:name w:val="tgt1"/>
    <w:basedOn w:val="1"/>
    <w:autoRedefine/>
    <w:qFormat/>
    <w:uiPriority w:val="0"/>
    <w:pPr>
      <w:widowControl/>
      <w:spacing w:after="150"/>
      <w:jc w:val="left"/>
    </w:pPr>
    <w:rPr>
      <w:rFonts w:ascii="宋体" w:hAnsi="宋体" w:cs="宋体"/>
      <w:kern w:val="0"/>
      <w:sz w:val="24"/>
    </w:rPr>
  </w:style>
  <w:style w:type="paragraph" w:customStyle="1" w:styleId="187">
    <w:name w:val="2ji"/>
    <w:basedOn w:val="3"/>
    <w:autoRedefine/>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88">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9">
    <w:name w:val="表格文字"/>
    <w:basedOn w:val="1"/>
    <w:autoRedefine/>
    <w:qFormat/>
    <w:uiPriority w:val="0"/>
    <w:pPr>
      <w:spacing w:before="25" w:after="25"/>
      <w:jc w:val="left"/>
    </w:pPr>
    <w:rPr>
      <w:bCs/>
      <w:spacing w:val="10"/>
      <w:kern w:val="0"/>
      <w:sz w:val="24"/>
    </w:rPr>
  </w:style>
  <w:style w:type="paragraph" w:customStyle="1" w:styleId="190">
    <w:name w:val="444"/>
    <w:basedOn w:val="1"/>
    <w:autoRedefine/>
    <w:qFormat/>
    <w:uiPriority w:val="0"/>
    <w:pPr>
      <w:adjustRightInd w:val="0"/>
      <w:spacing w:line="312" w:lineRule="atLeast"/>
      <w:jc w:val="center"/>
      <w:textAlignment w:val="baseline"/>
    </w:pPr>
    <w:rPr>
      <w:b/>
      <w:kern w:val="0"/>
      <w:sz w:val="36"/>
      <w:szCs w:val="36"/>
    </w:rPr>
  </w:style>
  <w:style w:type="paragraph" w:customStyle="1" w:styleId="191">
    <w:name w:val="2-2ji"/>
    <w:basedOn w:val="3"/>
    <w:autoRedefine/>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92">
    <w:name w:val="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93">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4">
    <w:name w:val="1"/>
    <w:basedOn w:val="1"/>
    <w:next w:val="28"/>
    <w:autoRedefine/>
    <w:qFormat/>
    <w:uiPriority w:val="0"/>
    <w:rPr>
      <w:rFonts w:ascii="宋体" w:hAnsi="Courier New"/>
      <w:szCs w:val="20"/>
    </w:rPr>
  </w:style>
  <w:style w:type="paragraph" w:customStyle="1" w:styleId="195">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7">
    <w:name w:val="_Style 109"/>
    <w:basedOn w:val="1"/>
    <w:next w:val="198"/>
    <w:autoRedefine/>
    <w:qFormat/>
    <w:uiPriority w:val="34"/>
    <w:pPr>
      <w:ind w:firstLine="420" w:firstLineChars="200"/>
    </w:pPr>
    <w:rPr>
      <w:rFonts w:ascii="Calibri" w:hAnsi="Calibri"/>
      <w:szCs w:val="22"/>
    </w:rPr>
  </w:style>
  <w:style w:type="paragraph" w:styleId="198">
    <w:name w:val="List Paragraph"/>
    <w:basedOn w:val="1"/>
    <w:autoRedefine/>
    <w:qFormat/>
    <w:uiPriority w:val="34"/>
    <w:pPr>
      <w:ind w:firstLine="420" w:firstLineChars="200"/>
    </w:pPr>
    <w:rPr>
      <w:rFonts w:ascii="Calibri" w:hAnsi="Calibri"/>
      <w:szCs w:val="22"/>
    </w:rPr>
  </w:style>
  <w:style w:type="paragraph" w:customStyle="1" w:styleId="199">
    <w:name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201">
    <w:name w:val="F2"/>
    <w:basedOn w:val="1"/>
    <w:autoRedefine/>
    <w:qFormat/>
    <w:uiPriority w:val="0"/>
    <w:pPr>
      <w:autoSpaceDE w:val="0"/>
      <w:autoSpaceDN w:val="0"/>
      <w:adjustRightInd w:val="0"/>
      <w:ind w:firstLine="601"/>
      <w:textAlignment w:val="baseline"/>
    </w:pPr>
    <w:rPr>
      <w:kern w:val="0"/>
      <w:sz w:val="24"/>
      <w:szCs w:val="20"/>
    </w:rPr>
  </w:style>
  <w:style w:type="paragraph" w:customStyle="1" w:styleId="202">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203">
    <w:name w:val="表格"/>
    <w:basedOn w:val="1"/>
    <w:autoRedefine/>
    <w:qFormat/>
    <w:uiPriority w:val="0"/>
    <w:pPr>
      <w:spacing w:line="400" w:lineRule="exact"/>
    </w:pPr>
    <w:rPr>
      <w:sz w:val="24"/>
    </w:rPr>
  </w:style>
  <w:style w:type="paragraph" w:customStyle="1" w:styleId="204">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05">
    <w:name w:val="xl2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06">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207">
    <w:name w:val="_Style 206"/>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208">
    <w:name w:val="Char Char Char Char Char Char Char"/>
    <w:basedOn w:val="1"/>
    <w:autoRedefine/>
    <w:qFormat/>
    <w:uiPriority w:val="0"/>
  </w:style>
  <w:style w:type="paragraph" w:customStyle="1" w:styleId="209">
    <w:name w:val="Char Char Char Char Char Char Char Char Char Char Char Char Char"/>
    <w:basedOn w:val="17"/>
    <w:autoRedefine/>
    <w:qFormat/>
    <w:uiPriority w:val="0"/>
    <w:pPr>
      <w:adjustRightInd/>
      <w:spacing w:line="240" w:lineRule="auto"/>
      <w:textAlignment w:val="auto"/>
    </w:pPr>
    <w:rPr>
      <w:rFonts w:ascii="Tahoma" w:hAnsi="Tahoma"/>
      <w:kern w:val="2"/>
      <w:sz w:val="24"/>
      <w:szCs w:val="24"/>
    </w:rPr>
  </w:style>
  <w:style w:type="paragraph" w:customStyle="1" w:styleId="210">
    <w:name w:val="List Paragraph1"/>
    <w:basedOn w:val="1"/>
    <w:autoRedefine/>
    <w:qFormat/>
    <w:uiPriority w:val="0"/>
    <w:pPr>
      <w:ind w:firstLine="420" w:firstLineChars="200"/>
    </w:pPr>
    <w:rPr>
      <w:rFonts w:ascii="Calibri" w:hAnsi="Calibri"/>
      <w:szCs w:val="22"/>
    </w:rPr>
  </w:style>
  <w:style w:type="paragraph" w:customStyle="1" w:styleId="211">
    <w:name w:val="paragraphind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2">
    <w:name w:val="Char Char Char Char Char Char Char Char Char Char Char Char Char1"/>
    <w:basedOn w:val="17"/>
    <w:autoRedefine/>
    <w:qFormat/>
    <w:uiPriority w:val="0"/>
    <w:pPr>
      <w:adjustRightInd/>
      <w:spacing w:line="240" w:lineRule="auto"/>
      <w:textAlignment w:val="auto"/>
    </w:pPr>
    <w:rPr>
      <w:rFonts w:ascii="Tahoma" w:hAnsi="Tahoma"/>
      <w:kern w:val="2"/>
      <w:sz w:val="24"/>
      <w:szCs w:val="24"/>
    </w:rPr>
  </w:style>
  <w:style w:type="paragraph" w:customStyle="1" w:styleId="213">
    <w:name w:val="xl31"/>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1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5">
    <w:name w:val="次小点说明 Char"/>
    <w:basedOn w:val="7"/>
    <w:autoRedefine/>
    <w:qFormat/>
    <w:uiPriority w:val="0"/>
    <w:pPr>
      <w:ind w:firstLine="0"/>
    </w:pPr>
    <w:rPr>
      <w:sz w:val="24"/>
      <w:szCs w:val="24"/>
    </w:rPr>
  </w:style>
  <w:style w:type="paragraph" w:customStyle="1" w:styleId="216">
    <w:name w:val="Char Char Char Char Char Char1 Char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17">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218">
    <w:name w:val="样式 首行缩进:  2 字符"/>
    <w:basedOn w:val="1"/>
    <w:autoRedefine/>
    <w:qFormat/>
    <w:uiPriority w:val="0"/>
    <w:pPr>
      <w:spacing w:line="400" w:lineRule="exact"/>
      <w:ind w:firstLine="200" w:firstLineChars="200"/>
    </w:pPr>
    <w:rPr>
      <w:rFonts w:cs="宋体"/>
      <w:sz w:val="24"/>
    </w:rPr>
  </w:style>
  <w:style w:type="paragraph" w:customStyle="1" w:styleId="219">
    <w:name w:val="Char Char Char Char Char Char Char Char Char Char Char Char Char Char Char Char1"/>
    <w:basedOn w:val="1"/>
    <w:autoRedefine/>
    <w:qFormat/>
    <w:uiPriority w:val="0"/>
    <w:pPr>
      <w:tabs>
        <w:tab w:val="left" w:pos="360"/>
      </w:tabs>
      <w:spacing w:line="360" w:lineRule="auto"/>
      <w:ind w:left="482" w:firstLine="200" w:firstLineChars="200"/>
    </w:pPr>
    <w:rPr>
      <w:rFonts w:ascii="宋体"/>
      <w:sz w:val="24"/>
    </w:rPr>
  </w:style>
  <w:style w:type="paragraph" w:customStyle="1" w:styleId="220">
    <w:name w:val="正文首行缩进两字符"/>
    <w:basedOn w:val="1"/>
    <w:autoRedefine/>
    <w:qFormat/>
    <w:uiPriority w:val="0"/>
    <w:pPr>
      <w:spacing w:line="360" w:lineRule="auto"/>
      <w:ind w:firstLine="200" w:firstLineChars="200"/>
    </w:pPr>
  </w:style>
  <w:style w:type="paragraph" w:customStyle="1" w:styleId="221">
    <w:name w:val="列表段落1"/>
    <w:basedOn w:val="1"/>
    <w:autoRedefine/>
    <w:qFormat/>
    <w:uiPriority w:val="34"/>
    <w:pPr>
      <w:ind w:firstLine="420" w:firstLineChars="200"/>
    </w:pPr>
  </w:style>
  <w:style w:type="paragraph" w:customStyle="1" w:styleId="222">
    <w:name w:val="Char Char Char1"/>
    <w:basedOn w:val="17"/>
    <w:autoRedefine/>
    <w:qFormat/>
    <w:uiPriority w:val="0"/>
    <w:pPr>
      <w:adjustRightInd/>
      <w:spacing w:line="240" w:lineRule="auto"/>
      <w:textAlignment w:val="auto"/>
    </w:pPr>
    <w:rPr>
      <w:rFonts w:ascii="Tahoma" w:hAnsi="Tahoma"/>
      <w:kern w:val="2"/>
      <w:sz w:val="24"/>
      <w:szCs w:val="24"/>
    </w:rPr>
  </w:style>
  <w:style w:type="paragraph" w:customStyle="1" w:styleId="223">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224">
    <w:name w:val="Char2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25">
    <w:name w:val="List Paragraph_00659276-fdcc-426a-98e1-d9eb9b34cdb1"/>
    <w:basedOn w:val="1"/>
    <w:autoRedefine/>
    <w:qFormat/>
    <w:uiPriority w:val="0"/>
    <w:pPr>
      <w:ind w:firstLine="200" w:firstLineChars="200"/>
    </w:pPr>
  </w:style>
  <w:style w:type="paragraph" w:customStyle="1" w:styleId="226">
    <w:name w:val="默认段落字体 Para Char"/>
    <w:basedOn w:val="1"/>
    <w:autoRedefine/>
    <w:qFormat/>
    <w:uiPriority w:val="0"/>
    <w:pPr>
      <w:adjustRightInd w:val="0"/>
      <w:spacing w:line="360" w:lineRule="auto"/>
    </w:pPr>
    <w:rPr>
      <w:kern w:val="0"/>
      <w:sz w:val="24"/>
      <w:szCs w:val="20"/>
    </w:rPr>
  </w:style>
  <w:style w:type="paragraph" w:customStyle="1" w:styleId="227">
    <w:name w:val="中等深浅网格 21"/>
    <w:autoRedefine/>
    <w:qFormat/>
    <w:uiPriority w:val="0"/>
    <w:rPr>
      <w:rFonts w:ascii="Calibri" w:hAnsi="Calibri" w:eastAsia="宋体" w:cs="Times New Roman"/>
      <w:sz w:val="22"/>
      <w:szCs w:val="22"/>
      <w:lang w:val="en-US" w:eastAsia="zh-CN" w:bidi="ar-SA"/>
    </w:rPr>
  </w:style>
  <w:style w:type="paragraph" w:customStyle="1" w:styleId="228">
    <w:name w:val="Table Paragraph"/>
    <w:basedOn w:val="1"/>
    <w:autoRedefine/>
    <w:qFormat/>
    <w:uiPriority w:val="1"/>
  </w:style>
  <w:style w:type="paragraph" w:customStyle="1" w:styleId="229">
    <w:name w:val="样式1"/>
    <w:basedOn w:val="1"/>
    <w:autoRedefine/>
    <w:qFormat/>
    <w:uiPriority w:val="0"/>
    <w:pPr>
      <w:spacing w:before="120" w:after="120" w:line="300" w:lineRule="auto"/>
    </w:pPr>
    <w:rPr>
      <w:rFonts w:ascii="宋体" w:hAnsi="宋体"/>
      <w:b/>
      <w:sz w:val="24"/>
      <w:szCs w:val="20"/>
    </w:rPr>
  </w:style>
  <w:style w:type="paragraph" w:customStyle="1" w:styleId="230">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1">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232">
    <w:name w:val="_Style 231"/>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3">
    <w:name w:val="缺省文本"/>
    <w:basedOn w:val="1"/>
    <w:autoRedefine/>
    <w:qFormat/>
    <w:uiPriority w:val="0"/>
    <w:pPr>
      <w:autoSpaceDE w:val="0"/>
      <w:autoSpaceDN w:val="0"/>
      <w:adjustRightInd w:val="0"/>
      <w:spacing w:line="360" w:lineRule="auto"/>
      <w:jc w:val="left"/>
    </w:pPr>
    <w:rPr>
      <w:kern w:val="0"/>
      <w:sz w:val="24"/>
      <w:szCs w:val="20"/>
    </w:rPr>
  </w:style>
  <w:style w:type="paragraph" w:customStyle="1" w:styleId="234">
    <w:name w:val="p15"/>
    <w:basedOn w:val="1"/>
    <w:autoRedefine/>
    <w:qFormat/>
    <w:uiPriority w:val="0"/>
    <w:pPr>
      <w:widowControl/>
      <w:ind w:firstLine="420"/>
    </w:pPr>
    <w:rPr>
      <w:kern w:val="0"/>
      <w:szCs w:val="21"/>
    </w:rPr>
  </w:style>
  <w:style w:type="paragraph" w:customStyle="1" w:styleId="235">
    <w:name w:val="Char Char Char2"/>
    <w:basedOn w:val="17"/>
    <w:autoRedefine/>
    <w:qFormat/>
    <w:uiPriority w:val="0"/>
    <w:pPr>
      <w:adjustRightInd/>
      <w:spacing w:line="240" w:lineRule="auto"/>
      <w:textAlignment w:val="auto"/>
    </w:pPr>
    <w:rPr>
      <w:rFonts w:ascii="Tahoma" w:hAnsi="Tahoma"/>
      <w:kern w:val="2"/>
      <w:sz w:val="24"/>
      <w:szCs w:val="24"/>
    </w:rPr>
  </w:style>
  <w:style w:type="paragraph" w:customStyle="1" w:styleId="236">
    <w:name w:val="Char Char Char Char Char Char Char1"/>
    <w:basedOn w:val="1"/>
    <w:autoRedefine/>
    <w:qFormat/>
    <w:uiPriority w:val="0"/>
  </w:style>
  <w:style w:type="paragraph" w:customStyle="1" w:styleId="23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8">
    <w:name w:val="Char31"/>
    <w:basedOn w:val="1"/>
    <w:autoRedefine/>
    <w:qFormat/>
    <w:uiPriority w:val="0"/>
    <w:pPr>
      <w:tabs>
        <w:tab w:val="left" w:pos="360"/>
      </w:tabs>
      <w:ind w:left="252" w:hanging="252" w:hangingChars="140"/>
    </w:pPr>
    <w:rPr>
      <w:rFonts w:ascii="宋体"/>
      <w:sz w:val="18"/>
      <w:szCs w:val="18"/>
    </w:rPr>
  </w:style>
  <w:style w:type="paragraph" w:customStyle="1" w:styleId="239">
    <w:name w:val="五号正文（标准）"/>
    <w:basedOn w:val="1"/>
    <w:autoRedefine/>
    <w:qFormat/>
    <w:uiPriority w:val="0"/>
    <w:pPr>
      <w:spacing w:line="360" w:lineRule="auto"/>
      <w:ind w:right="55" w:firstLine="560" w:firstLineChars="200"/>
    </w:pPr>
    <w:rPr>
      <w:rFonts w:eastAsia="仿宋_GB2312"/>
      <w:sz w:val="28"/>
      <w:szCs w:val="20"/>
    </w:rPr>
  </w:style>
  <w:style w:type="paragraph" w:customStyle="1" w:styleId="240">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241">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24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3">
    <w:name w:val="列出段落1"/>
    <w:basedOn w:val="1"/>
    <w:autoRedefine/>
    <w:qFormat/>
    <w:uiPriority w:val="99"/>
    <w:pPr>
      <w:ind w:firstLine="420" w:firstLineChars="200"/>
    </w:pPr>
    <w:rPr>
      <w:rFonts w:ascii="Calibri" w:hAnsi="Calibri"/>
    </w:rPr>
  </w:style>
  <w:style w:type="paragraph" w:customStyle="1" w:styleId="244">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245">
    <w:name w:val="首行缩进"/>
    <w:basedOn w:val="1"/>
    <w:autoRedefine/>
    <w:qFormat/>
    <w:uiPriority w:val="0"/>
    <w:pPr>
      <w:spacing w:line="360" w:lineRule="auto"/>
      <w:ind w:left="210" w:leftChars="100" w:firstLine="420" w:firstLineChars="200"/>
    </w:pPr>
    <w:rPr>
      <w:rFonts w:ascii="宋体" w:hAnsi="宋体"/>
    </w:rPr>
  </w:style>
  <w:style w:type="paragraph" w:customStyle="1" w:styleId="246">
    <w:name w:val="Char3"/>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47">
    <w:name w:val="a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8">
    <w:name w:val="默认段落字体 Para Char1"/>
    <w:next w:val="1"/>
    <w:autoRedefine/>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7553</Words>
  <Characters>43057</Characters>
  <Lines>358</Lines>
  <Paragraphs>101</Paragraphs>
  <TotalTime>1</TotalTime>
  <ScaleCrop>false</ScaleCrop>
  <LinksUpToDate>false</LinksUpToDate>
  <CharactersWithSpaces>50509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2023-12-14T09:25:00Z</dcterms:created>
  <dc:creator>微软用户</dc:creator>
  <cp:lastModifiedBy>NTKO</cp:lastModifiedBy>
  <cp:lastPrinted>2022-03-04T06:45:00Z</cp:lastPrinted>
  <dcterms:modified xsi:type="dcterms:W3CDTF">2024-04-15T02:53:53Z</dcterms:modified>
  <dc:title>桂财采〔2009〕 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D2B8CC342E764D3D88061CCC4551F89A_13</vt:lpwstr>
  </property>
  <property fmtid="{D5CDD505-2E9C-101B-9397-08002B2CF9AE}" pid="14" name="GrammarlyDocumentId">
    <vt:lpwstr>735b0e3110c6271e3eb822e1c55f6b82be6595b5c1a107f25157bc189e67a3e9</vt:lpwstr>
  </property>
</Properties>
</file>